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D62D25" w14:textId="7AF900CB" w:rsidR="00526151" w:rsidRPr="007F37A0" w:rsidRDefault="00107D46" w:rsidP="008949E3">
      <w:pPr>
        <w:pStyle w:val="Title"/>
        <w:rPr>
          <w:rFonts w:ascii="Times New Roman" w:hAnsi="Times New Roman" w:cs="Times New Roman"/>
          <w:szCs w:val="28"/>
        </w:rPr>
      </w:pPr>
      <w:r w:rsidRPr="007F37A0">
        <w:rPr>
          <w:rFonts w:ascii="Times New Roman" w:hAnsi="Times New Roman" w:cs="Times New Roman"/>
          <w:szCs w:val="28"/>
        </w:rPr>
        <w:t>Three Essays in Environmental Economics</w:t>
      </w:r>
    </w:p>
    <w:p w14:paraId="708EBE0E" w14:textId="77777777" w:rsidR="003D07F7" w:rsidRPr="007F37A0" w:rsidRDefault="00DD00DE" w:rsidP="00387656">
      <w:pPr>
        <w:pStyle w:val="Title"/>
        <w:rPr>
          <w:rFonts w:ascii="Times New Roman" w:hAnsi="Times New Roman" w:cs="Times New Roman"/>
          <w:szCs w:val="28"/>
        </w:rPr>
      </w:pPr>
      <w:r w:rsidRPr="007F37A0">
        <w:rPr>
          <w:rFonts w:ascii="Times New Roman" w:hAnsi="Times New Roman" w:cs="Times New Roman"/>
          <w:szCs w:val="28"/>
        </w:rPr>
        <w:tab/>
      </w:r>
    </w:p>
    <w:p w14:paraId="2F1E0238" w14:textId="77777777" w:rsidR="00236E6D" w:rsidRPr="007F37A0" w:rsidRDefault="00236E6D" w:rsidP="00387656">
      <w:pPr>
        <w:pStyle w:val="Title"/>
        <w:rPr>
          <w:rFonts w:ascii="Times New Roman" w:hAnsi="Times New Roman" w:cs="Times New Roman"/>
          <w:sz w:val="24"/>
        </w:rPr>
      </w:pPr>
    </w:p>
    <w:p w14:paraId="2D47DDCF" w14:textId="77777777" w:rsidR="00236E6D" w:rsidRPr="007F37A0" w:rsidRDefault="00236E6D" w:rsidP="00387656">
      <w:pPr>
        <w:pStyle w:val="Title"/>
        <w:rPr>
          <w:rFonts w:ascii="Times New Roman" w:hAnsi="Times New Roman" w:cs="Times New Roman"/>
          <w:sz w:val="24"/>
        </w:rPr>
      </w:pPr>
    </w:p>
    <w:p w14:paraId="39152245" w14:textId="77777777" w:rsidR="00236E6D" w:rsidRPr="007F37A0" w:rsidRDefault="00236E6D" w:rsidP="00387656">
      <w:pPr>
        <w:pStyle w:val="Title"/>
        <w:rPr>
          <w:rFonts w:ascii="Times New Roman" w:hAnsi="Times New Roman" w:cs="Times New Roman"/>
          <w:sz w:val="24"/>
        </w:rPr>
      </w:pPr>
    </w:p>
    <w:p w14:paraId="7AD08342" w14:textId="77777777" w:rsidR="00236E6D" w:rsidRPr="007F37A0" w:rsidRDefault="00236E6D" w:rsidP="00387656">
      <w:pPr>
        <w:pStyle w:val="Title"/>
        <w:rPr>
          <w:rFonts w:ascii="Times New Roman" w:hAnsi="Times New Roman" w:cs="Times New Roman"/>
          <w:sz w:val="24"/>
        </w:rPr>
      </w:pPr>
    </w:p>
    <w:p w14:paraId="2C488525" w14:textId="77777777" w:rsidR="00387656" w:rsidRPr="007F37A0" w:rsidRDefault="00387656" w:rsidP="00387656">
      <w:pPr>
        <w:pStyle w:val="Title"/>
        <w:rPr>
          <w:rFonts w:ascii="Times New Roman" w:hAnsi="Times New Roman" w:cs="Times New Roman"/>
          <w:sz w:val="24"/>
        </w:rPr>
      </w:pPr>
    </w:p>
    <w:p w14:paraId="7528B42E" w14:textId="77777777" w:rsidR="00387656" w:rsidRPr="007F37A0" w:rsidRDefault="00387656" w:rsidP="00387656">
      <w:pPr>
        <w:pStyle w:val="Title"/>
        <w:rPr>
          <w:rFonts w:ascii="Times New Roman" w:hAnsi="Times New Roman" w:cs="Times New Roman"/>
          <w:sz w:val="24"/>
        </w:rPr>
      </w:pPr>
    </w:p>
    <w:p w14:paraId="35953D73" w14:textId="77777777" w:rsidR="00387656" w:rsidRPr="007F37A0" w:rsidRDefault="00387656" w:rsidP="00387656">
      <w:pPr>
        <w:pStyle w:val="Title"/>
        <w:rPr>
          <w:rFonts w:ascii="Times New Roman" w:hAnsi="Times New Roman" w:cs="Times New Roman"/>
          <w:sz w:val="24"/>
        </w:rPr>
      </w:pPr>
    </w:p>
    <w:p w14:paraId="39633E9E" w14:textId="77777777" w:rsidR="00387656" w:rsidRPr="007F37A0" w:rsidRDefault="00387656" w:rsidP="00387656">
      <w:pPr>
        <w:pStyle w:val="Title"/>
        <w:rPr>
          <w:rFonts w:ascii="Times New Roman" w:hAnsi="Times New Roman" w:cs="Times New Roman"/>
          <w:sz w:val="24"/>
        </w:rPr>
      </w:pPr>
    </w:p>
    <w:p w14:paraId="2F660512" w14:textId="77777777" w:rsidR="00387656" w:rsidRPr="007F37A0" w:rsidRDefault="00387656" w:rsidP="00387656">
      <w:pPr>
        <w:pStyle w:val="Title"/>
        <w:rPr>
          <w:rFonts w:ascii="Times New Roman" w:hAnsi="Times New Roman" w:cs="Times New Roman"/>
          <w:sz w:val="24"/>
        </w:rPr>
      </w:pPr>
    </w:p>
    <w:p w14:paraId="77DD5CED" w14:textId="77777777" w:rsidR="00387656" w:rsidRPr="007F37A0" w:rsidRDefault="00387656" w:rsidP="00387656">
      <w:pPr>
        <w:pStyle w:val="Title"/>
        <w:rPr>
          <w:rFonts w:ascii="Times New Roman" w:hAnsi="Times New Roman" w:cs="Times New Roman"/>
          <w:sz w:val="24"/>
        </w:rPr>
      </w:pPr>
    </w:p>
    <w:p w14:paraId="0242E4B1" w14:textId="77777777" w:rsidR="00236E6D" w:rsidRPr="007F37A0" w:rsidRDefault="00236E6D" w:rsidP="00387656">
      <w:pPr>
        <w:pStyle w:val="Title"/>
        <w:rPr>
          <w:rFonts w:ascii="Times New Roman" w:hAnsi="Times New Roman" w:cs="Times New Roman"/>
          <w:sz w:val="24"/>
        </w:rPr>
      </w:pPr>
    </w:p>
    <w:p w14:paraId="5B4BFFB0" w14:textId="77777777" w:rsidR="00236E6D" w:rsidRPr="007F37A0" w:rsidRDefault="00236E6D" w:rsidP="00387656">
      <w:pPr>
        <w:pStyle w:val="Title"/>
        <w:rPr>
          <w:rFonts w:ascii="Times New Roman" w:hAnsi="Times New Roman" w:cs="Times New Roman"/>
          <w:sz w:val="24"/>
        </w:rPr>
      </w:pPr>
    </w:p>
    <w:p w14:paraId="0D9CF549" w14:textId="77777777" w:rsidR="00236E6D" w:rsidRPr="007F37A0" w:rsidRDefault="00236E6D" w:rsidP="00387656">
      <w:pPr>
        <w:pStyle w:val="Title"/>
        <w:jc w:val="left"/>
        <w:rPr>
          <w:rFonts w:ascii="Times New Roman" w:hAnsi="Times New Roman" w:cs="Times New Roman"/>
          <w:sz w:val="24"/>
        </w:rPr>
      </w:pPr>
    </w:p>
    <w:p w14:paraId="597A9CAD" w14:textId="59510272" w:rsidR="00236E6D" w:rsidRPr="007F37A0" w:rsidRDefault="009C755C" w:rsidP="00387656">
      <w:pPr>
        <w:pStyle w:val="Title"/>
        <w:rPr>
          <w:rFonts w:ascii="Times New Roman" w:hAnsi="Times New Roman" w:cs="Times New Roman"/>
          <w:szCs w:val="28"/>
        </w:rPr>
      </w:pPr>
      <w:r w:rsidRPr="007F37A0">
        <w:rPr>
          <w:rFonts w:ascii="Times New Roman" w:hAnsi="Times New Roman" w:cs="Times New Roman"/>
          <w:szCs w:val="28"/>
        </w:rPr>
        <w:t xml:space="preserve">A </w:t>
      </w:r>
      <w:r w:rsidR="00663834" w:rsidRPr="007F37A0">
        <w:rPr>
          <w:rFonts w:ascii="Times New Roman" w:hAnsi="Times New Roman" w:cs="Times New Roman"/>
          <w:szCs w:val="28"/>
        </w:rPr>
        <w:t>Dissertation</w:t>
      </w:r>
      <w:r w:rsidRPr="007F37A0">
        <w:rPr>
          <w:rFonts w:ascii="Times New Roman" w:hAnsi="Times New Roman" w:cs="Times New Roman"/>
          <w:szCs w:val="28"/>
        </w:rPr>
        <w:t xml:space="preserve"> Presented for</w:t>
      </w:r>
      <w:r w:rsidR="008865B6" w:rsidRPr="007F37A0">
        <w:rPr>
          <w:rFonts w:ascii="Times New Roman" w:hAnsi="Times New Roman" w:cs="Times New Roman"/>
          <w:szCs w:val="28"/>
        </w:rPr>
        <w:t xml:space="preserve"> the</w:t>
      </w:r>
    </w:p>
    <w:p w14:paraId="4FD98AAA" w14:textId="295BDEF8" w:rsidR="009C755C" w:rsidRPr="007F37A0" w:rsidRDefault="00663834" w:rsidP="00387656">
      <w:pPr>
        <w:pStyle w:val="Title"/>
        <w:rPr>
          <w:rFonts w:ascii="Times New Roman" w:hAnsi="Times New Roman" w:cs="Times New Roman"/>
          <w:szCs w:val="28"/>
        </w:rPr>
      </w:pPr>
      <w:r w:rsidRPr="007F37A0">
        <w:rPr>
          <w:rFonts w:ascii="Times New Roman" w:hAnsi="Times New Roman" w:cs="Times New Roman"/>
          <w:szCs w:val="28"/>
        </w:rPr>
        <w:t>Doctor</w:t>
      </w:r>
      <w:r w:rsidR="009C755C" w:rsidRPr="007F37A0">
        <w:rPr>
          <w:rFonts w:ascii="Times New Roman" w:hAnsi="Times New Roman" w:cs="Times New Roman"/>
          <w:szCs w:val="28"/>
        </w:rPr>
        <w:t xml:space="preserve"> of </w:t>
      </w:r>
      <w:r w:rsidRPr="007F37A0">
        <w:rPr>
          <w:rFonts w:ascii="Times New Roman" w:hAnsi="Times New Roman" w:cs="Times New Roman"/>
          <w:szCs w:val="28"/>
        </w:rPr>
        <w:t>Philosophy</w:t>
      </w:r>
    </w:p>
    <w:p w14:paraId="67A97239" w14:textId="77777777" w:rsidR="009C755C" w:rsidRPr="007F37A0" w:rsidRDefault="009C755C" w:rsidP="00387656">
      <w:pPr>
        <w:pStyle w:val="Title"/>
        <w:rPr>
          <w:rFonts w:ascii="Times New Roman" w:hAnsi="Times New Roman" w:cs="Times New Roman"/>
          <w:szCs w:val="28"/>
        </w:rPr>
      </w:pPr>
      <w:r w:rsidRPr="007F37A0">
        <w:rPr>
          <w:rFonts w:ascii="Times New Roman" w:hAnsi="Times New Roman" w:cs="Times New Roman"/>
          <w:szCs w:val="28"/>
        </w:rPr>
        <w:t>Degree</w:t>
      </w:r>
    </w:p>
    <w:p w14:paraId="6A8FE612" w14:textId="77777777" w:rsidR="009C755C" w:rsidRPr="007F37A0" w:rsidRDefault="009C755C" w:rsidP="00387656">
      <w:pPr>
        <w:pStyle w:val="Title"/>
        <w:rPr>
          <w:rFonts w:ascii="Times New Roman" w:hAnsi="Times New Roman" w:cs="Times New Roman"/>
          <w:szCs w:val="28"/>
        </w:rPr>
      </w:pPr>
      <w:r w:rsidRPr="007F37A0">
        <w:rPr>
          <w:rFonts w:ascii="Times New Roman" w:hAnsi="Times New Roman" w:cs="Times New Roman"/>
          <w:szCs w:val="28"/>
        </w:rPr>
        <w:t>The University of Tennessee, Knoxville</w:t>
      </w:r>
    </w:p>
    <w:p w14:paraId="2D7A39ED" w14:textId="77777777" w:rsidR="00387656" w:rsidRPr="007F37A0" w:rsidRDefault="00387656" w:rsidP="00387656">
      <w:pPr>
        <w:pStyle w:val="Title"/>
        <w:rPr>
          <w:rFonts w:ascii="Times New Roman" w:hAnsi="Times New Roman" w:cs="Times New Roman"/>
          <w:szCs w:val="28"/>
        </w:rPr>
      </w:pPr>
    </w:p>
    <w:p w14:paraId="450CF677" w14:textId="77777777" w:rsidR="00387656" w:rsidRPr="007F37A0" w:rsidRDefault="00387656" w:rsidP="00387656">
      <w:pPr>
        <w:pStyle w:val="Title"/>
        <w:rPr>
          <w:rFonts w:ascii="Times New Roman" w:hAnsi="Times New Roman" w:cs="Times New Roman"/>
          <w:szCs w:val="28"/>
        </w:rPr>
      </w:pPr>
    </w:p>
    <w:p w14:paraId="1D580401" w14:textId="77777777" w:rsidR="00387656" w:rsidRPr="007F37A0" w:rsidRDefault="00387656" w:rsidP="00387656">
      <w:pPr>
        <w:pStyle w:val="Title"/>
        <w:rPr>
          <w:rFonts w:ascii="Times New Roman" w:hAnsi="Times New Roman" w:cs="Times New Roman"/>
          <w:szCs w:val="28"/>
        </w:rPr>
      </w:pPr>
    </w:p>
    <w:p w14:paraId="549E6CDC" w14:textId="77777777" w:rsidR="00236E6D" w:rsidRPr="007F37A0" w:rsidRDefault="00236E6D" w:rsidP="00387656">
      <w:pPr>
        <w:pStyle w:val="Title"/>
        <w:rPr>
          <w:rFonts w:ascii="Times New Roman" w:hAnsi="Times New Roman" w:cs="Times New Roman"/>
          <w:szCs w:val="28"/>
        </w:rPr>
      </w:pPr>
    </w:p>
    <w:p w14:paraId="5CC30D3C" w14:textId="77777777" w:rsidR="00236E6D" w:rsidRPr="007F37A0" w:rsidRDefault="00236E6D" w:rsidP="00387656">
      <w:pPr>
        <w:pStyle w:val="Title"/>
        <w:rPr>
          <w:rFonts w:ascii="Times New Roman" w:hAnsi="Times New Roman" w:cs="Times New Roman"/>
          <w:szCs w:val="28"/>
        </w:rPr>
      </w:pPr>
    </w:p>
    <w:p w14:paraId="41DFA46B" w14:textId="77777777" w:rsidR="00236E6D" w:rsidRPr="007F37A0" w:rsidRDefault="00236E6D" w:rsidP="00387656">
      <w:pPr>
        <w:pStyle w:val="Title"/>
        <w:rPr>
          <w:rFonts w:ascii="Times New Roman" w:hAnsi="Times New Roman" w:cs="Times New Roman"/>
          <w:szCs w:val="28"/>
        </w:rPr>
      </w:pPr>
    </w:p>
    <w:p w14:paraId="3BB36CBF" w14:textId="77777777" w:rsidR="00236E6D" w:rsidRPr="007F37A0" w:rsidRDefault="00236E6D" w:rsidP="00387656">
      <w:pPr>
        <w:pStyle w:val="Title"/>
        <w:rPr>
          <w:rFonts w:ascii="Times New Roman" w:hAnsi="Times New Roman" w:cs="Times New Roman"/>
          <w:szCs w:val="28"/>
        </w:rPr>
      </w:pPr>
    </w:p>
    <w:p w14:paraId="6D5FA6FD" w14:textId="77777777" w:rsidR="00236E6D" w:rsidRPr="007F37A0" w:rsidRDefault="00236E6D" w:rsidP="00387656">
      <w:pPr>
        <w:pStyle w:val="Title"/>
        <w:rPr>
          <w:rFonts w:ascii="Times New Roman" w:hAnsi="Times New Roman" w:cs="Times New Roman"/>
          <w:szCs w:val="28"/>
        </w:rPr>
      </w:pPr>
    </w:p>
    <w:p w14:paraId="09961C51" w14:textId="77777777" w:rsidR="00236E6D" w:rsidRPr="007F37A0" w:rsidRDefault="00236E6D" w:rsidP="00387656">
      <w:pPr>
        <w:pStyle w:val="Title"/>
        <w:rPr>
          <w:rFonts w:ascii="Times New Roman" w:hAnsi="Times New Roman" w:cs="Times New Roman"/>
          <w:szCs w:val="28"/>
        </w:rPr>
      </w:pPr>
    </w:p>
    <w:p w14:paraId="5EC9122F" w14:textId="77777777" w:rsidR="00236E6D" w:rsidRPr="007F37A0" w:rsidRDefault="00236E6D" w:rsidP="00387656">
      <w:pPr>
        <w:pStyle w:val="Title"/>
        <w:rPr>
          <w:rFonts w:ascii="Times New Roman" w:hAnsi="Times New Roman" w:cs="Times New Roman"/>
          <w:szCs w:val="28"/>
        </w:rPr>
      </w:pPr>
    </w:p>
    <w:p w14:paraId="62CB8F35" w14:textId="77777777" w:rsidR="00236E6D" w:rsidRPr="007F37A0" w:rsidRDefault="00236E6D" w:rsidP="00387656">
      <w:pPr>
        <w:pStyle w:val="Title"/>
        <w:rPr>
          <w:rFonts w:ascii="Times New Roman" w:hAnsi="Times New Roman" w:cs="Times New Roman"/>
          <w:szCs w:val="28"/>
        </w:rPr>
      </w:pPr>
    </w:p>
    <w:p w14:paraId="3641C0F1" w14:textId="77777777" w:rsidR="00236E6D" w:rsidRPr="007F37A0" w:rsidRDefault="00236E6D" w:rsidP="00387656">
      <w:pPr>
        <w:pStyle w:val="Title"/>
        <w:rPr>
          <w:rFonts w:ascii="Times New Roman" w:hAnsi="Times New Roman" w:cs="Times New Roman"/>
          <w:szCs w:val="28"/>
        </w:rPr>
      </w:pPr>
    </w:p>
    <w:p w14:paraId="1393AB7B" w14:textId="77777777" w:rsidR="00236E6D" w:rsidRPr="007F37A0" w:rsidRDefault="00236E6D" w:rsidP="00387656">
      <w:pPr>
        <w:pStyle w:val="Title"/>
        <w:rPr>
          <w:rFonts w:ascii="Times New Roman" w:hAnsi="Times New Roman" w:cs="Times New Roman"/>
          <w:szCs w:val="28"/>
        </w:rPr>
      </w:pPr>
    </w:p>
    <w:p w14:paraId="23263D91" w14:textId="1091F92C" w:rsidR="00236E6D" w:rsidRPr="007F37A0" w:rsidRDefault="00663834" w:rsidP="00387656">
      <w:pPr>
        <w:pStyle w:val="Title"/>
        <w:rPr>
          <w:rFonts w:ascii="Times New Roman" w:hAnsi="Times New Roman" w:cs="Times New Roman"/>
          <w:szCs w:val="28"/>
        </w:rPr>
      </w:pPr>
      <w:r w:rsidRPr="007F37A0">
        <w:rPr>
          <w:rFonts w:ascii="Times New Roman" w:hAnsi="Times New Roman" w:cs="Times New Roman"/>
          <w:szCs w:val="28"/>
        </w:rPr>
        <w:t>Ryan Swartzentruber</w:t>
      </w:r>
    </w:p>
    <w:p w14:paraId="0D1499C7" w14:textId="67A83AF4" w:rsidR="009C755C" w:rsidRPr="007F37A0" w:rsidRDefault="00663834" w:rsidP="00387656">
      <w:pPr>
        <w:pStyle w:val="Title"/>
        <w:rPr>
          <w:rFonts w:ascii="Times New Roman" w:hAnsi="Times New Roman" w:cs="Times New Roman"/>
          <w:szCs w:val="28"/>
        </w:rPr>
      </w:pPr>
      <w:r w:rsidRPr="007F37A0">
        <w:rPr>
          <w:rFonts w:ascii="Times New Roman" w:hAnsi="Times New Roman" w:cs="Times New Roman"/>
          <w:szCs w:val="28"/>
        </w:rPr>
        <w:t>May</w:t>
      </w:r>
      <w:r w:rsidR="009C755C" w:rsidRPr="007F37A0">
        <w:rPr>
          <w:rFonts w:ascii="Times New Roman" w:hAnsi="Times New Roman" w:cs="Times New Roman"/>
          <w:szCs w:val="28"/>
        </w:rPr>
        <w:t xml:space="preserve"> </w:t>
      </w:r>
      <w:r w:rsidR="003D07F7" w:rsidRPr="007F37A0">
        <w:rPr>
          <w:rFonts w:ascii="Times New Roman" w:hAnsi="Times New Roman" w:cs="Times New Roman"/>
          <w:szCs w:val="28"/>
        </w:rPr>
        <w:t>2</w:t>
      </w:r>
      <w:r w:rsidR="00DF7C87" w:rsidRPr="007F37A0">
        <w:rPr>
          <w:rFonts w:ascii="Times New Roman" w:hAnsi="Times New Roman" w:cs="Times New Roman"/>
          <w:szCs w:val="28"/>
        </w:rPr>
        <w:t>02</w:t>
      </w:r>
      <w:r w:rsidRPr="007F37A0">
        <w:rPr>
          <w:rFonts w:ascii="Times New Roman" w:hAnsi="Times New Roman" w:cs="Times New Roman"/>
          <w:szCs w:val="28"/>
        </w:rPr>
        <w:t>4</w:t>
      </w:r>
    </w:p>
    <w:p w14:paraId="6A5C2050" w14:textId="77777777" w:rsidR="00526151" w:rsidRPr="007F37A0" w:rsidRDefault="00526151" w:rsidP="005E54E2">
      <w:pPr>
        <w:rPr>
          <w:rFonts w:ascii="Times New Roman" w:hAnsi="Times New Roman" w:cs="Times New Roman"/>
          <w:sz w:val="28"/>
          <w:szCs w:val="28"/>
        </w:rPr>
      </w:pPr>
    </w:p>
    <w:p w14:paraId="6B507FAA" w14:textId="77777777" w:rsidR="00526151" w:rsidRPr="007F37A0" w:rsidRDefault="00526151" w:rsidP="005E54E2">
      <w:pPr>
        <w:rPr>
          <w:rFonts w:ascii="Times New Roman" w:hAnsi="Times New Roman" w:cs="Times New Roman"/>
        </w:rPr>
      </w:pPr>
    </w:p>
    <w:p w14:paraId="0A3E9E76" w14:textId="77777777" w:rsidR="00526151" w:rsidRPr="007F37A0" w:rsidRDefault="00387656" w:rsidP="005E54E2">
      <w:pPr>
        <w:rPr>
          <w:rFonts w:ascii="Times New Roman" w:hAnsi="Times New Roman" w:cs="Times New Roman"/>
        </w:rPr>
      </w:pPr>
      <w:r w:rsidRPr="007F37A0">
        <w:rPr>
          <w:rFonts w:ascii="Times New Roman" w:hAnsi="Times New Roman" w:cs="Times New Roman"/>
        </w:rPr>
        <w:br w:type="page"/>
      </w:r>
    </w:p>
    <w:p w14:paraId="1F51D888" w14:textId="77777777" w:rsidR="00526151" w:rsidRPr="007F37A0" w:rsidRDefault="00526151" w:rsidP="005E54E2">
      <w:pPr>
        <w:rPr>
          <w:rFonts w:ascii="Times New Roman" w:hAnsi="Times New Roman" w:cs="Times New Roman"/>
        </w:rPr>
      </w:pPr>
    </w:p>
    <w:p w14:paraId="21EC8DB5" w14:textId="135235FA" w:rsidR="00236E6D" w:rsidRPr="007F37A0" w:rsidRDefault="00DF7C87" w:rsidP="005E54E2">
      <w:pPr>
        <w:rPr>
          <w:rFonts w:ascii="Times New Roman" w:hAnsi="Times New Roman" w:cs="Times New Roman"/>
        </w:rPr>
      </w:pPr>
      <w:r w:rsidRPr="007F37A0">
        <w:rPr>
          <w:rFonts w:ascii="Times New Roman" w:hAnsi="Times New Roman" w:cs="Times New Roman"/>
        </w:rPr>
        <w:t>Copyright © 202</w:t>
      </w:r>
      <w:r w:rsidR="00663834" w:rsidRPr="007F37A0">
        <w:rPr>
          <w:rFonts w:ascii="Times New Roman" w:hAnsi="Times New Roman" w:cs="Times New Roman"/>
        </w:rPr>
        <w:t>4</w:t>
      </w:r>
      <w:r w:rsidR="00236E6D" w:rsidRPr="007F37A0">
        <w:rPr>
          <w:rFonts w:ascii="Times New Roman" w:hAnsi="Times New Roman" w:cs="Times New Roman"/>
        </w:rPr>
        <w:t xml:space="preserve"> by </w:t>
      </w:r>
      <w:r w:rsidR="00663834" w:rsidRPr="007F37A0">
        <w:rPr>
          <w:rFonts w:ascii="Times New Roman" w:hAnsi="Times New Roman" w:cs="Times New Roman"/>
        </w:rPr>
        <w:t>Ryan Swartzentruber</w:t>
      </w:r>
    </w:p>
    <w:p w14:paraId="0B052A5B" w14:textId="77777777" w:rsidR="00236E6D" w:rsidRPr="007F37A0" w:rsidRDefault="00236E6D" w:rsidP="005E54E2">
      <w:pPr>
        <w:rPr>
          <w:rFonts w:ascii="Times New Roman" w:hAnsi="Times New Roman" w:cs="Times New Roman"/>
        </w:rPr>
      </w:pPr>
      <w:r w:rsidRPr="007F37A0">
        <w:rPr>
          <w:rFonts w:ascii="Times New Roman" w:hAnsi="Times New Roman" w:cs="Times New Roman"/>
        </w:rPr>
        <w:t>All rights reserved.</w:t>
      </w:r>
    </w:p>
    <w:p w14:paraId="6036911D" w14:textId="77777777" w:rsidR="00236E6D" w:rsidRPr="007F37A0" w:rsidRDefault="00236E6D" w:rsidP="005E54E2">
      <w:pPr>
        <w:rPr>
          <w:rFonts w:ascii="Times New Roman" w:hAnsi="Times New Roman" w:cs="Times New Roman"/>
        </w:rPr>
      </w:pPr>
    </w:p>
    <w:p w14:paraId="2869FE3F" w14:textId="77777777" w:rsidR="00236E6D" w:rsidRPr="007F37A0" w:rsidRDefault="00236E6D" w:rsidP="005E54E2">
      <w:pPr>
        <w:rPr>
          <w:rFonts w:ascii="Times New Roman" w:hAnsi="Times New Roman" w:cs="Times New Roman"/>
        </w:rPr>
      </w:pPr>
    </w:p>
    <w:p w14:paraId="054B8245" w14:textId="77777777" w:rsidR="00236E6D" w:rsidRPr="007F37A0" w:rsidRDefault="00236E6D" w:rsidP="005E54E2">
      <w:pPr>
        <w:rPr>
          <w:rFonts w:ascii="Times New Roman" w:hAnsi="Times New Roman" w:cs="Times New Roman"/>
        </w:rPr>
      </w:pPr>
    </w:p>
    <w:p w14:paraId="3CD13A34" w14:textId="77777777" w:rsidR="00236E6D" w:rsidRPr="007F37A0" w:rsidRDefault="00236E6D" w:rsidP="005E54E2">
      <w:pPr>
        <w:rPr>
          <w:rFonts w:ascii="Times New Roman" w:hAnsi="Times New Roman" w:cs="Times New Roman"/>
        </w:rPr>
      </w:pPr>
    </w:p>
    <w:p w14:paraId="41B2AC04" w14:textId="77777777" w:rsidR="00236E6D" w:rsidRPr="007F37A0" w:rsidRDefault="00236E6D" w:rsidP="005E54E2">
      <w:pPr>
        <w:rPr>
          <w:rFonts w:ascii="Times New Roman" w:hAnsi="Times New Roman" w:cs="Times New Roman"/>
        </w:rPr>
      </w:pPr>
    </w:p>
    <w:p w14:paraId="7E7DE818" w14:textId="77777777" w:rsidR="00236E6D" w:rsidRPr="007F37A0" w:rsidRDefault="00236E6D" w:rsidP="005E54E2">
      <w:pPr>
        <w:rPr>
          <w:rFonts w:ascii="Times New Roman" w:hAnsi="Times New Roman" w:cs="Times New Roman"/>
        </w:rPr>
      </w:pPr>
    </w:p>
    <w:p w14:paraId="3F3DEE55" w14:textId="77777777" w:rsidR="00236E6D" w:rsidRPr="007F37A0" w:rsidRDefault="00236E6D" w:rsidP="005E54E2">
      <w:pPr>
        <w:rPr>
          <w:rFonts w:ascii="Times New Roman" w:hAnsi="Times New Roman" w:cs="Times New Roman"/>
        </w:rPr>
      </w:pPr>
    </w:p>
    <w:p w14:paraId="45ED1868" w14:textId="77777777" w:rsidR="00236E6D" w:rsidRPr="007F37A0" w:rsidRDefault="00236E6D" w:rsidP="005E54E2">
      <w:pPr>
        <w:rPr>
          <w:rFonts w:ascii="Times New Roman" w:hAnsi="Times New Roman" w:cs="Times New Roman"/>
        </w:rPr>
      </w:pPr>
    </w:p>
    <w:p w14:paraId="33CE2C58" w14:textId="77777777" w:rsidR="00236E6D" w:rsidRPr="007F37A0" w:rsidRDefault="00236E6D" w:rsidP="005E54E2">
      <w:pPr>
        <w:rPr>
          <w:rFonts w:ascii="Times New Roman" w:hAnsi="Times New Roman" w:cs="Times New Roman"/>
        </w:rPr>
      </w:pPr>
    </w:p>
    <w:p w14:paraId="0787E84A" w14:textId="77777777" w:rsidR="00236E6D" w:rsidRPr="007F37A0" w:rsidRDefault="00236E6D" w:rsidP="005E54E2">
      <w:pPr>
        <w:rPr>
          <w:rFonts w:ascii="Times New Roman" w:hAnsi="Times New Roman" w:cs="Times New Roman"/>
        </w:rPr>
      </w:pPr>
    </w:p>
    <w:p w14:paraId="03E71AD4" w14:textId="77777777" w:rsidR="00236E6D" w:rsidRPr="007F37A0" w:rsidRDefault="00236E6D" w:rsidP="005E54E2">
      <w:pPr>
        <w:rPr>
          <w:rFonts w:ascii="Times New Roman" w:hAnsi="Times New Roman" w:cs="Times New Roman"/>
        </w:rPr>
      </w:pPr>
    </w:p>
    <w:p w14:paraId="53FCF67B" w14:textId="77777777" w:rsidR="00236E6D" w:rsidRPr="007F37A0" w:rsidRDefault="00236E6D" w:rsidP="005E54E2">
      <w:pPr>
        <w:rPr>
          <w:rFonts w:ascii="Times New Roman" w:hAnsi="Times New Roman" w:cs="Times New Roman"/>
        </w:rPr>
      </w:pPr>
    </w:p>
    <w:p w14:paraId="2A88A0C1" w14:textId="77777777" w:rsidR="00236E6D" w:rsidRPr="007F37A0" w:rsidRDefault="00236E6D" w:rsidP="005E54E2">
      <w:pPr>
        <w:rPr>
          <w:rFonts w:ascii="Times New Roman" w:hAnsi="Times New Roman" w:cs="Times New Roman"/>
        </w:rPr>
      </w:pPr>
    </w:p>
    <w:p w14:paraId="7B4C6181" w14:textId="2319E24D" w:rsidR="00CD73A9" w:rsidRPr="007F37A0" w:rsidRDefault="006F5AA4" w:rsidP="00DF21FD">
      <w:pPr>
        <w:pStyle w:val="Title"/>
        <w:rPr>
          <w:rFonts w:ascii="Times New Roman" w:hAnsi="Times New Roman" w:cs="Times New Roman"/>
        </w:rPr>
      </w:pPr>
      <w:r w:rsidRPr="007F37A0">
        <w:rPr>
          <w:rFonts w:ascii="Times New Roman" w:hAnsi="Times New Roman" w:cs="Times New Roman"/>
          <w:sz w:val="24"/>
        </w:rPr>
        <w:br w:type="page"/>
      </w:r>
      <w:r w:rsidR="00CD73A9" w:rsidRPr="007F37A0">
        <w:rPr>
          <w:rFonts w:ascii="Times New Roman" w:hAnsi="Times New Roman" w:cs="Times New Roman"/>
          <w:szCs w:val="28"/>
        </w:rPr>
        <w:lastRenderedPageBreak/>
        <w:t>ACKNOWLEDGEMENTS</w:t>
      </w:r>
    </w:p>
    <w:p w14:paraId="3C458481" w14:textId="77777777" w:rsidR="009D794C" w:rsidRPr="007F37A0" w:rsidRDefault="009D794C" w:rsidP="005E54E2">
      <w:pPr>
        <w:rPr>
          <w:rFonts w:ascii="Times New Roman" w:hAnsi="Times New Roman" w:cs="Times New Roman"/>
        </w:rPr>
      </w:pPr>
    </w:p>
    <w:p w14:paraId="4100C00F" w14:textId="280EFE65" w:rsidR="00C216FB" w:rsidRPr="007F37A0" w:rsidRDefault="00C216FB" w:rsidP="00F068C2">
      <w:pPr>
        <w:spacing w:line="480" w:lineRule="auto"/>
        <w:rPr>
          <w:rFonts w:ascii="Times New Roman" w:hAnsi="Times New Roman" w:cs="Times New Roman"/>
        </w:rPr>
      </w:pPr>
      <w:r w:rsidRPr="007F37A0">
        <w:rPr>
          <w:rFonts w:ascii="Times New Roman" w:hAnsi="Times New Roman" w:cs="Times New Roman"/>
        </w:rPr>
        <w:tab/>
      </w:r>
      <w:r w:rsidR="008A0595" w:rsidRPr="007F37A0">
        <w:rPr>
          <w:rFonts w:ascii="Times New Roman" w:hAnsi="Times New Roman" w:cs="Times New Roman"/>
        </w:rPr>
        <w:t xml:space="preserve">First and foremost, I need to thank my family. </w:t>
      </w:r>
      <w:r w:rsidRPr="007F37A0">
        <w:rPr>
          <w:rFonts w:ascii="Times New Roman" w:hAnsi="Times New Roman" w:cs="Times New Roman"/>
        </w:rPr>
        <w:t xml:space="preserve">I would like to thank </w:t>
      </w:r>
      <w:r w:rsidR="008A0595" w:rsidRPr="007F37A0">
        <w:rPr>
          <w:rFonts w:ascii="Times New Roman" w:hAnsi="Times New Roman" w:cs="Times New Roman"/>
        </w:rPr>
        <w:t xml:space="preserve">Rita for all the sacrifices she made over the past four years to support me in this endeavor. I would also like to acknowledge Cannon’s help in finishing this dissertation. Although his comments have not been particularly helpful, he has spent many hours </w:t>
      </w:r>
      <w:r w:rsidR="00904231" w:rsidRPr="007F37A0">
        <w:rPr>
          <w:rFonts w:ascii="Times New Roman" w:hAnsi="Times New Roman" w:cs="Times New Roman"/>
        </w:rPr>
        <w:t xml:space="preserve">close by, </w:t>
      </w:r>
      <w:r w:rsidR="008A0595" w:rsidRPr="007F37A0">
        <w:rPr>
          <w:rFonts w:ascii="Times New Roman" w:hAnsi="Times New Roman" w:cs="Times New Roman"/>
        </w:rPr>
        <w:t>supporting m</w:t>
      </w:r>
      <w:r w:rsidR="00904231" w:rsidRPr="007F37A0">
        <w:rPr>
          <w:rFonts w:ascii="Times New Roman" w:hAnsi="Times New Roman" w:cs="Times New Roman"/>
        </w:rPr>
        <w:t>e</w:t>
      </w:r>
      <w:r w:rsidR="001915EE" w:rsidRPr="007F37A0">
        <w:rPr>
          <w:rFonts w:ascii="Times New Roman" w:hAnsi="Times New Roman" w:cs="Times New Roman"/>
        </w:rPr>
        <w:t xml:space="preserve"> and keeping me grounded in life.</w:t>
      </w:r>
      <w:r w:rsidR="004A7A14" w:rsidRPr="007F37A0">
        <w:rPr>
          <w:rFonts w:ascii="Times New Roman" w:hAnsi="Times New Roman" w:cs="Times New Roman"/>
        </w:rPr>
        <w:t xml:space="preserve"> </w:t>
      </w:r>
    </w:p>
    <w:p w14:paraId="51F91F68" w14:textId="38E78BD3" w:rsidR="0085757D" w:rsidRPr="007F37A0" w:rsidRDefault="00C216FB" w:rsidP="00FA2FBF">
      <w:pPr>
        <w:spacing w:line="480" w:lineRule="auto"/>
        <w:ind w:firstLine="720"/>
        <w:rPr>
          <w:rFonts w:ascii="Times New Roman" w:hAnsi="Times New Roman" w:cs="Times New Roman"/>
        </w:rPr>
      </w:pPr>
      <w:r w:rsidRPr="007F37A0">
        <w:rPr>
          <w:rFonts w:ascii="Times New Roman" w:hAnsi="Times New Roman" w:cs="Times New Roman"/>
        </w:rPr>
        <w:t>This work would not have been possible without the help and input of my advisor, Charles Sims, and committee members Scott Holladay, Christian Vossler, and Ben Leard. The economics department also gave helpful input and logistic support throughout my time at the University of Tennessee.</w:t>
      </w:r>
    </w:p>
    <w:p w14:paraId="5D36AAC0" w14:textId="77777777" w:rsidR="0085757D" w:rsidRPr="007F37A0" w:rsidRDefault="0085757D" w:rsidP="00F068C2">
      <w:pPr>
        <w:spacing w:line="480" w:lineRule="auto"/>
        <w:rPr>
          <w:rFonts w:ascii="Times New Roman" w:hAnsi="Times New Roman" w:cs="Times New Roman"/>
        </w:rPr>
      </w:pPr>
    </w:p>
    <w:p w14:paraId="15417D04" w14:textId="77777777" w:rsidR="00904969" w:rsidRPr="007F37A0" w:rsidRDefault="00904969" w:rsidP="00F068C2">
      <w:pPr>
        <w:spacing w:line="480" w:lineRule="auto"/>
        <w:rPr>
          <w:rFonts w:ascii="Times New Roman" w:hAnsi="Times New Roman" w:cs="Times New Roman"/>
        </w:rPr>
      </w:pPr>
    </w:p>
    <w:p w14:paraId="0C65C033" w14:textId="77777777" w:rsidR="00904969" w:rsidRPr="007F37A0" w:rsidRDefault="00904969" w:rsidP="00F068C2">
      <w:pPr>
        <w:spacing w:line="480" w:lineRule="auto"/>
        <w:rPr>
          <w:rFonts w:ascii="Times New Roman" w:hAnsi="Times New Roman" w:cs="Times New Roman"/>
        </w:rPr>
      </w:pPr>
    </w:p>
    <w:p w14:paraId="368B0B6B" w14:textId="77777777" w:rsidR="00904969" w:rsidRPr="007F37A0" w:rsidRDefault="00904969" w:rsidP="00F068C2">
      <w:pPr>
        <w:spacing w:line="480" w:lineRule="auto"/>
        <w:rPr>
          <w:rFonts w:ascii="Times New Roman" w:hAnsi="Times New Roman" w:cs="Times New Roman"/>
        </w:rPr>
      </w:pPr>
    </w:p>
    <w:p w14:paraId="0F41C5C4" w14:textId="77777777" w:rsidR="00236E6D" w:rsidRPr="007F37A0" w:rsidRDefault="0085757D" w:rsidP="00F068C2">
      <w:pPr>
        <w:pStyle w:val="Title"/>
        <w:spacing w:line="480" w:lineRule="auto"/>
        <w:rPr>
          <w:rFonts w:ascii="Times New Roman" w:hAnsi="Times New Roman" w:cs="Times New Roman"/>
          <w:szCs w:val="28"/>
        </w:rPr>
      </w:pPr>
      <w:r w:rsidRPr="007F37A0">
        <w:rPr>
          <w:rFonts w:ascii="Times New Roman" w:hAnsi="Times New Roman" w:cs="Times New Roman"/>
          <w:sz w:val="24"/>
        </w:rPr>
        <w:br w:type="page"/>
      </w:r>
      <w:r w:rsidR="00236E6D" w:rsidRPr="007F37A0">
        <w:rPr>
          <w:rFonts w:ascii="Times New Roman" w:hAnsi="Times New Roman" w:cs="Times New Roman"/>
          <w:szCs w:val="28"/>
        </w:rPr>
        <w:lastRenderedPageBreak/>
        <w:t>ABSTRACT</w:t>
      </w:r>
    </w:p>
    <w:p w14:paraId="697806FB" w14:textId="60388693" w:rsidR="00DA2232" w:rsidRPr="007F37A0" w:rsidRDefault="00F068C2" w:rsidP="00DA2232">
      <w:pPr>
        <w:spacing w:line="480" w:lineRule="auto"/>
        <w:rPr>
          <w:rFonts w:ascii="Times New Roman" w:hAnsi="Times New Roman" w:cs="Times New Roman"/>
        </w:rPr>
      </w:pPr>
      <w:r w:rsidRPr="007F37A0">
        <w:rPr>
          <w:rFonts w:ascii="Times New Roman" w:hAnsi="Times New Roman" w:cs="Times New Roman"/>
        </w:rPr>
        <w:tab/>
      </w:r>
      <w:r w:rsidR="00DA2232" w:rsidRPr="007F37A0">
        <w:rPr>
          <w:rFonts w:ascii="Times New Roman" w:hAnsi="Times New Roman" w:cs="Times New Roman"/>
        </w:rPr>
        <w:t>The first chapter of this dissertation analyzes how policy uncertainty affects electric utility investment rates. Policy can either positively or negatively impact firm profits, as seen in the difference between subsidies and taxes. Using a real option theoretical model, I show how uncertainty over these two types of policies can have positive or negative impacts on investment rates. Empirical results using investment data for electric utilities provide evidence in support of differential effects of uncertainty</w:t>
      </w:r>
      <w:r w:rsidR="00A33BA5" w:rsidRPr="007F37A0">
        <w:rPr>
          <w:rFonts w:ascii="Times New Roman" w:hAnsi="Times New Roman" w:cs="Times New Roman"/>
        </w:rPr>
        <w:t xml:space="preserve">. </w:t>
      </w:r>
      <w:r w:rsidR="00DA2232" w:rsidRPr="007F37A0">
        <w:rPr>
          <w:rFonts w:ascii="Times New Roman" w:hAnsi="Times New Roman" w:cs="Times New Roman"/>
        </w:rPr>
        <w:t xml:space="preserve">I find a positive effect of policy uncertainty on electric utility investment rates using my preferred </w:t>
      </w:r>
      <w:r w:rsidR="00A33BA5" w:rsidRPr="007F37A0">
        <w:rPr>
          <w:rFonts w:ascii="Times New Roman" w:hAnsi="Times New Roman" w:cs="Times New Roman"/>
        </w:rPr>
        <w:t>measure of policy uncertainty</w:t>
      </w:r>
      <w:r w:rsidR="00DA2232" w:rsidRPr="007F37A0">
        <w:rPr>
          <w:rFonts w:ascii="Times New Roman" w:hAnsi="Times New Roman" w:cs="Times New Roman"/>
        </w:rPr>
        <w:t xml:space="preserve">. This suggests that policies applicable to electric utilities negatively impact their profits, such as taxes. </w:t>
      </w:r>
    </w:p>
    <w:p w14:paraId="3CB0AF5D" w14:textId="05B5A014" w:rsidR="00DA2232" w:rsidRPr="007F37A0" w:rsidRDefault="00DA2232" w:rsidP="00DA2232">
      <w:pPr>
        <w:spacing w:line="480" w:lineRule="auto"/>
        <w:rPr>
          <w:rFonts w:ascii="Times New Roman" w:hAnsi="Times New Roman" w:cs="Times New Roman"/>
        </w:rPr>
      </w:pPr>
      <w:r w:rsidRPr="007F37A0">
        <w:rPr>
          <w:rFonts w:ascii="Times New Roman" w:hAnsi="Times New Roman" w:cs="Times New Roman"/>
        </w:rPr>
        <w:tab/>
        <w:t xml:space="preserve">The second chapter experimentally tests whether individuals behave according to real option theory when considering low-probability high-severity outcomes. Individuals often make important decisions under uncertainty with severe outcomes, such as choosing medical treatments. I find that university student research participants behave according to </w:t>
      </w:r>
      <w:r w:rsidR="0021619C" w:rsidRPr="007F37A0">
        <w:rPr>
          <w:rFonts w:ascii="Times New Roman" w:hAnsi="Times New Roman" w:cs="Times New Roman"/>
        </w:rPr>
        <w:t xml:space="preserve">directional predictions </w:t>
      </w:r>
      <w:r w:rsidRPr="007F37A0">
        <w:rPr>
          <w:rFonts w:ascii="Times New Roman" w:hAnsi="Times New Roman" w:cs="Times New Roman"/>
        </w:rPr>
        <w:t>real option theory</w:t>
      </w:r>
      <w:r w:rsidR="0021619C" w:rsidRPr="007F37A0">
        <w:rPr>
          <w:rFonts w:ascii="Times New Roman" w:hAnsi="Times New Roman" w:cs="Times New Roman"/>
        </w:rPr>
        <w:t xml:space="preserve"> in low-probability high-severity contexts</w:t>
      </w:r>
      <w:r w:rsidRPr="007F37A0">
        <w:rPr>
          <w:rFonts w:ascii="Times New Roman" w:hAnsi="Times New Roman" w:cs="Times New Roman"/>
        </w:rPr>
        <w:t xml:space="preserve">. However, </w:t>
      </w:r>
      <w:r w:rsidR="0021619C" w:rsidRPr="007F37A0">
        <w:rPr>
          <w:rFonts w:ascii="Times New Roman" w:hAnsi="Times New Roman" w:cs="Times New Roman"/>
        </w:rPr>
        <w:t>participants’ willingness to pay for information deviates from real option theory predictions</w:t>
      </w:r>
      <w:r w:rsidRPr="007F37A0">
        <w:rPr>
          <w:rFonts w:ascii="Times New Roman" w:hAnsi="Times New Roman" w:cs="Times New Roman"/>
        </w:rPr>
        <w:t xml:space="preserve">. In these contexts, such as a low probability lifesaving medical procedure, individuals would wait too long or gather too much information than </w:t>
      </w:r>
      <w:r w:rsidR="0021619C" w:rsidRPr="007F37A0">
        <w:rPr>
          <w:rFonts w:ascii="Times New Roman" w:hAnsi="Times New Roman" w:cs="Times New Roman"/>
        </w:rPr>
        <w:t>real option theory predicts</w:t>
      </w:r>
      <w:r w:rsidRPr="007F37A0">
        <w:rPr>
          <w:rFonts w:ascii="Times New Roman" w:hAnsi="Times New Roman" w:cs="Times New Roman"/>
        </w:rPr>
        <w:t>. In the context of public policy, these types of scenarios would cause voter preferences to deviate from the optimal timing of policy</w:t>
      </w:r>
      <w:r w:rsidR="0021619C" w:rsidRPr="007F37A0">
        <w:rPr>
          <w:rFonts w:ascii="Times New Roman" w:hAnsi="Times New Roman" w:cs="Times New Roman"/>
        </w:rPr>
        <w:t xml:space="preserve"> according to real option theory</w:t>
      </w:r>
      <w:r w:rsidR="00A33BA5" w:rsidRPr="007F37A0">
        <w:rPr>
          <w:rFonts w:ascii="Times New Roman" w:hAnsi="Times New Roman" w:cs="Times New Roman"/>
        </w:rPr>
        <w:t>.</w:t>
      </w:r>
    </w:p>
    <w:p w14:paraId="61445701" w14:textId="48BCD764" w:rsidR="00DA2232" w:rsidRPr="007F37A0" w:rsidRDefault="00DA2232" w:rsidP="00DA2232">
      <w:pPr>
        <w:spacing w:line="480" w:lineRule="auto"/>
        <w:rPr>
          <w:rFonts w:ascii="Times New Roman" w:hAnsi="Times New Roman" w:cs="Times New Roman"/>
        </w:rPr>
      </w:pPr>
      <w:r w:rsidRPr="007F37A0">
        <w:rPr>
          <w:rFonts w:ascii="Times New Roman" w:hAnsi="Times New Roman" w:cs="Times New Roman"/>
        </w:rPr>
        <w:lastRenderedPageBreak/>
        <w:tab/>
        <w:t xml:space="preserve">The third chapter examines </w:t>
      </w:r>
      <w:r w:rsidR="00F65E62" w:rsidRPr="007F37A0">
        <w:rPr>
          <w:rFonts w:ascii="Times New Roman" w:hAnsi="Times New Roman" w:cs="Times New Roman"/>
        </w:rPr>
        <w:t>whether power plants respond to the Clean Air Interstate Rule and Cross State Air Pollution Rule by</w:t>
      </w:r>
      <w:r w:rsidR="0021619C" w:rsidRPr="007F37A0">
        <w:rPr>
          <w:rFonts w:ascii="Times New Roman" w:hAnsi="Times New Roman" w:cs="Times New Roman"/>
        </w:rPr>
        <w:t xml:space="preserve"> switching fuel types,</w:t>
      </w:r>
      <w:r w:rsidR="00F65E62" w:rsidRPr="007F37A0">
        <w:rPr>
          <w:rFonts w:ascii="Times New Roman" w:hAnsi="Times New Roman" w:cs="Times New Roman"/>
        </w:rPr>
        <w:t xml:space="preserve"> retiring polluting boilers</w:t>
      </w:r>
      <w:r w:rsidR="0021619C" w:rsidRPr="007F37A0">
        <w:rPr>
          <w:rFonts w:ascii="Times New Roman" w:hAnsi="Times New Roman" w:cs="Times New Roman"/>
        </w:rPr>
        <w:t>,</w:t>
      </w:r>
      <w:r w:rsidR="00F65E62" w:rsidRPr="007F37A0">
        <w:rPr>
          <w:rFonts w:ascii="Times New Roman" w:hAnsi="Times New Roman" w:cs="Times New Roman"/>
        </w:rPr>
        <w:t xml:space="preserve"> or installing new pollution control technology. The results suggest that recent regulations achieved emissions reductions by changing the composition of pollution control technology without causing boiler retirements. </w:t>
      </w:r>
      <w:r w:rsidR="0021619C" w:rsidRPr="007F37A0">
        <w:rPr>
          <w:rFonts w:ascii="Times New Roman" w:hAnsi="Times New Roman" w:cs="Times New Roman"/>
        </w:rPr>
        <w:t xml:space="preserve">I find evidence that plant managers switch fuel type in response to sulfur dioxide regulation. </w:t>
      </w:r>
      <w:r w:rsidRPr="007F37A0">
        <w:rPr>
          <w:rFonts w:ascii="Times New Roman" w:hAnsi="Times New Roman" w:cs="Times New Roman"/>
        </w:rPr>
        <w:t>I find that boilers are more likely to install dry type technologies and selective noncatalytic reduction technology in response</w:t>
      </w:r>
      <w:r w:rsidR="00F65E62" w:rsidRPr="007F37A0">
        <w:rPr>
          <w:rFonts w:ascii="Times New Roman" w:hAnsi="Times New Roman" w:cs="Times New Roman"/>
        </w:rPr>
        <w:t xml:space="preserve"> to</w:t>
      </w:r>
      <w:r w:rsidRPr="007F37A0">
        <w:rPr>
          <w:rFonts w:ascii="Times New Roman" w:hAnsi="Times New Roman" w:cs="Times New Roman"/>
        </w:rPr>
        <w:t xml:space="preserve"> regulation. These two categories of technologies can be classified as relatively cheap and less effective than their counterparts. </w:t>
      </w:r>
    </w:p>
    <w:p w14:paraId="5ED2AAFE" w14:textId="15CAA180" w:rsidR="00F068C2" w:rsidRPr="007F37A0" w:rsidRDefault="00F068C2" w:rsidP="003D2A12">
      <w:pPr>
        <w:spacing w:line="480" w:lineRule="auto"/>
        <w:rPr>
          <w:rFonts w:ascii="Times New Roman" w:hAnsi="Times New Roman" w:cs="Times New Roman"/>
        </w:rPr>
      </w:pPr>
    </w:p>
    <w:p w14:paraId="01D01666" w14:textId="77777777" w:rsidR="00A50F5A" w:rsidRPr="007F37A0" w:rsidRDefault="00A50F5A" w:rsidP="00387656">
      <w:pPr>
        <w:pStyle w:val="Title"/>
        <w:rPr>
          <w:rFonts w:ascii="Times New Roman" w:hAnsi="Times New Roman" w:cs="Times New Roman"/>
          <w:sz w:val="24"/>
        </w:rPr>
      </w:pPr>
    </w:p>
    <w:p w14:paraId="13E10791" w14:textId="6F12E016" w:rsidR="00236E6D" w:rsidRPr="007F37A0" w:rsidRDefault="00236E6D" w:rsidP="00663834">
      <w:pPr>
        <w:pStyle w:val="Title"/>
        <w:rPr>
          <w:rFonts w:ascii="Times New Roman" w:hAnsi="Times New Roman" w:cs="Times New Roman"/>
        </w:rPr>
      </w:pPr>
      <w:r w:rsidRPr="007F37A0">
        <w:rPr>
          <w:rFonts w:ascii="Times New Roman" w:hAnsi="Times New Roman" w:cs="Times New Roman"/>
          <w:sz w:val="24"/>
        </w:rPr>
        <w:br w:type="page"/>
      </w:r>
    </w:p>
    <w:p w14:paraId="3AEC037E" w14:textId="77777777" w:rsidR="00387656" w:rsidRPr="007F37A0" w:rsidRDefault="00387656" w:rsidP="00387656">
      <w:pPr>
        <w:pStyle w:val="Title"/>
        <w:rPr>
          <w:rFonts w:ascii="Times New Roman" w:hAnsi="Times New Roman" w:cs="Times New Roman"/>
          <w:szCs w:val="28"/>
        </w:rPr>
      </w:pPr>
      <w:r w:rsidRPr="007F37A0">
        <w:rPr>
          <w:rFonts w:ascii="Times New Roman" w:hAnsi="Times New Roman" w:cs="Times New Roman"/>
          <w:szCs w:val="28"/>
        </w:rPr>
        <w:lastRenderedPageBreak/>
        <w:t>TABLE OF CONTENTS</w:t>
      </w:r>
    </w:p>
    <w:p w14:paraId="0B4ECCFF" w14:textId="77777777" w:rsidR="00387656" w:rsidRPr="007F37A0" w:rsidRDefault="00387656" w:rsidP="00387656">
      <w:pPr>
        <w:pStyle w:val="Title"/>
        <w:rPr>
          <w:rFonts w:ascii="Times New Roman" w:hAnsi="Times New Roman" w:cs="Times New Roman"/>
          <w:sz w:val="24"/>
        </w:rPr>
      </w:pPr>
    </w:p>
    <w:p w14:paraId="0E80580B" w14:textId="566E5378" w:rsidR="00142A7E" w:rsidRPr="00142A7E" w:rsidRDefault="00387656">
      <w:pPr>
        <w:pStyle w:val="TOC1"/>
        <w:tabs>
          <w:tab w:val="right" w:leader="dot" w:pos="8630"/>
        </w:tabs>
        <w:rPr>
          <w:rFonts w:ascii="Times New Roman" w:eastAsiaTheme="minorEastAsia" w:hAnsi="Times New Roman" w:cs="Times New Roman"/>
          <w:noProof/>
          <w:kern w:val="2"/>
          <w14:ligatures w14:val="standardContextual"/>
        </w:rPr>
      </w:pPr>
      <w:r w:rsidRPr="007F37A0">
        <w:rPr>
          <w:rFonts w:ascii="Times New Roman" w:hAnsi="Times New Roman" w:cs="Times New Roman"/>
        </w:rPr>
        <w:fldChar w:fldCharType="begin"/>
      </w:r>
      <w:r w:rsidRPr="007F37A0">
        <w:rPr>
          <w:rFonts w:ascii="Times New Roman" w:hAnsi="Times New Roman" w:cs="Times New Roman"/>
        </w:rPr>
        <w:instrText xml:space="preserve"> TOC \o "1-3" \h \z \u </w:instrText>
      </w:r>
      <w:r w:rsidRPr="007F37A0">
        <w:rPr>
          <w:rFonts w:ascii="Times New Roman" w:hAnsi="Times New Roman" w:cs="Times New Roman"/>
        </w:rPr>
        <w:fldChar w:fldCharType="separate"/>
      </w:r>
      <w:hyperlink w:anchor="_Toc164862491" w:history="1">
        <w:r w:rsidR="00142A7E" w:rsidRPr="00142A7E">
          <w:rPr>
            <w:rStyle w:val="Hyperlink"/>
            <w:rFonts w:ascii="Times New Roman" w:hAnsi="Times New Roman" w:cs="Times New Roman"/>
            <w:noProof/>
          </w:rPr>
          <w:t>CHAPTER I POLICY UNCERTAINTY AND ELECTRIC UTILITY INVESTMENT</w:t>
        </w:r>
        <w:r w:rsidR="00142A7E" w:rsidRPr="00142A7E">
          <w:rPr>
            <w:rFonts w:ascii="Times New Roman" w:hAnsi="Times New Roman" w:cs="Times New Roman"/>
            <w:noProof/>
            <w:webHidden/>
          </w:rPr>
          <w:tab/>
        </w:r>
        <w:r w:rsidR="00142A7E" w:rsidRPr="00142A7E">
          <w:rPr>
            <w:rFonts w:ascii="Times New Roman" w:hAnsi="Times New Roman" w:cs="Times New Roman"/>
            <w:noProof/>
            <w:webHidden/>
          </w:rPr>
          <w:fldChar w:fldCharType="begin"/>
        </w:r>
        <w:r w:rsidR="00142A7E" w:rsidRPr="00142A7E">
          <w:rPr>
            <w:rFonts w:ascii="Times New Roman" w:hAnsi="Times New Roman" w:cs="Times New Roman"/>
            <w:noProof/>
            <w:webHidden/>
          </w:rPr>
          <w:instrText xml:space="preserve"> PAGEREF _Toc164862491 \h </w:instrText>
        </w:r>
        <w:r w:rsidR="00142A7E" w:rsidRPr="00142A7E">
          <w:rPr>
            <w:rFonts w:ascii="Times New Roman" w:hAnsi="Times New Roman" w:cs="Times New Roman"/>
            <w:noProof/>
            <w:webHidden/>
          </w:rPr>
        </w:r>
        <w:r w:rsidR="00142A7E" w:rsidRPr="00142A7E">
          <w:rPr>
            <w:rFonts w:ascii="Times New Roman" w:hAnsi="Times New Roman" w:cs="Times New Roman"/>
            <w:noProof/>
            <w:webHidden/>
          </w:rPr>
          <w:fldChar w:fldCharType="separate"/>
        </w:r>
        <w:r w:rsidR="00142A7E" w:rsidRPr="00142A7E">
          <w:rPr>
            <w:rFonts w:ascii="Times New Roman" w:hAnsi="Times New Roman" w:cs="Times New Roman"/>
            <w:noProof/>
            <w:webHidden/>
          </w:rPr>
          <w:t>1</w:t>
        </w:r>
        <w:r w:rsidR="00142A7E" w:rsidRPr="00142A7E">
          <w:rPr>
            <w:rFonts w:ascii="Times New Roman" w:hAnsi="Times New Roman" w:cs="Times New Roman"/>
            <w:noProof/>
            <w:webHidden/>
          </w:rPr>
          <w:fldChar w:fldCharType="end"/>
        </w:r>
      </w:hyperlink>
    </w:p>
    <w:p w14:paraId="6CBE5A16" w14:textId="5BD195DD"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492" w:history="1">
        <w:r w:rsidRPr="00142A7E">
          <w:rPr>
            <w:rStyle w:val="Hyperlink"/>
            <w:rFonts w:ascii="Times New Roman" w:hAnsi="Times New Roman" w:cs="Times New Roman"/>
            <w:noProof/>
          </w:rPr>
          <w:t>ABSTRACT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_Toc164862492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2</w:t>
        </w:r>
        <w:r w:rsidRPr="00142A7E">
          <w:rPr>
            <w:rFonts w:ascii="Times New Roman" w:hAnsi="Times New Roman" w:cs="Times New Roman"/>
            <w:noProof/>
            <w:webHidden/>
          </w:rPr>
          <w:fldChar w:fldCharType="end"/>
        </w:r>
      </w:hyperlink>
    </w:p>
    <w:p w14:paraId="5D92F1C1" w14:textId="2B25A81B"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493" w:history="1">
        <w:r w:rsidRPr="00142A7E">
          <w:rPr>
            <w:rStyle w:val="Hyperlink"/>
            <w:rFonts w:ascii="Times New Roman" w:hAnsi="Times New Roman" w:cs="Times New Roman"/>
            <w:noProof/>
          </w:rPr>
          <w:t>1.1 INTRODUCTION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_Toc164862493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3</w:t>
        </w:r>
        <w:r w:rsidRPr="00142A7E">
          <w:rPr>
            <w:rFonts w:ascii="Times New Roman" w:hAnsi="Times New Roman" w:cs="Times New Roman"/>
            <w:noProof/>
            <w:webHidden/>
          </w:rPr>
          <w:fldChar w:fldCharType="end"/>
        </w:r>
      </w:hyperlink>
    </w:p>
    <w:p w14:paraId="69516B60" w14:textId="4AAE029D"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494" w:history="1">
        <w:r w:rsidRPr="00142A7E">
          <w:rPr>
            <w:rStyle w:val="Hyperlink"/>
            <w:rFonts w:ascii="Times New Roman" w:hAnsi="Times New Roman" w:cs="Times New Roman"/>
            <w:noProof/>
          </w:rPr>
          <w:t>1.2 LITERATURE REVIEW</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_Toc164862494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7</w:t>
        </w:r>
        <w:r w:rsidRPr="00142A7E">
          <w:rPr>
            <w:rFonts w:ascii="Times New Roman" w:hAnsi="Times New Roman" w:cs="Times New Roman"/>
            <w:noProof/>
            <w:webHidden/>
          </w:rPr>
          <w:fldChar w:fldCharType="end"/>
        </w:r>
      </w:hyperlink>
    </w:p>
    <w:p w14:paraId="73914226" w14:textId="488163D1"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495" w:history="1">
        <w:r w:rsidRPr="00142A7E">
          <w:rPr>
            <w:rStyle w:val="Hyperlink"/>
            <w:rFonts w:ascii="Times New Roman" w:hAnsi="Times New Roman" w:cs="Times New Roman"/>
            <w:noProof/>
          </w:rPr>
          <w:t>1.3 THEORETICAL MODEL</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_Toc164862495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11</w:t>
        </w:r>
        <w:r w:rsidRPr="00142A7E">
          <w:rPr>
            <w:rFonts w:ascii="Times New Roman" w:hAnsi="Times New Roman" w:cs="Times New Roman"/>
            <w:noProof/>
            <w:webHidden/>
          </w:rPr>
          <w:fldChar w:fldCharType="end"/>
        </w:r>
      </w:hyperlink>
    </w:p>
    <w:p w14:paraId="26A3AACF" w14:textId="5A44E2EA"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496" w:history="1">
        <w:r w:rsidRPr="00142A7E">
          <w:rPr>
            <w:rStyle w:val="Hyperlink"/>
            <w:rFonts w:ascii="Times New Roman" w:hAnsi="Times New Roman" w:cs="Times New Roman"/>
            <w:noProof/>
          </w:rPr>
          <w:t>1.3.1 INVESTMENT RATE</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_Toc164862496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w:t>
        </w:r>
        <w:r w:rsidRPr="00142A7E">
          <w:rPr>
            <w:rFonts w:ascii="Times New Roman" w:hAnsi="Times New Roman" w:cs="Times New Roman"/>
            <w:noProof/>
            <w:webHidden/>
          </w:rPr>
          <w:fldChar w:fldCharType="end"/>
        </w:r>
      </w:hyperlink>
    </w:p>
    <w:p w14:paraId="6FDC9C8A" w14:textId="2A5FB1FE"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497" w:history="1">
        <w:r w:rsidRPr="00142A7E">
          <w:rPr>
            <w:rStyle w:val="Hyperlink"/>
            <w:rFonts w:ascii="Times New Roman" w:hAnsi="Times New Roman" w:cs="Times New Roman"/>
            <w:noProof/>
          </w:rPr>
          <w:t>1.3.2 DISCUSSION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_Toc164862497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22</w:t>
        </w:r>
        <w:r w:rsidRPr="00142A7E">
          <w:rPr>
            <w:rFonts w:ascii="Times New Roman" w:hAnsi="Times New Roman" w:cs="Times New Roman"/>
            <w:noProof/>
            <w:webHidden/>
          </w:rPr>
          <w:fldChar w:fldCharType="end"/>
        </w:r>
      </w:hyperlink>
    </w:p>
    <w:p w14:paraId="7D6E5610" w14:textId="2B9BFF40"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498" w:history="1">
        <w:r w:rsidRPr="00142A7E">
          <w:rPr>
            <w:rStyle w:val="Hyperlink"/>
            <w:rFonts w:ascii="Times New Roman" w:hAnsi="Times New Roman" w:cs="Times New Roman"/>
            <w:noProof/>
          </w:rPr>
          <w:t>1.4 EMPIRICS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_Toc164862498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24</w:t>
        </w:r>
        <w:r w:rsidRPr="00142A7E">
          <w:rPr>
            <w:rFonts w:ascii="Times New Roman" w:hAnsi="Times New Roman" w:cs="Times New Roman"/>
            <w:noProof/>
            <w:webHidden/>
          </w:rPr>
          <w:fldChar w:fldCharType="end"/>
        </w:r>
      </w:hyperlink>
    </w:p>
    <w:p w14:paraId="0CE88E70" w14:textId="360554E7"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499" w:history="1">
        <w:r w:rsidRPr="00142A7E">
          <w:rPr>
            <w:rStyle w:val="Hyperlink"/>
            <w:rFonts w:ascii="Times New Roman" w:hAnsi="Times New Roman" w:cs="Times New Roman"/>
            <w:noProof/>
          </w:rPr>
          <w:t>1.4.1 ELECTRIC UTILITY POLICY UNCERTAINTY</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_Toc164862499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25</w:t>
        </w:r>
        <w:r w:rsidRPr="00142A7E">
          <w:rPr>
            <w:rFonts w:ascii="Times New Roman" w:hAnsi="Times New Roman" w:cs="Times New Roman"/>
            <w:noProof/>
            <w:webHidden/>
          </w:rPr>
          <w:fldChar w:fldCharType="end"/>
        </w:r>
      </w:hyperlink>
    </w:p>
    <w:p w14:paraId="50AD2472" w14:textId="0DE3E1E3"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00" w:history="1">
        <w:r w:rsidRPr="00142A7E">
          <w:rPr>
            <w:rStyle w:val="Hyperlink"/>
            <w:rFonts w:ascii="Times New Roman" w:hAnsi="Times New Roman" w:cs="Times New Roman"/>
            <w:noProof/>
          </w:rPr>
          <w:t>1.4.2 DATA AND MODEL</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32</w:t>
        </w:r>
        <w:r w:rsidRPr="00142A7E">
          <w:rPr>
            <w:rFonts w:ascii="Times New Roman" w:hAnsi="Times New Roman" w:cs="Times New Roman"/>
            <w:noProof/>
            <w:webHidden/>
          </w:rPr>
          <w:fldChar w:fldCharType="end"/>
        </w:r>
      </w:hyperlink>
    </w:p>
    <w:p w14:paraId="1D5C0760" w14:textId="493D5C92"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01" w:history="1">
        <w:r w:rsidRPr="00142A7E">
          <w:rPr>
            <w:rStyle w:val="Hyperlink"/>
            <w:rFonts w:ascii="Times New Roman" w:hAnsi="Times New Roman" w:cs="Times New Roman"/>
            <w:noProof/>
          </w:rPr>
          <w:t>1.4.3 RESULTS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34</w:t>
        </w:r>
        <w:r w:rsidRPr="00142A7E">
          <w:rPr>
            <w:rFonts w:ascii="Times New Roman" w:hAnsi="Times New Roman" w:cs="Times New Roman"/>
            <w:noProof/>
            <w:webHidden/>
          </w:rPr>
          <w:fldChar w:fldCharType="end"/>
        </w:r>
      </w:hyperlink>
    </w:p>
    <w:p w14:paraId="6E93BF2B" w14:textId="0803BC2A"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02" w:history="1">
        <w:r w:rsidRPr="00142A7E">
          <w:rPr>
            <w:rStyle w:val="Hyperlink"/>
            <w:rFonts w:ascii="Times New Roman" w:hAnsi="Times New Roman" w:cs="Times New Roman"/>
            <w:noProof/>
          </w:rPr>
          <w:t>1.5 CONCLUSION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38</w:t>
        </w:r>
        <w:r w:rsidRPr="00142A7E">
          <w:rPr>
            <w:rFonts w:ascii="Times New Roman" w:hAnsi="Times New Roman" w:cs="Times New Roman"/>
            <w:noProof/>
            <w:webHidden/>
          </w:rPr>
          <w:fldChar w:fldCharType="end"/>
        </w:r>
      </w:hyperlink>
    </w:p>
    <w:p w14:paraId="3519D7E5" w14:textId="4166A390"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03" w:history="1">
        <w:r w:rsidRPr="00142A7E">
          <w:rPr>
            <w:rStyle w:val="Hyperlink"/>
            <w:rFonts w:ascii="Times New Roman" w:hAnsi="Times New Roman" w:cs="Times New Roman"/>
            <w:noProof/>
          </w:rPr>
          <w:t>REFERENCES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42</w:t>
        </w:r>
        <w:r w:rsidRPr="00142A7E">
          <w:rPr>
            <w:rFonts w:ascii="Times New Roman" w:hAnsi="Times New Roman" w:cs="Times New Roman"/>
            <w:noProof/>
            <w:webHidden/>
          </w:rPr>
          <w:fldChar w:fldCharType="end"/>
        </w:r>
      </w:hyperlink>
    </w:p>
    <w:p w14:paraId="3B7C4F06" w14:textId="77E2F7D7"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04" w:history="1">
        <w:r w:rsidRPr="00142A7E">
          <w:rPr>
            <w:rStyle w:val="Hyperlink"/>
            <w:rFonts w:ascii="Times New Roman" w:hAnsi="Times New Roman" w:cs="Times New Roman"/>
            <w:noProof/>
          </w:rPr>
          <w:t>APPENDIX</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47</w:t>
        </w:r>
        <w:r w:rsidRPr="00142A7E">
          <w:rPr>
            <w:rFonts w:ascii="Times New Roman" w:hAnsi="Times New Roman" w:cs="Times New Roman"/>
            <w:noProof/>
            <w:webHidden/>
          </w:rPr>
          <w:fldChar w:fldCharType="end"/>
        </w:r>
      </w:hyperlink>
    </w:p>
    <w:p w14:paraId="2AF06310" w14:textId="4D14894D"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05" w:history="1">
        <w:r w:rsidRPr="00142A7E">
          <w:rPr>
            <w:rStyle w:val="Hyperlink"/>
            <w:rFonts w:ascii="Times New Roman" w:hAnsi="Times New Roman" w:cs="Times New Roman"/>
            <w:noProof/>
          </w:rPr>
          <w:t>THEORETICAL MODEL DERIVATION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55</w:t>
        </w:r>
        <w:r w:rsidRPr="00142A7E">
          <w:rPr>
            <w:rFonts w:ascii="Times New Roman" w:hAnsi="Times New Roman" w:cs="Times New Roman"/>
            <w:noProof/>
            <w:webHidden/>
          </w:rPr>
          <w:fldChar w:fldCharType="end"/>
        </w:r>
      </w:hyperlink>
    </w:p>
    <w:p w14:paraId="63151408" w14:textId="67C00E89" w:rsidR="00142A7E" w:rsidRPr="00142A7E" w:rsidRDefault="00142A7E">
      <w:pPr>
        <w:pStyle w:val="TOC1"/>
        <w:tabs>
          <w:tab w:val="right" w:leader="dot" w:pos="8630"/>
        </w:tabs>
        <w:rPr>
          <w:rFonts w:ascii="Times New Roman" w:eastAsiaTheme="minorEastAsia" w:hAnsi="Times New Roman" w:cs="Times New Roman"/>
          <w:noProof/>
          <w:kern w:val="2"/>
          <w14:ligatures w14:val="standardContextual"/>
        </w:rPr>
      </w:pPr>
      <w:hyperlink w:anchor="_Toc164862506" w:history="1">
        <w:r w:rsidRPr="00142A7E">
          <w:rPr>
            <w:rStyle w:val="Hyperlink"/>
            <w:rFonts w:ascii="Times New Roman" w:hAnsi="Times New Roman" w:cs="Times New Roman"/>
            <w:noProof/>
          </w:rPr>
          <w:t>CHAPTER II REAL OPTIONS AND LOW-PROBABILITY HIGH-SEVERITY EVENTS: EXPERIMENTAL EVIDENCE</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62</w:t>
        </w:r>
        <w:r w:rsidRPr="00142A7E">
          <w:rPr>
            <w:rFonts w:ascii="Times New Roman" w:hAnsi="Times New Roman" w:cs="Times New Roman"/>
            <w:noProof/>
            <w:webHidden/>
          </w:rPr>
          <w:fldChar w:fldCharType="end"/>
        </w:r>
      </w:hyperlink>
    </w:p>
    <w:p w14:paraId="3AAE7217" w14:textId="544CA6EF"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07" w:history="1">
        <w:r w:rsidRPr="00142A7E">
          <w:rPr>
            <w:rStyle w:val="Hyperlink"/>
            <w:rFonts w:ascii="Times New Roman" w:hAnsi="Times New Roman" w:cs="Times New Roman"/>
            <w:iCs/>
            <w:noProof/>
          </w:rPr>
          <w:t>ABSTRACT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63</w:t>
        </w:r>
        <w:r w:rsidRPr="00142A7E">
          <w:rPr>
            <w:rFonts w:ascii="Times New Roman" w:hAnsi="Times New Roman" w:cs="Times New Roman"/>
            <w:noProof/>
            <w:webHidden/>
          </w:rPr>
          <w:fldChar w:fldCharType="end"/>
        </w:r>
      </w:hyperlink>
    </w:p>
    <w:p w14:paraId="515BA782" w14:textId="0787EE1E"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08" w:history="1">
        <w:r w:rsidRPr="00142A7E">
          <w:rPr>
            <w:rStyle w:val="Hyperlink"/>
            <w:rFonts w:ascii="Times New Roman" w:hAnsi="Times New Roman" w:cs="Times New Roman"/>
            <w:iCs/>
            <w:noProof/>
          </w:rPr>
          <w:t>2.1 INTRODUCTION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64</w:t>
        </w:r>
        <w:r w:rsidRPr="00142A7E">
          <w:rPr>
            <w:rFonts w:ascii="Times New Roman" w:hAnsi="Times New Roman" w:cs="Times New Roman"/>
            <w:noProof/>
            <w:webHidden/>
          </w:rPr>
          <w:fldChar w:fldCharType="end"/>
        </w:r>
      </w:hyperlink>
    </w:p>
    <w:p w14:paraId="4436072F" w14:textId="1C4A7408"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09" w:history="1">
        <w:r w:rsidRPr="00142A7E">
          <w:rPr>
            <w:rStyle w:val="Hyperlink"/>
            <w:rFonts w:ascii="Times New Roman" w:hAnsi="Times New Roman" w:cs="Times New Roman"/>
            <w:iCs/>
            <w:noProof/>
          </w:rPr>
          <w:t>2.2 THEORETICAL FRAMEWORK</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_Toc164862509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67</w:t>
        </w:r>
        <w:r w:rsidRPr="00142A7E">
          <w:rPr>
            <w:rFonts w:ascii="Times New Roman" w:hAnsi="Times New Roman" w:cs="Times New Roman"/>
            <w:noProof/>
            <w:webHidden/>
          </w:rPr>
          <w:fldChar w:fldCharType="end"/>
        </w:r>
      </w:hyperlink>
    </w:p>
    <w:p w14:paraId="67BE718F" w14:textId="0EF8DBC5"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10" w:history="1">
        <w:r w:rsidRPr="00142A7E">
          <w:rPr>
            <w:rStyle w:val="Hyperlink"/>
            <w:rFonts w:ascii="Times New Roman" w:hAnsi="Times New Roman" w:cs="Times New Roman"/>
            <w:noProof/>
          </w:rPr>
          <w:t>2.2.1 PROBABILITY WEIGHTING</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72</w:t>
        </w:r>
        <w:r w:rsidRPr="00142A7E">
          <w:rPr>
            <w:rFonts w:ascii="Times New Roman" w:hAnsi="Times New Roman" w:cs="Times New Roman"/>
            <w:noProof/>
            <w:webHidden/>
          </w:rPr>
          <w:fldChar w:fldCharType="end"/>
        </w:r>
      </w:hyperlink>
    </w:p>
    <w:p w14:paraId="101772D6" w14:textId="6A71C4AC"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11" w:history="1">
        <w:r w:rsidRPr="00142A7E">
          <w:rPr>
            <w:rStyle w:val="Hyperlink"/>
            <w:rFonts w:ascii="Times New Roman" w:hAnsi="Times New Roman" w:cs="Times New Roman"/>
            <w:noProof/>
          </w:rPr>
          <w:t>2.2.2 RISK AVERSION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73</w:t>
        </w:r>
        <w:r w:rsidRPr="00142A7E">
          <w:rPr>
            <w:rFonts w:ascii="Times New Roman" w:hAnsi="Times New Roman" w:cs="Times New Roman"/>
            <w:noProof/>
            <w:webHidden/>
          </w:rPr>
          <w:fldChar w:fldCharType="end"/>
        </w:r>
      </w:hyperlink>
    </w:p>
    <w:p w14:paraId="6E9D4731" w14:textId="0F067C39"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12" w:history="1">
        <w:r w:rsidRPr="00142A7E">
          <w:rPr>
            <w:rStyle w:val="Hyperlink"/>
            <w:rFonts w:ascii="Times New Roman" w:hAnsi="Times New Roman" w:cs="Times New Roman"/>
            <w:iCs/>
            <w:noProof/>
          </w:rPr>
          <w:t>2.3 EXPERIMENTAL DESIGN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78</w:t>
        </w:r>
        <w:r w:rsidRPr="00142A7E">
          <w:rPr>
            <w:rFonts w:ascii="Times New Roman" w:hAnsi="Times New Roman" w:cs="Times New Roman"/>
            <w:noProof/>
            <w:webHidden/>
          </w:rPr>
          <w:fldChar w:fldCharType="end"/>
        </w:r>
      </w:hyperlink>
    </w:p>
    <w:p w14:paraId="22C11FA2" w14:textId="149FD1E2"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13" w:history="1">
        <w:r w:rsidRPr="00142A7E">
          <w:rPr>
            <w:rStyle w:val="Hyperlink"/>
            <w:rFonts w:ascii="Times New Roman" w:hAnsi="Times New Roman" w:cs="Times New Roman"/>
            <w:noProof/>
          </w:rPr>
          <w:t>2.3.1 HYPOTHESIS TESTS AND POWER ANALYSIS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82</w:t>
        </w:r>
        <w:r w:rsidRPr="00142A7E">
          <w:rPr>
            <w:rFonts w:ascii="Times New Roman" w:hAnsi="Times New Roman" w:cs="Times New Roman"/>
            <w:noProof/>
            <w:webHidden/>
          </w:rPr>
          <w:fldChar w:fldCharType="end"/>
        </w:r>
      </w:hyperlink>
    </w:p>
    <w:p w14:paraId="65E75501" w14:textId="333278E4"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14" w:history="1">
        <w:r w:rsidRPr="00142A7E">
          <w:rPr>
            <w:rStyle w:val="Hyperlink"/>
            <w:rFonts w:ascii="Times New Roman" w:hAnsi="Times New Roman" w:cs="Times New Roman"/>
            <w:noProof/>
          </w:rPr>
          <w:t>2.3.2 EXPERIMENTAL PROCEDURES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86</w:t>
        </w:r>
        <w:r w:rsidRPr="00142A7E">
          <w:rPr>
            <w:rFonts w:ascii="Times New Roman" w:hAnsi="Times New Roman" w:cs="Times New Roman"/>
            <w:noProof/>
            <w:webHidden/>
          </w:rPr>
          <w:fldChar w:fldCharType="end"/>
        </w:r>
      </w:hyperlink>
    </w:p>
    <w:p w14:paraId="76B4E851" w14:textId="5ED48672"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15" w:history="1">
        <w:r w:rsidRPr="00142A7E">
          <w:rPr>
            <w:rStyle w:val="Hyperlink"/>
            <w:rFonts w:ascii="Times New Roman" w:hAnsi="Times New Roman" w:cs="Times New Roman"/>
            <w:iCs/>
            <w:noProof/>
          </w:rPr>
          <w:t>2.4 ANALYSIS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90</w:t>
        </w:r>
        <w:r w:rsidRPr="00142A7E">
          <w:rPr>
            <w:rFonts w:ascii="Times New Roman" w:hAnsi="Times New Roman" w:cs="Times New Roman"/>
            <w:noProof/>
            <w:webHidden/>
          </w:rPr>
          <w:fldChar w:fldCharType="end"/>
        </w:r>
      </w:hyperlink>
    </w:p>
    <w:p w14:paraId="15416D48" w14:textId="5328E3A1"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16" w:history="1">
        <w:r w:rsidRPr="00142A7E">
          <w:rPr>
            <w:rStyle w:val="Hyperlink"/>
            <w:rFonts w:ascii="Times New Roman" w:hAnsi="Times New Roman" w:cs="Times New Roman"/>
            <w:iCs/>
            <w:noProof/>
          </w:rPr>
          <w:t>2.5 CONCLUSION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98</w:t>
        </w:r>
        <w:r w:rsidRPr="00142A7E">
          <w:rPr>
            <w:rFonts w:ascii="Times New Roman" w:hAnsi="Times New Roman" w:cs="Times New Roman"/>
            <w:noProof/>
            <w:webHidden/>
          </w:rPr>
          <w:fldChar w:fldCharType="end"/>
        </w:r>
      </w:hyperlink>
    </w:p>
    <w:p w14:paraId="0A0A0E65" w14:textId="3621D763"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17" w:history="1">
        <w:r w:rsidRPr="00142A7E">
          <w:rPr>
            <w:rStyle w:val="Hyperlink"/>
            <w:rFonts w:ascii="Times New Roman" w:hAnsi="Times New Roman" w:cs="Times New Roman"/>
            <w:iCs/>
            <w:noProof/>
          </w:rPr>
          <w:t>REFERENCES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101</w:t>
        </w:r>
        <w:r w:rsidRPr="00142A7E">
          <w:rPr>
            <w:rFonts w:ascii="Times New Roman" w:hAnsi="Times New Roman" w:cs="Times New Roman"/>
            <w:noProof/>
            <w:webHidden/>
          </w:rPr>
          <w:fldChar w:fldCharType="end"/>
        </w:r>
      </w:hyperlink>
    </w:p>
    <w:p w14:paraId="3ED6E4C0" w14:textId="7BC7E34C"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18" w:history="1">
        <w:r w:rsidRPr="00142A7E">
          <w:rPr>
            <w:rStyle w:val="Hyperlink"/>
            <w:rFonts w:ascii="Times New Roman" w:hAnsi="Times New Roman" w:cs="Times New Roman"/>
            <w:iCs/>
            <w:noProof/>
          </w:rPr>
          <w:t>APPENDIX</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104</w:t>
        </w:r>
        <w:r w:rsidRPr="00142A7E">
          <w:rPr>
            <w:rFonts w:ascii="Times New Roman" w:hAnsi="Times New Roman" w:cs="Times New Roman"/>
            <w:noProof/>
            <w:webHidden/>
          </w:rPr>
          <w:fldChar w:fldCharType="end"/>
        </w:r>
      </w:hyperlink>
    </w:p>
    <w:p w14:paraId="55126C18" w14:textId="320DF655"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19" w:history="1">
        <w:r w:rsidRPr="00142A7E">
          <w:rPr>
            <w:rStyle w:val="Hyperlink"/>
            <w:rFonts w:ascii="Times New Roman" w:hAnsi="Times New Roman" w:cs="Times New Roman"/>
            <w:noProof/>
          </w:rPr>
          <w:t>APPENDIX: THEORETICAL EQUIVALENCE</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_Toc164862519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112</w:t>
        </w:r>
        <w:r w:rsidRPr="00142A7E">
          <w:rPr>
            <w:rFonts w:ascii="Times New Roman" w:hAnsi="Times New Roman" w:cs="Times New Roman"/>
            <w:noProof/>
            <w:webHidden/>
          </w:rPr>
          <w:fldChar w:fldCharType="end"/>
        </w:r>
      </w:hyperlink>
    </w:p>
    <w:p w14:paraId="3EC9C676" w14:textId="2F8519B5"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20" w:history="1">
        <w:r w:rsidRPr="00142A7E">
          <w:rPr>
            <w:rStyle w:val="Hyperlink"/>
            <w:rFonts w:ascii="Times New Roman" w:hAnsi="Times New Roman" w:cs="Times New Roman"/>
            <w:noProof/>
          </w:rPr>
          <w:t>APPENDIX: EXPERIMENTAL INSTRUCTIONS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115</w:t>
        </w:r>
        <w:r w:rsidRPr="00142A7E">
          <w:rPr>
            <w:rFonts w:ascii="Times New Roman" w:hAnsi="Times New Roman" w:cs="Times New Roman"/>
            <w:noProof/>
            <w:webHidden/>
          </w:rPr>
          <w:fldChar w:fldCharType="end"/>
        </w:r>
      </w:hyperlink>
    </w:p>
    <w:p w14:paraId="5DCF6C5D" w14:textId="3ACB470B" w:rsidR="00142A7E" w:rsidRPr="00142A7E" w:rsidRDefault="00142A7E">
      <w:pPr>
        <w:pStyle w:val="TOC1"/>
        <w:tabs>
          <w:tab w:val="right" w:leader="dot" w:pos="8630"/>
        </w:tabs>
        <w:rPr>
          <w:rFonts w:ascii="Times New Roman" w:eastAsiaTheme="minorEastAsia" w:hAnsi="Times New Roman" w:cs="Times New Roman"/>
          <w:noProof/>
          <w:kern w:val="2"/>
          <w14:ligatures w14:val="standardContextual"/>
        </w:rPr>
      </w:pPr>
      <w:hyperlink w:anchor="_Toc164862521" w:history="1">
        <w:r w:rsidRPr="00142A7E">
          <w:rPr>
            <w:rStyle w:val="Hyperlink"/>
            <w:rFonts w:ascii="Times New Roman" w:hAnsi="Times New Roman" w:cs="Times New Roman"/>
            <w:noProof/>
          </w:rPr>
          <w:t>CHAPTER III POWER PLANT RESPONSE TO TRANSBOUNDARY AIR POLLUTION REGULATION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119</w:t>
        </w:r>
        <w:r w:rsidRPr="00142A7E">
          <w:rPr>
            <w:rFonts w:ascii="Times New Roman" w:hAnsi="Times New Roman" w:cs="Times New Roman"/>
            <w:noProof/>
            <w:webHidden/>
          </w:rPr>
          <w:fldChar w:fldCharType="end"/>
        </w:r>
      </w:hyperlink>
    </w:p>
    <w:p w14:paraId="797D2145" w14:textId="5FBD37FC"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22" w:history="1">
        <w:r w:rsidRPr="00142A7E">
          <w:rPr>
            <w:rStyle w:val="Hyperlink"/>
            <w:rFonts w:ascii="Times New Roman" w:hAnsi="Times New Roman" w:cs="Times New Roman"/>
            <w:noProof/>
          </w:rPr>
          <w:t>ABSTRACT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120</w:t>
        </w:r>
        <w:r w:rsidRPr="00142A7E">
          <w:rPr>
            <w:rFonts w:ascii="Times New Roman" w:hAnsi="Times New Roman" w:cs="Times New Roman"/>
            <w:noProof/>
            <w:webHidden/>
          </w:rPr>
          <w:fldChar w:fldCharType="end"/>
        </w:r>
      </w:hyperlink>
    </w:p>
    <w:p w14:paraId="50724D13" w14:textId="0C87541D"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23" w:history="1">
        <w:r w:rsidRPr="00142A7E">
          <w:rPr>
            <w:rStyle w:val="Hyperlink"/>
            <w:rFonts w:ascii="Times New Roman" w:hAnsi="Times New Roman" w:cs="Times New Roman"/>
            <w:noProof/>
          </w:rPr>
          <w:t>3.1 INTRODUCTION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121</w:t>
        </w:r>
        <w:r w:rsidRPr="00142A7E">
          <w:rPr>
            <w:rFonts w:ascii="Times New Roman" w:hAnsi="Times New Roman" w:cs="Times New Roman"/>
            <w:noProof/>
            <w:webHidden/>
          </w:rPr>
          <w:fldChar w:fldCharType="end"/>
        </w:r>
      </w:hyperlink>
    </w:p>
    <w:p w14:paraId="4C03B93A" w14:textId="1F0DD51D"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24" w:history="1">
        <w:r w:rsidRPr="00142A7E">
          <w:rPr>
            <w:rStyle w:val="Hyperlink"/>
            <w:rFonts w:ascii="Times New Roman" w:hAnsi="Times New Roman" w:cs="Times New Roman"/>
            <w:noProof/>
          </w:rPr>
          <w:t>3.2 BACKGROUND</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125</w:t>
        </w:r>
        <w:r w:rsidRPr="00142A7E">
          <w:rPr>
            <w:rFonts w:ascii="Times New Roman" w:hAnsi="Times New Roman" w:cs="Times New Roman"/>
            <w:noProof/>
            <w:webHidden/>
          </w:rPr>
          <w:fldChar w:fldCharType="end"/>
        </w:r>
      </w:hyperlink>
    </w:p>
    <w:p w14:paraId="45E5D26B" w14:textId="2B2B90A7"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25" w:history="1">
        <w:r w:rsidRPr="00142A7E">
          <w:rPr>
            <w:rStyle w:val="Hyperlink"/>
            <w:rFonts w:ascii="Times New Roman" w:hAnsi="Times New Roman" w:cs="Times New Roman"/>
            <w:noProof/>
          </w:rPr>
          <w:t>3.3 ESTIMATION STRATEGY</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130</w:t>
        </w:r>
        <w:r w:rsidRPr="00142A7E">
          <w:rPr>
            <w:rFonts w:ascii="Times New Roman" w:hAnsi="Times New Roman" w:cs="Times New Roman"/>
            <w:noProof/>
            <w:webHidden/>
          </w:rPr>
          <w:fldChar w:fldCharType="end"/>
        </w:r>
      </w:hyperlink>
    </w:p>
    <w:p w14:paraId="1CC61F60" w14:textId="34DBD4D1"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26" w:history="1">
        <w:r w:rsidRPr="00142A7E">
          <w:rPr>
            <w:rStyle w:val="Hyperlink"/>
            <w:rFonts w:ascii="Times New Roman" w:hAnsi="Times New Roman" w:cs="Times New Roman"/>
            <w:noProof/>
          </w:rPr>
          <w:t>3.4 DATA AND DESCRIPTIVE STATISTICS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136</w:t>
        </w:r>
        <w:r w:rsidRPr="00142A7E">
          <w:rPr>
            <w:rFonts w:ascii="Times New Roman" w:hAnsi="Times New Roman" w:cs="Times New Roman"/>
            <w:noProof/>
            <w:webHidden/>
          </w:rPr>
          <w:fldChar w:fldCharType="end"/>
        </w:r>
      </w:hyperlink>
    </w:p>
    <w:p w14:paraId="77AE6ACE" w14:textId="7A26842A"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27" w:history="1">
        <w:r w:rsidRPr="00142A7E">
          <w:rPr>
            <w:rStyle w:val="Hyperlink"/>
            <w:rFonts w:ascii="Times New Roman" w:hAnsi="Times New Roman" w:cs="Times New Roman"/>
            <w:noProof/>
          </w:rPr>
          <w:t>3.5 RESULTS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139</w:t>
        </w:r>
        <w:r w:rsidRPr="00142A7E">
          <w:rPr>
            <w:rFonts w:ascii="Times New Roman" w:hAnsi="Times New Roman" w:cs="Times New Roman"/>
            <w:noProof/>
            <w:webHidden/>
          </w:rPr>
          <w:fldChar w:fldCharType="end"/>
        </w:r>
      </w:hyperlink>
    </w:p>
    <w:p w14:paraId="7944653B" w14:textId="0E285107"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28" w:history="1">
        <w:r w:rsidRPr="00142A7E">
          <w:rPr>
            <w:rStyle w:val="Hyperlink"/>
            <w:rFonts w:ascii="Times New Roman" w:hAnsi="Times New Roman" w:cs="Times New Roman"/>
            <w:noProof/>
          </w:rPr>
          <w:t>3.5.1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REGULATION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141</w:t>
        </w:r>
        <w:r w:rsidRPr="00142A7E">
          <w:rPr>
            <w:rFonts w:ascii="Times New Roman" w:hAnsi="Times New Roman" w:cs="Times New Roman"/>
            <w:noProof/>
            <w:webHidden/>
          </w:rPr>
          <w:fldChar w:fldCharType="end"/>
        </w:r>
      </w:hyperlink>
    </w:p>
    <w:p w14:paraId="4FEC8723" w14:textId="5CD9CC46"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29" w:history="1">
        <w:r w:rsidRPr="00142A7E">
          <w:rPr>
            <w:rStyle w:val="Hyperlink"/>
            <w:rFonts w:ascii="Times New Roman" w:hAnsi="Times New Roman" w:cs="Times New Roman"/>
            <w:noProof/>
          </w:rPr>
          <w:t>3.5.2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REGULATION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_Toc164862529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144</w:t>
        </w:r>
        <w:r w:rsidRPr="00142A7E">
          <w:rPr>
            <w:rFonts w:ascii="Times New Roman" w:hAnsi="Times New Roman" w:cs="Times New Roman"/>
            <w:noProof/>
            <w:webHidden/>
          </w:rPr>
          <w:fldChar w:fldCharType="end"/>
        </w:r>
      </w:hyperlink>
    </w:p>
    <w:p w14:paraId="4009298C" w14:textId="458A255C"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30" w:history="1">
        <w:r w:rsidRPr="00142A7E">
          <w:rPr>
            <w:rStyle w:val="Hyperlink"/>
            <w:rFonts w:ascii="Times New Roman" w:hAnsi="Times New Roman" w:cs="Times New Roman"/>
            <w:noProof/>
          </w:rPr>
          <w:t>3.5.3 CAIR AND CSAPR</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146</w:t>
        </w:r>
        <w:r w:rsidRPr="00142A7E">
          <w:rPr>
            <w:rFonts w:ascii="Times New Roman" w:hAnsi="Times New Roman" w:cs="Times New Roman"/>
            <w:noProof/>
            <w:webHidden/>
          </w:rPr>
          <w:fldChar w:fldCharType="end"/>
        </w:r>
      </w:hyperlink>
    </w:p>
    <w:p w14:paraId="3A8BC5EA" w14:textId="17FA36ED" w:rsidR="00142A7E" w:rsidRPr="00142A7E" w:rsidRDefault="00142A7E">
      <w:pPr>
        <w:pStyle w:val="TOC3"/>
        <w:tabs>
          <w:tab w:val="right" w:leader="dot" w:pos="8630"/>
        </w:tabs>
        <w:rPr>
          <w:rFonts w:ascii="Times New Roman" w:eastAsiaTheme="minorEastAsia" w:hAnsi="Times New Roman" w:cs="Times New Roman"/>
          <w:noProof/>
          <w:kern w:val="2"/>
          <w14:ligatures w14:val="standardContextual"/>
        </w:rPr>
      </w:pPr>
      <w:hyperlink w:anchor="_Toc164862531" w:history="1">
        <w:r w:rsidRPr="00142A7E">
          <w:rPr>
            <w:rStyle w:val="Hyperlink"/>
            <w:rFonts w:ascii="Times New Roman" w:hAnsi="Times New Roman" w:cs="Times New Roman"/>
            <w:noProof/>
          </w:rPr>
          <w:t>3.5.4 ROBUSTNESS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148</w:t>
        </w:r>
        <w:r w:rsidRPr="00142A7E">
          <w:rPr>
            <w:rFonts w:ascii="Times New Roman" w:hAnsi="Times New Roman" w:cs="Times New Roman"/>
            <w:noProof/>
            <w:webHidden/>
          </w:rPr>
          <w:fldChar w:fldCharType="end"/>
        </w:r>
      </w:hyperlink>
    </w:p>
    <w:p w14:paraId="1F34649F" w14:textId="528A5381"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32" w:history="1">
        <w:r w:rsidRPr="00142A7E">
          <w:rPr>
            <w:rStyle w:val="Hyperlink"/>
            <w:rFonts w:ascii="Times New Roman" w:hAnsi="Times New Roman" w:cs="Times New Roman"/>
            <w:noProof/>
          </w:rPr>
          <w:t>3.6 CONCLUSION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149</w:t>
        </w:r>
        <w:r w:rsidRPr="00142A7E">
          <w:rPr>
            <w:rFonts w:ascii="Times New Roman" w:hAnsi="Times New Roman" w:cs="Times New Roman"/>
            <w:noProof/>
            <w:webHidden/>
          </w:rPr>
          <w:fldChar w:fldCharType="end"/>
        </w:r>
      </w:hyperlink>
    </w:p>
    <w:p w14:paraId="3804ED98" w14:textId="62D51395"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33" w:history="1">
        <w:r w:rsidRPr="00142A7E">
          <w:rPr>
            <w:rStyle w:val="Hyperlink"/>
            <w:rFonts w:ascii="Times New Roman" w:hAnsi="Times New Roman" w:cs="Times New Roman"/>
            <w:noProof/>
          </w:rPr>
          <w:t>REFERENCES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151</w:t>
        </w:r>
        <w:r w:rsidRPr="00142A7E">
          <w:rPr>
            <w:rFonts w:ascii="Times New Roman" w:hAnsi="Times New Roman" w:cs="Times New Roman"/>
            <w:noProof/>
            <w:webHidden/>
          </w:rPr>
          <w:fldChar w:fldCharType="end"/>
        </w:r>
      </w:hyperlink>
    </w:p>
    <w:p w14:paraId="301BC526" w14:textId="3705F070" w:rsidR="00142A7E" w:rsidRPr="00142A7E" w:rsidRDefault="00142A7E">
      <w:pPr>
        <w:pStyle w:val="TOC2"/>
        <w:tabs>
          <w:tab w:val="right" w:leader="dot" w:pos="8630"/>
        </w:tabs>
        <w:rPr>
          <w:rFonts w:ascii="Times New Roman" w:eastAsiaTheme="minorEastAsia" w:hAnsi="Times New Roman" w:cs="Times New Roman"/>
          <w:noProof/>
          <w:kern w:val="2"/>
          <w14:ligatures w14:val="standardContextual"/>
        </w:rPr>
      </w:pPr>
      <w:hyperlink w:anchor="_Toc164862534" w:history="1">
        <w:r w:rsidRPr="00142A7E">
          <w:rPr>
            <w:rStyle w:val="Hyperlink"/>
            <w:rFonts w:ascii="Times New Roman" w:hAnsi="Times New Roman" w:cs="Times New Roman"/>
            <w:noProof/>
          </w:rPr>
          <w:t>APPENDIX</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154</w:t>
        </w:r>
        <w:r w:rsidRPr="00142A7E">
          <w:rPr>
            <w:rFonts w:ascii="Times New Roman" w:hAnsi="Times New Roman" w:cs="Times New Roman"/>
            <w:noProof/>
            <w:webHidden/>
          </w:rPr>
          <w:fldChar w:fldCharType="end"/>
        </w:r>
      </w:hyperlink>
    </w:p>
    <w:p w14:paraId="34670FFB" w14:textId="7B786EF5" w:rsidR="00142A7E" w:rsidRDefault="00142A7E">
      <w:pPr>
        <w:pStyle w:val="TOC1"/>
        <w:tabs>
          <w:tab w:val="right" w:leader="dot" w:pos="8630"/>
        </w:tabs>
        <w:rPr>
          <w:rFonts w:asciiTheme="minorHAnsi" w:eastAsiaTheme="minorEastAsia" w:hAnsiTheme="minorHAnsi" w:cstheme="minorBidi"/>
          <w:noProof/>
          <w:kern w:val="2"/>
          <w14:ligatures w14:val="standardContextual"/>
        </w:rPr>
      </w:pPr>
      <w:hyperlink w:anchor="_Toc164862535" w:history="1">
        <w:r w:rsidRPr="00142A7E">
          <w:rPr>
            <w:rStyle w:val="Hyperlink"/>
            <w:rFonts w:ascii="Times New Roman" w:hAnsi="Times New Roman" w:cs="Times New Roman"/>
            <w:noProof/>
          </w:rPr>
          <w:t>VITA</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196</w:t>
        </w:r>
        <w:r w:rsidRPr="00142A7E">
          <w:rPr>
            <w:rFonts w:ascii="Times New Roman" w:hAnsi="Times New Roman" w:cs="Times New Roman"/>
            <w:noProof/>
            <w:webHidden/>
          </w:rPr>
          <w:fldChar w:fldCharType="end"/>
        </w:r>
      </w:hyperlink>
    </w:p>
    <w:p w14:paraId="4544A0C0" w14:textId="70DCED77" w:rsidR="00387656" w:rsidRPr="007F37A0" w:rsidRDefault="00387656" w:rsidP="00687DD5">
      <w:pPr>
        <w:rPr>
          <w:rFonts w:ascii="Times New Roman" w:hAnsi="Times New Roman" w:cs="Times New Roman"/>
        </w:rPr>
      </w:pPr>
      <w:r w:rsidRPr="007F37A0">
        <w:rPr>
          <w:rFonts w:ascii="Times New Roman" w:hAnsi="Times New Roman" w:cs="Times New Roman"/>
          <w:b/>
          <w:bCs/>
          <w:noProof/>
        </w:rPr>
        <w:fldChar w:fldCharType="end"/>
      </w:r>
    </w:p>
    <w:p w14:paraId="1151B448" w14:textId="77777777" w:rsidR="00431263" w:rsidRPr="007F37A0" w:rsidRDefault="00431263">
      <w:pPr>
        <w:rPr>
          <w:rFonts w:ascii="Times New Roman" w:hAnsi="Times New Roman" w:cs="Times New Roman"/>
          <w:b/>
          <w:sz w:val="28"/>
          <w:szCs w:val="28"/>
          <w:lang w:val="en-CA"/>
        </w:rPr>
      </w:pPr>
      <w:r w:rsidRPr="007F37A0">
        <w:rPr>
          <w:rFonts w:ascii="Times New Roman" w:hAnsi="Times New Roman" w:cs="Times New Roman"/>
          <w:szCs w:val="28"/>
        </w:rPr>
        <w:br w:type="page"/>
      </w:r>
    </w:p>
    <w:p w14:paraId="74D7C5A8" w14:textId="6F86615A" w:rsidR="00387656" w:rsidRPr="007F37A0" w:rsidRDefault="00387656" w:rsidP="00387656">
      <w:pPr>
        <w:pStyle w:val="Title"/>
        <w:rPr>
          <w:rFonts w:ascii="Times New Roman" w:hAnsi="Times New Roman" w:cs="Times New Roman"/>
          <w:szCs w:val="28"/>
        </w:rPr>
      </w:pPr>
      <w:r w:rsidRPr="007F37A0">
        <w:rPr>
          <w:rFonts w:ascii="Times New Roman" w:hAnsi="Times New Roman" w:cs="Times New Roman"/>
          <w:szCs w:val="28"/>
        </w:rPr>
        <w:lastRenderedPageBreak/>
        <w:t>LIST OF TABLES</w:t>
      </w:r>
    </w:p>
    <w:p w14:paraId="14C6AB0E" w14:textId="77777777" w:rsidR="00387656" w:rsidRPr="007F37A0" w:rsidRDefault="00387656" w:rsidP="00387656">
      <w:pPr>
        <w:pStyle w:val="Title"/>
        <w:rPr>
          <w:rFonts w:ascii="Times New Roman" w:hAnsi="Times New Roman" w:cs="Times New Roman"/>
          <w:sz w:val="24"/>
        </w:rPr>
      </w:pPr>
    </w:p>
    <w:p w14:paraId="1BCB86F9" w14:textId="3C3FB6D1" w:rsidR="00142A7E" w:rsidRPr="00142A7E" w:rsidRDefault="00387656">
      <w:pPr>
        <w:pStyle w:val="TableofFigures"/>
        <w:tabs>
          <w:tab w:val="right" w:leader="dot" w:pos="8630"/>
        </w:tabs>
        <w:rPr>
          <w:rFonts w:ascii="Times New Roman" w:eastAsiaTheme="minorEastAsia" w:hAnsi="Times New Roman" w:cs="Times New Roman"/>
          <w:noProof/>
          <w:kern w:val="2"/>
          <w14:ligatures w14:val="standardContextual"/>
        </w:rPr>
      </w:pPr>
      <w:r w:rsidRPr="00142A7E">
        <w:rPr>
          <w:rFonts w:ascii="Times New Roman" w:hAnsi="Times New Roman" w:cs="Times New Roman"/>
        </w:rPr>
        <w:fldChar w:fldCharType="begin"/>
      </w:r>
      <w:r w:rsidRPr="00142A7E">
        <w:rPr>
          <w:rFonts w:ascii="Times New Roman" w:hAnsi="Times New Roman" w:cs="Times New Roman"/>
        </w:rPr>
        <w:instrText xml:space="preserve"> TOC \h \z \c "Table" </w:instrText>
      </w:r>
      <w:r w:rsidRPr="00142A7E">
        <w:rPr>
          <w:rFonts w:ascii="Times New Roman" w:hAnsi="Times New Roman" w:cs="Times New Roman"/>
        </w:rPr>
        <w:fldChar w:fldCharType="separate"/>
      </w:r>
      <w:hyperlink w:anchor="_Toc164862536" w:history="1">
        <w:r w:rsidR="00142A7E" w:rsidRPr="00142A7E">
          <w:rPr>
            <w:rStyle w:val="Hyperlink"/>
            <w:rFonts w:ascii="Times New Roman" w:hAnsi="Times New Roman" w:cs="Times New Roman"/>
            <w:noProof/>
          </w:rPr>
          <w:t>Table 1: Policy Uncertainty Measure Descriptions</w:t>
        </w:r>
        <w:r w:rsidR="00142A7E" w:rsidRPr="00142A7E">
          <w:rPr>
            <w:rFonts w:ascii="Times New Roman" w:hAnsi="Times New Roman" w:cs="Times New Roman"/>
            <w:noProof/>
            <w:webHidden/>
          </w:rPr>
          <w:tab/>
        </w:r>
        <w:r w:rsidR="00142A7E" w:rsidRPr="00142A7E">
          <w:rPr>
            <w:rFonts w:ascii="Times New Roman" w:hAnsi="Times New Roman" w:cs="Times New Roman"/>
            <w:noProof/>
            <w:webHidden/>
          </w:rPr>
          <w:fldChar w:fldCharType="begin"/>
        </w:r>
        <w:r w:rsidR="00142A7E" w:rsidRPr="00142A7E">
          <w:rPr>
            <w:rFonts w:ascii="Times New Roman" w:hAnsi="Times New Roman" w:cs="Times New Roman"/>
            <w:noProof/>
            <w:webHidden/>
          </w:rPr>
          <w:instrText xml:space="preserve"> PAGEREF _Toc164862536 \h </w:instrText>
        </w:r>
        <w:r w:rsidR="00142A7E" w:rsidRPr="00142A7E">
          <w:rPr>
            <w:rFonts w:ascii="Times New Roman" w:hAnsi="Times New Roman" w:cs="Times New Roman"/>
            <w:noProof/>
            <w:webHidden/>
          </w:rPr>
        </w:r>
        <w:r w:rsidR="00142A7E" w:rsidRPr="00142A7E">
          <w:rPr>
            <w:rFonts w:ascii="Times New Roman" w:hAnsi="Times New Roman" w:cs="Times New Roman"/>
            <w:noProof/>
            <w:webHidden/>
          </w:rPr>
          <w:fldChar w:fldCharType="separate"/>
        </w:r>
        <w:r w:rsidR="00142A7E" w:rsidRPr="00142A7E">
          <w:rPr>
            <w:rFonts w:ascii="Times New Roman" w:hAnsi="Times New Roman" w:cs="Times New Roman"/>
            <w:noProof/>
            <w:webHidden/>
          </w:rPr>
          <w:t>47</w:t>
        </w:r>
        <w:r w:rsidR="00142A7E" w:rsidRPr="00142A7E">
          <w:rPr>
            <w:rFonts w:ascii="Times New Roman" w:hAnsi="Times New Roman" w:cs="Times New Roman"/>
            <w:noProof/>
            <w:webHidden/>
          </w:rPr>
          <w:fldChar w:fldCharType="end"/>
        </w:r>
      </w:hyperlink>
    </w:p>
    <w:p w14:paraId="6A05C2F0" w14:textId="460DA9EA"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37" w:history="1">
        <w:r w:rsidRPr="00142A7E">
          <w:rPr>
            <w:rStyle w:val="Hyperlink"/>
            <w:rFonts w:ascii="Times New Roman" w:hAnsi="Times New Roman" w:cs="Times New Roman"/>
            <w:noProof/>
          </w:rPr>
          <w:t>Table 2: Electric Utility Policy Uncertainty Newspaper Article Search Terms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47</w:t>
        </w:r>
        <w:r w:rsidRPr="00142A7E">
          <w:rPr>
            <w:rFonts w:ascii="Times New Roman" w:hAnsi="Times New Roman" w:cs="Times New Roman"/>
            <w:noProof/>
            <w:webHidden/>
          </w:rPr>
          <w:fldChar w:fldCharType="end"/>
        </w:r>
      </w:hyperlink>
    </w:p>
    <w:p w14:paraId="7A147223" w14:textId="1DAB904F"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38" w:history="1">
        <w:r w:rsidRPr="00142A7E">
          <w:rPr>
            <w:rStyle w:val="Hyperlink"/>
            <w:rFonts w:ascii="Times New Roman" w:hAnsi="Times New Roman" w:cs="Times New Roman"/>
            <w:noProof/>
          </w:rPr>
          <w:t>Table 3: Descriptive Statistics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48</w:t>
        </w:r>
        <w:r w:rsidRPr="00142A7E">
          <w:rPr>
            <w:rFonts w:ascii="Times New Roman" w:hAnsi="Times New Roman" w:cs="Times New Roman"/>
            <w:noProof/>
            <w:webHidden/>
          </w:rPr>
          <w:fldChar w:fldCharType="end"/>
        </w:r>
      </w:hyperlink>
    </w:p>
    <w:p w14:paraId="7D6B99B4" w14:textId="053DBF67"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39" w:history="1">
        <w:r w:rsidRPr="00142A7E">
          <w:rPr>
            <w:rStyle w:val="Hyperlink"/>
            <w:rFonts w:ascii="Times New Roman" w:hAnsi="Times New Roman" w:cs="Times New Roman"/>
            <w:noProof/>
          </w:rPr>
          <w:t>Table 4: Policy Uncertainty and Firm-level Investment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_Toc164862539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49</w:t>
        </w:r>
        <w:r w:rsidRPr="00142A7E">
          <w:rPr>
            <w:rFonts w:ascii="Times New Roman" w:hAnsi="Times New Roman" w:cs="Times New Roman"/>
            <w:noProof/>
            <w:webHidden/>
          </w:rPr>
          <w:fldChar w:fldCharType="end"/>
        </w:r>
      </w:hyperlink>
    </w:p>
    <w:p w14:paraId="23F48B4C" w14:textId="644EA073"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0" w:history="1">
        <w:r w:rsidRPr="00142A7E">
          <w:rPr>
            <w:rStyle w:val="Hyperlink"/>
            <w:rFonts w:ascii="Times New Roman" w:hAnsi="Times New Roman" w:cs="Times New Roman"/>
            <w:noProof/>
          </w:rPr>
          <w:t>Table 5: Heterogenous Effects of Policy Uncertainty and Firm-level Investment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50</w:t>
        </w:r>
        <w:r w:rsidRPr="00142A7E">
          <w:rPr>
            <w:rFonts w:ascii="Times New Roman" w:hAnsi="Times New Roman" w:cs="Times New Roman"/>
            <w:noProof/>
            <w:webHidden/>
          </w:rPr>
          <w:fldChar w:fldCharType="end"/>
        </w:r>
      </w:hyperlink>
    </w:p>
    <w:p w14:paraId="7790B4A7" w14:textId="439127CC"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1" w:history="1">
        <w:r w:rsidRPr="00142A7E">
          <w:rPr>
            <w:rStyle w:val="Hyperlink"/>
            <w:rFonts w:ascii="Times New Roman" w:hAnsi="Times New Roman" w:cs="Times New Roman"/>
            <w:noProof/>
          </w:rPr>
          <w:t>Table 6: Economic Policy Uncertainty and Firm-level Investment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51</w:t>
        </w:r>
        <w:r w:rsidRPr="00142A7E">
          <w:rPr>
            <w:rFonts w:ascii="Times New Roman" w:hAnsi="Times New Roman" w:cs="Times New Roman"/>
            <w:noProof/>
            <w:webHidden/>
          </w:rPr>
          <w:fldChar w:fldCharType="end"/>
        </w:r>
      </w:hyperlink>
    </w:p>
    <w:p w14:paraId="056F66E7" w14:textId="44A016EB"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2" w:history="1">
        <w:r w:rsidRPr="00142A7E">
          <w:rPr>
            <w:rStyle w:val="Hyperlink"/>
            <w:rFonts w:ascii="Times New Roman" w:hAnsi="Times New Roman" w:cs="Times New Roman"/>
            <w:noProof/>
          </w:rPr>
          <w:t>Table 7: Optimal Choice for Lottery Conditions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104</w:t>
        </w:r>
        <w:r w:rsidRPr="00142A7E">
          <w:rPr>
            <w:rFonts w:ascii="Times New Roman" w:hAnsi="Times New Roman" w:cs="Times New Roman"/>
            <w:noProof/>
            <w:webHidden/>
          </w:rPr>
          <w:fldChar w:fldCharType="end"/>
        </w:r>
      </w:hyperlink>
    </w:p>
    <w:p w14:paraId="1DCB65B1" w14:textId="4C405679"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3" w:history="1">
        <w:r w:rsidRPr="00142A7E">
          <w:rPr>
            <w:rStyle w:val="Hyperlink"/>
            <w:rFonts w:ascii="Times New Roman" w:hAnsi="Times New Roman" w:cs="Times New Roman"/>
            <w:bCs/>
            <w:noProof/>
          </w:rPr>
          <w:t>Table 8: Effect of Probability Weighting on WTP</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104</w:t>
        </w:r>
        <w:r w:rsidRPr="00142A7E">
          <w:rPr>
            <w:rFonts w:ascii="Times New Roman" w:hAnsi="Times New Roman" w:cs="Times New Roman"/>
            <w:noProof/>
            <w:webHidden/>
          </w:rPr>
          <w:fldChar w:fldCharType="end"/>
        </w:r>
      </w:hyperlink>
    </w:p>
    <w:p w14:paraId="1F08EC81" w14:textId="3BC01804"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4" w:history="1">
        <w:r w:rsidRPr="00142A7E">
          <w:rPr>
            <w:rStyle w:val="Hyperlink"/>
            <w:rFonts w:ascii="Times New Roman" w:hAnsi="Times New Roman" w:cs="Times New Roman"/>
            <w:noProof/>
          </w:rPr>
          <w:t>Table 9: Interaction Effect of Probability Weighting and High Spread on WTP</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104</w:t>
        </w:r>
        <w:r w:rsidRPr="00142A7E">
          <w:rPr>
            <w:rFonts w:ascii="Times New Roman" w:hAnsi="Times New Roman" w:cs="Times New Roman"/>
            <w:noProof/>
            <w:webHidden/>
          </w:rPr>
          <w:fldChar w:fldCharType="end"/>
        </w:r>
      </w:hyperlink>
    </w:p>
    <w:p w14:paraId="3465C2FE" w14:textId="7994928B"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5" w:history="1">
        <w:r w:rsidRPr="00142A7E">
          <w:rPr>
            <w:rStyle w:val="Hyperlink"/>
            <w:rFonts w:ascii="Times New Roman" w:hAnsi="Times New Roman" w:cs="Times New Roman"/>
            <w:bCs/>
            <w:noProof/>
          </w:rPr>
          <w:t>Table 10: Lottery Parameterizations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105</w:t>
        </w:r>
        <w:r w:rsidRPr="00142A7E">
          <w:rPr>
            <w:rFonts w:ascii="Times New Roman" w:hAnsi="Times New Roman" w:cs="Times New Roman"/>
            <w:noProof/>
            <w:webHidden/>
          </w:rPr>
          <w:fldChar w:fldCharType="end"/>
        </w:r>
      </w:hyperlink>
    </w:p>
    <w:p w14:paraId="3EF6519B" w14:textId="48DBF53B"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6" w:history="1">
        <w:r w:rsidRPr="00142A7E">
          <w:rPr>
            <w:rStyle w:val="Hyperlink"/>
            <w:rFonts w:ascii="Times New Roman" w:hAnsi="Times New Roman" w:cs="Times New Roman"/>
            <w:noProof/>
          </w:rPr>
          <w:t>Table 11: Summary Statistics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106</w:t>
        </w:r>
        <w:r w:rsidRPr="00142A7E">
          <w:rPr>
            <w:rFonts w:ascii="Times New Roman" w:hAnsi="Times New Roman" w:cs="Times New Roman"/>
            <w:noProof/>
            <w:webHidden/>
          </w:rPr>
          <w:fldChar w:fldCharType="end"/>
        </w:r>
      </w:hyperlink>
    </w:p>
    <w:p w14:paraId="0AA57E27" w14:textId="6D9F317E"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7" w:history="1">
        <w:r w:rsidRPr="00142A7E">
          <w:rPr>
            <w:rStyle w:val="Hyperlink"/>
            <w:rFonts w:ascii="Times New Roman" w:hAnsi="Times New Roman" w:cs="Times New Roman"/>
            <w:noProof/>
          </w:rPr>
          <w:t>Table 12: Willingness to Pay Regression Results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107</w:t>
        </w:r>
        <w:r w:rsidRPr="00142A7E">
          <w:rPr>
            <w:rFonts w:ascii="Times New Roman" w:hAnsi="Times New Roman" w:cs="Times New Roman"/>
            <w:noProof/>
            <w:webHidden/>
          </w:rPr>
          <w:fldChar w:fldCharType="end"/>
        </w:r>
      </w:hyperlink>
    </w:p>
    <w:p w14:paraId="09E565A7" w14:textId="26F05020"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8" w:history="1">
        <w:r w:rsidRPr="00142A7E">
          <w:rPr>
            <w:rStyle w:val="Hyperlink"/>
            <w:rFonts w:ascii="Times New Roman" w:hAnsi="Times New Roman" w:cs="Times New Roman"/>
            <w:noProof/>
          </w:rPr>
          <w:t>Table 13: Hypothesis Test Results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109</w:t>
        </w:r>
        <w:r w:rsidRPr="00142A7E">
          <w:rPr>
            <w:rFonts w:ascii="Times New Roman" w:hAnsi="Times New Roman" w:cs="Times New Roman"/>
            <w:noProof/>
            <w:webHidden/>
          </w:rPr>
          <w:fldChar w:fldCharType="end"/>
        </w:r>
      </w:hyperlink>
    </w:p>
    <w:p w14:paraId="40797615" w14:textId="65C4B175"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49" w:history="1">
        <w:r w:rsidRPr="00142A7E">
          <w:rPr>
            <w:rStyle w:val="Hyperlink"/>
            <w:rFonts w:ascii="Times New Roman" w:hAnsi="Times New Roman" w:cs="Times New Roman"/>
            <w:bCs/>
            <w:noProof/>
          </w:rPr>
          <w:t>Table 14: Choice Regression Results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_Toc164862549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110</w:t>
        </w:r>
        <w:r w:rsidRPr="00142A7E">
          <w:rPr>
            <w:rFonts w:ascii="Times New Roman" w:hAnsi="Times New Roman" w:cs="Times New Roman"/>
            <w:noProof/>
            <w:webHidden/>
          </w:rPr>
          <w:fldChar w:fldCharType="end"/>
        </w:r>
      </w:hyperlink>
    </w:p>
    <w:p w14:paraId="0EB3E93C" w14:textId="55D0AFB7"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0" w:history="1">
        <w:r w:rsidRPr="00142A7E">
          <w:rPr>
            <w:rStyle w:val="Hyperlink"/>
            <w:rFonts w:ascii="Times New Roman" w:hAnsi="Times New Roman" w:cs="Times New Roman"/>
            <w:noProof/>
          </w:rPr>
          <w:t>Table 15: Descriptive Statistics for Binary Boiler Attributes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154</w:t>
        </w:r>
        <w:r w:rsidRPr="00142A7E">
          <w:rPr>
            <w:rFonts w:ascii="Times New Roman" w:hAnsi="Times New Roman" w:cs="Times New Roman"/>
            <w:noProof/>
            <w:webHidden/>
          </w:rPr>
          <w:fldChar w:fldCharType="end"/>
        </w:r>
      </w:hyperlink>
    </w:p>
    <w:p w14:paraId="270761F7" w14:textId="34F2BCE3"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1" w:history="1">
        <w:r w:rsidRPr="00142A7E">
          <w:rPr>
            <w:rStyle w:val="Hyperlink"/>
            <w:rFonts w:ascii="Times New Roman" w:hAnsi="Times New Roman" w:cs="Times New Roman"/>
            <w:noProof/>
          </w:rPr>
          <w:t>Table 16: Descriptive Statistics for Binary Boiler Attributes continued</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156</w:t>
        </w:r>
        <w:r w:rsidRPr="00142A7E">
          <w:rPr>
            <w:rFonts w:ascii="Times New Roman" w:hAnsi="Times New Roman" w:cs="Times New Roman"/>
            <w:noProof/>
            <w:webHidden/>
          </w:rPr>
          <w:fldChar w:fldCharType="end"/>
        </w:r>
      </w:hyperlink>
    </w:p>
    <w:p w14:paraId="6145F8ED" w14:textId="6567F614"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2" w:history="1">
        <w:r w:rsidRPr="00142A7E">
          <w:rPr>
            <w:rStyle w:val="Hyperlink"/>
            <w:rFonts w:ascii="Times New Roman" w:hAnsi="Times New Roman" w:cs="Times New Roman"/>
            <w:noProof/>
          </w:rPr>
          <w:t>Table 17: Descriptive Statistics for Continuous Boiler Attributes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159</w:t>
        </w:r>
        <w:r w:rsidRPr="00142A7E">
          <w:rPr>
            <w:rFonts w:ascii="Times New Roman" w:hAnsi="Times New Roman" w:cs="Times New Roman"/>
            <w:noProof/>
            <w:webHidden/>
          </w:rPr>
          <w:fldChar w:fldCharType="end"/>
        </w:r>
      </w:hyperlink>
    </w:p>
    <w:p w14:paraId="546B7EC7" w14:textId="0E6DA8C5"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3" w:history="1">
        <w:r w:rsidRPr="00142A7E">
          <w:rPr>
            <w:rStyle w:val="Hyperlink"/>
            <w:rFonts w:ascii="Times New Roman" w:hAnsi="Times New Roman" w:cs="Times New Roman"/>
            <w:noProof/>
          </w:rPr>
          <w:t>Table 18: Pollution Control Equipment Description and Aggregation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161</w:t>
        </w:r>
        <w:r w:rsidRPr="00142A7E">
          <w:rPr>
            <w:rFonts w:ascii="Times New Roman" w:hAnsi="Times New Roman" w:cs="Times New Roman"/>
            <w:noProof/>
            <w:webHidden/>
          </w:rPr>
          <w:fldChar w:fldCharType="end"/>
        </w:r>
      </w:hyperlink>
    </w:p>
    <w:p w14:paraId="3AEB7A99" w14:textId="3EC563E7"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4" w:history="1">
        <w:r w:rsidRPr="00142A7E">
          <w:rPr>
            <w:rStyle w:val="Hyperlink"/>
            <w:rFonts w:ascii="Times New Roman" w:hAnsi="Times New Roman" w:cs="Times New Roman"/>
            <w:noProof/>
          </w:rPr>
          <w:t>Table 19: Fuel Switching Matrix</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162</w:t>
        </w:r>
        <w:r w:rsidRPr="00142A7E">
          <w:rPr>
            <w:rFonts w:ascii="Times New Roman" w:hAnsi="Times New Roman" w:cs="Times New Roman"/>
            <w:noProof/>
            <w:webHidden/>
          </w:rPr>
          <w:fldChar w:fldCharType="end"/>
        </w:r>
      </w:hyperlink>
    </w:p>
    <w:p w14:paraId="76CB2568" w14:textId="3434E01A"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5" w:history="1">
        <w:r w:rsidRPr="00142A7E">
          <w:rPr>
            <w:rStyle w:val="Hyperlink"/>
            <w:rFonts w:ascii="Times New Roman" w:hAnsi="Times New Roman" w:cs="Times New Roman"/>
            <w:noProof/>
          </w:rPr>
          <w:t>Table 20: Comparison of Treated and Control – SO</w:t>
        </w:r>
        <w:r w:rsidRPr="00142A7E">
          <w:rPr>
            <w:rStyle w:val="Hyperlink"/>
            <w:rFonts w:ascii="Times New Roman" w:hAnsi="Times New Roman" w:cs="Times New Roman"/>
            <w:noProof/>
            <w:vertAlign w:val="subscript"/>
          </w:rPr>
          <w:t>2</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163</w:t>
        </w:r>
        <w:r w:rsidRPr="00142A7E">
          <w:rPr>
            <w:rFonts w:ascii="Times New Roman" w:hAnsi="Times New Roman" w:cs="Times New Roman"/>
            <w:noProof/>
            <w:webHidden/>
          </w:rPr>
          <w:fldChar w:fldCharType="end"/>
        </w:r>
      </w:hyperlink>
    </w:p>
    <w:p w14:paraId="6A670136" w14:textId="50D193BF"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6" w:history="1">
        <w:r w:rsidRPr="00142A7E">
          <w:rPr>
            <w:rStyle w:val="Hyperlink"/>
            <w:rFonts w:ascii="Times New Roman" w:hAnsi="Times New Roman" w:cs="Times New Roman"/>
            <w:noProof/>
          </w:rPr>
          <w:t>Table 21: Comparison of Treated and Control – NO</w:t>
        </w:r>
        <w:r w:rsidRPr="00142A7E">
          <w:rPr>
            <w:rStyle w:val="Hyperlink"/>
            <w:rFonts w:ascii="Times New Roman" w:hAnsi="Times New Roman" w:cs="Times New Roman"/>
            <w:noProof/>
            <w:vertAlign w:val="subscript"/>
          </w:rPr>
          <w:t>x</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164</w:t>
        </w:r>
        <w:r w:rsidRPr="00142A7E">
          <w:rPr>
            <w:rFonts w:ascii="Times New Roman" w:hAnsi="Times New Roman" w:cs="Times New Roman"/>
            <w:noProof/>
            <w:webHidden/>
          </w:rPr>
          <w:fldChar w:fldCharType="end"/>
        </w:r>
      </w:hyperlink>
    </w:p>
    <w:p w14:paraId="0CA66D55" w14:textId="0579669E"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7" w:history="1">
        <w:r w:rsidRPr="00142A7E">
          <w:rPr>
            <w:rStyle w:val="Hyperlink"/>
            <w:rFonts w:ascii="Times New Roman" w:hAnsi="Times New Roman" w:cs="Times New Roman"/>
            <w:noProof/>
          </w:rPr>
          <w:t>Table 22: Fuel Switching from SO2 Regulation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165</w:t>
        </w:r>
        <w:r w:rsidRPr="00142A7E">
          <w:rPr>
            <w:rFonts w:ascii="Times New Roman" w:hAnsi="Times New Roman" w:cs="Times New Roman"/>
            <w:noProof/>
            <w:webHidden/>
          </w:rPr>
          <w:fldChar w:fldCharType="end"/>
        </w:r>
      </w:hyperlink>
    </w:p>
    <w:p w14:paraId="67BCFAE4" w14:textId="48B25C7F"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8" w:history="1">
        <w:r w:rsidRPr="00142A7E">
          <w:rPr>
            <w:rStyle w:val="Hyperlink"/>
            <w:rFonts w:ascii="Times New Roman" w:hAnsi="Times New Roman" w:cs="Times New Roman"/>
            <w:noProof/>
          </w:rPr>
          <w:t>Table 23: New Wet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Abatement Technology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166</w:t>
        </w:r>
        <w:r w:rsidRPr="00142A7E">
          <w:rPr>
            <w:rFonts w:ascii="Times New Roman" w:hAnsi="Times New Roman" w:cs="Times New Roman"/>
            <w:noProof/>
            <w:webHidden/>
          </w:rPr>
          <w:fldChar w:fldCharType="end"/>
        </w:r>
      </w:hyperlink>
    </w:p>
    <w:p w14:paraId="57F1F2B0" w14:textId="10C4EBF4"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59" w:history="1">
        <w:r w:rsidRPr="00142A7E">
          <w:rPr>
            <w:rStyle w:val="Hyperlink"/>
            <w:rFonts w:ascii="Times New Roman" w:hAnsi="Times New Roman" w:cs="Times New Roman"/>
            <w:noProof/>
          </w:rPr>
          <w:t>Table 24: New Dry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Abatement Technology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_Toc164862559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167</w:t>
        </w:r>
        <w:r w:rsidRPr="00142A7E">
          <w:rPr>
            <w:rFonts w:ascii="Times New Roman" w:hAnsi="Times New Roman" w:cs="Times New Roman"/>
            <w:noProof/>
            <w:webHidden/>
          </w:rPr>
          <w:fldChar w:fldCharType="end"/>
        </w:r>
      </w:hyperlink>
    </w:p>
    <w:p w14:paraId="77F83F6C" w14:textId="1FDD72D0"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0" w:history="1">
        <w:r w:rsidRPr="00142A7E">
          <w:rPr>
            <w:rStyle w:val="Hyperlink"/>
            <w:rFonts w:ascii="Times New Roman" w:hAnsi="Times New Roman" w:cs="Times New Roman"/>
            <w:noProof/>
          </w:rPr>
          <w:t>Table 25: New Other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Abatement Technology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168</w:t>
        </w:r>
        <w:r w:rsidRPr="00142A7E">
          <w:rPr>
            <w:rFonts w:ascii="Times New Roman" w:hAnsi="Times New Roman" w:cs="Times New Roman"/>
            <w:noProof/>
            <w:webHidden/>
          </w:rPr>
          <w:fldChar w:fldCharType="end"/>
        </w:r>
      </w:hyperlink>
    </w:p>
    <w:p w14:paraId="09A60B3F" w14:textId="6E497501"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1" w:history="1">
        <w:r w:rsidRPr="00142A7E">
          <w:rPr>
            <w:rStyle w:val="Hyperlink"/>
            <w:rFonts w:ascii="Times New Roman" w:hAnsi="Times New Roman" w:cs="Times New Roman"/>
            <w:noProof/>
          </w:rPr>
          <w:t>Table 26: Boiler Retirement by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Treatment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169</w:t>
        </w:r>
        <w:r w:rsidRPr="00142A7E">
          <w:rPr>
            <w:rFonts w:ascii="Times New Roman" w:hAnsi="Times New Roman" w:cs="Times New Roman"/>
            <w:noProof/>
            <w:webHidden/>
          </w:rPr>
          <w:fldChar w:fldCharType="end"/>
        </w:r>
      </w:hyperlink>
    </w:p>
    <w:p w14:paraId="420A30DA" w14:textId="4E34AFDE"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2" w:history="1">
        <w:r w:rsidRPr="00142A7E">
          <w:rPr>
            <w:rStyle w:val="Hyperlink"/>
            <w:rFonts w:ascii="Times New Roman" w:hAnsi="Times New Roman" w:cs="Times New Roman"/>
            <w:noProof/>
          </w:rPr>
          <w:t>Table 27: Fuel Switching by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Treatment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170</w:t>
        </w:r>
        <w:r w:rsidRPr="00142A7E">
          <w:rPr>
            <w:rFonts w:ascii="Times New Roman" w:hAnsi="Times New Roman" w:cs="Times New Roman"/>
            <w:noProof/>
            <w:webHidden/>
          </w:rPr>
          <w:fldChar w:fldCharType="end"/>
        </w:r>
      </w:hyperlink>
    </w:p>
    <w:p w14:paraId="1C00E12E" w14:textId="2D291E65"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3" w:history="1">
        <w:r w:rsidRPr="00142A7E">
          <w:rPr>
            <w:rStyle w:val="Hyperlink"/>
            <w:rFonts w:ascii="Times New Roman" w:hAnsi="Times New Roman" w:cs="Times New Roman"/>
            <w:noProof/>
          </w:rPr>
          <w:t>Table 28: Boiler Retirement by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Treatment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171</w:t>
        </w:r>
        <w:r w:rsidRPr="00142A7E">
          <w:rPr>
            <w:rFonts w:ascii="Times New Roman" w:hAnsi="Times New Roman" w:cs="Times New Roman"/>
            <w:noProof/>
            <w:webHidden/>
          </w:rPr>
          <w:fldChar w:fldCharType="end"/>
        </w:r>
      </w:hyperlink>
    </w:p>
    <w:p w14:paraId="68CB6E36" w14:textId="0153577C"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4" w:history="1">
        <w:r w:rsidRPr="00142A7E">
          <w:rPr>
            <w:rStyle w:val="Hyperlink"/>
            <w:rFonts w:ascii="Times New Roman" w:hAnsi="Times New Roman" w:cs="Times New Roman"/>
            <w:noProof/>
          </w:rPr>
          <w:t>Table 29: Boiler Retirement by SO2 Treatment – Fuel Specific Effects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172</w:t>
        </w:r>
        <w:r w:rsidRPr="00142A7E">
          <w:rPr>
            <w:rFonts w:ascii="Times New Roman" w:hAnsi="Times New Roman" w:cs="Times New Roman"/>
            <w:noProof/>
            <w:webHidden/>
          </w:rPr>
          <w:fldChar w:fldCharType="end"/>
        </w:r>
      </w:hyperlink>
    </w:p>
    <w:p w14:paraId="5F4FF8EA" w14:textId="319172BA"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5" w:history="1">
        <w:r w:rsidRPr="00142A7E">
          <w:rPr>
            <w:rStyle w:val="Hyperlink"/>
            <w:rFonts w:ascii="Times New Roman" w:hAnsi="Times New Roman" w:cs="Times New Roman"/>
            <w:noProof/>
          </w:rPr>
          <w:t>Table 30: New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Abatement Technology</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173</w:t>
        </w:r>
        <w:r w:rsidRPr="00142A7E">
          <w:rPr>
            <w:rFonts w:ascii="Times New Roman" w:hAnsi="Times New Roman" w:cs="Times New Roman"/>
            <w:noProof/>
            <w:webHidden/>
          </w:rPr>
          <w:fldChar w:fldCharType="end"/>
        </w:r>
      </w:hyperlink>
    </w:p>
    <w:p w14:paraId="1A0D070C" w14:textId="4317D042"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6" w:history="1">
        <w:r w:rsidRPr="00142A7E">
          <w:rPr>
            <w:rStyle w:val="Hyperlink"/>
            <w:rFonts w:ascii="Times New Roman" w:hAnsi="Times New Roman" w:cs="Times New Roman"/>
            <w:noProof/>
          </w:rPr>
          <w:t>Table 31: New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Abatement Technology – Fuel Specific Effects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174</w:t>
        </w:r>
        <w:r w:rsidRPr="00142A7E">
          <w:rPr>
            <w:rFonts w:ascii="Times New Roman" w:hAnsi="Times New Roman" w:cs="Times New Roman"/>
            <w:noProof/>
            <w:webHidden/>
          </w:rPr>
          <w:fldChar w:fldCharType="end"/>
        </w:r>
      </w:hyperlink>
    </w:p>
    <w:p w14:paraId="00D40944" w14:textId="4D5EE2B0"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7" w:history="1">
        <w:r w:rsidRPr="00142A7E">
          <w:rPr>
            <w:rStyle w:val="Hyperlink"/>
            <w:rFonts w:ascii="Times New Roman" w:hAnsi="Times New Roman" w:cs="Times New Roman"/>
            <w:noProof/>
          </w:rPr>
          <w:t>Table 32: Fuel Switching by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Treatment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175</w:t>
        </w:r>
        <w:r w:rsidRPr="00142A7E">
          <w:rPr>
            <w:rFonts w:ascii="Times New Roman" w:hAnsi="Times New Roman" w:cs="Times New Roman"/>
            <w:noProof/>
            <w:webHidden/>
          </w:rPr>
          <w:fldChar w:fldCharType="end"/>
        </w:r>
      </w:hyperlink>
    </w:p>
    <w:p w14:paraId="61742821" w14:textId="129B98AD"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8" w:history="1">
        <w:r w:rsidRPr="00142A7E">
          <w:rPr>
            <w:rStyle w:val="Hyperlink"/>
            <w:rFonts w:ascii="Times New Roman" w:hAnsi="Times New Roman" w:cs="Times New Roman"/>
            <w:noProof/>
          </w:rPr>
          <w:t>Table 33: New Selective Noncatalytic Reduction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Abatement Technology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176</w:t>
        </w:r>
        <w:r w:rsidRPr="00142A7E">
          <w:rPr>
            <w:rFonts w:ascii="Times New Roman" w:hAnsi="Times New Roman" w:cs="Times New Roman"/>
            <w:noProof/>
            <w:webHidden/>
          </w:rPr>
          <w:fldChar w:fldCharType="end"/>
        </w:r>
      </w:hyperlink>
    </w:p>
    <w:p w14:paraId="40345D32" w14:textId="0DF387E5"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69" w:history="1">
        <w:r w:rsidRPr="00142A7E">
          <w:rPr>
            <w:rStyle w:val="Hyperlink"/>
            <w:rFonts w:ascii="Times New Roman" w:hAnsi="Times New Roman" w:cs="Times New Roman"/>
            <w:noProof/>
          </w:rPr>
          <w:t>Table 34: Selective Catalytic Reduction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Abatement Technology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_Toc164862569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177</w:t>
        </w:r>
        <w:r w:rsidRPr="00142A7E">
          <w:rPr>
            <w:rFonts w:ascii="Times New Roman" w:hAnsi="Times New Roman" w:cs="Times New Roman"/>
            <w:noProof/>
            <w:webHidden/>
          </w:rPr>
          <w:fldChar w:fldCharType="end"/>
        </w:r>
      </w:hyperlink>
    </w:p>
    <w:p w14:paraId="33E818FD" w14:textId="6F9DD92C"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0" w:history="1">
        <w:r w:rsidRPr="00142A7E">
          <w:rPr>
            <w:rStyle w:val="Hyperlink"/>
            <w:rFonts w:ascii="Times New Roman" w:hAnsi="Times New Roman" w:cs="Times New Roman"/>
            <w:noProof/>
          </w:rPr>
          <w:t>Table 35: Other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Abatement Technology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178</w:t>
        </w:r>
        <w:r w:rsidRPr="00142A7E">
          <w:rPr>
            <w:rFonts w:ascii="Times New Roman" w:hAnsi="Times New Roman" w:cs="Times New Roman"/>
            <w:noProof/>
            <w:webHidden/>
          </w:rPr>
          <w:fldChar w:fldCharType="end"/>
        </w:r>
      </w:hyperlink>
    </w:p>
    <w:p w14:paraId="6A1362DF" w14:textId="5A1CCA9F"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1" w:history="1">
        <w:r w:rsidRPr="00142A7E">
          <w:rPr>
            <w:rStyle w:val="Hyperlink"/>
            <w:rFonts w:ascii="Times New Roman" w:hAnsi="Times New Roman" w:cs="Times New Roman"/>
            <w:noProof/>
          </w:rPr>
          <w:t>Table 36: Boiler Retirement by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Treatment - Multinomial Logit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179</w:t>
        </w:r>
        <w:r w:rsidRPr="00142A7E">
          <w:rPr>
            <w:rFonts w:ascii="Times New Roman" w:hAnsi="Times New Roman" w:cs="Times New Roman"/>
            <w:noProof/>
            <w:webHidden/>
          </w:rPr>
          <w:fldChar w:fldCharType="end"/>
        </w:r>
      </w:hyperlink>
    </w:p>
    <w:p w14:paraId="04C4F15D" w14:textId="2B5E757A"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2" w:history="1">
        <w:r w:rsidRPr="00142A7E">
          <w:rPr>
            <w:rStyle w:val="Hyperlink"/>
            <w:rFonts w:ascii="Times New Roman" w:hAnsi="Times New Roman" w:cs="Times New Roman"/>
            <w:noProof/>
          </w:rPr>
          <w:t>Table 37: Fuel Switching by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Treatment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_Toc164862572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180</w:t>
        </w:r>
        <w:r w:rsidRPr="00142A7E">
          <w:rPr>
            <w:rFonts w:ascii="Times New Roman" w:hAnsi="Times New Roman" w:cs="Times New Roman"/>
            <w:noProof/>
            <w:webHidden/>
          </w:rPr>
          <w:fldChar w:fldCharType="end"/>
        </w:r>
      </w:hyperlink>
    </w:p>
    <w:p w14:paraId="126C22ED" w14:textId="0E34A175"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3" w:history="1">
        <w:r w:rsidRPr="00142A7E">
          <w:rPr>
            <w:rStyle w:val="Hyperlink"/>
            <w:rFonts w:ascii="Times New Roman" w:hAnsi="Times New Roman" w:cs="Times New Roman"/>
            <w:noProof/>
          </w:rPr>
          <w:t>Table 38: Boiler Retirement by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Treatment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181</w:t>
        </w:r>
        <w:r w:rsidRPr="00142A7E">
          <w:rPr>
            <w:rFonts w:ascii="Times New Roman" w:hAnsi="Times New Roman" w:cs="Times New Roman"/>
            <w:noProof/>
            <w:webHidden/>
          </w:rPr>
          <w:fldChar w:fldCharType="end"/>
        </w:r>
      </w:hyperlink>
    </w:p>
    <w:p w14:paraId="5984A308" w14:textId="5D7949D9"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4" w:history="1">
        <w:r w:rsidRPr="00142A7E">
          <w:rPr>
            <w:rStyle w:val="Hyperlink"/>
            <w:rFonts w:ascii="Times New Roman" w:hAnsi="Times New Roman" w:cs="Times New Roman"/>
            <w:noProof/>
          </w:rPr>
          <w:t>Table 39: Boiler Retirement by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Treatment – Fuel Specific Effects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182</w:t>
        </w:r>
        <w:r w:rsidRPr="00142A7E">
          <w:rPr>
            <w:rFonts w:ascii="Times New Roman" w:hAnsi="Times New Roman" w:cs="Times New Roman"/>
            <w:noProof/>
            <w:webHidden/>
          </w:rPr>
          <w:fldChar w:fldCharType="end"/>
        </w:r>
      </w:hyperlink>
    </w:p>
    <w:p w14:paraId="506F47F1" w14:textId="17D0B26B"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5" w:history="1">
        <w:r w:rsidRPr="00142A7E">
          <w:rPr>
            <w:rStyle w:val="Hyperlink"/>
            <w:rFonts w:ascii="Times New Roman" w:hAnsi="Times New Roman" w:cs="Times New Roman"/>
            <w:noProof/>
          </w:rPr>
          <w:t>Table 40: New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Abatement Technology</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183</w:t>
        </w:r>
        <w:r w:rsidRPr="00142A7E">
          <w:rPr>
            <w:rFonts w:ascii="Times New Roman" w:hAnsi="Times New Roman" w:cs="Times New Roman"/>
            <w:noProof/>
            <w:webHidden/>
          </w:rPr>
          <w:fldChar w:fldCharType="end"/>
        </w:r>
      </w:hyperlink>
    </w:p>
    <w:p w14:paraId="5827C0D1" w14:textId="5D65F622"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6" w:history="1">
        <w:r w:rsidRPr="00142A7E">
          <w:rPr>
            <w:rStyle w:val="Hyperlink"/>
            <w:rFonts w:ascii="Times New Roman" w:hAnsi="Times New Roman" w:cs="Times New Roman"/>
            <w:noProof/>
          </w:rPr>
          <w:t>Table 41: New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Abatement Technology – Fuel Specific Effects</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184</w:t>
        </w:r>
        <w:r w:rsidRPr="00142A7E">
          <w:rPr>
            <w:rFonts w:ascii="Times New Roman" w:hAnsi="Times New Roman" w:cs="Times New Roman"/>
            <w:noProof/>
            <w:webHidden/>
          </w:rPr>
          <w:fldChar w:fldCharType="end"/>
        </w:r>
      </w:hyperlink>
    </w:p>
    <w:p w14:paraId="081CEAB8" w14:textId="230F8531"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7" w:history="1">
        <w:r w:rsidRPr="00142A7E">
          <w:rPr>
            <w:rStyle w:val="Hyperlink"/>
            <w:rFonts w:ascii="Times New Roman" w:hAnsi="Times New Roman" w:cs="Times New Roman"/>
            <w:noProof/>
          </w:rPr>
          <w:t>Table 42: Fuel Switching by Regulation - CAIR and CSAPR</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185</w:t>
        </w:r>
        <w:r w:rsidRPr="00142A7E">
          <w:rPr>
            <w:rFonts w:ascii="Times New Roman" w:hAnsi="Times New Roman" w:cs="Times New Roman"/>
            <w:noProof/>
            <w:webHidden/>
          </w:rPr>
          <w:fldChar w:fldCharType="end"/>
        </w:r>
      </w:hyperlink>
    </w:p>
    <w:p w14:paraId="586551AF" w14:textId="3AF21EBB"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8" w:history="1">
        <w:r w:rsidRPr="00142A7E">
          <w:rPr>
            <w:rStyle w:val="Hyperlink"/>
            <w:rFonts w:ascii="Times New Roman" w:hAnsi="Times New Roman" w:cs="Times New Roman"/>
            <w:noProof/>
          </w:rPr>
          <w:t>Table 43: Boiler Retirement by Regulation - CAIR and CSAPR</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186</w:t>
        </w:r>
        <w:r w:rsidRPr="00142A7E">
          <w:rPr>
            <w:rFonts w:ascii="Times New Roman" w:hAnsi="Times New Roman" w:cs="Times New Roman"/>
            <w:noProof/>
            <w:webHidden/>
          </w:rPr>
          <w:fldChar w:fldCharType="end"/>
        </w:r>
      </w:hyperlink>
    </w:p>
    <w:p w14:paraId="41FB934C" w14:textId="3F6E45D2"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79" w:history="1">
        <w:r w:rsidRPr="00142A7E">
          <w:rPr>
            <w:rStyle w:val="Hyperlink"/>
            <w:rFonts w:ascii="Times New Roman" w:hAnsi="Times New Roman" w:cs="Times New Roman"/>
            <w:noProof/>
          </w:rPr>
          <w:t>Table 44: New Abatement Technology - CAIR and CSAPR</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_Toc164862579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187</w:t>
        </w:r>
        <w:r w:rsidRPr="00142A7E">
          <w:rPr>
            <w:rFonts w:ascii="Times New Roman" w:hAnsi="Times New Roman" w:cs="Times New Roman"/>
            <w:noProof/>
            <w:webHidden/>
          </w:rPr>
          <w:fldChar w:fldCharType="end"/>
        </w:r>
      </w:hyperlink>
    </w:p>
    <w:p w14:paraId="6B4E9396" w14:textId="39AF278F"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0" w:history="1">
        <w:r w:rsidRPr="00142A7E">
          <w:rPr>
            <w:rStyle w:val="Hyperlink"/>
            <w:rFonts w:ascii="Times New Roman" w:hAnsi="Times New Roman" w:cs="Times New Roman"/>
            <w:noProof/>
          </w:rPr>
          <w:t>Table 45: Compliance Strategy by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Treatment – Restricted Sample</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188</w:t>
        </w:r>
        <w:r w:rsidRPr="00142A7E">
          <w:rPr>
            <w:rFonts w:ascii="Times New Roman" w:hAnsi="Times New Roman" w:cs="Times New Roman"/>
            <w:noProof/>
            <w:webHidden/>
          </w:rPr>
          <w:fldChar w:fldCharType="end"/>
        </w:r>
      </w:hyperlink>
    </w:p>
    <w:p w14:paraId="4080DE8C" w14:textId="2C114E55"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1" w:history="1">
        <w:r w:rsidRPr="00142A7E">
          <w:rPr>
            <w:rStyle w:val="Hyperlink"/>
            <w:rFonts w:ascii="Times New Roman" w:hAnsi="Times New Roman" w:cs="Times New Roman"/>
            <w:noProof/>
          </w:rPr>
          <w:t>Table 46: Compliance Strategy by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Treatment – Restricted Sample</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189</w:t>
        </w:r>
        <w:r w:rsidRPr="00142A7E">
          <w:rPr>
            <w:rFonts w:ascii="Times New Roman" w:hAnsi="Times New Roman" w:cs="Times New Roman"/>
            <w:noProof/>
            <w:webHidden/>
          </w:rPr>
          <w:fldChar w:fldCharType="end"/>
        </w:r>
      </w:hyperlink>
    </w:p>
    <w:p w14:paraId="401808C1" w14:textId="2AE680D8" w:rsidR="00236E6D" w:rsidRPr="007F37A0" w:rsidRDefault="00387656" w:rsidP="005E54E2">
      <w:pPr>
        <w:rPr>
          <w:rFonts w:ascii="Times New Roman" w:hAnsi="Times New Roman" w:cs="Times New Roman"/>
        </w:rPr>
      </w:pPr>
      <w:r w:rsidRPr="00142A7E">
        <w:rPr>
          <w:rFonts w:ascii="Times New Roman" w:hAnsi="Times New Roman" w:cs="Times New Roman"/>
        </w:rPr>
        <w:fldChar w:fldCharType="end"/>
      </w:r>
    </w:p>
    <w:p w14:paraId="7514B36B" w14:textId="77777777" w:rsidR="00236E6D" w:rsidRPr="007F37A0" w:rsidRDefault="00236E6D" w:rsidP="005E54E2">
      <w:pPr>
        <w:rPr>
          <w:rFonts w:ascii="Times New Roman" w:hAnsi="Times New Roman" w:cs="Times New Roman"/>
        </w:rPr>
      </w:pPr>
    </w:p>
    <w:p w14:paraId="363411DF" w14:textId="77777777" w:rsidR="00236E6D" w:rsidRPr="007F37A0" w:rsidRDefault="00236E6D" w:rsidP="005E54E2">
      <w:pPr>
        <w:rPr>
          <w:rFonts w:ascii="Times New Roman" w:hAnsi="Times New Roman" w:cs="Times New Roman"/>
        </w:rPr>
      </w:pPr>
    </w:p>
    <w:p w14:paraId="069E778D" w14:textId="77777777" w:rsidR="00236E6D" w:rsidRPr="007F37A0" w:rsidRDefault="00236E6D" w:rsidP="00904969">
      <w:pPr>
        <w:rPr>
          <w:rFonts w:ascii="Times New Roman" w:hAnsi="Times New Roman" w:cs="Times New Roman"/>
        </w:rPr>
      </w:pPr>
    </w:p>
    <w:p w14:paraId="085D000B" w14:textId="77777777" w:rsidR="0085757D" w:rsidRPr="007F37A0" w:rsidRDefault="0085757D" w:rsidP="00904969">
      <w:pPr>
        <w:rPr>
          <w:rFonts w:ascii="Times New Roman" w:hAnsi="Times New Roman" w:cs="Times New Roman"/>
        </w:rPr>
      </w:pPr>
    </w:p>
    <w:p w14:paraId="72D752BA" w14:textId="77777777" w:rsidR="0085757D" w:rsidRPr="007F37A0" w:rsidRDefault="0085757D" w:rsidP="00904969">
      <w:pPr>
        <w:rPr>
          <w:rFonts w:ascii="Times New Roman" w:hAnsi="Times New Roman" w:cs="Times New Roman"/>
        </w:rPr>
      </w:pPr>
    </w:p>
    <w:p w14:paraId="498D9445" w14:textId="77777777" w:rsidR="0085757D" w:rsidRPr="007F37A0" w:rsidRDefault="0085757D" w:rsidP="00904969">
      <w:pPr>
        <w:rPr>
          <w:rFonts w:ascii="Times New Roman" w:hAnsi="Times New Roman" w:cs="Times New Roman"/>
        </w:rPr>
      </w:pPr>
    </w:p>
    <w:p w14:paraId="577DE7B8" w14:textId="77777777" w:rsidR="0085757D" w:rsidRPr="007F37A0" w:rsidRDefault="0085757D" w:rsidP="00904969">
      <w:pPr>
        <w:rPr>
          <w:rFonts w:ascii="Times New Roman" w:hAnsi="Times New Roman" w:cs="Times New Roman"/>
        </w:rPr>
      </w:pPr>
    </w:p>
    <w:p w14:paraId="142F50B8" w14:textId="77777777" w:rsidR="0085757D" w:rsidRPr="007F37A0" w:rsidRDefault="0085757D" w:rsidP="00904969">
      <w:pPr>
        <w:rPr>
          <w:rFonts w:ascii="Times New Roman" w:hAnsi="Times New Roman" w:cs="Times New Roman"/>
        </w:rPr>
      </w:pPr>
    </w:p>
    <w:p w14:paraId="76385245" w14:textId="77777777" w:rsidR="00904969" w:rsidRPr="007F37A0" w:rsidRDefault="00236E6D" w:rsidP="00904969">
      <w:pPr>
        <w:pStyle w:val="Title"/>
        <w:rPr>
          <w:rFonts w:ascii="Times New Roman" w:hAnsi="Times New Roman" w:cs="Times New Roman"/>
          <w:szCs w:val="28"/>
        </w:rPr>
      </w:pPr>
      <w:r w:rsidRPr="007F37A0">
        <w:rPr>
          <w:rFonts w:ascii="Times New Roman" w:hAnsi="Times New Roman" w:cs="Times New Roman"/>
          <w:sz w:val="24"/>
        </w:rPr>
        <w:br w:type="page"/>
      </w:r>
      <w:r w:rsidR="00904969" w:rsidRPr="007F37A0">
        <w:rPr>
          <w:rFonts w:ascii="Times New Roman" w:hAnsi="Times New Roman" w:cs="Times New Roman"/>
          <w:szCs w:val="28"/>
        </w:rPr>
        <w:lastRenderedPageBreak/>
        <w:t>LIST OF FIGURES</w:t>
      </w:r>
    </w:p>
    <w:p w14:paraId="69B92071" w14:textId="77777777" w:rsidR="00C30D60" w:rsidRPr="007F37A0" w:rsidRDefault="00C30D60" w:rsidP="00904969">
      <w:pPr>
        <w:pStyle w:val="Title"/>
        <w:rPr>
          <w:rFonts w:ascii="Times New Roman" w:hAnsi="Times New Roman" w:cs="Times New Roman"/>
          <w:sz w:val="24"/>
        </w:rPr>
      </w:pPr>
    </w:p>
    <w:p w14:paraId="42483BF0" w14:textId="7E3415D2" w:rsidR="00142A7E" w:rsidRPr="00142A7E" w:rsidRDefault="00387656">
      <w:pPr>
        <w:pStyle w:val="TableofFigures"/>
        <w:tabs>
          <w:tab w:val="right" w:leader="dot" w:pos="8630"/>
        </w:tabs>
        <w:rPr>
          <w:rFonts w:ascii="Times New Roman" w:eastAsiaTheme="minorEastAsia" w:hAnsi="Times New Roman" w:cs="Times New Roman"/>
          <w:noProof/>
          <w:kern w:val="2"/>
          <w14:ligatures w14:val="standardContextual"/>
        </w:rPr>
      </w:pPr>
      <w:r w:rsidRPr="007F37A0">
        <w:rPr>
          <w:rFonts w:ascii="Times New Roman" w:hAnsi="Times New Roman" w:cs="Times New Roman"/>
        </w:rPr>
        <w:fldChar w:fldCharType="begin"/>
      </w:r>
      <w:r w:rsidRPr="007F37A0">
        <w:rPr>
          <w:rFonts w:ascii="Times New Roman" w:hAnsi="Times New Roman" w:cs="Times New Roman"/>
        </w:rPr>
        <w:instrText xml:space="preserve"> TOC \h \z \c "Figure" </w:instrText>
      </w:r>
      <w:r w:rsidRPr="007F37A0">
        <w:rPr>
          <w:rFonts w:ascii="Times New Roman" w:hAnsi="Times New Roman" w:cs="Times New Roman"/>
        </w:rPr>
        <w:fldChar w:fldCharType="separate"/>
      </w:r>
      <w:hyperlink w:anchor="_Toc164862582" w:history="1">
        <w:r w:rsidR="00142A7E" w:rsidRPr="00142A7E">
          <w:rPr>
            <w:rStyle w:val="Hyperlink"/>
            <w:rFonts w:ascii="Times New Roman" w:hAnsi="Times New Roman" w:cs="Times New Roman"/>
            <w:noProof/>
          </w:rPr>
          <w:t>Figure 1.</w:t>
        </w:r>
        <w:r w:rsidR="00142A7E" w:rsidRPr="00142A7E">
          <w:rPr>
            <w:rStyle w:val="Hyperlink"/>
            <w:rFonts w:ascii="Times New Roman" w:hAnsi="Times New Roman" w:cs="Times New Roman"/>
            <w:i/>
            <w:iCs/>
            <w:noProof/>
          </w:rPr>
          <w:t xml:space="preserve"> </w:t>
        </w:r>
        <w:r w:rsidR="00142A7E" w:rsidRPr="00142A7E">
          <w:rPr>
            <w:rStyle w:val="Hyperlink"/>
            <w:rFonts w:ascii="Times New Roman" w:hAnsi="Times New Roman" w:cs="Times New Roman"/>
            <w:noProof/>
          </w:rPr>
          <w:t>Quarterly Average Electric Utility Investment Rates from 2001 to 2022.</w:t>
        </w:r>
        <w:r w:rsidR="00142A7E" w:rsidRPr="00142A7E">
          <w:rPr>
            <w:rFonts w:ascii="Times New Roman" w:hAnsi="Times New Roman" w:cs="Times New Roman"/>
            <w:noProof/>
            <w:webHidden/>
          </w:rPr>
          <w:tab/>
        </w:r>
        <w:r w:rsidR="00142A7E" w:rsidRPr="00142A7E">
          <w:rPr>
            <w:rFonts w:ascii="Times New Roman" w:hAnsi="Times New Roman" w:cs="Times New Roman"/>
            <w:noProof/>
            <w:webHidden/>
          </w:rPr>
          <w:fldChar w:fldCharType="begin"/>
        </w:r>
        <w:r w:rsidR="00142A7E" w:rsidRPr="00142A7E">
          <w:rPr>
            <w:rFonts w:ascii="Times New Roman" w:hAnsi="Times New Roman" w:cs="Times New Roman"/>
            <w:noProof/>
            <w:webHidden/>
          </w:rPr>
          <w:instrText xml:space="preserve"> PAGEREF _Toc164862582 \h </w:instrText>
        </w:r>
        <w:r w:rsidR="00142A7E" w:rsidRPr="00142A7E">
          <w:rPr>
            <w:rFonts w:ascii="Times New Roman" w:hAnsi="Times New Roman" w:cs="Times New Roman"/>
            <w:noProof/>
            <w:webHidden/>
          </w:rPr>
        </w:r>
        <w:r w:rsidR="00142A7E" w:rsidRPr="00142A7E">
          <w:rPr>
            <w:rFonts w:ascii="Times New Roman" w:hAnsi="Times New Roman" w:cs="Times New Roman"/>
            <w:noProof/>
            <w:webHidden/>
          </w:rPr>
          <w:fldChar w:fldCharType="separate"/>
        </w:r>
        <w:r w:rsidR="00142A7E" w:rsidRPr="00142A7E">
          <w:rPr>
            <w:rFonts w:ascii="Times New Roman" w:hAnsi="Times New Roman" w:cs="Times New Roman"/>
            <w:noProof/>
            <w:webHidden/>
          </w:rPr>
          <w:t>52</w:t>
        </w:r>
        <w:r w:rsidR="00142A7E" w:rsidRPr="00142A7E">
          <w:rPr>
            <w:rFonts w:ascii="Times New Roman" w:hAnsi="Times New Roman" w:cs="Times New Roman"/>
            <w:noProof/>
            <w:webHidden/>
          </w:rPr>
          <w:fldChar w:fldCharType="end"/>
        </w:r>
      </w:hyperlink>
    </w:p>
    <w:p w14:paraId="683049B1" w14:textId="0C7D5874"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3" w:history="1">
        <w:r w:rsidRPr="00142A7E">
          <w:rPr>
            <w:rStyle w:val="Hyperlink"/>
            <w:rFonts w:ascii="Times New Roman" w:hAnsi="Times New Roman" w:cs="Times New Roman"/>
            <w:noProof/>
          </w:rPr>
          <w:t>Figure 2. Dixit and Pindyck (1994) Investment Boundary Condition when β =1 (left) and Investment Boundary Condition when β=-1 (right).</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_Toc164862583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53</w:t>
        </w:r>
        <w:r w:rsidRPr="00142A7E">
          <w:rPr>
            <w:rFonts w:ascii="Times New Roman" w:hAnsi="Times New Roman" w:cs="Times New Roman"/>
            <w:noProof/>
            <w:webHidden/>
          </w:rPr>
          <w:fldChar w:fldCharType="end"/>
        </w:r>
      </w:hyperlink>
    </w:p>
    <w:p w14:paraId="1F87ED89" w14:textId="0319FFD1"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4" w:history="1">
        <w:r w:rsidRPr="00142A7E">
          <w:rPr>
            <w:rStyle w:val="Hyperlink"/>
            <w:rFonts w:ascii="Times New Roman" w:hAnsi="Times New Roman" w:cs="Times New Roman"/>
            <w:noProof/>
          </w:rPr>
          <w:t>Figure 3. Electric Utility Policy (left scale), Direct Policy Uncertainty (left scale), and Statistical Policy Uncertainty (right scale) Indices 1985-2022.</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_Toc164862584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54</w:t>
        </w:r>
        <w:r w:rsidRPr="00142A7E">
          <w:rPr>
            <w:rFonts w:ascii="Times New Roman" w:hAnsi="Times New Roman" w:cs="Times New Roman"/>
            <w:noProof/>
            <w:webHidden/>
          </w:rPr>
          <w:fldChar w:fldCharType="end"/>
        </w:r>
      </w:hyperlink>
    </w:p>
    <w:p w14:paraId="3CB05944" w14:textId="1EFE2FF6"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5" w:history="1">
        <w:r w:rsidRPr="00142A7E">
          <w:rPr>
            <w:rStyle w:val="Hyperlink"/>
            <w:rFonts w:ascii="Times New Roman" w:hAnsi="Times New Roman" w:cs="Times New Roman"/>
            <w:noProof/>
          </w:rPr>
          <w:t>Figure 4. Timeline of Transboundary Air Pollution Regulation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_Toc164862585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190</w:t>
        </w:r>
        <w:r w:rsidRPr="00142A7E">
          <w:rPr>
            <w:rFonts w:ascii="Times New Roman" w:hAnsi="Times New Roman" w:cs="Times New Roman"/>
            <w:noProof/>
            <w:webHidden/>
          </w:rPr>
          <w:fldChar w:fldCharType="end"/>
        </w:r>
      </w:hyperlink>
    </w:p>
    <w:p w14:paraId="545D5DE5" w14:textId="114540C0"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6" w:history="1">
        <w:r w:rsidRPr="00142A7E">
          <w:rPr>
            <w:rStyle w:val="Hyperlink"/>
            <w:rFonts w:ascii="Times New Roman" w:hAnsi="Times New Roman" w:cs="Times New Roman"/>
            <w:noProof/>
          </w:rPr>
          <w:t>Figure 5. State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Treatment Status Under CAIR and CSAPR</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_Toc164862586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191</w:t>
        </w:r>
        <w:r w:rsidRPr="00142A7E">
          <w:rPr>
            <w:rFonts w:ascii="Times New Roman" w:hAnsi="Times New Roman" w:cs="Times New Roman"/>
            <w:noProof/>
            <w:webHidden/>
          </w:rPr>
          <w:fldChar w:fldCharType="end"/>
        </w:r>
      </w:hyperlink>
    </w:p>
    <w:p w14:paraId="1CE7EC04" w14:textId="37746CC8"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7" w:history="1">
        <w:r w:rsidRPr="00142A7E">
          <w:rPr>
            <w:rStyle w:val="Hyperlink"/>
            <w:rFonts w:ascii="Times New Roman" w:hAnsi="Times New Roman" w:cs="Times New Roman"/>
            <w:noProof/>
          </w:rPr>
          <w:t>Figure 6. State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Treatment Status Under CAIR and CSAPR</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_Toc164862587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192</w:t>
        </w:r>
        <w:r w:rsidRPr="00142A7E">
          <w:rPr>
            <w:rFonts w:ascii="Times New Roman" w:hAnsi="Times New Roman" w:cs="Times New Roman"/>
            <w:noProof/>
            <w:webHidden/>
          </w:rPr>
          <w:fldChar w:fldCharType="end"/>
        </w:r>
      </w:hyperlink>
    </w:p>
    <w:p w14:paraId="0856166B" w14:textId="55A72155"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8" w:history="1">
        <w:r w:rsidRPr="00142A7E">
          <w:rPr>
            <w:rStyle w:val="Hyperlink"/>
            <w:rFonts w:ascii="Times New Roman" w:hAnsi="Times New Roman" w:cs="Times New Roman"/>
            <w:noProof/>
          </w:rPr>
          <w:t>Figure 7. Boiler Level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Treatment Status Under CAIR and CSAPR</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_Toc164862588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193</w:t>
        </w:r>
        <w:r w:rsidRPr="00142A7E">
          <w:rPr>
            <w:rFonts w:ascii="Times New Roman" w:hAnsi="Times New Roman" w:cs="Times New Roman"/>
            <w:noProof/>
            <w:webHidden/>
          </w:rPr>
          <w:fldChar w:fldCharType="end"/>
        </w:r>
      </w:hyperlink>
    </w:p>
    <w:p w14:paraId="69A6CCDA" w14:textId="2C81020E"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89" w:history="1">
        <w:r w:rsidRPr="00142A7E">
          <w:rPr>
            <w:rStyle w:val="Hyperlink"/>
            <w:rFonts w:ascii="Times New Roman" w:hAnsi="Times New Roman" w:cs="Times New Roman"/>
            <w:noProof/>
          </w:rPr>
          <w:t>Figure 8. Boiler Level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Treatment Status Under CAIR and CSAPR</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_Toc164862589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194</w:t>
        </w:r>
        <w:r w:rsidRPr="00142A7E">
          <w:rPr>
            <w:rFonts w:ascii="Times New Roman" w:hAnsi="Times New Roman" w:cs="Times New Roman"/>
            <w:noProof/>
            <w:webHidden/>
          </w:rPr>
          <w:fldChar w:fldCharType="end"/>
        </w:r>
      </w:hyperlink>
    </w:p>
    <w:p w14:paraId="3F0DBA10" w14:textId="5872C768"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90" w:history="1">
        <w:r w:rsidRPr="00142A7E">
          <w:rPr>
            <w:rStyle w:val="Hyperlink"/>
            <w:rFonts w:ascii="Times New Roman" w:hAnsi="Times New Roman" w:cs="Times New Roman"/>
            <w:noProof/>
          </w:rPr>
          <w:t>Figure 9. Boiler Retirement by SO</w:t>
        </w:r>
        <w:r w:rsidRPr="00142A7E">
          <w:rPr>
            <w:rStyle w:val="Hyperlink"/>
            <w:rFonts w:ascii="Times New Roman" w:hAnsi="Times New Roman" w:cs="Times New Roman"/>
            <w:noProof/>
            <w:vertAlign w:val="subscript"/>
          </w:rPr>
          <w:t>2</w:t>
        </w:r>
        <w:r w:rsidRPr="00142A7E">
          <w:rPr>
            <w:rStyle w:val="Hyperlink"/>
            <w:rFonts w:ascii="Times New Roman" w:hAnsi="Times New Roman" w:cs="Times New Roman"/>
            <w:noProof/>
          </w:rPr>
          <w:t xml:space="preserve"> Regulation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_Toc164862590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195</w:t>
        </w:r>
        <w:r w:rsidRPr="00142A7E">
          <w:rPr>
            <w:rFonts w:ascii="Times New Roman" w:hAnsi="Times New Roman" w:cs="Times New Roman"/>
            <w:noProof/>
            <w:webHidden/>
          </w:rPr>
          <w:fldChar w:fldCharType="end"/>
        </w:r>
      </w:hyperlink>
    </w:p>
    <w:p w14:paraId="0CA7BCC0" w14:textId="258AAB05" w:rsidR="00142A7E" w:rsidRPr="00142A7E" w:rsidRDefault="00142A7E">
      <w:pPr>
        <w:pStyle w:val="TableofFigures"/>
        <w:tabs>
          <w:tab w:val="right" w:leader="dot" w:pos="8630"/>
        </w:tabs>
        <w:rPr>
          <w:rFonts w:ascii="Times New Roman" w:eastAsiaTheme="minorEastAsia" w:hAnsi="Times New Roman" w:cs="Times New Roman"/>
          <w:noProof/>
          <w:kern w:val="2"/>
          <w14:ligatures w14:val="standardContextual"/>
        </w:rPr>
      </w:pPr>
      <w:hyperlink w:anchor="_Toc164862591" w:history="1">
        <w:r w:rsidRPr="00142A7E">
          <w:rPr>
            <w:rStyle w:val="Hyperlink"/>
            <w:rFonts w:ascii="Times New Roman" w:hAnsi="Times New Roman" w:cs="Times New Roman"/>
            <w:noProof/>
          </w:rPr>
          <w:t>Figure 10. Boiler Retirement by NO</w:t>
        </w:r>
        <w:r w:rsidRPr="00142A7E">
          <w:rPr>
            <w:rStyle w:val="Hyperlink"/>
            <w:rFonts w:ascii="Times New Roman" w:hAnsi="Times New Roman" w:cs="Times New Roman"/>
            <w:noProof/>
            <w:vertAlign w:val="subscript"/>
          </w:rPr>
          <w:t>x</w:t>
        </w:r>
        <w:r w:rsidRPr="00142A7E">
          <w:rPr>
            <w:rStyle w:val="Hyperlink"/>
            <w:rFonts w:ascii="Times New Roman" w:hAnsi="Times New Roman" w:cs="Times New Roman"/>
            <w:noProof/>
          </w:rPr>
          <w:t xml:space="preserve"> Regulation</w:t>
        </w:r>
        <w:r w:rsidRPr="00142A7E">
          <w:rPr>
            <w:rFonts w:ascii="Times New Roman" w:hAnsi="Times New Roman" w:cs="Times New Roman"/>
            <w:noProof/>
            <w:webHidden/>
          </w:rPr>
          <w:tab/>
        </w:r>
        <w:r w:rsidRPr="00142A7E">
          <w:rPr>
            <w:rFonts w:ascii="Times New Roman" w:hAnsi="Times New Roman" w:cs="Times New Roman"/>
            <w:noProof/>
            <w:webHidden/>
          </w:rPr>
          <w:fldChar w:fldCharType="begin"/>
        </w:r>
        <w:r w:rsidRPr="00142A7E">
          <w:rPr>
            <w:rFonts w:ascii="Times New Roman" w:hAnsi="Times New Roman" w:cs="Times New Roman"/>
            <w:noProof/>
            <w:webHidden/>
          </w:rPr>
          <w:instrText xml:space="preserve"> PAGEREF _Toc164862591 \h </w:instrText>
        </w:r>
        <w:r w:rsidRPr="00142A7E">
          <w:rPr>
            <w:rFonts w:ascii="Times New Roman" w:hAnsi="Times New Roman" w:cs="Times New Roman"/>
            <w:noProof/>
            <w:webHidden/>
          </w:rPr>
        </w:r>
        <w:r w:rsidRPr="00142A7E">
          <w:rPr>
            <w:rFonts w:ascii="Times New Roman" w:hAnsi="Times New Roman" w:cs="Times New Roman"/>
            <w:noProof/>
            <w:webHidden/>
          </w:rPr>
          <w:fldChar w:fldCharType="separate"/>
        </w:r>
        <w:r w:rsidRPr="00142A7E">
          <w:rPr>
            <w:rFonts w:ascii="Times New Roman" w:hAnsi="Times New Roman" w:cs="Times New Roman"/>
            <w:noProof/>
            <w:webHidden/>
          </w:rPr>
          <w:t>195</w:t>
        </w:r>
        <w:r w:rsidRPr="00142A7E">
          <w:rPr>
            <w:rFonts w:ascii="Times New Roman" w:hAnsi="Times New Roman" w:cs="Times New Roman"/>
            <w:noProof/>
            <w:webHidden/>
          </w:rPr>
          <w:fldChar w:fldCharType="end"/>
        </w:r>
      </w:hyperlink>
    </w:p>
    <w:p w14:paraId="74341040" w14:textId="1A00C96D" w:rsidR="00387656" w:rsidRPr="007F37A0" w:rsidRDefault="00387656" w:rsidP="00387656">
      <w:pPr>
        <w:pStyle w:val="Title"/>
        <w:rPr>
          <w:rFonts w:ascii="Times New Roman" w:hAnsi="Times New Roman" w:cs="Times New Roman"/>
          <w:sz w:val="24"/>
        </w:rPr>
      </w:pPr>
      <w:r w:rsidRPr="007F37A0">
        <w:rPr>
          <w:rFonts w:ascii="Times New Roman" w:hAnsi="Times New Roman" w:cs="Times New Roman"/>
          <w:sz w:val="24"/>
        </w:rPr>
        <w:fldChar w:fldCharType="end"/>
      </w:r>
      <w:r w:rsidRPr="007F37A0">
        <w:rPr>
          <w:rFonts w:ascii="Times New Roman" w:hAnsi="Times New Roman" w:cs="Times New Roman"/>
          <w:sz w:val="24"/>
        </w:rPr>
        <w:t xml:space="preserve"> </w:t>
      </w:r>
    </w:p>
    <w:p w14:paraId="0C6057DF" w14:textId="77777777" w:rsidR="003C1575" w:rsidRPr="007F37A0" w:rsidRDefault="003C1575" w:rsidP="005E54E2">
      <w:pPr>
        <w:rPr>
          <w:rFonts w:ascii="Times New Roman" w:hAnsi="Times New Roman" w:cs="Times New Roman"/>
        </w:rPr>
      </w:pPr>
    </w:p>
    <w:p w14:paraId="6717B9C9" w14:textId="77777777" w:rsidR="0085757D" w:rsidRPr="007F37A0" w:rsidRDefault="0085757D" w:rsidP="005E54E2">
      <w:pPr>
        <w:rPr>
          <w:rFonts w:ascii="Times New Roman" w:hAnsi="Times New Roman" w:cs="Times New Roman"/>
        </w:rPr>
      </w:pPr>
    </w:p>
    <w:p w14:paraId="143F4191" w14:textId="77777777" w:rsidR="0085757D" w:rsidRPr="007F37A0" w:rsidRDefault="0085757D" w:rsidP="005E54E2">
      <w:pPr>
        <w:rPr>
          <w:rFonts w:ascii="Times New Roman" w:hAnsi="Times New Roman" w:cs="Times New Roman"/>
        </w:rPr>
      </w:pPr>
    </w:p>
    <w:p w14:paraId="59C32094" w14:textId="77777777" w:rsidR="0085757D" w:rsidRPr="007F37A0" w:rsidRDefault="0085757D" w:rsidP="005E54E2">
      <w:pPr>
        <w:rPr>
          <w:rFonts w:ascii="Times New Roman" w:hAnsi="Times New Roman" w:cs="Times New Roman"/>
        </w:rPr>
      </w:pPr>
    </w:p>
    <w:p w14:paraId="16F7663A" w14:textId="77777777" w:rsidR="0085757D" w:rsidRPr="007F37A0" w:rsidRDefault="0085757D" w:rsidP="005E54E2">
      <w:pPr>
        <w:rPr>
          <w:rFonts w:ascii="Times New Roman" w:hAnsi="Times New Roman" w:cs="Times New Roman"/>
        </w:rPr>
        <w:sectPr w:rsidR="0085757D" w:rsidRPr="007F37A0" w:rsidSect="00FE7549">
          <w:footerReference w:type="default" r:id="rId11"/>
          <w:pgSz w:w="12240" w:h="15840" w:code="1"/>
          <w:pgMar w:top="1440" w:right="1800" w:bottom="1872" w:left="1800" w:header="720" w:footer="1440" w:gutter="0"/>
          <w:pgNumType w:fmt="lowerRoman" w:start="1"/>
          <w:cols w:space="720"/>
          <w:noEndnote/>
          <w:titlePg/>
        </w:sectPr>
      </w:pPr>
    </w:p>
    <w:p w14:paraId="13FA36B1" w14:textId="77777777" w:rsidR="00D526E7" w:rsidRPr="007F37A0" w:rsidRDefault="00D526E7" w:rsidP="00D526E7">
      <w:pPr>
        <w:pStyle w:val="Heading1"/>
        <w:rPr>
          <w:rFonts w:ascii="Times New Roman" w:hAnsi="Times New Roman" w:cs="Times New Roman"/>
          <w:szCs w:val="28"/>
        </w:rPr>
      </w:pPr>
      <w:bookmarkStart w:id="0" w:name="_Toc289175825"/>
      <w:bookmarkStart w:id="1" w:name="_Toc164862491"/>
      <w:r w:rsidRPr="007F37A0">
        <w:rPr>
          <w:rFonts w:ascii="Times New Roman" w:hAnsi="Times New Roman" w:cs="Times New Roman"/>
          <w:caps w:val="0"/>
          <w:szCs w:val="28"/>
        </w:rPr>
        <w:lastRenderedPageBreak/>
        <w:t>CHAPTER I</w:t>
      </w:r>
      <w:r w:rsidRPr="007F37A0">
        <w:rPr>
          <w:rFonts w:ascii="Times New Roman" w:hAnsi="Times New Roman" w:cs="Times New Roman"/>
          <w:caps w:val="0"/>
          <w:szCs w:val="28"/>
        </w:rPr>
        <w:br/>
      </w:r>
      <w:bookmarkEnd w:id="0"/>
      <w:r w:rsidRPr="007F37A0">
        <w:rPr>
          <w:rFonts w:ascii="Times New Roman" w:hAnsi="Times New Roman" w:cs="Times New Roman"/>
          <w:caps w:val="0"/>
          <w:szCs w:val="28"/>
        </w:rPr>
        <w:t>POLICY UNCERTAINTY AND ELECTRIC UTILITY INVESTMENT</w:t>
      </w:r>
      <w:bookmarkEnd w:id="1"/>
    </w:p>
    <w:p w14:paraId="0110EA23" w14:textId="77777777" w:rsidR="00D526E7" w:rsidRPr="007F37A0" w:rsidRDefault="00D526E7" w:rsidP="00D526E7">
      <w:pPr>
        <w:rPr>
          <w:rFonts w:ascii="Times New Roman" w:hAnsi="Times New Roman" w:cs="Times New Roman"/>
        </w:rPr>
      </w:pPr>
    </w:p>
    <w:p w14:paraId="00F2FF49" w14:textId="77777777" w:rsidR="00D526E7" w:rsidRPr="007F37A0" w:rsidRDefault="00D526E7" w:rsidP="00D526E7">
      <w:pPr>
        <w:pStyle w:val="Heading3"/>
        <w:rPr>
          <w:rFonts w:ascii="Times New Roman" w:hAnsi="Times New Roman" w:cs="Times New Roman"/>
          <w:szCs w:val="24"/>
        </w:rPr>
      </w:pPr>
      <w:r w:rsidRPr="007F37A0">
        <w:rPr>
          <w:rFonts w:ascii="Times New Roman" w:hAnsi="Times New Roman" w:cs="Times New Roman"/>
          <w:szCs w:val="24"/>
        </w:rPr>
        <w:br w:type="page"/>
      </w:r>
    </w:p>
    <w:p w14:paraId="05383A56" w14:textId="77777777" w:rsidR="00D526E7" w:rsidRPr="007F37A0" w:rsidRDefault="00D526E7" w:rsidP="00D526E7">
      <w:pPr>
        <w:pStyle w:val="Heading2"/>
        <w:rPr>
          <w:rFonts w:ascii="Times New Roman" w:hAnsi="Times New Roman" w:cs="Times New Roman"/>
          <w:sz w:val="24"/>
          <w:szCs w:val="24"/>
        </w:rPr>
      </w:pPr>
      <w:bookmarkStart w:id="2" w:name="_Toc289175826"/>
      <w:r w:rsidRPr="007F37A0">
        <w:rPr>
          <w:rFonts w:ascii="Times New Roman" w:hAnsi="Times New Roman" w:cs="Times New Roman"/>
          <w:sz w:val="24"/>
          <w:szCs w:val="24"/>
        </w:rPr>
        <w:lastRenderedPageBreak/>
        <w:t xml:space="preserve">    </w:t>
      </w:r>
      <w:bookmarkStart w:id="3" w:name="_Toc164862492"/>
      <w:r w:rsidRPr="007F37A0">
        <w:rPr>
          <w:rFonts w:ascii="Times New Roman" w:hAnsi="Times New Roman" w:cs="Times New Roman"/>
          <w:sz w:val="24"/>
          <w:szCs w:val="24"/>
        </w:rPr>
        <w:t>ABSTRACT</w:t>
      </w:r>
      <w:bookmarkEnd w:id="2"/>
      <w:bookmarkEnd w:id="3"/>
      <w:r w:rsidRPr="007F37A0">
        <w:rPr>
          <w:rFonts w:ascii="Times New Roman" w:hAnsi="Times New Roman" w:cs="Times New Roman"/>
          <w:sz w:val="24"/>
          <w:szCs w:val="24"/>
        </w:rPr>
        <w:tab/>
      </w:r>
    </w:p>
    <w:p w14:paraId="5922B7AA" w14:textId="77777777" w:rsidR="00D526E7" w:rsidRPr="007F37A0" w:rsidRDefault="00D526E7" w:rsidP="00D526E7">
      <w:pPr>
        <w:rPr>
          <w:rFonts w:ascii="Times New Roman" w:hAnsi="Times New Roman" w:cs="Times New Roman"/>
        </w:rPr>
      </w:pPr>
      <w:r w:rsidRPr="007F37A0">
        <w:rPr>
          <w:rFonts w:ascii="Times New Roman" w:hAnsi="Times New Roman" w:cs="Times New Roman"/>
        </w:rPr>
        <w:tab/>
      </w:r>
    </w:p>
    <w:p w14:paraId="23ECCBB9"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investigate the effect of policy uncertainty on energy investments using a theoretical model based on real option theory and firm-level data on electric utility investments. Consistent with real options theory, a growing body of research finds policy uncertainty deters investment (e.g., Gulen &amp; Ion 2016, Baker et al. 2016). This previous research does not distinguish between uncertainty over “carrot” policies, such as subsidies, and “stick” policies, such as taxes. This is problematic for environmental policy which uses both types of policies and evidence shows different responses to these types of policies (e.g. van Soest, 2005; Ye, et al. 2022). My real option theoretical model shows uncertainty over these two types of policies has differential effects on firm investments. This finding adds to the literature about the differential effects of taxes and subsidies (Requate, 2005). I test the implications of the model for electric utilities using firm-level data on quarterly capital investment. I construct two measures of electric utility-specific policy uncertainty using counts of newspaper articles that discuss electric utility-relevant policy. The empirical analysis, combined with the theoretical findings, reveals two results. First, increases in volatility over policy activity correspond to an increase in utility investment consistent with utilities expecting future policies to be “sticks.” Second, popular newspaper-based measures of policy uncertainty might not be an accurate proxy for uncertainty defined in real options theory. These insights illustrate an overlooked difference between taxes and subsidies as a regulating mechanism for environmental policy.            </w:t>
      </w:r>
      <w:r w:rsidRPr="007F37A0">
        <w:rPr>
          <w:rFonts w:ascii="Times New Roman" w:hAnsi="Times New Roman" w:cs="Times New Roman"/>
        </w:rPr>
        <w:br w:type="page"/>
      </w:r>
    </w:p>
    <w:p w14:paraId="4E504635" w14:textId="77777777" w:rsidR="00D526E7" w:rsidRPr="007F37A0" w:rsidRDefault="00D526E7" w:rsidP="00D526E7">
      <w:pPr>
        <w:pStyle w:val="Heading2"/>
        <w:rPr>
          <w:rFonts w:ascii="Times New Roman" w:hAnsi="Times New Roman" w:cs="Times New Roman"/>
          <w:sz w:val="24"/>
          <w:szCs w:val="24"/>
        </w:rPr>
      </w:pPr>
      <w:bookmarkStart w:id="4" w:name="_Toc164862493"/>
      <w:r w:rsidRPr="007F37A0">
        <w:rPr>
          <w:rFonts w:ascii="Times New Roman" w:hAnsi="Times New Roman" w:cs="Times New Roman"/>
          <w:sz w:val="24"/>
          <w:szCs w:val="24"/>
        </w:rPr>
        <w:lastRenderedPageBreak/>
        <w:t>1.1 INTRODUCTION</w:t>
      </w:r>
      <w:bookmarkEnd w:id="4"/>
    </w:p>
    <w:p w14:paraId="78A23C76" w14:textId="77777777" w:rsidR="00D526E7" w:rsidRPr="007F37A0" w:rsidRDefault="00D526E7" w:rsidP="00D526E7">
      <w:pPr>
        <w:rPr>
          <w:rFonts w:ascii="Times New Roman" w:hAnsi="Times New Roman" w:cs="Times New Roman"/>
        </w:rPr>
      </w:pPr>
    </w:p>
    <w:p w14:paraId="02F67993"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In this paper, I investigate how policy uncertainty affects energy investments differently between types of policy instruments. A growing body of research finds policy uncertainty deters investment (e.g., Gulen &amp; Ion, 2016; Baker et al., 2016). This previous research does not distinguish between uncertainty over “carrot” policies, such as subsidies, and “stick” policies, such as taxes. This is problematic for environmental policy which uses both types of policies and evidence shows different responses to these types of policies (e.g. van Soest, 2005; Ye, et al. 2022). I develop a real option model to show the theoretical basis for differential effects of types of policy uncertainty. I test the implications of this model with firm-level data on electric utility investments. </w:t>
      </w:r>
    </w:p>
    <w:p w14:paraId="44A2B5DF"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develop a theoretical model based on real option theory that accommodates two types of policy. “Carrot” policies positively affect a firm’s profits, and “stick” policies negatively affect a firm’s profits. This key difference in assumptions relative to other models, means that “carrot” policies scale firm profits directly and linearly but “stick” policies inversely scale profits nonlinearly. The model shows uncertainty over “carrot” policies increases investment and uncertainty over “stick” policies decreases investment. To test the implications of my model, I construct a theoretically consistent measure of electric utility-specific policy uncertainty using text analysis of newspaper articles. To construct this measure, I create a policy index that measures the level of policy activity (first moment) by calculating the proportion of newspaper articles that discuss electric utility-specific policy. Then I estimate the policy uncertainty index (second moment) by estimating the stochastic volatility of the policy index. This policy uncertainty index, </w:t>
      </w:r>
      <w:r w:rsidRPr="007F37A0">
        <w:rPr>
          <w:rFonts w:ascii="Times New Roman" w:hAnsi="Times New Roman" w:cs="Times New Roman"/>
        </w:rPr>
        <w:lastRenderedPageBreak/>
        <w:t>which I refer to as statistical policy uncertainty, corresponds to the real option definition of uncertainty – the statistical volatility in a random variable such as price or demand (Dixit &amp; Pindyck, 1994).</w:t>
      </w:r>
    </w:p>
    <w:p w14:paraId="31281211"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The theoretical model shows uncertainty over “carrot” policies and “stick” policies impact firms’ investment differently. Relative increases in uncertainty over “carrot” policies results in lower capital investments, and relative increases in uncertainty over “stick” policies increases capital investments. Intuitively, compared to “stick” policies happening with certainty, firms would rather have uncertainty over “stick” policies. When considering policies such as taxes, firms would rather there be some reasonable chance that the policy would not occur. In this scenario, firms would invest more in large capital projects simply because expected profits are higher than if the stick policy would occur with certainty. I apply the model to the electric utility industry, which is characterized by frequent regulation and large irreversible capital investments. I empirically document a positive effect of statistical policy uncertainty on electric utilities’ capital investment. This result is consistent with theoretical results that uncertainty over “stick” policies can increase investment. According to these results, electric utilities expect policies to more often be “sticks” rather than “carrots” during our study period. </w:t>
      </w:r>
    </w:p>
    <w:p w14:paraId="6949EFCA" w14:textId="75DA0188"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compare statistical policy uncertainty to the predominant measure of policy uncertainty in the empirical literature.  Baker, et al.’s (2016) widely used method of measuring policy uncertainty calculates the proportion of newspaper articles that explicitly discuss uncertainty and relevant policies. I refer to Baker, et al.’s (2016) </w:t>
      </w:r>
      <w:r w:rsidRPr="007F37A0">
        <w:rPr>
          <w:rFonts w:ascii="Times New Roman" w:hAnsi="Times New Roman" w:cs="Times New Roman"/>
        </w:rPr>
        <w:lastRenderedPageBreak/>
        <w:t xml:space="preserve">method as direct policy uncertainty as they capture direct references to uncertainty over policies. Both statistical policy uncertainty and direct policy uncertainty might affect electric utility investments. Direct policy uncertainty can be thought of as uncertainty over current, specific policies passing Congress. In contrast, statistical policy uncertainty can be thought of as uncertainty over future, undefined policies. These two measures of policy uncertainty are summarized in </w:t>
      </w:r>
      <w:r w:rsidRPr="007F37A0">
        <w:rPr>
          <w:rFonts w:ascii="Times New Roman" w:hAnsi="Times New Roman" w:cs="Times New Roman"/>
        </w:rPr>
        <w:fldChar w:fldCharType="begin"/>
      </w:r>
      <w:r w:rsidRPr="007F37A0">
        <w:rPr>
          <w:rFonts w:ascii="Times New Roman" w:hAnsi="Times New Roman" w:cs="Times New Roman"/>
        </w:rPr>
        <w:instrText xml:space="preserve"> REF _Ref159331610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w:t>
      </w:r>
      <w:r w:rsidRPr="007F37A0">
        <w:rPr>
          <w:rFonts w:ascii="Times New Roman" w:hAnsi="Times New Roman" w:cs="Times New Roman"/>
        </w:rPr>
        <w:fldChar w:fldCharType="end"/>
      </w:r>
      <w:r w:rsidRPr="007F37A0">
        <w:rPr>
          <w:rFonts w:ascii="Times New Roman" w:hAnsi="Times New Roman" w:cs="Times New Roman"/>
        </w:rPr>
        <w:t xml:space="preserve">. As an application of my model, I empirically estimate the effect of these two measures of policy uncertainty on electric utilities’ capital investments using firm-level data on quarterly capital investment. I focus on electric utilities because they typically make large irreversible investments and are subject to many regulations. Examining trends in investment rates over time in </w:t>
      </w:r>
      <w:r w:rsidRPr="007F37A0">
        <w:rPr>
          <w:rFonts w:ascii="Times New Roman" w:hAnsi="Times New Roman" w:cs="Times New Roman"/>
        </w:rPr>
        <w:fldChar w:fldCharType="begin"/>
      </w:r>
      <w:r w:rsidRPr="007F37A0">
        <w:rPr>
          <w:rFonts w:ascii="Times New Roman" w:hAnsi="Times New Roman" w:cs="Times New Roman"/>
        </w:rPr>
        <w:instrText xml:space="preserve"> REF _Ref159331010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1</w:t>
      </w:r>
      <w:r w:rsidRPr="007F37A0">
        <w:rPr>
          <w:rFonts w:ascii="Times New Roman" w:hAnsi="Times New Roman" w:cs="Times New Roman"/>
        </w:rPr>
        <w:fldChar w:fldCharType="end"/>
      </w:r>
      <w:r w:rsidRPr="007F37A0">
        <w:rPr>
          <w:rFonts w:ascii="Times New Roman" w:hAnsi="Times New Roman" w:cs="Times New Roman"/>
        </w:rPr>
        <w:t>, electric utility investment rates have recently started to fall.</w:t>
      </w:r>
      <w:r w:rsidRPr="007F37A0">
        <w:rPr>
          <w:rStyle w:val="FootnoteReference"/>
          <w:rFonts w:ascii="Times New Roman" w:hAnsi="Times New Roman" w:cs="Times New Roman"/>
        </w:rPr>
        <w:t xml:space="preserve"> </w:t>
      </w:r>
      <w:r w:rsidRPr="007F37A0">
        <w:rPr>
          <w:rStyle w:val="FootnoteReference"/>
          <w:rFonts w:ascii="Times New Roman" w:hAnsi="Times New Roman" w:cs="Times New Roman"/>
        </w:rPr>
        <w:footnoteReference w:id="2"/>
      </w:r>
      <w:r w:rsidRPr="007F37A0">
        <w:rPr>
          <w:rFonts w:ascii="Times New Roman" w:hAnsi="Times New Roman" w:cs="Times New Roman"/>
        </w:rPr>
        <w:t xml:space="preserve"> This further motivates exploring potential explanations of this recent trend through the lens of policy uncertainty. I find evidence that electric utilities react to both direct policy uncertainty and statistical policy uncertainty. Interestingly, these two types of uncertainty have opposing effects on investment. Statistical policy uncertainty increases investment, but direct policy uncertainty decreases investment. This could be explained by differences in firm expectations of current policy uncertainty around specific policies (direct policy uncertainty) and future policy uncertainty over non-specific policies (statistical policy uncertainty). For example, the difference between a utility’s response to uncertainty over </w:t>
      </w:r>
      <w:r w:rsidRPr="007F37A0">
        <w:rPr>
          <w:rFonts w:ascii="Times New Roman" w:hAnsi="Times New Roman" w:cs="Times New Roman"/>
        </w:rPr>
        <w:lastRenderedPageBreak/>
        <w:t xml:space="preserve">the Inflation Reduction Act passing Congress and general uncertainty over future carbon emission regulations. The empirical results suggest that direct policy uncertainty and statistical policy uncertainty capture distinct information to which electric utilities respond. </w:t>
      </w:r>
    </w:p>
    <w:p w14:paraId="5480FB83"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A positive effect of policy uncertainty stands in contrast to the existing literature. Real options investment models have come to a consensus that higher uncertainty deters investment as there is value for firms to delay investment until the uncertainty is resolved (Bernanke, 1983; Pindyck, 1991; Dixit, 1989; Bloom, Bond, and Van Reenen, 2007). The prior empirical literature on policy uncertainty cites these classic real options investment models as a theoretical basis for the negative effect of policy uncertainty on investment (Baker, Bloom, &amp; Davis, 2016; Gulen &amp; Ion, 2016). Research outside of the real option literature has found positive effects of uncertainty on investment by making assumptions about strategic behavior (Kulatilaka &amp; Perotti, 1998), risk preferences (Abel &amp; Blanchard, 1986), or market structure (Oi, 1961). Empirically, few have found positive effects of uncertainty on investment, and those who do attribute these results to strategic behavior (Vo &amp; Le, 2017; Wu et al., 2020). The differential effects of policy instruments are well documented in the environmental policy literature (Requate, 2005). This paper extends the literature by providing a theoretical basis for the differential effects of policy uncertainty and documenting empirical evidence that corroborates the model. </w:t>
      </w:r>
    </w:p>
    <w:p w14:paraId="733DB657"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present a theoretically consistent approach to measuring policy uncertainty which connects popular text-based measures of policy uncertainty to the real option literature. Researchers have estimated implied uncertainty (Bloom, 2009; Dew-Becker &amp; </w:t>
      </w:r>
      <w:r w:rsidRPr="007F37A0">
        <w:rPr>
          <w:rFonts w:ascii="Times New Roman" w:hAnsi="Times New Roman" w:cs="Times New Roman"/>
        </w:rPr>
        <w:lastRenderedPageBreak/>
        <w:t>Giglio, 2023), or direct measures of uncertainty through newspapers (Baker, Bloom, &amp; Davis, 2016), earnings calls (Hassan et al., 2019; Sautner et al., 2023), surveys of managers (Bloom et al., 2022), and social media such as Twitter (Baker et al., 2021). When considering a policy uncertainty index as a second-moment statistic, volatility over a random variable, some researchers have also directly measured a policy index, the random variable itself (Noailly et al., 2022; Palikhe et al., 2023).  I improve upon these previous iterations by directly measuring a policy index (random variable) and statistically estimating the policy uncertainty index (second moment statistic). This method is consistent with real options theory which focuses on future uncertainty while the other text analysis measures focus on all uncertainty which makes it difficult to compare the empirical findings to theory.</w:t>
      </w:r>
    </w:p>
    <w:p w14:paraId="21891B12"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This paper shows that “stick” policy uncertainty does not behave the same as other types of uncertainty. Although most policy uncertainty discourages investment, this paper shows that policymakers need not always be worried about the uncertainty that their actions induce. Further, I show that two types of policy uncertainty affect firms’ investment decisions: current policy uncertainty around specific policies (direct policy uncertainty) and future policy uncertainty over non-specific policies (statistical policy uncertainty). Policymakers create uncertainty in industries through both avenues, but the differences are not well understood.</w:t>
      </w:r>
    </w:p>
    <w:p w14:paraId="23E057EF" w14:textId="77777777" w:rsidR="00D526E7" w:rsidRPr="007F37A0" w:rsidRDefault="00D526E7" w:rsidP="00D526E7">
      <w:pPr>
        <w:pStyle w:val="Heading2"/>
        <w:spacing w:line="480" w:lineRule="auto"/>
        <w:rPr>
          <w:rFonts w:ascii="Times New Roman" w:hAnsi="Times New Roman" w:cs="Times New Roman"/>
          <w:sz w:val="24"/>
          <w:szCs w:val="24"/>
        </w:rPr>
      </w:pPr>
      <w:bookmarkStart w:id="5" w:name="_Toc164862494"/>
      <w:r w:rsidRPr="007F37A0">
        <w:rPr>
          <w:rFonts w:ascii="Times New Roman" w:hAnsi="Times New Roman" w:cs="Times New Roman"/>
          <w:sz w:val="24"/>
          <w:szCs w:val="24"/>
        </w:rPr>
        <w:t>1.2 LITERATURE REVIEW</w:t>
      </w:r>
      <w:bookmarkEnd w:id="5"/>
      <w:r w:rsidRPr="007F37A0">
        <w:rPr>
          <w:rFonts w:ascii="Times New Roman" w:hAnsi="Times New Roman" w:cs="Times New Roman"/>
          <w:sz w:val="24"/>
          <w:szCs w:val="24"/>
        </w:rPr>
        <w:t xml:space="preserve"> </w:t>
      </w:r>
    </w:p>
    <w:p w14:paraId="709A2FDB"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Baker, Bloom, and Davis’ (2016) seminal work enabled many researchers to examine the effect of policy uncertainty on macroeconomic and microeconomic </w:t>
      </w:r>
      <w:r w:rsidRPr="007F37A0">
        <w:rPr>
          <w:rFonts w:ascii="Times New Roman" w:hAnsi="Times New Roman" w:cs="Times New Roman"/>
        </w:rPr>
        <w:lastRenderedPageBreak/>
        <w:t xml:space="preserve">outcomes through newspaper text analysis. Using dictionary-based methods, research has empirically shown a negative relationship between policy uncertainty and firm investment rates (e.g. Baker, Bloom, &amp; Davis, 2016; Gulen &amp; Ion, 2016; Kang, Lee, &amp; Ratti, 2014). Other alternative data-driven text analysis techniques have produced similar impacts of policy uncertainty deterring investment (Larsen, 2017; Kalamara et al., 2020). Before using newspaper articles to proxy for levels of uncertainty, empirical research suggested that higher levels of political uncertainty suppressed investments by identifying periods of general political uncertainty (Handley &amp; Limao, 2015). For example, presidential elections tend to suppress investment as uncertainty over future policies increases during that period (Jens, 2017; Julio &amp; Yook, 2012).  Previous research has measured different types of uncertainty such as financial uncertainty, economic uncertainty, interest rate uncertainty, worldwide uncertainty, etc. (Cascaldi-Garcia et al., 2020; Ahir et al., 2022). Other research has examined the effect of policy uncertainty on various dependent variables of interest, such as green investments (Cui et al., 2023) and energy generation (Gowrisankaran et al., 2022). The environmental economics literature has just begun to utilize some of these text-based forms of data (Dugoua et al., 2022). Despite the differences Requate (2005) found in types of policy instruments, empiric measurements of policy uncertainty have not differentiated among types of policies. I extend this literature by differentiating policy uncertainty between “carrot” policies, such as subsidies, and “stick” policies, such as taxes. </w:t>
      </w:r>
    </w:p>
    <w:p w14:paraId="662AE210"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Researchers have employed creative solutions to address the challenges of measuring policy uncertainty. Researchers have estimated implied uncertainty (Bloom, </w:t>
      </w:r>
      <w:r w:rsidRPr="007F37A0">
        <w:rPr>
          <w:rFonts w:ascii="Times New Roman" w:hAnsi="Times New Roman" w:cs="Times New Roman"/>
        </w:rPr>
        <w:lastRenderedPageBreak/>
        <w:t>2009; Dew-Becker &amp; Giglio, 2023), or direct measures of uncertainty through newspapers (Baker, Bloom, &amp; Davis, 2016), earnings calls (Hassan et al., 2019; Sautner et al., 2023), surveys of managers (Bloom et al., 2022), and social media such as Twitter (Baker et al., 2021). When considering the policy uncertainty index as a second-moment statistic, some researchers have also directly measured a policy index as a first-moment statistic (Noailly et al., 2022; Palikhe et al., 2023). I improve upon these previous iterations by directly measuring a policy index (first moment) and statistically estimating the policy uncertainty index (second moment). This method combines two previous methods of direct measurement and statistical estimation, producing a measure theoretically consistent with the real options literature.</w:t>
      </w:r>
    </w:p>
    <w:p w14:paraId="162F633F"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An empirical consensus on the effect of uncertainty on investment has not been reached. Van Vo and Le (2017) find evidence that in competitive markets firms increase their research and development investments during periods of high uncertainty. Wu et al. (2020) find that Australian firms exhibit a positive relationship between policy uncertainty and investment rates. They speculate that Australian firms might be behaving competitively since Australia did not endure the same economic turmoil as other countries in recent years. Although these results are few and far between, there exists some prior empirical evidence that policy uncertainty could increase investment. However, explanations of these empirical results speculate about firm behavior and do not provide any theoretical basis for their empirical results in those specific contexts.</w:t>
      </w:r>
    </w:p>
    <w:p w14:paraId="32FF1CCA"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The theoretical literature produces mixed results concerning the effect of uncertainty on investment rates as well. Pástor and Veronesi (2013) find a negative effect </w:t>
      </w:r>
      <w:r w:rsidRPr="007F37A0">
        <w:rPr>
          <w:rFonts w:ascii="Times New Roman" w:hAnsi="Times New Roman" w:cs="Times New Roman"/>
        </w:rPr>
        <w:lastRenderedPageBreak/>
        <w:t>of policy uncertainty on stock prices using a general equilibrium model. Kulatilaka and Perotti (1998) argue that investment should grow in the face of higher uncertainty as firms act strategically to gain an advantage in non-competitive market structures. Oi (1961) shows that uncertainty decreases price stability and could increase return on investment due to increased potential profits. Abel and Blanchard (1986) posit that uncertainty leads risk-seeking investors to increase investment due to potentially large gains. Much of the research finding potential positive effects of uncertainty on investment rates relies on assumptions about market structure and competitive behavior. Real options investment models have come to a consensus that higher uncertainty deters investment as there is value for firms to delay investment until the uncertainty is resolved (Bernanke, 1983; Pindyck, 1991; Dixit, 1989; Bloom, Bond, and Van Reenen, 2007). These theories apply generally to a firm’s investment decisions without making restrictive assumptions about market structure and competitive behavior. The theoretical model presented in this paper uses a real options investment model framework and finds that both positive and negative effects of policy uncertainty are consistent with the theoretical results under certain modeling assumptions.</w:t>
      </w:r>
    </w:p>
    <w:p w14:paraId="00002E01"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The empirical results focus on the electric utility industry which is relatively capital-intensive and policy uncertainty should have a large impact on investment decisions. Prior research examined other types of uncertainty such as the impact of fuel price volatility on power plants’ investment decisions and innovation (e.g. Stokey, 2016; Kellogg, 2014; Maghyereh &amp; Abdoh, 2020). Dorsey (2019) found a negative effect of uncertainty around a specific policy (Cross State Air Pollution Rule) on power plants’ </w:t>
      </w:r>
      <w:r w:rsidRPr="007F37A0">
        <w:rPr>
          <w:rFonts w:ascii="Times New Roman" w:hAnsi="Times New Roman" w:cs="Times New Roman"/>
        </w:rPr>
        <w:lastRenderedPageBreak/>
        <w:t>investment decisions on a specific type of investment, abatement technology. Wang et al. (2023) found the uncertainty of the size of subsidies decreased green investments in China. Similarly, Fabrizio (2013) found a negative effect of uncertainty around the Renewable Portfolio Standards on power plant investments. Palikhe et al. (2023) broadly examined the effect of policy uncertainty on environmental firms and found a negative effect. However, no research has leveraged a broad measure of policy uncertainty in the electric utility industry.</w:t>
      </w:r>
    </w:p>
    <w:p w14:paraId="21F18DD1" w14:textId="77777777" w:rsidR="00D526E7" w:rsidRPr="007F37A0" w:rsidRDefault="00D526E7" w:rsidP="00D526E7">
      <w:pPr>
        <w:pStyle w:val="Heading2"/>
        <w:spacing w:line="480" w:lineRule="auto"/>
        <w:rPr>
          <w:rFonts w:ascii="Times New Roman" w:hAnsi="Times New Roman" w:cs="Times New Roman"/>
          <w:sz w:val="24"/>
          <w:szCs w:val="24"/>
        </w:rPr>
      </w:pPr>
      <w:bookmarkStart w:id="6" w:name="_Toc164862495"/>
      <w:r w:rsidRPr="007F37A0">
        <w:rPr>
          <w:rFonts w:ascii="Times New Roman" w:hAnsi="Times New Roman" w:cs="Times New Roman"/>
          <w:sz w:val="24"/>
          <w:szCs w:val="24"/>
        </w:rPr>
        <w:t>1.3 THEORETICAL MODEL</w:t>
      </w:r>
      <w:bookmarkEnd w:id="6"/>
    </w:p>
    <w:p w14:paraId="4ADA6045"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expand on a real options investment model from Dixit and Pindyck (1994) which finds a negative impact of uncertainty on investment. Like other real options investment models, Dixit and Pindyck’s (1994) model defines uncertainty as volatility over the level of a random variable, such as demand. The original model assumes that the random variable is positively related to the firm’s profit such as with demand uncertainty. This means their model can naturally apply to volatility over the level of policy activity when policy positively affects firm profits, such as “carrot” policies. I extend the original model by relaxing the assumption that random variable positively affects firm profits, allowing for uncertainty over “stick” policies. By generalizing Dixit and Pindyck’s (1994) model, the effect of volatility in the level of policy activity can produce negative or positive effects on firm investment rates. When policy activity positively affects firm profits and the level of policy activity is increasing sufficiently quickly, I recover the original Dixit and Pindyck (1994) results that volatility over the level of policy activity deters firm investment. However, when policy activity negatively affects firm profits and </w:t>
      </w:r>
      <w:r w:rsidRPr="007F37A0">
        <w:rPr>
          <w:rFonts w:ascii="Times New Roman" w:hAnsi="Times New Roman" w:cs="Times New Roman"/>
        </w:rPr>
        <w:lastRenderedPageBreak/>
        <w:t>the level of policy is increasing sufficiently slowly or decreasing, the model produces a novel result where volatility in the level of policy activity increases firm investment.</w:t>
      </w:r>
    </w:p>
    <w:p w14:paraId="36AC1A6C"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Consider a price-taking firm that is making an irreversible investment into capital, </w:t>
      </w:r>
      <m:oMath>
        <m:r>
          <w:rPr>
            <w:rFonts w:ascii="Cambria Math" w:hAnsi="Cambria Math" w:cs="Times New Roman"/>
          </w:rPr>
          <m:t>K</m:t>
        </m:r>
      </m:oMath>
      <w:r w:rsidRPr="007F37A0">
        <w:rPr>
          <w:rFonts w:ascii="Times New Roman" w:hAnsi="Times New Roman" w:cs="Times New Roman"/>
        </w:rPr>
        <w:t xml:space="preserve">, which costs </w:t>
      </w:r>
      <m:oMath>
        <m:r>
          <w:rPr>
            <w:rFonts w:ascii="Cambria Math" w:hAnsi="Cambria Math" w:cs="Times New Roman"/>
          </w:rPr>
          <m:t>κ</m:t>
        </m:r>
      </m:oMath>
      <w:r w:rsidRPr="007F37A0">
        <w:rPr>
          <w:rFonts w:ascii="Times New Roman" w:hAnsi="Times New Roman" w:cs="Times New Roman"/>
        </w:rPr>
        <w:t>. After the fixed cost of investment, there is no additional variable cost of capital. The firm does not use labor in the production process. Let profit flows be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225"/>
        <w:gridCol w:w="810"/>
      </w:tblGrid>
      <w:tr w:rsidR="00D526E7" w:rsidRPr="007F37A0" w14:paraId="18664BF8" w14:textId="77777777" w:rsidTr="00735871">
        <w:tc>
          <w:tcPr>
            <w:tcW w:w="605" w:type="dxa"/>
          </w:tcPr>
          <w:p w14:paraId="037E7588" w14:textId="77777777" w:rsidR="00D526E7" w:rsidRPr="007F37A0" w:rsidRDefault="00D526E7" w:rsidP="00735871">
            <w:pPr>
              <w:spacing w:line="480" w:lineRule="auto"/>
              <w:rPr>
                <w:rFonts w:ascii="Times New Roman" w:hAnsi="Times New Roman" w:cs="Times New Roman"/>
                <w:i/>
                <w:iCs/>
              </w:rPr>
            </w:pPr>
          </w:p>
        </w:tc>
        <w:tc>
          <w:tcPr>
            <w:tcW w:w="7225" w:type="dxa"/>
          </w:tcPr>
          <w:p w14:paraId="256FA325"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π=</m:t>
                </m:r>
                <m:sSup>
                  <m:sSupPr>
                    <m:ctrlPr>
                      <w:rPr>
                        <w:rFonts w:ascii="Cambria Math" w:hAnsi="Cambria Math" w:cs="Times New Roman"/>
                        <w:i/>
                        <w:iCs/>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*P*H(K)</m:t>
                </m:r>
              </m:oMath>
            </m:oMathPara>
          </w:p>
        </w:tc>
        <w:tc>
          <w:tcPr>
            <w:tcW w:w="810" w:type="dxa"/>
          </w:tcPr>
          <w:p w14:paraId="46D299E2" w14:textId="6E46C354"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277D2CE8"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where </w:t>
      </w:r>
      <m:oMath>
        <m:r>
          <w:rPr>
            <w:rFonts w:ascii="Cambria Math" w:hAnsi="Cambria Math" w:cs="Times New Roman"/>
          </w:rPr>
          <m:t>Y</m:t>
        </m:r>
      </m:oMath>
      <w:r w:rsidRPr="007F37A0">
        <w:rPr>
          <w:rFonts w:ascii="Times New Roman" w:hAnsi="Times New Roman" w:cs="Times New Roman"/>
        </w:rPr>
        <w:t xml:space="preserve"> is a measure of the level of policy activity, </w:t>
      </w:r>
      <m:oMath>
        <m:r>
          <w:rPr>
            <w:rFonts w:ascii="Cambria Math" w:hAnsi="Cambria Math" w:cs="Times New Roman"/>
          </w:rPr>
          <m:t>β</m:t>
        </m:r>
        <m:r>
          <m:rPr>
            <m:sty m:val="p"/>
          </m:rPr>
          <w:rPr>
            <w:rFonts w:ascii="Cambria Math" w:hAnsi="Cambria Math" w:cs="Times New Roman"/>
          </w:rPr>
          <m:t>∈{-1,1}</m:t>
        </m:r>
      </m:oMath>
      <w:r w:rsidRPr="007F37A0">
        <w:rPr>
          <w:rFonts w:ascii="Times New Roman" w:hAnsi="Times New Roman" w:cs="Times New Roman"/>
        </w:rPr>
        <w:t xml:space="preserve"> is a measure of the effect of the policy activity on firm profit, </w:t>
      </w:r>
      <m:oMath>
        <m:r>
          <w:rPr>
            <w:rFonts w:ascii="Cambria Math" w:hAnsi="Cambria Math" w:cs="Times New Roman"/>
          </w:rPr>
          <m:t>P</m:t>
        </m:r>
      </m:oMath>
      <w:r w:rsidRPr="007F37A0">
        <w:rPr>
          <w:rFonts w:ascii="Times New Roman" w:hAnsi="Times New Roman" w:cs="Times New Roman"/>
        </w:rPr>
        <w:t xml:space="preserve"> is the price of the output, and </w:t>
      </w: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K</m:t>
        </m:r>
        <m:r>
          <m:rPr>
            <m:sty m:val="p"/>
          </m:rPr>
          <w:rPr>
            <w:rFonts w:ascii="Cambria Math" w:hAnsi="Cambria Math" w:cs="Times New Roman"/>
          </w:rPr>
          <m:t>)</m:t>
        </m:r>
      </m:oMath>
      <w:r w:rsidRPr="007F37A0">
        <w:rPr>
          <w:rFonts w:ascii="Times New Roman" w:hAnsi="Times New Roman" w:cs="Times New Roman"/>
        </w:rPr>
        <w:t xml:space="preserve"> is the production of the firm as a function of the level of capital, </w:t>
      </w:r>
      <m:oMath>
        <m:r>
          <w:rPr>
            <w:rFonts w:ascii="Cambria Math" w:hAnsi="Cambria Math" w:cs="Times New Roman"/>
          </w:rPr>
          <m:t>K</m:t>
        </m:r>
      </m:oMath>
      <w:r w:rsidRPr="007F37A0">
        <w:rPr>
          <w:rFonts w:ascii="Times New Roman" w:hAnsi="Times New Roman" w:cs="Times New Roman"/>
        </w:rPr>
        <w:t xml:space="preserve">. </w:t>
      </w:r>
    </w:p>
    <w:p w14:paraId="08308286"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The model results rely on this assumption of the interaction between policy activity and firm profits, so it is worth examining further. When </w:t>
      </w:r>
      <m:oMath>
        <m:r>
          <w:rPr>
            <w:rFonts w:ascii="Cambria Math" w:hAnsi="Cambria Math" w:cs="Times New Roman"/>
          </w:rPr>
          <m:t>β</m:t>
        </m:r>
        <m:r>
          <m:rPr>
            <m:sty m:val="p"/>
          </m:rPr>
          <w:rPr>
            <w:rFonts w:ascii="Cambria Math" w:hAnsi="Cambria Math" w:cs="Times New Roman"/>
          </w:rPr>
          <m:t>=1</m:t>
        </m:r>
      </m:oMath>
      <w:r w:rsidRPr="007F37A0">
        <w:rPr>
          <w:rFonts w:ascii="Times New Roman" w:hAnsi="Times New Roman" w:cs="Times New Roman"/>
        </w:rPr>
        <w:t xml:space="preserve">, profits linearly increase as policy activity increases: </w:t>
      </w:r>
      <m:oMath>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∂Y</m:t>
            </m:r>
          </m:den>
        </m:f>
        <m:r>
          <w:rPr>
            <w:rFonts w:ascii="Cambria Math" w:hAnsi="Cambria Math" w:cs="Times New Roman"/>
          </w:rPr>
          <m:t>=P*H(K)</m:t>
        </m:r>
      </m:oMath>
      <w:r w:rsidRPr="007F37A0">
        <w:rPr>
          <w:rFonts w:ascii="Times New Roman" w:hAnsi="Times New Roman" w:cs="Times New Roman"/>
        </w:rPr>
        <w:t xml:space="preserve">. This assumes there is constant profitability of “carrot” policies, such as subsidies. In other words, giving firms a fifth subsidy will increase their profits just as much as the first subsidy. When </w:t>
      </w:r>
      <m:oMath>
        <m:r>
          <w:rPr>
            <w:rFonts w:ascii="Cambria Math" w:hAnsi="Cambria Math" w:cs="Times New Roman"/>
          </w:rPr>
          <m:t>β</m:t>
        </m:r>
        <m:r>
          <m:rPr>
            <m:sty m:val="p"/>
          </m:rPr>
          <w:rPr>
            <w:rFonts w:ascii="Cambria Math" w:hAnsi="Cambria Math" w:cs="Times New Roman"/>
          </w:rPr>
          <m:t>=-1</m:t>
        </m:r>
      </m:oMath>
      <w:r w:rsidRPr="007F37A0">
        <w:rPr>
          <w:rFonts w:ascii="Times New Roman" w:hAnsi="Times New Roman" w:cs="Times New Roman"/>
        </w:rPr>
        <w:t xml:space="preserve">, profits nonlinearly decrease with policy activity: </w:t>
      </w:r>
      <m:oMath>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∂Y</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den>
        </m:f>
        <m:r>
          <w:rPr>
            <w:rFonts w:ascii="Cambria Math" w:hAnsi="Cambria Math" w:cs="Times New Roman"/>
          </w:rPr>
          <m:t>*P*H(K)</m:t>
        </m:r>
      </m:oMath>
      <w:r w:rsidRPr="007F37A0">
        <w:rPr>
          <w:rFonts w:ascii="Times New Roman" w:hAnsi="Times New Roman" w:cs="Times New Roman"/>
        </w:rPr>
        <w:t xml:space="preserve">. We consider the firm representative of an industry. For most industries, such as electricity generation, the industry is too integral to the economy for regulators to cause all firms to shut down. If firms still exist in the industry, then </w:t>
      </w:r>
      <m:oMath>
        <m:r>
          <w:rPr>
            <w:rFonts w:ascii="Cambria Math" w:hAnsi="Cambria Math" w:cs="Times New Roman"/>
          </w:rPr>
          <m:t>π&gt;0</m:t>
        </m:r>
      </m:oMath>
      <w:r w:rsidRPr="007F37A0">
        <w:rPr>
          <w:rFonts w:ascii="Times New Roman" w:hAnsi="Times New Roman" w:cs="Times New Roman"/>
        </w:rPr>
        <w:t xml:space="preserve"> otherwise they would shut down. This is consistent with the relationship between “stick” policies and profit. Increasing the number of “stick” policies decreases profits but will never cause the representative firm to become unprofitable. These assumptions mean that my results do not apply to uncertainty over all variables that negatively affect profits. For example, costs are </w:t>
      </w:r>
      <w:r w:rsidRPr="007F37A0">
        <w:rPr>
          <w:rFonts w:ascii="Times New Roman" w:hAnsi="Times New Roman" w:cs="Times New Roman"/>
        </w:rPr>
        <w:lastRenderedPageBreak/>
        <w:t>typically modeled as additively separable in the profit function and my results do not apply.</w:t>
      </w:r>
    </w:p>
    <w:p w14:paraId="480BF1AC"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The term </w:t>
      </w:r>
      <m:oMath>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m:t>
            </m:r>
          </m:sup>
        </m:sSup>
      </m:oMath>
      <w:r w:rsidRPr="007F37A0">
        <w:rPr>
          <w:rFonts w:ascii="Times New Roman" w:hAnsi="Times New Roman" w:cs="Times New Roman"/>
        </w:rPr>
        <w:t xml:space="preserve"> can thus be thought of as a policy function that measures the long-run effect of policy activity on a firm’s profits. When </w:t>
      </w:r>
      <m:oMath>
        <m:r>
          <w:rPr>
            <w:rFonts w:ascii="Cambria Math" w:hAnsi="Cambria Math" w:cs="Times New Roman"/>
          </w:rPr>
          <m:t>β</m:t>
        </m:r>
        <m:r>
          <m:rPr>
            <m:sty m:val="p"/>
          </m:rPr>
          <w:rPr>
            <w:rFonts w:ascii="Cambria Math" w:hAnsi="Cambria Math" w:cs="Times New Roman"/>
          </w:rPr>
          <m:t>=1</m:t>
        </m:r>
      </m:oMath>
      <w:r w:rsidRPr="007F37A0">
        <w:rPr>
          <w:rFonts w:ascii="Times New Roman" w:hAnsi="Times New Roman" w:cs="Times New Roman"/>
        </w:rPr>
        <w:t xml:space="preserve">, increases in policy activity increase firm profits, as in the original Dixit and Pindyck (1994) model (i.e., carrots). For example, agricultural and defense policy is often characterized by production subsidies, price supports and production contracts that are beneficial to incumbent firms. However, when </w:t>
      </w:r>
      <m:oMath>
        <m:r>
          <w:rPr>
            <w:rFonts w:ascii="Cambria Math" w:hAnsi="Cambria Math" w:cs="Times New Roman"/>
          </w:rPr>
          <m:t>β</m:t>
        </m:r>
        <m:r>
          <m:rPr>
            <m:sty m:val="p"/>
          </m:rPr>
          <w:rPr>
            <w:rFonts w:ascii="Cambria Math" w:hAnsi="Cambria Math" w:cs="Times New Roman"/>
          </w:rPr>
          <m:t>=-1</m:t>
        </m:r>
      </m:oMath>
      <w:r w:rsidRPr="007F37A0">
        <w:rPr>
          <w:rFonts w:ascii="Times New Roman" w:hAnsi="Times New Roman" w:cs="Times New Roman"/>
        </w:rPr>
        <w:t xml:space="preserve">, increases in policy activity decrease firm profits, which was previously not examined (i.e., sticks). For example, many environmental policies are characterized by pollution taxes and regulations. Alternatively, </w:t>
      </w:r>
      <m:oMath>
        <m:r>
          <w:rPr>
            <w:rFonts w:ascii="Cambria Math" w:hAnsi="Cambria Math" w:cs="Times New Roman"/>
          </w:rPr>
          <m:t>β</m:t>
        </m:r>
      </m:oMath>
      <w:r w:rsidRPr="007F37A0">
        <w:rPr>
          <w:rFonts w:ascii="Times New Roman" w:hAnsi="Times New Roman" w:cs="Times New Roman"/>
        </w:rPr>
        <w:t xml:space="preserve"> may represent different regulatory approaches to an industry. Consider the electricity industry. Historically, policy efforts to reduce pollution emissions from the electricity industry have focused on taxing pollution emissions or imposing technology standards such as smokestack scrubbers on fossil-fuel generators. Electric utilities would expect policy of this type to negatively affect their profit, and we could feasibly expect </w:t>
      </w:r>
      <m:oMath>
        <m:r>
          <w:rPr>
            <w:rFonts w:ascii="Cambria Math" w:hAnsi="Cambria Math" w:cs="Times New Roman"/>
          </w:rPr>
          <m:t>β</m:t>
        </m:r>
        <m:r>
          <m:rPr>
            <m:sty m:val="p"/>
          </m:rPr>
          <w:rPr>
            <w:rFonts w:ascii="Cambria Math" w:hAnsi="Cambria Math" w:cs="Times New Roman"/>
          </w:rPr>
          <m:t>=-1</m:t>
        </m:r>
      </m:oMath>
      <w:r w:rsidRPr="007F37A0">
        <w:rPr>
          <w:rFonts w:ascii="Times New Roman" w:hAnsi="Times New Roman" w:cs="Times New Roman"/>
        </w:rPr>
        <w:t xml:space="preserve">.  More recently, the strategy to reduce greenhouse gas emissions from the electric utility industry has relied on subsidies for renewable electricity generation. Policy activity of this type could increase profits for electric utility companies that can easily increase electricity generation from renewables, and we could feasibly expect </w:t>
      </w:r>
      <m:oMath>
        <m:r>
          <w:rPr>
            <w:rFonts w:ascii="Cambria Math" w:hAnsi="Cambria Math" w:cs="Times New Roman"/>
          </w:rPr>
          <m:t>β</m:t>
        </m:r>
        <m:r>
          <m:rPr>
            <m:sty m:val="p"/>
          </m:rPr>
          <w:rPr>
            <w:rFonts w:ascii="Cambria Math" w:hAnsi="Cambria Math" w:cs="Times New Roman"/>
          </w:rPr>
          <m:t>=1</m:t>
        </m:r>
      </m:oMath>
      <w:r w:rsidRPr="007F37A0">
        <w:rPr>
          <w:rFonts w:ascii="Times New Roman" w:hAnsi="Times New Roman" w:cs="Times New Roman"/>
        </w:rPr>
        <w:t xml:space="preserve">. Allowing the policy function to both increase and decrease in the level of policy activity acknowledges that the absence of policy activity (i.e. a period where these is little debate and passage of relevant bills) may be beneficial </w:t>
      </w:r>
      <w:r w:rsidRPr="007F37A0">
        <w:rPr>
          <w:rFonts w:ascii="Times New Roman" w:hAnsi="Times New Roman" w:cs="Times New Roman"/>
        </w:rPr>
        <w:lastRenderedPageBreak/>
        <w:t>or detrimental to a firm depending on how policymakers have interacted with the industry in the past.</w:t>
      </w:r>
    </w:p>
    <w:p w14:paraId="0D4326A8"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am primarily interested in how uncertainty over the level of policy activity affects firm investments. For example, consistent debate over climate policy may be less detrimental to firm investment than stop-start policy debates that follow the pendulum swings of elections. Firms know the current level of policy activity with certainty. However, firms do not know what the level of policy activity will be in the future.  Assume that </w:t>
      </w:r>
      <m:oMath>
        <m:r>
          <w:rPr>
            <w:rFonts w:ascii="Cambria Math" w:hAnsi="Cambria Math" w:cs="Times New Roman"/>
          </w:rPr>
          <m:t>Y</m:t>
        </m:r>
      </m:oMath>
      <w:r w:rsidRPr="007F37A0">
        <w:rPr>
          <w:rFonts w:ascii="Times New Roman" w:hAnsi="Times New Roman" w:cs="Times New Roman"/>
        </w:rPr>
        <w:t xml:space="preserve"> behaves stochastically and follows a Geometric Brownian Motion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315"/>
        <w:gridCol w:w="720"/>
      </w:tblGrid>
      <w:tr w:rsidR="00D526E7" w:rsidRPr="007F37A0" w14:paraId="495DD4B2" w14:textId="77777777" w:rsidTr="00735871">
        <w:tc>
          <w:tcPr>
            <w:tcW w:w="605" w:type="dxa"/>
          </w:tcPr>
          <w:p w14:paraId="642EC655" w14:textId="77777777" w:rsidR="00D526E7" w:rsidRPr="007F37A0" w:rsidRDefault="00D526E7" w:rsidP="00735871">
            <w:pPr>
              <w:spacing w:line="480" w:lineRule="auto"/>
              <w:rPr>
                <w:rFonts w:ascii="Times New Roman" w:hAnsi="Times New Roman" w:cs="Times New Roman"/>
                <w:i/>
                <w:iCs/>
              </w:rPr>
            </w:pPr>
          </w:p>
        </w:tc>
        <w:tc>
          <w:tcPr>
            <w:tcW w:w="7315" w:type="dxa"/>
          </w:tcPr>
          <w:p w14:paraId="717B99C5"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dY=αYdt+σYdz</m:t>
                </m:r>
              </m:oMath>
            </m:oMathPara>
          </w:p>
        </w:tc>
        <w:tc>
          <w:tcPr>
            <w:tcW w:w="720" w:type="dxa"/>
          </w:tcPr>
          <w:p w14:paraId="2DC7142D" w14:textId="6FF276CF" w:rsidR="00D526E7" w:rsidRPr="007F37A0" w:rsidRDefault="00D526E7" w:rsidP="00735871">
            <w:pPr>
              <w:spacing w:line="480" w:lineRule="auto"/>
              <w:rPr>
                <w:rFonts w:ascii="Times New Roman" w:hAnsi="Times New Roman" w:cs="Times New Roman"/>
              </w:rPr>
            </w:pPr>
            <w:bookmarkStart w:id="7" w:name="_Ref109724314"/>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2</w:t>
            </w:r>
            <w:r w:rsidRPr="007F37A0">
              <w:rPr>
                <w:rFonts w:ascii="Times New Roman" w:hAnsi="Times New Roman" w:cs="Times New Roman"/>
              </w:rPr>
              <w:fldChar w:fldCharType="end"/>
            </w:r>
            <w:r w:rsidRPr="007F37A0">
              <w:rPr>
                <w:rFonts w:ascii="Times New Roman" w:hAnsi="Times New Roman" w:cs="Times New Roman"/>
              </w:rPr>
              <w:t xml:space="preserve"> )</w:t>
            </w:r>
            <w:bookmarkEnd w:id="7"/>
          </w:p>
        </w:tc>
      </w:tr>
    </w:tbl>
    <w:p w14:paraId="2FB57C0B"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where </w:t>
      </w:r>
      <m:oMath>
        <m:r>
          <w:rPr>
            <w:rFonts w:ascii="Cambria Math" w:hAnsi="Cambria Math" w:cs="Times New Roman"/>
          </w:rPr>
          <m:t>α</m:t>
        </m:r>
      </m:oMath>
      <w:r w:rsidRPr="007F37A0">
        <w:rPr>
          <w:rFonts w:ascii="Times New Roman" w:hAnsi="Times New Roman" w:cs="Times New Roman"/>
        </w:rPr>
        <w:t xml:space="preserve"> is the drift term, </w:t>
      </w:r>
      <m:oMath>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oMath>
      <w:r w:rsidRPr="007F37A0">
        <w:rPr>
          <w:rFonts w:ascii="Times New Roman" w:hAnsi="Times New Roman" w:cs="Times New Roman"/>
        </w:rPr>
        <w:t xml:space="preserve"> is the volatility, and </w:t>
      </w:r>
      <m:oMath>
        <m:r>
          <w:rPr>
            <w:rFonts w:ascii="Cambria Math" w:hAnsi="Cambria Math" w:cs="Times New Roman"/>
          </w:rPr>
          <m:t>dz</m:t>
        </m:r>
      </m:oMath>
      <w:r w:rsidRPr="007F37A0">
        <w:rPr>
          <w:rFonts w:ascii="Times New Roman" w:hAnsi="Times New Roman" w:cs="Times New Roman"/>
        </w:rPr>
        <w:t xml:space="preserve"> is an incremental Weiner Process. The Geometric Brownian motion assumption implies that policy activity is a log-normally distributed random variable with expected value </w:t>
      </w:r>
      <m:oMath>
        <m:r>
          <w:rPr>
            <w:rFonts w:ascii="Cambria Math" w:hAnsi="Cambria Math" w:cs="Times New Roman"/>
          </w:rPr>
          <m:t>E</m:t>
        </m:r>
        <m:d>
          <m:dPr>
            <m:ctrlPr>
              <w:rPr>
                <w:rFonts w:ascii="Cambria Math" w:hAnsi="Cambria Math" w:cs="Times New Roman"/>
                <w:i/>
              </w:rPr>
            </m:ctrlPr>
          </m:dPr>
          <m:e>
            <m:r>
              <w:rPr>
                <w:rFonts w:ascii="Cambria Math" w:hAnsi="Cambria Math" w:cs="Times New Roman"/>
              </w:rPr>
              <m:t>Y</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0</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αt</m:t>
            </m:r>
          </m:sup>
        </m:sSup>
      </m:oMath>
      <w:r w:rsidRPr="007F37A0">
        <w:rPr>
          <w:rFonts w:ascii="Times New Roman" w:hAnsi="Times New Roman" w:cs="Times New Roman"/>
        </w:rPr>
        <w:t xml:space="preserve"> and variance  </w:t>
      </w:r>
      <m:oMath>
        <m:r>
          <w:rPr>
            <w:rFonts w:ascii="Cambria Math" w:hAnsi="Cambria Math" w:cs="Times New Roman"/>
          </w:rPr>
          <m:t>Var</m:t>
        </m:r>
        <m:d>
          <m:dPr>
            <m:ctrlPr>
              <w:rPr>
                <w:rFonts w:ascii="Cambria Math" w:hAnsi="Cambria Math" w:cs="Times New Roman"/>
                <w:i/>
              </w:rPr>
            </m:ctrlPr>
          </m:dPr>
          <m:e>
            <m:r>
              <w:rPr>
                <w:rFonts w:ascii="Cambria Math" w:hAnsi="Cambria Math" w:cs="Times New Roman"/>
              </w:rPr>
              <m:t>Y</m:t>
            </m:r>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0</m:t>
            </m:r>
          </m:sub>
          <m:sup>
            <m:r>
              <w:rPr>
                <w:rFonts w:ascii="Cambria Math" w:hAnsi="Cambria Math" w:cs="Times New Roman"/>
              </w:rPr>
              <m:t>2</m:t>
            </m:r>
          </m:sup>
        </m:sSubSup>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2αt</m:t>
            </m:r>
          </m:sup>
        </m:s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e</m:t>
                </m:r>
              </m:e>
              <m:sup>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t</m:t>
                </m:r>
              </m:sup>
            </m:sSup>
            <m:r>
              <w:rPr>
                <w:rFonts w:ascii="Cambria Math" w:hAnsi="Cambria Math" w:cs="Times New Roman"/>
              </w:rPr>
              <m:t>-1</m:t>
            </m:r>
          </m:e>
        </m:d>
      </m:oMath>
      <w:r w:rsidRPr="007F37A0">
        <w:rPr>
          <w:rFonts w:ascii="Times New Roman" w:hAnsi="Times New Roman" w:cs="Times New Roman"/>
        </w:rPr>
        <w:t xml:space="preserve">. I prefer assuming a log-normal distribution since policy activity is non-negative, positively skewed, and multiplicative. Positive skew implies that regulation has increased over time. Multiplicativity implies that the effect of policies build on one another. When </w:t>
      </w:r>
      <m:oMath>
        <m:r>
          <w:rPr>
            <w:rFonts w:ascii="Cambria Math" w:hAnsi="Cambria Math" w:cs="Times New Roman"/>
          </w:rPr>
          <m:t>α&gt;0</m:t>
        </m:r>
      </m:oMath>
      <w:r w:rsidRPr="007F37A0">
        <w:rPr>
          <w:rFonts w:ascii="Times New Roman" w:hAnsi="Times New Roman" w:cs="Times New Roman"/>
        </w:rPr>
        <w:t xml:space="preserve">, then the expected level of policy activity is increasing over time. When </w:t>
      </w:r>
      <m:oMath>
        <m:r>
          <w:rPr>
            <w:rFonts w:ascii="Cambria Math" w:hAnsi="Cambria Math" w:cs="Times New Roman"/>
          </w:rPr>
          <m:t>α&lt;0</m:t>
        </m:r>
      </m:oMath>
      <w:r w:rsidRPr="007F37A0">
        <w:rPr>
          <w:rFonts w:ascii="Times New Roman" w:hAnsi="Times New Roman" w:cs="Times New Roman"/>
        </w:rPr>
        <w:t xml:space="preserve">, then the expected level of policy activity decreases over time. The volatility in policy activity, represented by </w:t>
      </w:r>
      <m:oMath>
        <m:r>
          <w:rPr>
            <w:rFonts w:ascii="Cambria Math" w:hAnsi="Cambria Math" w:cs="Times New Roman"/>
          </w:rPr>
          <m:t>σ</m:t>
        </m:r>
      </m:oMath>
      <w:r w:rsidRPr="007F37A0">
        <w:rPr>
          <w:rFonts w:ascii="Times New Roman" w:hAnsi="Times New Roman" w:cs="Times New Roman"/>
        </w:rPr>
        <w:t xml:space="preserve">, captures the degree of uncertainty over future levels of policy activity. As </w:t>
      </w:r>
      <m:oMath>
        <m:r>
          <w:rPr>
            <w:rFonts w:ascii="Cambria Math" w:hAnsi="Cambria Math" w:cs="Times New Roman"/>
          </w:rPr>
          <m:t>σ</m:t>
        </m:r>
      </m:oMath>
      <w:r w:rsidRPr="007F37A0">
        <w:rPr>
          <w:rFonts w:ascii="Times New Roman" w:hAnsi="Times New Roman" w:cs="Times New Roman"/>
        </w:rPr>
        <w:t xml:space="preserve"> tends to 0, there is little uncertainty over the policy process and firms can accurately predict the impact of future policy. A firm may </w:t>
      </w:r>
      <w:r w:rsidRPr="007F37A0">
        <w:rPr>
          <w:rFonts w:ascii="Times New Roman" w:hAnsi="Times New Roman" w:cs="Times New Roman"/>
        </w:rPr>
        <w:lastRenderedPageBreak/>
        <w:t>experience an unexpected decrease in profits due to a downward shock in carrot policy activity of an upward shock in stick policy activity.</w:t>
      </w:r>
      <w:r w:rsidRPr="007F37A0">
        <w:rPr>
          <w:rStyle w:val="FootnoteReference"/>
          <w:rFonts w:ascii="Times New Roman" w:hAnsi="Times New Roman" w:cs="Times New Roman"/>
        </w:rPr>
        <w:footnoteReference w:id="3"/>
      </w:r>
      <w:r w:rsidRPr="007F37A0">
        <w:rPr>
          <w:rFonts w:ascii="Times New Roman" w:hAnsi="Times New Roman" w:cs="Times New Roman"/>
        </w:rPr>
        <w:t xml:space="preserve"> </w:t>
      </w:r>
    </w:p>
    <w:p w14:paraId="6064817E"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It is worth highlighting how these assumptions differ from previous real option theoretical models. Dixit and Pindyck (1994) also consider uncertainty over variables that negatively affect profit, such as costs. However, in their treatment of these cases, they assume that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Y</m:t>
            </m:r>
          </m:den>
        </m:f>
      </m:oMath>
      <w:r w:rsidRPr="007F37A0">
        <w:rPr>
          <w:rFonts w:ascii="Times New Roman" w:hAnsi="Times New Roman" w:cs="Times New Roman"/>
        </w:rPr>
        <w:t xml:space="preserve"> follows a Geometric Brownian Motion where </w:t>
      </w:r>
      <m:oMath>
        <m:r>
          <w:rPr>
            <w:rFonts w:ascii="Cambria Math" w:hAnsi="Cambria Math" w:cs="Times New Roman"/>
          </w:rPr>
          <m:t>Y</m:t>
        </m:r>
      </m:oMath>
      <w:r w:rsidRPr="007F37A0">
        <w:rPr>
          <w:rFonts w:ascii="Times New Roman" w:hAnsi="Times New Roman" w:cs="Times New Roman"/>
        </w:rPr>
        <w:t xml:space="preserve"> is defined as the variable that negatively affects profit. They retain their result that uncertainty decreases investment in these cases. Applying this approach to “carrot” and “stick” policies implies the level of policy activity evolves differently conditional on the type of policy. Since “carrot” policies positively affect profit, then we assume that </w:t>
      </w:r>
      <m:oMath>
        <m:r>
          <w:rPr>
            <w:rFonts w:ascii="Cambria Math" w:hAnsi="Cambria Math" w:cs="Times New Roman"/>
          </w:rPr>
          <m:t>Y</m:t>
        </m:r>
      </m:oMath>
      <w:r w:rsidRPr="007F37A0">
        <w:rPr>
          <w:rFonts w:ascii="Times New Roman" w:hAnsi="Times New Roman" w:cs="Times New Roman"/>
        </w:rPr>
        <w:t xml:space="preserve"> follows a Geometric Brownian Motion, where </w:t>
      </w:r>
      <m:oMath>
        <m:r>
          <w:rPr>
            <w:rFonts w:ascii="Cambria Math" w:hAnsi="Cambria Math" w:cs="Times New Roman"/>
          </w:rPr>
          <m:t>Y</m:t>
        </m:r>
      </m:oMath>
      <w:r w:rsidRPr="007F37A0">
        <w:rPr>
          <w:rFonts w:ascii="Times New Roman" w:hAnsi="Times New Roman" w:cs="Times New Roman"/>
        </w:rPr>
        <w:t xml:space="preserve"> is the level of “carrot” policy activity. However, since “stick” policies negatively affect profit, we must assume that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Y</m:t>
            </m:r>
          </m:den>
        </m:f>
      </m:oMath>
      <w:r w:rsidRPr="007F37A0">
        <w:rPr>
          <w:rFonts w:ascii="Times New Roman" w:hAnsi="Times New Roman" w:cs="Times New Roman"/>
        </w:rPr>
        <w:t xml:space="preserve"> follows a Geometric Brownian Motion, where </w:t>
      </w:r>
      <m:oMath>
        <m:r>
          <w:rPr>
            <w:rFonts w:ascii="Cambria Math" w:hAnsi="Cambria Math" w:cs="Times New Roman"/>
          </w:rPr>
          <m:t>Y</m:t>
        </m:r>
      </m:oMath>
      <w:r w:rsidRPr="007F37A0">
        <w:rPr>
          <w:rFonts w:ascii="Times New Roman" w:hAnsi="Times New Roman" w:cs="Times New Roman"/>
        </w:rPr>
        <w:t xml:space="preserve"> is the level of “stick” policy activity. Instead, in this paper, I assume that the level of policy activity, </w:t>
      </w:r>
      <m:oMath>
        <m:r>
          <w:rPr>
            <w:rFonts w:ascii="Cambria Math" w:hAnsi="Cambria Math" w:cs="Times New Roman"/>
          </w:rPr>
          <m:t>Y</m:t>
        </m:r>
      </m:oMath>
      <w:r w:rsidRPr="007F37A0">
        <w:rPr>
          <w:rFonts w:ascii="Times New Roman" w:hAnsi="Times New Roman" w:cs="Times New Roman"/>
        </w:rPr>
        <w:t xml:space="preserve">, follows a Geometric Brownian Motion for both “carrot” and “stick” policies. This assumption leads to the divergence of my results compared to Dixit and Pindyck (1994). </w:t>
      </w:r>
    </w:p>
    <w:p w14:paraId="0AC8B444"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lastRenderedPageBreak/>
        <w:t>Consider the firms’ investment problem. They wish to choose the level of capital to maximize their current stream of profits and the discounted expected value of future profits less any additional investment in capital. The Bellman equation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315"/>
        <w:gridCol w:w="720"/>
      </w:tblGrid>
      <w:tr w:rsidR="00D526E7" w:rsidRPr="007F37A0" w14:paraId="4B768108" w14:textId="77777777" w:rsidTr="00735871">
        <w:tc>
          <w:tcPr>
            <w:tcW w:w="605" w:type="dxa"/>
          </w:tcPr>
          <w:p w14:paraId="50B840FC" w14:textId="77777777" w:rsidR="00D526E7" w:rsidRPr="007F37A0" w:rsidRDefault="00D526E7" w:rsidP="00735871">
            <w:pPr>
              <w:spacing w:line="480" w:lineRule="auto"/>
              <w:rPr>
                <w:rFonts w:ascii="Times New Roman" w:hAnsi="Times New Roman" w:cs="Times New Roman"/>
                <w:i/>
                <w:iCs/>
              </w:rPr>
            </w:pPr>
          </w:p>
        </w:tc>
        <w:tc>
          <w:tcPr>
            <w:tcW w:w="7315" w:type="dxa"/>
          </w:tcPr>
          <w:p w14:paraId="47A1EACC"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W</m:t>
                </m:r>
                <m:d>
                  <m:dPr>
                    <m:ctrlPr>
                      <w:rPr>
                        <w:rFonts w:ascii="Cambria Math" w:hAnsi="Cambria Math" w:cs="Times New Roman"/>
                        <w:i/>
                        <w:iCs/>
                      </w:rPr>
                    </m:ctrlPr>
                  </m:dPr>
                  <m:e>
                    <m:r>
                      <w:rPr>
                        <w:rFonts w:ascii="Cambria Math" w:hAnsi="Cambria Math" w:cs="Times New Roman"/>
                      </w:rPr>
                      <m:t>K,Y</m:t>
                    </m:r>
                  </m:e>
                </m:d>
                <m:r>
                  <w:rPr>
                    <w:rFonts w:ascii="Cambria Math" w:hAnsi="Cambria Math" w:cs="Times New Roman"/>
                  </w:rPr>
                  <m:t>=</m:t>
                </m:r>
                <m:func>
                  <m:funcPr>
                    <m:ctrlPr>
                      <w:rPr>
                        <w:rFonts w:ascii="Cambria Math" w:hAnsi="Cambria Math" w:cs="Times New Roman"/>
                        <w:i/>
                        <w:iCs/>
                      </w:rPr>
                    </m:ctrlPr>
                  </m:funcPr>
                  <m:fName>
                    <m:limLow>
                      <m:limLowPr>
                        <m:ctrlPr>
                          <w:rPr>
                            <w:rFonts w:ascii="Cambria Math" w:hAnsi="Cambria Math" w:cs="Times New Roman"/>
                            <w:i/>
                            <w:iCs/>
                          </w:rPr>
                        </m:ctrlPr>
                      </m:limLowPr>
                      <m:e>
                        <m:r>
                          <w:rPr>
                            <w:rFonts w:ascii="Cambria Math" w:hAnsi="Cambria Math" w:cs="Times New Roman"/>
                          </w:rPr>
                          <m:t>max</m:t>
                        </m:r>
                      </m:e>
                      <m:lim>
                        <m:r>
                          <w:rPr>
                            <w:rFonts w:ascii="Cambria Math" w:hAnsi="Cambria Math" w:cs="Times New Roman"/>
                          </w:rPr>
                          <m:t>K'</m:t>
                        </m:r>
                      </m:lim>
                    </m:limLow>
                  </m:fName>
                  <m:e>
                    <m:sSup>
                      <m:sSupPr>
                        <m:ctrlPr>
                          <w:rPr>
                            <w:rFonts w:ascii="Cambria Math" w:hAnsi="Cambria Math" w:cs="Times New Roman"/>
                            <w:i/>
                            <w:iCs/>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m:t>
                    </m:r>
                    <m:d>
                      <m:dPr>
                        <m:ctrlPr>
                          <w:rPr>
                            <w:rFonts w:ascii="Cambria Math" w:hAnsi="Cambria Math" w:cs="Times New Roman"/>
                            <w:i/>
                            <w:iCs/>
                          </w:rPr>
                        </m:ctrlPr>
                      </m:dPr>
                      <m:e>
                        <m:r>
                          <w:rPr>
                            <w:rFonts w:ascii="Cambria Math" w:hAnsi="Cambria Math" w:cs="Times New Roman"/>
                          </w:rPr>
                          <m:t>K</m:t>
                        </m:r>
                      </m:e>
                    </m:d>
                    <m:r>
                      <w:rPr>
                        <w:rFonts w:ascii="Cambria Math" w:hAnsi="Cambria Math" w:cs="Times New Roman"/>
                      </w:rPr>
                      <m:t>dt+</m:t>
                    </m:r>
                    <m:sSup>
                      <m:sSupPr>
                        <m:ctrlPr>
                          <w:rPr>
                            <w:rFonts w:ascii="Cambria Math" w:hAnsi="Cambria Math" w:cs="Times New Roman"/>
                            <w:i/>
                            <w:iCs/>
                          </w:rPr>
                        </m:ctrlPr>
                      </m:sSupPr>
                      <m:e>
                        <m:r>
                          <w:rPr>
                            <w:rFonts w:ascii="Cambria Math" w:hAnsi="Cambria Math" w:cs="Times New Roman"/>
                          </w:rPr>
                          <m:t>e</m:t>
                        </m:r>
                      </m:e>
                      <m:sup>
                        <m:r>
                          <w:rPr>
                            <w:rFonts w:ascii="Cambria Math" w:hAnsi="Cambria Math" w:cs="Times New Roman"/>
                          </w:rPr>
                          <m:t>-ρdt</m:t>
                        </m:r>
                      </m:sup>
                    </m:sSup>
                    <m:r>
                      <w:rPr>
                        <w:rFonts w:ascii="Cambria Math" w:hAnsi="Cambria Math" w:cs="Times New Roman"/>
                      </w:rPr>
                      <m:t>{E</m:t>
                    </m:r>
                    <m:d>
                      <m:dPr>
                        <m:begChr m:val="["/>
                        <m:endChr m:val="]"/>
                        <m:ctrlPr>
                          <w:rPr>
                            <w:rFonts w:ascii="Cambria Math" w:hAnsi="Cambria Math" w:cs="Times New Roman"/>
                            <w:i/>
                            <w:iCs/>
                          </w:rPr>
                        </m:ctrlPr>
                      </m:dPr>
                      <m:e>
                        <m:r>
                          <w:rPr>
                            <w:rFonts w:ascii="Cambria Math" w:hAnsi="Cambria Math" w:cs="Times New Roman"/>
                          </w:rPr>
                          <m:t>W</m:t>
                        </m:r>
                        <m:d>
                          <m:dPr>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m:t>
                                </m:r>
                              </m:sup>
                            </m:sSup>
                            <m:r>
                              <w:rPr>
                                <w:rFonts w:ascii="Cambria Math" w:hAnsi="Cambria Math" w:cs="Times New Roman"/>
                              </w:rPr>
                              <m:t>,Y+dY</m:t>
                            </m:r>
                          </m:e>
                        </m:d>
                      </m:e>
                    </m:d>
                    <m:r>
                      <w:rPr>
                        <w:rFonts w:ascii="Cambria Math" w:hAnsi="Cambria Math" w:cs="Times New Roman"/>
                      </w:rPr>
                      <m:t>-κ(</m:t>
                    </m:r>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m:t>
                        </m:r>
                      </m:sup>
                    </m:sSup>
                    <m:r>
                      <w:rPr>
                        <w:rFonts w:ascii="Cambria Math" w:hAnsi="Cambria Math" w:cs="Times New Roman"/>
                      </w:rPr>
                      <m:t>-K)}</m:t>
                    </m:r>
                  </m:e>
                </m:func>
              </m:oMath>
            </m:oMathPara>
          </w:p>
        </w:tc>
        <w:tc>
          <w:tcPr>
            <w:tcW w:w="720" w:type="dxa"/>
          </w:tcPr>
          <w:p w14:paraId="29B9797D" w14:textId="2C40CC6A"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3</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1C40FAD5"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where </w:t>
      </w:r>
      <m:oMath>
        <m:sSup>
          <m:sSupPr>
            <m:ctrlPr>
              <w:rPr>
                <w:rFonts w:ascii="Cambria Math" w:hAnsi="Cambria Math" w:cs="Times New Roman"/>
              </w:rPr>
            </m:ctrlPr>
          </m:sSupPr>
          <m:e>
            <m:r>
              <w:rPr>
                <w:rFonts w:ascii="Cambria Math" w:hAnsi="Cambria Math" w:cs="Times New Roman"/>
              </w:rPr>
              <m:t>K</m:t>
            </m:r>
          </m:e>
          <m:sup>
            <m:r>
              <m:rPr>
                <m:sty m:val="p"/>
              </m:rPr>
              <w:rPr>
                <w:rFonts w:ascii="Cambria Math" w:hAnsi="Cambria Math" w:cs="Times New Roman"/>
              </w:rPr>
              <m:t>'</m:t>
            </m:r>
          </m:sup>
        </m:sSup>
      </m:oMath>
      <w:r w:rsidRPr="007F37A0">
        <w:rPr>
          <w:rFonts w:ascii="Times New Roman" w:hAnsi="Times New Roman" w:cs="Times New Roman"/>
        </w:rPr>
        <w:t xml:space="preserve"> is the level of capital in the next period and </w:t>
      </w:r>
      <m:oMath>
        <m:sSup>
          <m:sSupPr>
            <m:ctrlPr>
              <w:rPr>
                <w:rFonts w:ascii="Cambria Math" w:hAnsi="Cambria Math" w:cs="Times New Roman"/>
              </w:rPr>
            </m:ctrlPr>
          </m:sSupPr>
          <m:e>
            <m:r>
              <w:rPr>
                <w:rFonts w:ascii="Cambria Math" w:hAnsi="Cambria Math" w:cs="Times New Roman"/>
              </w:rPr>
              <m:t>K</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K</m:t>
        </m:r>
      </m:oMath>
      <w:r w:rsidRPr="007F37A0">
        <w:rPr>
          <w:rFonts w:ascii="Times New Roman" w:hAnsi="Times New Roman" w:cs="Times New Roman"/>
        </w:rPr>
        <w:t xml:space="preserve">. That is, the firm cannot decrease the amount of capital that they have, and in this sense the capital investment is irreversible. Taking the derivative of the Bellman equation with respect to </w:t>
      </w:r>
      <m:oMath>
        <m:sSup>
          <m:sSupPr>
            <m:ctrlPr>
              <w:rPr>
                <w:rFonts w:ascii="Cambria Math" w:hAnsi="Cambria Math" w:cs="Times New Roman"/>
              </w:rPr>
            </m:ctrlPr>
          </m:sSupPr>
          <m:e>
            <m:r>
              <w:rPr>
                <w:rFonts w:ascii="Cambria Math" w:hAnsi="Cambria Math" w:cs="Times New Roman"/>
              </w:rPr>
              <m:t>K</m:t>
            </m:r>
          </m:e>
          <m:sup>
            <m:r>
              <m:rPr>
                <m:sty m:val="p"/>
              </m:rPr>
              <w:rPr>
                <w:rFonts w:ascii="Cambria Math" w:hAnsi="Cambria Math" w:cs="Times New Roman"/>
              </w:rPr>
              <m:t>'</m:t>
            </m:r>
          </m:sup>
        </m:sSup>
      </m:oMath>
      <w:r w:rsidRPr="007F37A0">
        <w:rPr>
          <w:rFonts w:ascii="Times New Roman" w:hAnsi="Times New Roman" w:cs="Times New Roman"/>
        </w:rPr>
        <w:t xml:space="preserve"> gives us the condition for optimal capital investment.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315"/>
        <w:gridCol w:w="720"/>
      </w:tblGrid>
      <w:tr w:rsidR="00D526E7" w:rsidRPr="007F37A0" w14:paraId="35FECCC3" w14:textId="77777777" w:rsidTr="00735871">
        <w:tc>
          <w:tcPr>
            <w:tcW w:w="605" w:type="dxa"/>
          </w:tcPr>
          <w:p w14:paraId="03E37894" w14:textId="77777777" w:rsidR="00D526E7" w:rsidRPr="007F37A0" w:rsidRDefault="00D526E7" w:rsidP="00735871">
            <w:pPr>
              <w:spacing w:line="480" w:lineRule="auto"/>
              <w:rPr>
                <w:rFonts w:ascii="Times New Roman" w:hAnsi="Times New Roman" w:cs="Times New Roman"/>
                <w:i/>
                <w:iCs/>
              </w:rPr>
            </w:pPr>
          </w:p>
        </w:tc>
        <w:tc>
          <w:tcPr>
            <w:tcW w:w="7315" w:type="dxa"/>
          </w:tcPr>
          <w:p w14:paraId="489565E9" w14:textId="77777777" w:rsidR="00D526E7" w:rsidRPr="007F37A0" w:rsidRDefault="00000000" w:rsidP="00735871">
            <w:pPr>
              <w:spacing w:line="480" w:lineRule="auto"/>
              <w:rPr>
                <w:rFonts w:ascii="Times New Roman" w:hAnsi="Times New Roman" w:cs="Times New Roman"/>
                <w:i/>
                <w:iCs/>
              </w:rPr>
            </w:pPr>
            <m:oMathPara>
              <m:oMath>
                <m:sSup>
                  <m:sSupPr>
                    <m:ctrlPr>
                      <w:rPr>
                        <w:rFonts w:ascii="Cambria Math" w:hAnsi="Cambria Math" w:cs="Times New Roman"/>
                        <w:i/>
                        <w:iCs/>
                      </w:rPr>
                    </m:ctrlPr>
                  </m:sSupPr>
                  <m:e>
                    <m:r>
                      <w:rPr>
                        <w:rFonts w:ascii="Cambria Math" w:hAnsi="Cambria Math" w:cs="Times New Roman"/>
                      </w:rPr>
                      <m:t>e</m:t>
                    </m:r>
                  </m:e>
                  <m:sup>
                    <m:r>
                      <w:rPr>
                        <w:rFonts w:ascii="Cambria Math" w:hAnsi="Cambria Math" w:cs="Times New Roman"/>
                      </w:rPr>
                      <m:t>-ρdt</m:t>
                    </m:r>
                  </m:sup>
                </m:sSup>
                <m:d>
                  <m:dPr>
                    <m:begChr m:val="{"/>
                    <m:endChr m:val="}"/>
                    <m:ctrlPr>
                      <w:rPr>
                        <w:rFonts w:ascii="Cambria Math" w:hAnsi="Cambria Math" w:cs="Times New Roman"/>
                        <w:i/>
                        <w:iCs/>
                      </w:rPr>
                    </m:ctrlPr>
                  </m:dPr>
                  <m:e>
                    <m:r>
                      <w:rPr>
                        <w:rFonts w:ascii="Cambria Math" w:hAnsi="Cambria Math" w:cs="Times New Roman"/>
                      </w:rPr>
                      <m:t>E</m:t>
                    </m:r>
                    <m:d>
                      <m:dPr>
                        <m:begChr m:val="["/>
                        <m:endChr m:val="]"/>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m:t>
                                </m:r>
                              </m:sup>
                            </m:sSup>
                            <m:r>
                              <w:rPr>
                                <w:rFonts w:ascii="Cambria Math" w:hAnsi="Cambria Math" w:cs="Times New Roman"/>
                              </w:rPr>
                              <m:t>,Y+dY</m:t>
                            </m:r>
                          </m:e>
                        </m:d>
                      </m:e>
                    </m:d>
                    <m:r>
                      <w:rPr>
                        <w:rFonts w:ascii="Cambria Math" w:hAnsi="Cambria Math" w:cs="Times New Roman"/>
                      </w:rPr>
                      <m:t>-κ</m:t>
                    </m:r>
                  </m:e>
                </m:d>
                <m:r>
                  <w:rPr>
                    <w:rFonts w:ascii="Cambria Math" w:hAnsi="Cambria Math" w:cs="Times New Roman"/>
                  </w:rPr>
                  <m:t>=0</m:t>
                </m:r>
              </m:oMath>
            </m:oMathPara>
          </w:p>
        </w:tc>
        <w:tc>
          <w:tcPr>
            <w:tcW w:w="720" w:type="dxa"/>
          </w:tcPr>
          <w:p w14:paraId="26737290" w14:textId="11D5E0E6" w:rsidR="00D526E7" w:rsidRPr="007F37A0" w:rsidRDefault="00D526E7" w:rsidP="00735871">
            <w:pPr>
              <w:spacing w:line="480" w:lineRule="auto"/>
              <w:rPr>
                <w:rFonts w:ascii="Times New Roman" w:hAnsi="Times New Roman" w:cs="Times New Roman"/>
              </w:rPr>
            </w:pPr>
            <w:bookmarkStart w:id="8" w:name="_Ref109737799"/>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4</w:t>
            </w:r>
            <w:r w:rsidRPr="007F37A0">
              <w:rPr>
                <w:rFonts w:ascii="Times New Roman" w:hAnsi="Times New Roman" w:cs="Times New Roman"/>
              </w:rPr>
              <w:fldChar w:fldCharType="end"/>
            </w:r>
            <w:r w:rsidRPr="007F37A0">
              <w:rPr>
                <w:rFonts w:ascii="Times New Roman" w:hAnsi="Times New Roman" w:cs="Times New Roman"/>
              </w:rPr>
              <w:t xml:space="preserve"> )</w:t>
            </w:r>
            <w:bookmarkEnd w:id="8"/>
          </w:p>
        </w:tc>
      </w:tr>
    </w:tbl>
    <w:p w14:paraId="0B023580"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We see that if the expected marginal value of incremental capital is greater than the marginal cost, then the firm will invest in new capital. Thus if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rPr>
            </m:ctrlPr>
          </m:dPr>
          <m:e>
            <m:r>
              <w:rPr>
                <w:rFonts w:ascii="Cambria Math" w:hAnsi="Cambria Math" w:cs="Times New Roman"/>
              </w:rPr>
              <m:t>K</m:t>
            </m:r>
            <m:r>
              <m:rPr>
                <m:sty m:val="p"/>
              </m:rPr>
              <w:rPr>
                <w:rFonts w:ascii="Cambria Math" w:hAnsi="Cambria Math" w:cs="Times New Roman"/>
              </w:rPr>
              <m:t>,</m:t>
            </m:r>
            <m:r>
              <w:rPr>
                <w:rFonts w:ascii="Cambria Math" w:hAnsi="Cambria Math" w:cs="Times New Roman"/>
              </w:rPr>
              <m:t>Y</m:t>
            </m:r>
          </m:e>
        </m:d>
        <m:r>
          <m:rPr>
            <m:sty m:val="p"/>
          </m:rPr>
          <w:rPr>
            <w:rFonts w:ascii="Cambria Math" w:hAnsi="Cambria Math" w:cs="Times New Roman"/>
          </w:rPr>
          <m:t>≥</m:t>
        </m:r>
        <m:r>
          <w:rPr>
            <w:rFonts w:ascii="Cambria Math" w:hAnsi="Cambria Math" w:cs="Times New Roman"/>
          </w:rPr>
          <m:t>κ</m:t>
        </m:r>
      </m:oMath>
      <w:r w:rsidRPr="007F37A0">
        <w:rPr>
          <w:rFonts w:ascii="Times New Roman" w:hAnsi="Times New Roman" w:cs="Times New Roman"/>
        </w:rPr>
        <w:t xml:space="preserve">, then the firm invests, and if not then </w:t>
      </w:r>
      <m:oMath>
        <m:sSup>
          <m:sSupPr>
            <m:ctrlPr>
              <w:rPr>
                <w:rFonts w:ascii="Cambria Math" w:hAnsi="Cambria Math" w:cs="Times New Roman"/>
              </w:rPr>
            </m:ctrlPr>
          </m:sSupPr>
          <m:e>
            <m:r>
              <w:rPr>
                <w:rFonts w:ascii="Cambria Math" w:hAnsi="Cambria Math" w:cs="Times New Roman"/>
              </w:rPr>
              <m:t>K</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K</m:t>
        </m:r>
      </m:oMath>
      <w:r w:rsidRPr="007F37A0">
        <w:rPr>
          <w:rFonts w:ascii="Times New Roman" w:hAnsi="Times New Roman" w:cs="Times New Roman"/>
        </w:rPr>
        <w:t xml:space="preserve">. </w:t>
      </w:r>
    </w:p>
    <w:p w14:paraId="6ECB2F1D"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Consider when the firm will not invest in new capital. This gives a boundary condition that characterizes when the firm will choose to invest in additional capital. Note that if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rPr>
            </m:ctrlPr>
          </m:dPr>
          <m:e>
            <m:r>
              <w:rPr>
                <w:rFonts w:ascii="Cambria Math" w:hAnsi="Cambria Math" w:cs="Times New Roman"/>
              </w:rPr>
              <m:t>K</m:t>
            </m:r>
            <m:r>
              <m:rPr>
                <m:sty m:val="p"/>
              </m:rPr>
              <w:rPr>
                <w:rFonts w:ascii="Cambria Math" w:hAnsi="Cambria Math" w:cs="Times New Roman"/>
              </w:rPr>
              <m:t>,</m:t>
            </m:r>
            <m:r>
              <w:rPr>
                <w:rFonts w:ascii="Cambria Math" w:hAnsi="Cambria Math" w:cs="Times New Roman"/>
              </w:rPr>
              <m:t>Y</m:t>
            </m:r>
          </m:e>
        </m:d>
        <m:r>
          <m:rPr>
            <m:sty m:val="p"/>
          </m:rPr>
          <w:rPr>
            <w:rFonts w:ascii="Cambria Math" w:hAnsi="Cambria Math" w:cs="Times New Roman"/>
          </w:rPr>
          <m:t>≥</m:t>
        </m:r>
        <m:r>
          <w:rPr>
            <w:rFonts w:ascii="Cambria Math" w:hAnsi="Cambria Math" w:cs="Times New Roman"/>
          </w:rPr>
          <m:t>κ</m:t>
        </m:r>
      </m:oMath>
      <w:r w:rsidRPr="007F37A0">
        <w:rPr>
          <w:rFonts w:ascii="Times New Roman" w:hAnsi="Times New Roman" w:cs="Times New Roman"/>
        </w:rPr>
        <w:t xml:space="preserve">, then the firm will invest in additional capital until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rPr>
            </m:ctrlPr>
          </m:dPr>
          <m:e>
            <m:r>
              <w:rPr>
                <w:rFonts w:ascii="Cambria Math" w:hAnsi="Cambria Math" w:cs="Times New Roman"/>
              </w:rPr>
              <m:t>K</m:t>
            </m:r>
            <m:r>
              <m:rPr>
                <m:sty m:val="p"/>
              </m:rPr>
              <w:rPr>
                <w:rFonts w:ascii="Cambria Math" w:hAnsi="Cambria Math" w:cs="Times New Roman"/>
              </w:rPr>
              <m:t>,</m:t>
            </m:r>
            <m:r>
              <w:rPr>
                <w:rFonts w:ascii="Cambria Math" w:hAnsi="Cambria Math" w:cs="Times New Roman"/>
              </w:rPr>
              <m:t>Y</m:t>
            </m:r>
          </m:e>
        </m:d>
        <m:r>
          <m:rPr>
            <m:sty m:val="p"/>
          </m:rPr>
          <w:rPr>
            <w:rFonts w:ascii="Cambria Math" w:hAnsi="Cambria Math" w:cs="Times New Roman"/>
          </w:rPr>
          <m:t>=</m:t>
        </m:r>
        <m:r>
          <w:rPr>
            <w:rFonts w:ascii="Cambria Math" w:hAnsi="Cambria Math" w:cs="Times New Roman"/>
          </w:rPr>
          <m:t>κ</m:t>
        </m:r>
      </m:oMath>
      <w:r w:rsidRPr="007F37A0">
        <w:rPr>
          <w:rFonts w:ascii="Times New Roman" w:hAnsi="Times New Roman" w:cs="Times New Roman"/>
        </w:rPr>
        <w:t xml:space="preserve">. That is, the firm is not constrained to only invest in one additional unit of capital, but rather they could invest in many units in one period and then no units in the next few periods. </w:t>
      </w:r>
    </w:p>
    <w:p w14:paraId="03DB4D8C"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When the firm does not invest in capital, then the Bellman equation becomes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315"/>
        <w:gridCol w:w="720"/>
      </w:tblGrid>
      <w:tr w:rsidR="00D526E7" w:rsidRPr="007F37A0" w14:paraId="2DBD454B" w14:textId="77777777" w:rsidTr="00735871">
        <w:tc>
          <w:tcPr>
            <w:tcW w:w="605" w:type="dxa"/>
          </w:tcPr>
          <w:p w14:paraId="0F3A9774" w14:textId="77777777" w:rsidR="00D526E7" w:rsidRPr="007F37A0" w:rsidRDefault="00D526E7" w:rsidP="00735871">
            <w:pPr>
              <w:spacing w:line="480" w:lineRule="auto"/>
              <w:rPr>
                <w:rFonts w:ascii="Times New Roman" w:hAnsi="Times New Roman" w:cs="Times New Roman"/>
                <w:i/>
                <w:iCs/>
              </w:rPr>
            </w:pPr>
          </w:p>
        </w:tc>
        <w:tc>
          <w:tcPr>
            <w:tcW w:w="7315" w:type="dxa"/>
          </w:tcPr>
          <w:p w14:paraId="55D0FB55"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W</m:t>
                </m:r>
                <m:d>
                  <m:dPr>
                    <m:ctrlPr>
                      <w:rPr>
                        <w:rFonts w:ascii="Cambria Math" w:hAnsi="Cambria Math" w:cs="Times New Roman"/>
                        <w:i/>
                        <w:iCs/>
                      </w:rPr>
                    </m:ctrlPr>
                  </m:dPr>
                  <m:e>
                    <m:r>
                      <w:rPr>
                        <w:rFonts w:ascii="Cambria Math" w:hAnsi="Cambria Math" w:cs="Times New Roman"/>
                      </w:rPr>
                      <m:t>K,Y</m:t>
                    </m:r>
                  </m:e>
                </m:d>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m:t>
                </m:r>
                <m:d>
                  <m:dPr>
                    <m:ctrlPr>
                      <w:rPr>
                        <w:rFonts w:ascii="Cambria Math" w:hAnsi="Cambria Math" w:cs="Times New Roman"/>
                        <w:i/>
                        <w:iCs/>
                      </w:rPr>
                    </m:ctrlPr>
                  </m:dPr>
                  <m:e>
                    <m:r>
                      <w:rPr>
                        <w:rFonts w:ascii="Cambria Math" w:hAnsi="Cambria Math" w:cs="Times New Roman"/>
                      </w:rPr>
                      <m:t>K</m:t>
                    </m:r>
                  </m:e>
                </m:d>
                <m:r>
                  <w:rPr>
                    <w:rFonts w:ascii="Cambria Math" w:hAnsi="Cambria Math" w:cs="Times New Roman"/>
                  </w:rPr>
                  <m:t>dt+</m:t>
                </m:r>
                <m:sSup>
                  <m:sSupPr>
                    <m:ctrlPr>
                      <w:rPr>
                        <w:rFonts w:ascii="Cambria Math" w:hAnsi="Cambria Math" w:cs="Times New Roman"/>
                        <w:i/>
                        <w:iCs/>
                      </w:rPr>
                    </m:ctrlPr>
                  </m:sSupPr>
                  <m:e>
                    <m:r>
                      <w:rPr>
                        <w:rFonts w:ascii="Cambria Math" w:hAnsi="Cambria Math" w:cs="Times New Roman"/>
                      </w:rPr>
                      <m:t>e</m:t>
                    </m:r>
                  </m:e>
                  <m:sup>
                    <m:r>
                      <w:rPr>
                        <w:rFonts w:ascii="Cambria Math" w:hAnsi="Cambria Math" w:cs="Times New Roman"/>
                      </w:rPr>
                      <m:t>-ρdt</m:t>
                    </m:r>
                  </m:sup>
                </m:sSup>
                <m:d>
                  <m:dPr>
                    <m:begChr m:val="{"/>
                    <m:endChr m:val="}"/>
                    <m:ctrlPr>
                      <w:rPr>
                        <w:rFonts w:ascii="Cambria Math" w:hAnsi="Cambria Math" w:cs="Times New Roman"/>
                        <w:i/>
                        <w:iCs/>
                      </w:rPr>
                    </m:ctrlPr>
                  </m:dPr>
                  <m:e>
                    <m:r>
                      <w:rPr>
                        <w:rFonts w:ascii="Cambria Math" w:hAnsi="Cambria Math" w:cs="Times New Roman"/>
                      </w:rPr>
                      <m:t>E</m:t>
                    </m:r>
                    <m:d>
                      <m:dPr>
                        <m:begChr m:val="["/>
                        <m:endChr m:val="]"/>
                        <m:ctrlPr>
                          <w:rPr>
                            <w:rFonts w:ascii="Cambria Math" w:hAnsi="Cambria Math" w:cs="Times New Roman"/>
                            <w:i/>
                            <w:iCs/>
                          </w:rPr>
                        </m:ctrlPr>
                      </m:dPr>
                      <m:e>
                        <m:r>
                          <w:rPr>
                            <w:rFonts w:ascii="Cambria Math" w:hAnsi="Cambria Math" w:cs="Times New Roman"/>
                          </w:rPr>
                          <m:t>W</m:t>
                        </m:r>
                        <m:d>
                          <m:dPr>
                            <m:ctrlPr>
                              <w:rPr>
                                <w:rFonts w:ascii="Cambria Math" w:hAnsi="Cambria Math" w:cs="Times New Roman"/>
                                <w:i/>
                                <w:iCs/>
                              </w:rPr>
                            </m:ctrlPr>
                          </m:dPr>
                          <m:e>
                            <m:r>
                              <w:rPr>
                                <w:rFonts w:ascii="Cambria Math" w:hAnsi="Cambria Math" w:cs="Times New Roman"/>
                              </w:rPr>
                              <m:t>K,Y+dY</m:t>
                            </m:r>
                          </m:e>
                        </m:d>
                      </m:e>
                    </m:d>
                  </m:e>
                </m:d>
              </m:oMath>
            </m:oMathPara>
          </w:p>
        </w:tc>
        <w:tc>
          <w:tcPr>
            <w:tcW w:w="720" w:type="dxa"/>
          </w:tcPr>
          <w:p w14:paraId="4D46BC94" w14:textId="41B5BBB2" w:rsidR="00D526E7" w:rsidRPr="007F37A0" w:rsidRDefault="00D526E7" w:rsidP="00735871">
            <w:pPr>
              <w:spacing w:line="480" w:lineRule="auto"/>
              <w:rPr>
                <w:rFonts w:ascii="Times New Roman" w:hAnsi="Times New Roman" w:cs="Times New Roman"/>
              </w:rPr>
            </w:pPr>
            <w:bookmarkStart w:id="9" w:name="_Ref109736618"/>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5</w:t>
            </w:r>
            <w:r w:rsidRPr="007F37A0">
              <w:rPr>
                <w:rFonts w:ascii="Times New Roman" w:hAnsi="Times New Roman" w:cs="Times New Roman"/>
              </w:rPr>
              <w:fldChar w:fldCharType="end"/>
            </w:r>
            <w:r w:rsidRPr="007F37A0">
              <w:rPr>
                <w:rFonts w:ascii="Times New Roman" w:hAnsi="Times New Roman" w:cs="Times New Roman"/>
              </w:rPr>
              <w:t xml:space="preserve"> )</w:t>
            </w:r>
            <w:bookmarkEnd w:id="9"/>
          </w:p>
        </w:tc>
      </w:tr>
    </w:tbl>
    <w:p w14:paraId="51182BAE" w14:textId="6F4B8642"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Rewriting equation </w:t>
      </w:r>
      <w:r w:rsidRPr="007F37A0">
        <w:rPr>
          <w:rFonts w:ascii="Times New Roman" w:hAnsi="Times New Roman" w:cs="Times New Roman"/>
        </w:rPr>
        <w:fldChar w:fldCharType="begin"/>
      </w:r>
      <w:r w:rsidRPr="007F37A0">
        <w:rPr>
          <w:rFonts w:ascii="Times New Roman" w:hAnsi="Times New Roman" w:cs="Times New Roman"/>
        </w:rPr>
        <w:instrText xml:space="preserve"> REF _Ref109736618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 </w:t>
      </w:r>
      <w:r w:rsidR="00142A7E">
        <w:rPr>
          <w:rFonts w:ascii="Times New Roman" w:hAnsi="Times New Roman" w:cs="Times New Roman"/>
        </w:rPr>
        <w:t>5</w:t>
      </w:r>
      <w:r w:rsidR="00142A7E" w:rsidRPr="007F37A0">
        <w:rPr>
          <w:rFonts w:ascii="Times New Roman" w:hAnsi="Times New Roman" w:cs="Times New Roman"/>
        </w:rPr>
        <w:t xml:space="preserve"> )</w:t>
      </w:r>
      <w:r w:rsidRPr="007F37A0">
        <w:rPr>
          <w:rFonts w:ascii="Times New Roman" w:hAnsi="Times New Roman" w:cs="Times New Roman"/>
        </w:rPr>
        <w:fldChar w:fldCharType="end"/>
      </w:r>
      <w:r w:rsidRPr="007F37A0">
        <w:rPr>
          <w:rFonts w:ascii="Times New Roman" w:hAnsi="Times New Roman" w:cs="Times New Roman"/>
        </w:rPr>
        <w:t xml:space="preserve"> in terms of firm profit gives the following differential equation characterizing the value of investing for the firm.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315"/>
        <w:gridCol w:w="720"/>
      </w:tblGrid>
      <w:tr w:rsidR="00D526E7" w:rsidRPr="007F37A0" w14:paraId="1649C4F5" w14:textId="77777777" w:rsidTr="00735871">
        <w:tc>
          <w:tcPr>
            <w:tcW w:w="605" w:type="dxa"/>
          </w:tcPr>
          <w:p w14:paraId="27509F75" w14:textId="77777777" w:rsidR="00D526E7" w:rsidRPr="007F37A0" w:rsidRDefault="00D526E7" w:rsidP="00735871">
            <w:pPr>
              <w:spacing w:line="480" w:lineRule="auto"/>
              <w:rPr>
                <w:rFonts w:ascii="Times New Roman" w:hAnsi="Times New Roman" w:cs="Times New Roman"/>
                <w:i/>
                <w:iCs/>
              </w:rPr>
            </w:pPr>
          </w:p>
        </w:tc>
        <w:tc>
          <w:tcPr>
            <w:tcW w:w="7315" w:type="dxa"/>
          </w:tcPr>
          <w:p w14:paraId="5B021EE6" w14:textId="77777777" w:rsidR="00D526E7" w:rsidRPr="007F37A0" w:rsidRDefault="00D526E7" w:rsidP="00735871">
            <w:pPr>
              <w:spacing w:line="480" w:lineRule="auto"/>
              <w:rPr>
                <w:rFonts w:ascii="Times New Roman" w:hAnsi="Times New Roman" w:cs="Times New Roman"/>
                <w:i/>
                <w:iCs/>
              </w:rPr>
            </w:pPr>
            <m:oMathPara>
              <m:oMathParaPr>
                <m:jc m:val="center"/>
              </m:oMathParaPr>
              <m:oMath>
                <m:r>
                  <w:rPr>
                    <w:rFonts w:ascii="Cambria Math" w:hAnsi="Cambria Math" w:cs="Times New Roman"/>
                  </w:rPr>
                  <m:t>0=π+</m:t>
                </m:r>
                <m:sSup>
                  <m:sSupPr>
                    <m:ctrlPr>
                      <w:rPr>
                        <w:rFonts w:ascii="Cambria Math" w:hAnsi="Cambria Math" w:cs="Times New Roman"/>
                        <w:i/>
                        <w:iCs/>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π</m:t>
                    </m:r>
                  </m:e>
                </m:d>
                <m:d>
                  <m:dPr>
                    <m:ctrlPr>
                      <w:rPr>
                        <w:rFonts w:ascii="Cambria Math" w:hAnsi="Cambria Math" w:cs="Times New Roman"/>
                        <w:i/>
                        <w:iCs/>
                      </w:rPr>
                    </m:ctrlPr>
                  </m:dPr>
                  <m:e>
                    <m:r>
                      <w:rPr>
                        <w:rFonts w:ascii="Cambria Math" w:hAnsi="Cambria Math" w:cs="Times New Roman"/>
                      </w:rPr>
                      <m:t>βπα+</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iCs/>
                          </w:rPr>
                        </m:ctrlPr>
                      </m:dPr>
                      <m:e>
                        <m:r>
                          <w:rPr>
                            <w:rFonts w:ascii="Cambria Math" w:hAnsi="Cambria Math" w:cs="Times New Roman"/>
                          </w:rPr>
                          <m:t>β-1</m:t>
                        </m:r>
                      </m:e>
                    </m:d>
                    <m:r>
                      <w:rPr>
                        <w:rFonts w:ascii="Cambria Math" w:hAnsi="Cambria Math" w:cs="Times New Roman"/>
                      </w:rPr>
                      <m:t>π</m:t>
                    </m:r>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e>
                </m:d>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iCs/>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π</m:t>
                    </m:r>
                  </m:e>
                </m:d>
                <m:d>
                  <m:dPr>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β</m:t>
                        </m:r>
                      </m:e>
                      <m:sup>
                        <m:r>
                          <w:rPr>
                            <w:rFonts w:ascii="Cambria Math" w:hAnsi="Cambria Math" w:cs="Times New Roman"/>
                          </w:rPr>
                          <m:t>2</m:t>
                        </m:r>
                      </m:sup>
                    </m:sSup>
                    <m:sSup>
                      <m:sSupPr>
                        <m:ctrlPr>
                          <w:rPr>
                            <w:rFonts w:ascii="Cambria Math" w:hAnsi="Cambria Math" w:cs="Times New Roman"/>
                            <w:i/>
                            <w:iCs/>
                          </w:rPr>
                        </m:ctrlPr>
                      </m:sSupPr>
                      <m:e>
                        <m:r>
                          <w:rPr>
                            <w:rFonts w:ascii="Cambria Math" w:hAnsi="Cambria Math" w:cs="Times New Roman"/>
                          </w:rPr>
                          <m:t>π</m:t>
                        </m:r>
                      </m:e>
                      <m:sup>
                        <m:r>
                          <w:rPr>
                            <w:rFonts w:ascii="Cambria Math" w:hAnsi="Cambria Math" w:cs="Times New Roman"/>
                          </w:rPr>
                          <m:t>2</m:t>
                        </m:r>
                      </m:sup>
                    </m:sSup>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e>
                </m:d>
              </m:oMath>
            </m:oMathPara>
          </w:p>
          <w:p w14:paraId="7B683DC2"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-ρW</m:t>
                </m:r>
                <m:d>
                  <m:dPr>
                    <m:ctrlPr>
                      <w:rPr>
                        <w:rFonts w:ascii="Cambria Math" w:hAnsi="Cambria Math" w:cs="Times New Roman"/>
                        <w:i/>
                        <w:iCs/>
                      </w:rPr>
                    </m:ctrlPr>
                  </m:dPr>
                  <m:e>
                    <m:r>
                      <w:rPr>
                        <w:rFonts w:ascii="Cambria Math" w:hAnsi="Cambria Math" w:cs="Times New Roman"/>
                      </w:rPr>
                      <m:t>π</m:t>
                    </m:r>
                  </m:e>
                </m:d>
              </m:oMath>
            </m:oMathPara>
          </w:p>
        </w:tc>
        <w:tc>
          <w:tcPr>
            <w:tcW w:w="720" w:type="dxa"/>
          </w:tcPr>
          <w:p w14:paraId="6916445E" w14:textId="02342AAE" w:rsidR="00D526E7" w:rsidRPr="007F37A0" w:rsidRDefault="00D526E7" w:rsidP="00735871">
            <w:pPr>
              <w:spacing w:line="480" w:lineRule="auto"/>
              <w:rPr>
                <w:rFonts w:ascii="Times New Roman" w:hAnsi="Times New Roman" w:cs="Times New Roman"/>
              </w:rPr>
            </w:pPr>
            <w:bookmarkStart w:id="10" w:name="_Ref109896493"/>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6</w:t>
            </w:r>
            <w:r w:rsidRPr="007F37A0">
              <w:rPr>
                <w:rFonts w:ascii="Times New Roman" w:hAnsi="Times New Roman" w:cs="Times New Roman"/>
              </w:rPr>
              <w:fldChar w:fldCharType="end"/>
            </w:r>
            <w:r w:rsidRPr="007F37A0">
              <w:rPr>
                <w:rFonts w:ascii="Times New Roman" w:hAnsi="Times New Roman" w:cs="Times New Roman"/>
              </w:rPr>
              <w:t xml:space="preserve"> )</w:t>
            </w:r>
            <w:bookmarkEnd w:id="10"/>
          </w:p>
        </w:tc>
      </w:tr>
    </w:tbl>
    <w:p w14:paraId="2715B9AE"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The solution of this differential equation gives the value of investing for the firm.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7319"/>
        <w:gridCol w:w="720"/>
      </w:tblGrid>
      <w:tr w:rsidR="00D526E7" w:rsidRPr="007F37A0" w14:paraId="36AF9123" w14:textId="77777777" w:rsidTr="00735871">
        <w:tc>
          <w:tcPr>
            <w:tcW w:w="601" w:type="dxa"/>
          </w:tcPr>
          <w:p w14:paraId="0781176A" w14:textId="77777777" w:rsidR="00D526E7" w:rsidRPr="007F37A0" w:rsidRDefault="00D526E7" w:rsidP="00735871">
            <w:pPr>
              <w:spacing w:line="480" w:lineRule="auto"/>
              <w:rPr>
                <w:rFonts w:ascii="Times New Roman" w:hAnsi="Times New Roman" w:cs="Times New Roman"/>
                <w:i/>
                <w:iCs/>
              </w:rPr>
            </w:pPr>
          </w:p>
        </w:tc>
        <w:tc>
          <w:tcPr>
            <w:tcW w:w="7319" w:type="dxa"/>
          </w:tcPr>
          <w:p w14:paraId="7E6BF0C1"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W</m:t>
                </m:r>
                <m:d>
                  <m:dPr>
                    <m:ctrlPr>
                      <w:rPr>
                        <w:rFonts w:ascii="Cambria Math" w:hAnsi="Cambria Math" w:cs="Times New Roman"/>
                        <w:i/>
                        <w:iCs/>
                      </w:rPr>
                    </m:ctrlPr>
                  </m:dPr>
                  <m:e>
                    <m:r>
                      <w:rPr>
                        <w:rFonts w:ascii="Cambria Math" w:hAnsi="Cambria Math" w:cs="Times New Roman"/>
                      </w:rPr>
                      <m:t>K,Y</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A</m:t>
                    </m:r>
                  </m:e>
                  <m:sub>
                    <m:r>
                      <w:rPr>
                        <w:rFonts w:ascii="Cambria Math" w:hAnsi="Cambria Math" w:cs="Times New Roman"/>
                      </w:rPr>
                      <m:t>1</m:t>
                    </m:r>
                  </m:sub>
                </m:sSub>
                <m:sSup>
                  <m:sSupPr>
                    <m:ctrlPr>
                      <w:rPr>
                        <w:rFonts w:ascii="Cambria Math" w:hAnsi="Cambria Math" w:cs="Times New Roman"/>
                        <w:i/>
                        <w:iCs/>
                      </w:rPr>
                    </m:ctrlPr>
                  </m:sSupPr>
                  <m:e>
                    <m:d>
                      <m:dPr>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m:t>
                        </m:r>
                        <m:d>
                          <m:dPr>
                            <m:ctrlPr>
                              <w:rPr>
                                <w:rFonts w:ascii="Cambria Math" w:hAnsi="Cambria Math" w:cs="Times New Roman"/>
                                <w:i/>
                                <w:iCs/>
                              </w:rPr>
                            </m:ctrlPr>
                          </m:dPr>
                          <m:e>
                            <m:r>
                              <w:rPr>
                                <w:rFonts w:ascii="Cambria Math" w:hAnsi="Cambria Math" w:cs="Times New Roman"/>
                              </w:rPr>
                              <m:t>K</m:t>
                            </m:r>
                          </m:e>
                        </m:d>
                      </m:e>
                    </m:d>
                  </m:e>
                  <m:sup>
                    <m:sSub>
                      <m:sSubPr>
                        <m:ctrlPr>
                          <w:rPr>
                            <w:rFonts w:ascii="Cambria Math" w:hAnsi="Cambria Math" w:cs="Times New Roman"/>
                            <w:i/>
                            <w:iCs/>
                          </w:rPr>
                        </m:ctrlPr>
                      </m:sSubPr>
                      <m:e>
                        <m:r>
                          <w:rPr>
                            <w:rFonts w:ascii="Cambria Math" w:hAnsi="Cambria Math" w:cs="Times New Roman"/>
                          </w:rPr>
                          <m:t>η</m:t>
                        </m:r>
                      </m:e>
                      <m:sub>
                        <m:r>
                          <w:rPr>
                            <w:rFonts w:ascii="Cambria Math" w:hAnsi="Cambria Math" w:cs="Times New Roman"/>
                          </w:rPr>
                          <m:t>1</m:t>
                        </m:r>
                      </m:sub>
                    </m:sSub>
                  </m:sup>
                </m:sSup>
                <m:r>
                  <w:rPr>
                    <w:rFonts w:ascii="Cambria Math" w:hAnsi="Cambria Math" w:cs="Times New Roman"/>
                  </w:rPr>
                  <m:t xml:space="preserve"> +</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m:t>
                    </m:r>
                    <m:d>
                      <m:dPr>
                        <m:ctrlPr>
                          <w:rPr>
                            <w:rFonts w:ascii="Cambria Math" w:hAnsi="Cambria Math" w:cs="Times New Roman"/>
                            <w:i/>
                            <w:iCs/>
                          </w:rPr>
                        </m:ctrlPr>
                      </m:dPr>
                      <m:e>
                        <m:r>
                          <w:rPr>
                            <w:rFonts w:ascii="Cambria Math" w:hAnsi="Cambria Math" w:cs="Times New Roman"/>
                          </w:rPr>
                          <m:t>K</m:t>
                        </m:r>
                      </m:e>
                    </m:d>
                  </m:num>
                  <m:den>
                    <m:r>
                      <w:rPr>
                        <w:rFonts w:ascii="Cambria Math" w:hAnsi="Cambria Math" w:cs="Times New Roman"/>
                      </w:rPr>
                      <m:t>ρ-</m:t>
                    </m:r>
                    <m:d>
                      <m:dPr>
                        <m:ctrlPr>
                          <w:rPr>
                            <w:rFonts w:ascii="Cambria Math" w:hAnsi="Cambria Math" w:cs="Times New Roman"/>
                            <w:i/>
                            <w:iCs/>
                          </w:rPr>
                        </m:ctrlPr>
                      </m:dPr>
                      <m:e>
                        <m:r>
                          <w:rPr>
                            <w:rFonts w:ascii="Cambria Math" w:hAnsi="Cambria Math" w:cs="Times New Roman"/>
                          </w:rPr>
                          <m:t>βα+</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iCs/>
                              </w:rPr>
                            </m:ctrlPr>
                          </m:dPr>
                          <m:e>
                            <m:r>
                              <w:rPr>
                                <w:rFonts w:ascii="Cambria Math" w:hAnsi="Cambria Math" w:cs="Times New Roman"/>
                              </w:rPr>
                              <m:t>β-1</m:t>
                            </m:r>
                          </m:e>
                        </m:d>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e>
                    </m:d>
                  </m:den>
                </m:f>
              </m:oMath>
            </m:oMathPara>
          </w:p>
        </w:tc>
        <w:tc>
          <w:tcPr>
            <w:tcW w:w="720" w:type="dxa"/>
          </w:tcPr>
          <w:p w14:paraId="0E00259C" w14:textId="5AEDF1EF" w:rsidR="00D526E7" w:rsidRPr="007F37A0" w:rsidRDefault="00D526E7" w:rsidP="00735871">
            <w:pPr>
              <w:spacing w:line="480" w:lineRule="auto"/>
              <w:rPr>
                <w:rFonts w:ascii="Times New Roman" w:hAnsi="Times New Roman" w:cs="Times New Roman"/>
              </w:rPr>
            </w:pPr>
            <w:bookmarkStart w:id="11" w:name="_Ref109738466"/>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7</w:t>
            </w:r>
            <w:r w:rsidRPr="007F37A0">
              <w:rPr>
                <w:rFonts w:ascii="Times New Roman" w:hAnsi="Times New Roman" w:cs="Times New Roman"/>
              </w:rPr>
              <w:fldChar w:fldCharType="end"/>
            </w:r>
            <w:r w:rsidRPr="007F37A0">
              <w:rPr>
                <w:rFonts w:ascii="Times New Roman" w:hAnsi="Times New Roman" w:cs="Times New Roman"/>
              </w:rPr>
              <w:t xml:space="preserve"> )</w:t>
            </w:r>
            <w:bookmarkEnd w:id="11"/>
          </w:p>
        </w:tc>
      </w:tr>
    </w:tbl>
    <w:p w14:paraId="085FBFCA"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315"/>
        <w:gridCol w:w="720"/>
      </w:tblGrid>
      <w:tr w:rsidR="00D526E7" w:rsidRPr="007F37A0" w14:paraId="495FF237" w14:textId="77777777" w:rsidTr="00735871">
        <w:tc>
          <w:tcPr>
            <w:tcW w:w="605" w:type="dxa"/>
          </w:tcPr>
          <w:p w14:paraId="5C4D5437" w14:textId="77777777" w:rsidR="00D526E7" w:rsidRPr="007F37A0" w:rsidRDefault="00D526E7" w:rsidP="00735871">
            <w:pPr>
              <w:spacing w:line="480" w:lineRule="auto"/>
              <w:rPr>
                <w:rFonts w:ascii="Times New Roman" w:hAnsi="Times New Roman" w:cs="Times New Roman"/>
                <w:i/>
                <w:iCs/>
              </w:rPr>
            </w:pPr>
          </w:p>
        </w:tc>
        <w:tc>
          <w:tcPr>
            <w:tcW w:w="7315" w:type="dxa"/>
          </w:tcPr>
          <w:p w14:paraId="1DA4A5CA" w14:textId="77777777" w:rsidR="00D526E7" w:rsidRPr="007F37A0" w:rsidRDefault="00000000" w:rsidP="00735871">
            <w:pPr>
              <w:spacing w:line="480" w:lineRule="auto"/>
              <w:rPr>
                <w:rFonts w:ascii="Times New Roman" w:hAnsi="Times New Roman" w:cs="Times New Roman"/>
                <w:i/>
                <w:iCs/>
              </w:rPr>
            </w:pPr>
            <m:oMathPara>
              <m:oMath>
                <m:sSub>
                  <m:sSubPr>
                    <m:ctrlPr>
                      <w:rPr>
                        <w:rFonts w:ascii="Cambria Math" w:hAnsi="Cambria Math" w:cs="Times New Roman"/>
                        <w:i/>
                        <w:iCs/>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α</m:t>
                    </m:r>
                  </m:num>
                  <m:den>
                    <m:r>
                      <w:rPr>
                        <w:rFonts w:ascii="Cambria Math" w:hAnsi="Cambria Math" w:cs="Times New Roman"/>
                      </w:rPr>
                      <m:t>β</m:t>
                    </m:r>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m:t>
                </m:r>
                <m:rad>
                  <m:radPr>
                    <m:degHide m:val="1"/>
                    <m:ctrlPr>
                      <w:rPr>
                        <w:rFonts w:ascii="Cambria Math" w:hAnsi="Cambria Math" w:cs="Times New Roman"/>
                        <w:i/>
                        <w:iCs/>
                      </w:rPr>
                    </m:ctrlPr>
                  </m:radPr>
                  <m:deg/>
                  <m:e>
                    <m:sSup>
                      <m:sSupPr>
                        <m:ctrlPr>
                          <w:rPr>
                            <w:rFonts w:ascii="Cambria Math" w:hAnsi="Cambria Math" w:cs="Times New Roman"/>
                            <w:i/>
                            <w:iCs/>
                          </w:rPr>
                        </m:ctrlPr>
                      </m:sSupPr>
                      <m:e>
                        <m:d>
                          <m:dPr>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α</m:t>
                                </m:r>
                              </m:num>
                              <m:den>
                                <m:r>
                                  <w:rPr>
                                    <w:rFonts w:ascii="Cambria Math" w:hAnsi="Cambria Math" w:cs="Times New Roman"/>
                                  </w:rPr>
                                  <m:t>β</m:t>
                                </m:r>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2β</m:t>
                                </m:r>
                              </m:den>
                            </m:f>
                          </m:e>
                        </m:d>
                      </m:e>
                      <m:sup>
                        <m:r>
                          <w:rPr>
                            <w:rFonts w:ascii="Cambria Math" w:hAnsi="Cambria Math" w:cs="Times New Roman"/>
                          </w:rPr>
                          <m:t>2</m:t>
                        </m:r>
                      </m:sup>
                    </m:sSup>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2ρ</m:t>
                        </m:r>
                      </m:num>
                      <m:den>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den>
                    </m:f>
                  </m:e>
                </m:rad>
              </m:oMath>
            </m:oMathPara>
          </w:p>
        </w:tc>
        <w:tc>
          <w:tcPr>
            <w:tcW w:w="720" w:type="dxa"/>
          </w:tcPr>
          <w:p w14:paraId="5078E7C3" w14:textId="626E7E45"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8</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00DC01AC" w14:textId="31961B34"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From equation </w:t>
      </w:r>
      <w:r w:rsidRPr="007F37A0">
        <w:rPr>
          <w:rFonts w:ascii="Times New Roman" w:hAnsi="Times New Roman" w:cs="Times New Roman"/>
        </w:rPr>
        <w:fldChar w:fldCharType="begin"/>
      </w:r>
      <w:r w:rsidRPr="007F37A0">
        <w:rPr>
          <w:rFonts w:ascii="Times New Roman" w:hAnsi="Times New Roman" w:cs="Times New Roman"/>
        </w:rPr>
        <w:instrText xml:space="preserve"> REF _Ref109737799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 </w:t>
      </w:r>
      <w:r w:rsidR="00142A7E">
        <w:rPr>
          <w:rFonts w:ascii="Times New Roman" w:hAnsi="Times New Roman" w:cs="Times New Roman"/>
        </w:rPr>
        <w:t>4</w:t>
      </w:r>
      <w:r w:rsidR="00142A7E" w:rsidRPr="007F37A0">
        <w:rPr>
          <w:rFonts w:ascii="Times New Roman" w:hAnsi="Times New Roman" w:cs="Times New Roman"/>
        </w:rPr>
        <w:t xml:space="preserve"> )</w:t>
      </w:r>
      <w:r w:rsidRPr="007F37A0">
        <w:rPr>
          <w:rFonts w:ascii="Times New Roman" w:hAnsi="Times New Roman" w:cs="Times New Roman"/>
        </w:rPr>
        <w:fldChar w:fldCharType="end"/>
      </w:r>
      <w:r w:rsidRPr="007F37A0">
        <w:rPr>
          <w:rFonts w:ascii="Times New Roman" w:hAnsi="Times New Roman" w:cs="Times New Roman"/>
        </w:rPr>
        <w:t xml:space="preserve">, we know the boundary condition of inaction is such that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i/>
              </w:rPr>
            </m:ctrlPr>
          </m:dPr>
          <m:e>
            <m:r>
              <w:rPr>
                <w:rFonts w:ascii="Cambria Math" w:hAnsi="Cambria Math" w:cs="Times New Roman"/>
              </w:rPr>
              <m:t>K,Y</m:t>
            </m:r>
          </m:e>
        </m:d>
        <m:r>
          <w:rPr>
            <w:rFonts w:ascii="Cambria Math" w:hAnsi="Cambria Math" w:cs="Times New Roman"/>
          </w:rPr>
          <m:t>=κ</m:t>
        </m:r>
      </m:oMath>
      <w:r w:rsidRPr="007F37A0">
        <w:rPr>
          <w:rFonts w:ascii="Times New Roman" w:hAnsi="Times New Roman" w:cs="Times New Roman"/>
        </w:rPr>
        <w:t xml:space="preserve">. The smooth-pasting condition states that the partial derivative of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i/>
              </w:rPr>
            </m:ctrlPr>
          </m:dPr>
          <m:e>
            <m:r>
              <w:rPr>
                <w:rFonts w:ascii="Cambria Math" w:hAnsi="Cambria Math" w:cs="Times New Roman"/>
              </w:rPr>
              <m:t>K,Y</m:t>
            </m:r>
          </m:e>
        </m:d>
      </m:oMath>
      <w:r w:rsidRPr="007F37A0">
        <w:rPr>
          <w:rFonts w:ascii="Times New Roman" w:hAnsi="Times New Roman" w:cs="Times New Roman"/>
        </w:rPr>
        <w:t xml:space="preserve"> with respect to </w:t>
      </w:r>
      <m:oMath>
        <m:r>
          <w:rPr>
            <w:rFonts w:ascii="Cambria Math" w:hAnsi="Cambria Math" w:cs="Times New Roman"/>
          </w:rPr>
          <m:t>Y</m:t>
        </m:r>
      </m:oMath>
      <w:r w:rsidRPr="007F37A0">
        <w:rPr>
          <w:rFonts w:ascii="Times New Roman" w:hAnsi="Times New Roman" w:cs="Times New Roman"/>
        </w:rPr>
        <w:t xml:space="preserve"> is equal to the derivative of </w:t>
      </w:r>
      <m:oMath>
        <m:r>
          <w:rPr>
            <w:rFonts w:ascii="Cambria Math" w:hAnsi="Cambria Math" w:cs="Times New Roman"/>
          </w:rPr>
          <m:t>κ</m:t>
        </m:r>
      </m:oMath>
      <w:r w:rsidRPr="007F37A0">
        <w:rPr>
          <w:rFonts w:ascii="Times New Roman" w:hAnsi="Times New Roman" w:cs="Times New Roman"/>
        </w:rPr>
        <w:t xml:space="preserve"> with respect to </w:t>
      </w:r>
      <m:oMath>
        <m:r>
          <w:rPr>
            <w:rFonts w:ascii="Cambria Math" w:hAnsi="Cambria Math" w:cs="Times New Roman"/>
          </w:rPr>
          <m:t>Y</m:t>
        </m:r>
      </m:oMath>
      <w:r w:rsidRPr="007F37A0">
        <w:rPr>
          <w:rFonts w:ascii="Times New Roman" w:hAnsi="Times New Roman" w:cs="Times New Roman"/>
        </w:rPr>
        <w:t xml:space="preserve">. This smooth-pasting condition is then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KY</m:t>
            </m:r>
          </m:sub>
        </m:sSub>
        <m:d>
          <m:dPr>
            <m:ctrlPr>
              <w:rPr>
                <w:rFonts w:ascii="Cambria Math" w:hAnsi="Cambria Math" w:cs="Times New Roman"/>
                <w:i/>
              </w:rPr>
            </m:ctrlPr>
          </m:dPr>
          <m:e>
            <m:r>
              <w:rPr>
                <w:rFonts w:ascii="Cambria Math" w:hAnsi="Cambria Math" w:cs="Times New Roman"/>
              </w:rPr>
              <m:t>K,Y</m:t>
            </m:r>
          </m:e>
        </m:d>
        <m:r>
          <w:rPr>
            <w:rFonts w:ascii="Cambria Math" w:hAnsi="Cambria Math" w:cs="Times New Roman"/>
          </w:rPr>
          <m:t>=0</m:t>
        </m:r>
      </m:oMath>
      <w:r w:rsidRPr="007F37A0">
        <w:rPr>
          <w:rFonts w:ascii="Times New Roman" w:hAnsi="Times New Roman" w:cs="Times New Roman"/>
        </w:rPr>
        <w:t xml:space="preserve">. Solving these two conditions using equation </w:t>
      </w:r>
      <w:r w:rsidRPr="007F37A0">
        <w:rPr>
          <w:rFonts w:ascii="Times New Roman" w:hAnsi="Times New Roman" w:cs="Times New Roman"/>
        </w:rPr>
        <w:fldChar w:fldCharType="begin"/>
      </w:r>
      <w:r w:rsidRPr="007F37A0">
        <w:rPr>
          <w:rFonts w:ascii="Times New Roman" w:hAnsi="Times New Roman" w:cs="Times New Roman"/>
        </w:rPr>
        <w:instrText xml:space="preserve"> REF _Ref109738466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 </w:t>
      </w:r>
      <w:r w:rsidR="00142A7E">
        <w:rPr>
          <w:rFonts w:ascii="Times New Roman" w:hAnsi="Times New Roman" w:cs="Times New Roman"/>
        </w:rPr>
        <w:t>7</w:t>
      </w:r>
      <w:r w:rsidR="00142A7E" w:rsidRPr="007F37A0">
        <w:rPr>
          <w:rFonts w:ascii="Times New Roman" w:hAnsi="Times New Roman" w:cs="Times New Roman"/>
        </w:rPr>
        <w:t xml:space="preserve"> )</w:t>
      </w:r>
      <w:r w:rsidRPr="007F37A0">
        <w:rPr>
          <w:rFonts w:ascii="Times New Roman" w:hAnsi="Times New Roman" w:cs="Times New Roman"/>
        </w:rPr>
        <w:fldChar w:fldCharType="end"/>
      </w:r>
      <w:r w:rsidRPr="007F37A0">
        <w:rPr>
          <w:rFonts w:ascii="Times New Roman" w:hAnsi="Times New Roman" w:cs="Times New Roman"/>
        </w:rPr>
        <w:t xml:space="preserve">, gives a relationship between policy activity, </w:t>
      </w:r>
      <m:oMath>
        <m:r>
          <w:rPr>
            <w:rFonts w:ascii="Cambria Math" w:hAnsi="Cambria Math" w:cs="Times New Roman"/>
          </w:rPr>
          <m:t>Y,</m:t>
        </m:r>
      </m:oMath>
      <w:r w:rsidRPr="007F37A0">
        <w:rPr>
          <w:rFonts w:ascii="Times New Roman" w:hAnsi="Times New Roman" w:cs="Times New Roman"/>
        </w:rPr>
        <w:t xml:space="preserve"> and capital, </w:t>
      </w:r>
      <m:oMath>
        <m:r>
          <w:rPr>
            <w:rFonts w:ascii="Cambria Math" w:hAnsi="Cambria Math" w:cs="Times New Roman"/>
          </w:rPr>
          <m:t>K</m:t>
        </m:r>
      </m:oMath>
      <w:r w:rsidRPr="007F37A0">
        <w:rPr>
          <w:rFonts w:ascii="Times New Roman" w:hAnsi="Times New Roman" w:cs="Times New Roman"/>
        </w:rPr>
        <w:t xml:space="preserve"> that is the boundary condition of inaction for the firm. Specifically, when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7416"/>
        <w:gridCol w:w="618"/>
      </w:tblGrid>
      <w:tr w:rsidR="00D526E7" w:rsidRPr="007F37A0" w14:paraId="2064D68E" w14:textId="77777777" w:rsidTr="00735871">
        <w:tc>
          <w:tcPr>
            <w:tcW w:w="655" w:type="dxa"/>
          </w:tcPr>
          <w:p w14:paraId="1338E739" w14:textId="77777777" w:rsidR="00D526E7" w:rsidRPr="007F37A0" w:rsidRDefault="00D526E7" w:rsidP="00735871">
            <w:pPr>
              <w:spacing w:line="480" w:lineRule="auto"/>
              <w:rPr>
                <w:rFonts w:ascii="Times New Roman" w:hAnsi="Times New Roman" w:cs="Times New Roman"/>
                <w:i/>
                <w:iCs/>
              </w:rPr>
            </w:pPr>
          </w:p>
        </w:tc>
        <w:tc>
          <w:tcPr>
            <w:tcW w:w="8050" w:type="dxa"/>
          </w:tcPr>
          <w:p w14:paraId="090B30FB"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Y&gt;</m:t>
                </m:r>
                <m:sSup>
                  <m:sSupPr>
                    <m:ctrlPr>
                      <w:rPr>
                        <w:rFonts w:ascii="Cambria Math" w:hAnsi="Cambria Math" w:cs="Times New Roman"/>
                        <w:i/>
                        <w:iCs/>
                      </w:rPr>
                    </m:ctrlPr>
                  </m:sSupPr>
                  <m:e>
                    <m:d>
                      <m:dPr>
                        <m:begChr m:val="{"/>
                        <m:endChr m:val="}"/>
                        <m:ctrlPr>
                          <w:rPr>
                            <w:rFonts w:ascii="Cambria Math" w:hAnsi="Cambria Math" w:cs="Times New Roman"/>
                            <w:i/>
                            <w:iCs/>
                          </w:rPr>
                        </m:ctrlPr>
                      </m:dPr>
                      <m:e>
                        <m:d>
                          <m:dPr>
                            <m:ctrlPr>
                              <w:rPr>
                                <w:rFonts w:ascii="Cambria Math" w:hAnsi="Cambria Math" w:cs="Times New Roman"/>
                                <w:i/>
                                <w:iCs/>
                              </w:rPr>
                            </m:ctrlPr>
                          </m:dPr>
                          <m:e>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η</m:t>
                                    </m:r>
                                  </m:e>
                                  <m:sub>
                                    <m:r>
                                      <w:rPr>
                                        <w:rFonts w:ascii="Cambria Math" w:hAnsi="Cambria Math" w:cs="Times New Roman"/>
                                      </w:rPr>
                                      <m:t>1</m:t>
                                    </m:r>
                                  </m:sub>
                                </m:sSub>
                              </m:num>
                              <m:den>
                                <m:sSub>
                                  <m:sSubPr>
                                    <m:ctrlPr>
                                      <w:rPr>
                                        <w:rFonts w:ascii="Cambria Math" w:hAnsi="Cambria Math" w:cs="Times New Roman"/>
                                        <w:i/>
                                        <w:iCs/>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den>
                            </m:f>
                          </m:e>
                        </m:d>
                        <m:f>
                          <m:fPr>
                            <m:ctrlPr>
                              <w:rPr>
                                <w:rFonts w:ascii="Cambria Math" w:hAnsi="Cambria Math" w:cs="Times New Roman"/>
                                <w:i/>
                                <w:iCs/>
                              </w:rPr>
                            </m:ctrlPr>
                          </m:fPr>
                          <m:num>
                            <m:r>
                              <w:rPr>
                                <w:rFonts w:ascii="Cambria Math" w:hAnsi="Cambria Math" w:cs="Times New Roman"/>
                              </w:rPr>
                              <m:t>κ</m:t>
                            </m:r>
                          </m:num>
                          <m:den>
                            <m:r>
                              <w:rPr>
                                <w:rFonts w:ascii="Cambria Math" w:hAnsi="Cambria Math" w:cs="Times New Roman"/>
                              </w:rPr>
                              <m:t>P</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K</m:t>
                                </m:r>
                              </m:e>
                            </m:d>
                          </m:den>
                        </m:f>
                        <m:d>
                          <m:dPr>
                            <m:begChr m:val="["/>
                            <m:endChr m:val="]"/>
                            <m:ctrlPr>
                              <w:rPr>
                                <w:rFonts w:ascii="Cambria Math" w:hAnsi="Cambria Math" w:cs="Times New Roman"/>
                                <w:i/>
                                <w:iCs/>
                              </w:rPr>
                            </m:ctrlPr>
                          </m:dPr>
                          <m:e>
                            <m:r>
                              <w:rPr>
                                <w:rFonts w:ascii="Cambria Math" w:hAnsi="Cambria Math" w:cs="Times New Roman"/>
                              </w:rPr>
                              <m:t>ρ-</m:t>
                            </m:r>
                            <m:d>
                              <m:dPr>
                                <m:ctrlPr>
                                  <w:rPr>
                                    <w:rFonts w:ascii="Cambria Math" w:hAnsi="Cambria Math" w:cs="Times New Roman"/>
                                    <w:i/>
                                    <w:iCs/>
                                  </w:rPr>
                                </m:ctrlPr>
                              </m:dPr>
                              <m:e>
                                <m:r>
                                  <w:rPr>
                                    <w:rFonts w:ascii="Cambria Math" w:hAnsi="Cambria Math" w:cs="Times New Roman"/>
                                  </w:rPr>
                                  <m:t>βα+</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iCs/>
                                      </w:rPr>
                                    </m:ctrlPr>
                                  </m:dPr>
                                  <m:e>
                                    <m:r>
                                      <w:rPr>
                                        <w:rFonts w:ascii="Cambria Math" w:hAnsi="Cambria Math" w:cs="Times New Roman"/>
                                      </w:rPr>
                                      <m:t>β-1</m:t>
                                    </m:r>
                                  </m:e>
                                </m:d>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e>
                            </m:d>
                          </m:e>
                        </m:d>
                      </m:e>
                    </m:d>
                  </m:e>
                  <m:sup>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β</m:t>
                        </m:r>
                      </m:den>
                    </m:f>
                  </m:sup>
                </m:sSup>
              </m:oMath>
            </m:oMathPara>
          </w:p>
        </w:tc>
        <w:tc>
          <w:tcPr>
            <w:tcW w:w="655" w:type="dxa"/>
          </w:tcPr>
          <w:p w14:paraId="0D62BFCD" w14:textId="4237F5D9" w:rsidR="00D526E7" w:rsidRPr="007F37A0" w:rsidRDefault="00D526E7" w:rsidP="00735871">
            <w:pPr>
              <w:spacing w:line="480" w:lineRule="auto"/>
              <w:rPr>
                <w:rFonts w:ascii="Times New Roman" w:hAnsi="Times New Roman" w:cs="Times New Roman"/>
              </w:rPr>
            </w:pPr>
            <w:bookmarkStart w:id="12" w:name="_Ref109898166"/>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9</w:t>
            </w:r>
            <w:r w:rsidRPr="007F37A0">
              <w:rPr>
                <w:rFonts w:ascii="Times New Roman" w:hAnsi="Times New Roman" w:cs="Times New Roman"/>
              </w:rPr>
              <w:fldChar w:fldCharType="end"/>
            </w:r>
            <w:r w:rsidRPr="007F37A0">
              <w:rPr>
                <w:rFonts w:ascii="Times New Roman" w:hAnsi="Times New Roman" w:cs="Times New Roman"/>
              </w:rPr>
              <w:t xml:space="preserve"> )</w:t>
            </w:r>
            <w:bookmarkEnd w:id="12"/>
          </w:p>
        </w:tc>
      </w:tr>
    </w:tbl>
    <w:p w14:paraId="5787D4D2"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the firm invests in more capital until equation (9) holds with equality. Otherwise, the firm makes no investment in capital.</w:t>
      </w:r>
    </w:p>
    <w:p w14:paraId="10FC6C93"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Note that when </w:t>
      </w:r>
      <m:oMath>
        <m:r>
          <w:rPr>
            <w:rFonts w:ascii="Cambria Math" w:hAnsi="Cambria Math" w:cs="Times New Roman"/>
          </w:rPr>
          <m:t>β=1</m:t>
        </m:r>
      </m:oMath>
      <w:r w:rsidRPr="007F37A0">
        <w:rPr>
          <w:rFonts w:ascii="Times New Roman" w:hAnsi="Times New Roman" w:cs="Times New Roman"/>
        </w:rPr>
        <w:t>, increases in policy activity increase firm profit, and we recover the boundary condition found in Dixit and Pindyck (1994):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225"/>
        <w:gridCol w:w="810"/>
      </w:tblGrid>
      <w:tr w:rsidR="00D526E7" w:rsidRPr="007F37A0" w14:paraId="747005C0" w14:textId="77777777" w:rsidTr="00735871">
        <w:tc>
          <w:tcPr>
            <w:tcW w:w="605" w:type="dxa"/>
          </w:tcPr>
          <w:p w14:paraId="3EDDEAF7" w14:textId="77777777" w:rsidR="00D526E7" w:rsidRPr="007F37A0" w:rsidRDefault="00D526E7" w:rsidP="00735871">
            <w:pPr>
              <w:spacing w:line="480" w:lineRule="auto"/>
              <w:rPr>
                <w:rFonts w:ascii="Times New Roman" w:hAnsi="Times New Roman" w:cs="Times New Roman"/>
                <w:i/>
                <w:iCs/>
              </w:rPr>
            </w:pPr>
          </w:p>
        </w:tc>
        <w:tc>
          <w:tcPr>
            <w:tcW w:w="7225" w:type="dxa"/>
          </w:tcPr>
          <w:p w14:paraId="628BDBF9"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Y=</m:t>
                </m:r>
                <m:d>
                  <m:dPr>
                    <m:ctrlPr>
                      <w:rPr>
                        <w:rFonts w:ascii="Cambria Math" w:hAnsi="Cambria Math" w:cs="Times New Roman"/>
                        <w:i/>
                        <w:iCs/>
                      </w:rPr>
                    </m:ctrlPr>
                  </m:dPr>
                  <m:e>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η</m:t>
                            </m:r>
                          </m:e>
                          <m:sub>
                            <m:r>
                              <w:rPr>
                                <w:rFonts w:ascii="Cambria Math" w:hAnsi="Cambria Math" w:cs="Times New Roman"/>
                              </w:rPr>
                              <m:t>1</m:t>
                            </m:r>
                          </m:sub>
                        </m:sSub>
                      </m:num>
                      <m:den>
                        <m:sSub>
                          <m:sSubPr>
                            <m:ctrlPr>
                              <w:rPr>
                                <w:rFonts w:ascii="Cambria Math" w:hAnsi="Cambria Math" w:cs="Times New Roman"/>
                                <w:i/>
                                <w:iCs/>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den>
                    </m:f>
                  </m:e>
                </m:d>
                <m:f>
                  <m:fPr>
                    <m:ctrlPr>
                      <w:rPr>
                        <w:rFonts w:ascii="Cambria Math" w:hAnsi="Cambria Math" w:cs="Times New Roman"/>
                        <w:i/>
                        <w:iCs/>
                      </w:rPr>
                    </m:ctrlPr>
                  </m:fPr>
                  <m:num>
                    <m:r>
                      <w:rPr>
                        <w:rFonts w:ascii="Cambria Math" w:hAnsi="Cambria Math" w:cs="Times New Roman"/>
                      </w:rPr>
                      <m:t>κ</m:t>
                    </m:r>
                  </m:num>
                  <m:den>
                    <m:r>
                      <w:rPr>
                        <w:rFonts w:ascii="Cambria Math" w:hAnsi="Cambria Math" w:cs="Times New Roman"/>
                      </w:rPr>
                      <m:t>P</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K</m:t>
                        </m:r>
                      </m:e>
                    </m:d>
                  </m:den>
                </m:f>
                <m:d>
                  <m:dPr>
                    <m:begChr m:val="["/>
                    <m:endChr m:val="]"/>
                    <m:ctrlPr>
                      <w:rPr>
                        <w:rFonts w:ascii="Cambria Math" w:hAnsi="Cambria Math" w:cs="Times New Roman"/>
                        <w:i/>
                        <w:iCs/>
                      </w:rPr>
                    </m:ctrlPr>
                  </m:dPr>
                  <m:e>
                    <m:r>
                      <w:rPr>
                        <w:rFonts w:ascii="Cambria Math" w:hAnsi="Cambria Math" w:cs="Times New Roman"/>
                      </w:rPr>
                      <m:t>ρ-α</m:t>
                    </m:r>
                  </m:e>
                </m:d>
              </m:oMath>
            </m:oMathPara>
          </w:p>
        </w:tc>
        <w:tc>
          <w:tcPr>
            <w:tcW w:w="810" w:type="dxa"/>
          </w:tcPr>
          <w:p w14:paraId="2A82BBEC" w14:textId="650706E6" w:rsidR="00D526E7" w:rsidRPr="007F37A0" w:rsidRDefault="00D526E7" w:rsidP="00735871">
            <w:pPr>
              <w:spacing w:line="480" w:lineRule="auto"/>
              <w:rPr>
                <w:rFonts w:ascii="Times New Roman" w:hAnsi="Times New Roman" w:cs="Times New Roman"/>
              </w:rPr>
            </w:pPr>
            <w:bookmarkStart w:id="13" w:name="_Ref109897035"/>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10</w:t>
            </w:r>
            <w:r w:rsidRPr="007F37A0">
              <w:rPr>
                <w:rFonts w:ascii="Times New Roman" w:hAnsi="Times New Roman" w:cs="Times New Roman"/>
              </w:rPr>
              <w:fldChar w:fldCharType="end"/>
            </w:r>
            <w:r w:rsidRPr="007F37A0">
              <w:rPr>
                <w:rFonts w:ascii="Times New Roman" w:hAnsi="Times New Roman" w:cs="Times New Roman"/>
              </w:rPr>
              <w:t xml:space="preserve"> )</w:t>
            </w:r>
            <w:bookmarkEnd w:id="13"/>
          </w:p>
        </w:tc>
      </w:tr>
    </w:tbl>
    <w:p w14:paraId="08999FB9" w14:textId="43F660CF"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lastRenderedPageBreak/>
        <w:t xml:space="preserve">Assuming diminishing marginal product of capital, </w:t>
      </w:r>
      <m:oMath>
        <m:r>
          <w:rPr>
            <w:rFonts w:ascii="Cambria Math" w:hAnsi="Cambria Math" w:cs="Times New Roman"/>
          </w:rPr>
          <m:t>H"</m:t>
        </m:r>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&lt;0</m:t>
        </m:r>
      </m:oMath>
      <w:r w:rsidRPr="007F37A0">
        <w:rPr>
          <w:rFonts w:ascii="Times New Roman" w:hAnsi="Times New Roman" w:cs="Times New Roman"/>
        </w:rPr>
        <w:t xml:space="preserve">, the boundary condition exhibits a positive relationship between </w:t>
      </w:r>
      <m:oMath>
        <m:r>
          <w:rPr>
            <w:rFonts w:ascii="Cambria Math" w:hAnsi="Cambria Math" w:cs="Times New Roman"/>
          </w:rPr>
          <m:t>Y</m:t>
        </m:r>
      </m:oMath>
      <w:r w:rsidRPr="007F37A0">
        <w:rPr>
          <w:rFonts w:ascii="Times New Roman" w:hAnsi="Times New Roman" w:cs="Times New Roman"/>
        </w:rPr>
        <w:t xml:space="preserve"> and </w:t>
      </w:r>
      <m:oMath>
        <m:r>
          <w:rPr>
            <w:rFonts w:ascii="Cambria Math" w:hAnsi="Cambria Math" w:cs="Times New Roman"/>
          </w:rPr>
          <m:t>K</m:t>
        </m:r>
      </m:oMath>
      <w:r w:rsidRPr="007F37A0">
        <w:rPr>
          <w:rFonts w:ascii="Times New Roman" w:hAnsi="Times New Roman" w:cs="Times New Roman"/>
        </w:rPr>
        <w:t xml:space="preserve">. This can most easily be seen in Dixit and Pindyck’s (1994, p. 362) figure. The barrier or boundary presented in the left panel of </w:t>
      </w:r>
      <w:r w:rsidRPr="007F37A0">
        <w:rPr>
          <w:rFonts w:ascii="Times New Roman" w:hAnsi="Times New Roman" w:cs="Times New Roman"/>
        </w:rPr>
        <w:fldChar w:fldCharType="begin"/>
      </w:r>
      <w:r w:rsidRPr="007F37A0">
        <w:rPr>
          <w:rFonts w:ascii="Times New Roman" w:hAnsi="Times New Roman" w:cs="Times New Roman"/>
        </w:rPr>
        <w:instrText xml:space="preserve"> REF _Ref159331010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1</w:t>
      </w:r>
      <w:r w:rsidRPr="007F37A0">
        <w:rPr>
          <w:rFonts w:ascii="Times New Roman" w:hAnsi="Times New Roman" w:cs="Times New Roman"/>
        </w:rPr>
        <w:fldChar w:fldCharType="end"/>
      </w:r>
      <w:r w:rsidRPr="007F37A0">
        <w:rPr>
          <w:rFonts w:ascii="Times New Roman" w:hAnsi="Times New Roman" w:cs="Times New Roman"/>
        </w:rPr>
        <w:t xml:space="preserve">, shows the values of </w:t>
      </w:r>
      <m:oMath>
        <m:r>
          <w:rPr>
            <w:rFonts w:ascii="Cambria Math" w:hAnsi="Cambria Math" w:cs="Times New Roman"/>
          </w:rPr>
          <m:t>Y</m:t>
        </m:r>
      </m:oMath>
      <w:r w:rsidRPr="007F37A0">
        <w:rPr>
          <w:rFonts w:ascii="Times New Roman" w:hAnsi="Times New Roman" w:cs="Times New Roman"/>
        </w:rPr>
        <w:t xml:space="preserve"> and </w:t>
      </w:r>
      <m:oMath>
        <m:r>
          <w:rPr>
            <w:rFonts w:ascii="Cambria Math" w:hAnsi="Cambria Math" w:cs="Times New Roman"/>
          </w:rPr>
          <m:t>K</m:t>
        </m:r>
      </m:oMath>
      <w:r w:rsidRPr="007F37A0">
        <w:rPr>
          <w:rFonts w:ascii="Times New Roman" w:hAnsi="Times New Roman" w:cs="Times New Roman"/>
        </w:rPr>
        <w:t xml:space="preserve"> such that the marginal value of capital is equal to the marginal cost of capital. The area below the boundary shows when the firm will not invest in capital. For a fixed level of capital, as the level of policy activity, </w:t>
      </w:r>
      <m:oMath>
        <m:r>
          <w:rPr>
            <w:rFonts w:ascii="Cambria Math" w:hAnsi="Cambria Math" w:cs="Times New Roman"/>
          </w:rPr>
          <m:t>Y</m:t>
        </m:r>
      </m:oMath>
      <w:r w:rsidRPr="007F37A0">
        <w:rPr>
          <w:rFonts w:ascii="Times New Roman" w:hAnsi="Times New Roman" w:cs="Times New Roman"/>
        </w:rPr>
        <w:t xml:space="preserve">, evolves stochastically over time, the level of policy activity might increase sufficiently to hit the barrier or boundary condition. When the boundary condition is satisfied, then we can think of the firm immediately increasing its level of capital until they are in the region below the boundary condition once again. </w:t>
      </w:r>
    </w:p>
    <w:p w14:paraId="0891312F" w14:textId="6A47123E"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Now let us examine the novel scenario where </w:t>
      </w:r>
      <m:oMath>
        <m:r>
          <w:rPr>
            <w:rFonts w:ascii="Cambria Math" w:hAnsi="Cambria Math" w:cs="Times New Roman"/>
          </w:rPr>
          <m:t>β=-1</m:t>
        </m:r>
      </m:oMath>
      <w:r w:rsidRPr="007F37A0">
        <w:rPr>
          <w:rFonts w:ascii="Times New Roman" w:hAnsi="Times New Roman" w:cs="Times New Roman"/>
        </w:rPr>
        <w:t xml:space="preserve">, which means increases in policy activity hurt firm profit. Equation </w:t>
      </w:r>
      <w:r w:rsidRPr="007F37A0">
        <w:rPr>
          <w:rFonts w:ascii="Times New Roman" w:hAnsi="Times New Roman" w:cs="Times New Roman"/>
        </w:rPr>
        <w:fldChar w:fldCharType="begin"/>
      </w:r>
      <w:r w:rsidRPr="007F37A0">
        <w:rPr>
          <w:rFonts w:ascii="Times New Roman" w:hAnsi="Times New Roman" w:cs="Times New Roman"/>
        </w:rPr>
        <w:instrText xml:space="preserve"> REF _Ref109898166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 </w:t>
      </w:r>
      <w:r w:rsidR="00142A7E">
        <w:rPr>
          <w:rFonts w:ascii="Times New Roman" w:hAnsi="Times New Roman" w:cs="Times New Roman"/>
        </w:rPr>
        <w:t>9</w:t>
      </w:r>
      <w:r w:rsidR="00142A7E" w:rsidRPr="007F37A0">
        <w:rPr>
          <w:rFonts w:ascii="Times New Roman" w:hAnsi="Times New Roman" w:cs="Times New Roman"/>
        </w:rPr>
        <w:t xml:space="preserve"> )</w:t>
      </w:r>
      <w:r w:rsidRPr="007F37A0">
        <w:rPr>
          <w:rFonts w:ascii="Times New Roman" w:hAnsi="Times New Roman" w:cs="Times New Roman"/>
        </w:rPr>
        <w:fldChar w:fldCharType="end"/>
      </w:r>
      <w:r w:rsidRPr="007F37A0">
        <w:rPr>
          <w:rFonts w:ascii="Times New Roman" w:hAnsi="Times New Roman" w:cs="Times New Roman"/>
        </w:rPr>
        <w:t xml:space="preserve"> then becomes: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7229"/>
        <w:gridCol w:w="810"/>
      </w:tblGrid>
      <w:tr w:rsidR="00D526E7" w:rsidRPr="007F37A0" w14:paraId="42FC78F3" w14:textId="77777777" w:rsidTr="00735871">
        <w:tc>
          <w:tcPr>
            <w:tcW w:w="601" w:type="dxa"/>
          </w:tcPr>
          <w:p w14:paraId="45189BA9" w14:textId="77777777" w:rsidR="00D526E7" w:rsidRPr="007F37A0" w:rsidRDefault="00D526E7" w:rsidP="00735871">
            <w:pPr>
              <w:spacing w:line="480" w:lineRule="auto"/>
              <w:rPr>
                <w:rFonts w:ascii="Times New Roman" w:hAnsi="Times New Roman" w:cs="Times New Roman"/>
                <w:i/>
                <w:iCs/>
              </w:rPr>
            </w:pPr>
          </w:p>
        </w:tc>
        <w:tc>
          <w:tcPr>
            <w:tcW w:w="7229" w:type="dxa"/>
          </w:tcPr>
          <w:p w14:paraId="5C187617"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Y=</m:t>
                </m:r>
                <m:d>
                  <m:dPr>
                    <m:ctrlPr>
                      <w:rPr>
                        <w:rFonts w:ascii="Cambria Math" w:hAnsi="Cambria Math" w:cs="Times New Roman"/>
                        <w:i/>
                        <w:iCs/>
                      </w:rPr>
                    </m:ctrlPr>
                  </m:dPr>
                  <m:e>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num>
                      <m:den>
                        <m:sSub>
                          <m:sSubPr>
                            <m:ctrlPr>
                              <w:rPr>
                                <w:rFonts w:ascii="Cambria Math" w:hAnsi="Cambria Math" w:cs="Times New Roman"/>
                                <w:i/>
                                <w:iCs/>
                              </w:rPr>
                            </m:ctrlPr>
                          </m:sSubPr>
                          <m:e>
                            <m:r>
                              <w:rPr>
                                <w:rFonts w:ascii="Cambria Math" w:hAnsi="Cambria Math" w:cs="Times New Roman"/>
                              </w:rPr>
                              <m:t>η</m:t>
                            </m:r>
                          </m:e>
                          <m:sub>
                            <m:r>
                              <w:rPr>
                                <w:rFonts w:ascii="Cambria Math" w:hAnsi="Cambria Math" w:cs="Times New Roman"/>
                              </w:rPr>
                              <m:t>1</m:t>
                            </m:r>
                          </m:sub>
                        </m:sSub>
                      </m:den>
                    </m:f>
                  </m:e>
                </m:d>
                <m:f>
                  <m:fPr>
                    <m:ctrlPr>
                      <w:rPr>
                        <w:rFonts w:ascii="Cambria Math" w:hAnsi="Cambria Math" w:cs="Times New Roman"/>
                        <w:i/>
                        <w:iCs/>
                      </w:rPr>
                    </m:ctrlPr>
                  </m:fPr>
                  <m:num>
                    <m:r>
                      <w:rPr>
                        <w:rFonts w:ascii="Cambria Math" w:hAnsi="Cambria Math" w:cs="Times New Roman"/>
                      </w:rPr>
                      <m:t>PH'(K)</m:t>
                    </m:r>
                  </m:num>
                  <m:den>
                    <m:r>
                      <w:rPr>
                        <w:rFonts w:ascii="Cambria Math" w:hAnsi="Cambria Math" w:cs="Times New Roman"/>
                      </w:rPr>
                      <m:t>κ</m:t>
                    </m:r>
                    <m:d>
                      <m:dPr>
                        <m:begChr m:val="["/>
                        <m:endChr m:val="]"/>
                        <m:ctrlPr>
                          <w:rPr>
                            <w:rFonts w:ascii="Cambria Math" w:hAnsi="Cambria Math" w:cs="Times New Roman"/>
                            <w:i/>
                            <w:iCs/>
                          </w:rPr>
                        </m:ctrlPr>
                      </m:dPr>
                      <m:e>
                        <m:r>
                          <w:rPr>
                            <w:rFonts w:ascii="Cambria Math" w:hAnsi="Cambria Math" w:cs="Times New Roman"/>
                          </w:rPr>
                          <m:t>ρ+α-</m:t>
                        </m:r>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e>
                    </m:d>
                  </m:den>
                </m:f>
              </m:oMath>
            </m:oMathPara>
          </w:p>
        </w:tc>
        <w:tc>
          <w:tcPr>
            <w:tcW w:w="810" w:type="dxa"/>
          </w:tcPr>
          <w:p w14:paraId="31772613" w14:textId="60A6DEEB" w:rsidR="00D526E7" w:rsidRPr="007F37A0" w:rsidRDefault="00D526E7" w:rsidP="00735871">
            <w:pPr>
              <w:spacing w:line="480" w:lineRule="auto"/>
              <w:rPr>
                <w:rFonts w:ascii="Times New Roman" w:hAnsi="Times New Roman" w:cs="Times New Roman"/>
              </w:rPr>
            </w:pPr>
            <w:bookmarkStart w:id="14" w:name="_Ref109898222"/>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11</w:t>
            </w:r>
            <w:r w:rsidRPr="007F37A0">
              <w:rPr>
                <w:rFonts w:ascii="Times New Roman" w:hAnsi="Times New Roman" w:cs="Times New Roman"/>
              </w:rPr>
              <w:fldChar w:fldCharType="end"/>
            </w:r>
            <w:r w:rsidRPr="007F37A0">
              <w:rPr>
                <w:rFonts w:ascii="Times New Roman" w:hAnsi="Times New Roman" w:cs="Times New Roman"/>
              </w:rPr>
              <w:t xml:space="preserve"> )</w:t>
            </w:r>
            <w:bookmarkEnd w:id="14"/>
          </w:p>
        </w:tc>
      </w:tr>
    </w:tbl>
    <w:p w14:paraId="6AB8D825" w14:textId="699590D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Assuming diminishing marginal product of capital, </w:t>
      </w:r>
      <m:oMath>
        <m:r>
          <w:rPr>
            <w:rFonts w:ascii="Cambria Math" w:hAnsi="Cambria Math" w:cs="Times New Roman"/>
          </w:rPr>
          <m:t>H"</m:t>
        </m:r>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&lt;0</m:t>
        </m:r>
      </m:oMath>
      <w:r w:rsidRPr="007F37A0">
        <w:rPr>
          <w:rFonts w:ascii="Times New Roman" w:hAnsi="Times New Roman" w:cs="Times New Roman"/>
        </w:rPr>
        <w:t xml:space="preserve">, the boundary condition exhibits a negative relationship between </w:t>
      </w:r>
      <m:oMath>
        <m:r>
          <w:rPr>
            <w:rFonts w:ascii="Cambria Math" w:hAnsi="Cambria Math" w:cs="Times New Roman"/>
          </w:rPr>
          <m:t>Y</m:t>
        </m:r>
      </m:oMath>
      <w:r w:rsidRPr="007F37A0">
        <w:rPr>
          <w:rFonts w:ascii="Times New Roman" w:hAnsi="Times New Roman" w:cs="Times New Roman"/>
        </w:rPr>
        <w:t xml:space="preserve"> and </w:t>
      </w:r>
      <m:oMath>
        <m:r>
          <w:rPr>
            <w:rFonts w:ascii="Cambria Math" w:hAnsi="Cambria Math" w:cs="Times New Roman"/>
          </w:rPr>
          <m:t>K</m:t>
        </m:r>
      </m:oMath>
      <w:r w:rsidRPr="007F37A0">
        <w:rPr>
          <w:rFonts w:ascii="Times New Roman" w:hAnsi="Times New Roman" w:cs="Times New Roman"/>
        </w:rPr>
        <w:t xml:space="preserve"> illustrated in the right panel of </w:t>
      </w:r>
      <w:r w:rsidRPr="007F37A0">
        <w:rPr>
          <w:rFonts w:ascii="Times New Roman" w:hAnsi="Times New Roman" w:cs="Times New Roman"/>
        </w:rPr>
        <w:fldChar w:fldCharType="begin"/>
      </w:r>
      <w:r w:rsidRPr="007F37A0">
        <w:rPr>
          <w:rFonts w:ascii="Times New Roman" w:hAnsi="Times New Roman" w:cs="Times New Roman"/>
        </w:rPr>
        <w:instrText xml:space="preserve"> REF _Ref159331010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1</w:t>
      </w:r>
      <w:r w:rsidRPr="007F37A0">
        <w:rPr>
          <w:rFonts w:ascii="Times New Roman" w:hAnsi="Times New Roman" w:cs="Times New Roman"/>
        </w:rPr>
        <w:fldChar w:fldCharType="end"/>
      </w:r>
      <w:r w:rsidRPr="007F37A0">
        <w:rPr>
          <w:rFonts w:ascii="Times New Roman" w:hAnsi="Times New Roman" w:cs="Times New Roman"/>
        </w:rPr>
        <w:t xml:space="preserve">. The area where firms will not invest in more capital now lies above the boundary condition. When  </w:t>
      </w:r>
      <m:oMath>
        <m:r>
          <w:rPr>
            <w:rFonts w:ascii="Cambria Math" w:hAnsi="Cambria Math" w:cs="Times New Roman"/>
          </w:rPr>
          <m:t>Y</m:t>
        </m:r>
      </m:oMath>
      <w:r w:rsidRPr="007F37A0">
        <w:rPr>
          <w:rFonts w:ascii="Times New Roman" w:hAnsi="Times New Roman" w:cs="Times New Roman"/>
        </w:rPr>
        <w:t xml:space="preserve"> decreases sufficiently, the boundary condition is met, and the firm immediately invests in more capital until they are in the area above the boundary. </w:t>
      </w:r>
    </w:p>
    <w:p w14:paraId="5048E36D"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The original Dixit and Pindyck (1994) model assumes that the level of policy activity positively affects firm profits or </w:t>
      </w:r>
      <m:oMath>
        <m:r>
          <w:rPr>
            <w:rFonts w:ascii="Cambria Math" w:hAnsi="Cambria Math" w:cs="Times New Roman"/>
          </w:rPr>
          <m:t>β=1</m:t>
        </m:r>
      </m:oMath>
      <w:r w:rsidRPr="007F37A0">
        <w:rPr>
          <w:rFonts w:ascii="Times New Roman" w:hAnsi="Times New Roman" w:cs="Times New Roman"/>
        </w:rPr>
        <w:t xml:space="preserve">. Since higher profits increase the value of a capital investment, intuitively the firm makes investments when the level of policy </w:t>
      </w:r>
      <w:r w:rsidRPr="007F37A0">
        <w:rPr>
          <w:rFonts w:ascii="Times New Roman" w:hAnsi="Times New Roman" w:cs="Times New Roman"/>
        </w:rPr>
        <w:lastRenderedPageBreak/>
        <w:t xml:space="preserve">activity increases sufficiently. The model also accommodates firms for which the level of policy activity negatively affects profits, or </w:t>
      </w:r>
      <m:oMath>
        <m:r>
          <w:rPr>
            <w:rFonts w:ascii="Cambria Math" w:hAnsi="Cambria Math" w:cs="Times New Roman"/>
          </w:rPr>
          <m:t>β=-1</m:t>
        </m:r>
      </m:oMath>
      <w:r w:rsidRPr="007F37A0">
        <w:rPr>
          <w:rFonts w:ascii="Times New Roman" w:hAnsi="Times New Roman" w:cs="Times New Roman"/>
        </w:rPr>
        <w:t xml:space="preserve">. Intuitively, if policy activity hurts firm profits, then the level of policy activity must decrease sufficiently for firms to invest in more capital. </w:t>
      </w:r>
    </w:p>
    <w:p w14:paraId="17499A3A" w14:textId="77777777" w:rsidR="00D526E7" w:rsidRPr="007F37A0" w:rsidRDefault="00D526E7" w:rsidP="00D526E7">
      <w:pPr>
        <w:pStyle w:val="Heading3"/>
        <w:spacing w:line="480" w:lineRule="auto"/>
        <w:rPr>
          <w:rFonts w:ascii="Times New Roman" w:hAnsi="Times New Roman" w:cs="Times New Roman"/>
          <w:szCs w:val="24"/>
        </w:rPr>
      </w:pPr>
      <w:bookmarkStart w:id="15" w:name="_Toc164862496"/>
      <w:r w:rsidRPr="007F37A0">
        <w:rPr>
          <w:rFonts w:ascii="Times New Roman" w:hAnsi="Times New Roman" w:cs="Times New Roman"/>
          <w:szCs w:val="24"/>
        </w:rPr>
        <w:t>1.3.1 INVESTMENT RATE</w:t>
      </w:r>
      <w:bookmarkEnd w:id="15"/>
    </w:p>
    <w:p w14:paraId="7DAE5D70"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I derive the firm’s investment rate to find the effect of volatility on the firm’s investment decision. The model presented above results in a barrier control problem where firms invest in capital until a boundary condition is met. This results in lumpy investments where the firm can increase its capital by large amounts in a short time but then not invest in any more capital for a long period. That is, firms invest in more capital when</w:t>
      </w:r>
      <m:oMath>
        <m: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rPr>
            </m:ctrlPr>
          </m:dPr>
          <m:e>
            <m:r>
              <w:rPr>
                <w:rFonts w:ascii="Cambria Math" w:hAnsi="Cambria Math" w:cs="Times New Roman"/>
              </w:rPr>
              <m:t>K</m:t>
            </m:r>
            <m:r>
              <m:rPr>
                <m:sty m:val="p"/>
              </m:rPr>
              <w:rPr>
                <w:rFonts w:ascii="Cambria Math" w:hAnsi="Cambria Math" w:cs="Times New Roman"/>
              </w:rPr>
              <m:t>,</m:t>
            </m:r>
            <m:r>
              <w:rPr>
                <w:rFonts w:ascii="Cambria Math" w:hAnsi="Cambria Math" w:cs="Times New Roman"/>
              </w:rPr>
              <m:t>U</m:t>
            </m:r>
          </m:e>
        </m:d>
        <m:r>
          <m:rPr>
            <m:sty m:val="p"/>
          </m:rPr>
          <w:rPr>
            <w:rFonts w:ascii="Cambria Math" w:hAnsi="Cambria Math" w:cs="Times New Roman"/>
          </w:rPr>
          <m:t>≥</m:t>
        </m:r>
        <m:r>
          <w:rPr>
            <w:rFonts w:ascii="Cambria Math" w:hAnsi="Cambria Math" w:cs="Times New Roman"/>
          </w:rPr>
          <m:t>κ</m:t>
        </m:r>
      </m:oMath>
      <w:r w:rsidRPr="007F37A0">
        <w:rPr>
          <w:rFonts w:ascii="Times New Roman" w:hAnsi="Times New Roman" w:cs="Times New Roman"/>
        </w:rPr>
        <w:t xml:space="preserve"> until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rPr>
            </m:ctrlPr>
          </m:dPr>
          <m:e>
            <m:r>
              <w:rPr>
                <w:rFonts w:ascii="Cambria Math" w:hAnsi="Cambria Math" w:cs="Times New Roman"/>
              </w:rPr>
              <m:t>K</m:t>
            </m:r>
            <m:r>
              <m:rPr>
                <m:sty m:val="p"/>
              </m:rPr>
              <w:rPr>
                <w:rFonts w:ascii="Cambria Math" w:hAnsi="Cambria Math" w:cs="Times New Roman"/>
              </w:rPr>
              <m:t>,</m:t>
            </m:r>
            <m:r>
              <w:rPr>
                <w:rFonts w:ascii="Cambria Math" w:hAnsi="Cambria Math" w:cs="Times New Roman"/>
              </w:rPr>
              <m:t>U</m:t>
            </m:r>
          </m:e>
        </m:d>
        <m:r>
          <m:rPr>
            <m:sty m:val="p"/>
          </m:rPr>
          <w:rPr>
            <w:rFonts w:ascii="Cambria Math" w:hAnsi="Cambria Math" w:cs="Times New Roman"/>
          </w:rPr>
          <m:t>=</m:t>
        </m:r>
        <m:r>
          <w:rPr>
            <w:rFonts w:ascii="Cambria Math" w:hAnsi="Cambria Math" w:cs="Times New Roman"/>
          </w:rPr>
          <m:t>κ</m:t>
        </m:r>
      </m:oMath>
      <w:r w:rsidRPr="007F37A0">
        <w:rPr>
          <w:rFonts w:ascii="Times New Roman" w:hAnsi="Times New Roman" w:cs="Times New Roman"/>
        </w:rPr>
        <w:t xml:space="preserve"> at which point firms make no further investments until the level of policy activity changes sufficiently. As in Dixit and Pindyck (1994), I estimate an investment rate, defined as </w:t>
      </w:r>
      <m:oMath>
        <m:acc>
          <m:accPr>
            <m:chr m:val="̇"/>
            <m:ctrlPr>
              <w:rPr>
                <w:rFonts w:ascii="Cambria Math" w:hAnsi="Cambria Math" w:cs="Times New Roman"/>
                <w:i/>
              </w:rPr>
            </m:ctrlPr>
          </m:accPr>
          <m:e>
            <m:f>
              <m:fPr>
                <m:ctrlPr>
                  <w:rPr>
                    <w:rFonts w:ascii="Cambria Math" w:hAnsi="Cambria Math" w:cs="Times New Roman"/>
                    <w:i/>
                  </w:rPr>
                </m:ctrlPr>
              </m:fPr>
              <m:num>
                <m:r>
                  <w:rPr>
                    <w:rFonts w:ascii="Cambria Math" w:hAnsi="Cambria Math" w:cs="Times New Roman"/>
                  </w:rPr>
                  <m:t>K</m:t>
                </m:r>
              </m:num>
              <m:den>
                <m:r>
                  <w:rPr>
                    <w:rFonts w:ascii="Cambria Math" w:hAnsi="Cambria Math" w:cs="Times New Roman"/>
                  </w:rPr>
                  <m:t>K</m:t>
                </m:r>
              </m:den>
            </m:f>
            <m:r>
              <w:rPr>
                <w:rFonts w:ascii="Cambria Math" w:hAnsi="Cambria Math" w:cs="Times New Roman"/>
              </w:rPr>
              <m:t xml:space="preserve"> </m:t>
            </m:r>
          </m:e>
        </m:acc>
      </m:oMath>
      <w:r w:rsidRPr="007F37A0">
        <w:rPr>
          <w:rFonts w:ascii="Times New Roman" w:hAnsi="Times New Roman" w:cs="Times New Roman"/>
        </w:rPr>
        <w:t xml:space="preserve">, resulting from these lumpy investments. </w:t>
      </w:r>
    </w:p>
    <w:p w14:paraId="25437EA3"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To find an analytic solution, I make further assumptions about the functional form of the production process. Let </w:t>
      </w:r>
      <m:oMath>
        <m:r>
          <w:rPr>
            <w:rFonts w:ascii="Cambria Math" w:hAnsi="Cambria Math" w:cs="Times New Roman"/>
          </w:rPr>
          <m:t>H</m:t>
        </m:r>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θ</m:t>
            </m:r>
          </m:sup>
        </m:sSup>
      </m:oMath>
      <w:r w:rsidRPr="007F37A0">
        <w:rPr>
          <w:rFonts w:ascii="Times New Roman" w:hAnsi="Times New Roman" w:cs="Times New Roman"/>
        </w:rPr>
        <w:t xml:space="preserve"> be Cobb-Douglas where </w:t>
      </w:r>
      <m:oMath>
        <m:r>
          <w:rPr>
            <w:rFonts w:ascii="Cambria Math" w:hAnsi="Cambria Math" w:cs="Times New Roman"/>
          </w:rPr>
          <m:t>0&lt;θ&lt;1</m:t>
        </m:r>
      </m:oMath>
      <w:r w:rsidRPr="007F37A0">
        <w:rPr>
          <w:rFonts w:ascii="Times New Roman" w:hAnsi="Times New Roman" w:cs="Times New Roman"/>
        </w:rPr>
        <w:t xml:space="preserve">. Then </w:t>
      </w:r>
      <m:oMath>
        <m:r>
          <w:rPr>
            <w:rFonts w:ascii="Cambria Math" w:hAnsi="Cambria Math" w:cs="Times New Roman"/>
          </w:rPr>
          <m:t>H'</m:t>
        </m:r>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=θ</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θ-1</m:t>
            </m:r>
          </m:sup>
        </m:sSup>
      </m:oMath>
      <w:r w:rsidRPr="007F37A0">
        <w:rPr>
          <w:rFonts w:ascii="Times New Roman" w:hAnsi="Times New Roman" w:cs="Times New Roman"/>
        </w:rPr>
        <w:t xml:space="preserve">. </w:t>
      </w:r>
    </w:p>
    <w:p w14:paraId="295DEAE3" w14:textId="69CD4F71"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First, consider the novel case where </w:t>
      </w:r>
      <m:oMath>
        <m:r>
          <w:rPr>
            <w:rFonts w:ascii="Cambria Math" w:hAnsi="Cambria Math" w:cs="Times New Roman"/>
          </w:rPr>
          <m:t>β=-1</m:t>
        </m:r>
      </m:oMath>
      <w:r w:rsidRPr="007F37A0">
        <w:rPr>
          <w:rFonts w:ascii="Times New Roman" w:hAnsi="Times New Roman" w:cs="Times New Roman"/>
        </w:rPr>
        <w:t xml:space="preserve">.  Equation </w:t>
      </w:r>
      <w:r w:rsidRPr="007F37A0">
        <w:rPr>
          <w:rFonts w:ascii="Times New Roman" w:hAnsi="Times New Roman" w:cs="Times New Roman"/>
        </w:rPr>
        <w:fldChar w:fldCharType="begin"/>
      </w:r>
      <w:r w:rsidRPr="007F37A0">
        <w:rPr>
          <w:rFonts w:ascii="Times New Roman" w:hAnsi="Times New Roman" w:cs="Times New Roman"/>
        </w:rPr>
        <w:instrText xml:space="preserve"> REF _Ref109898222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 </w:t>
      </w:r>
      <w:r w:rsidR="00142A7E">
        <w:rPr>
          <w:rFonts w:ascii="Times New Roman" w:hAnsi="Times New Roman" w:cs="Times New Roman"/>
        </w:rPr>
        <w:t>11</w:t>
      </w:r>
      <w:r w:rsidR="00142A7E" w:rsidRPr="007F37A0">
        <w:rPr>
          <w:rFonts w:ascii="Times New Roman" w:hAnsi="Times New Roman" w:cs="Times New Roman"/>
        </w:rPr>
        <w:t xml:space="preserve"> )</w:t>
      </w:r>
      <w:r w:rsidRPr="007F37A0">
        <w:rPr>
          <w:rFonts w:ascii="Times New Roman" w:hAnsi="Times New Roman" w:cs="Times New Roman"/>
        </w:rPr>
        <w:fldChar w:fldCharType="end"/>
      </w:r>
      <w:r w:rsidRPr="007F37A0">
        <w:rPr>
          <w:rFonts w:ascii="Times New Roman" w:hAnsi="Times New Roman" w:cs="Times New Roman"/>
        </w:rPr>
        <w:t xml:space="preserve"> can be rewritten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225"/>
        <w:gridCol w:w="810"/>
      </w:tblGrid>
      <w:tr w:rsidR="00D526E7" w:rsidRPr="007F37A0" w14:paraId="679DF8DD" w14:textId="77777777" w:rsidTr="00735871">
        <w:tc>
          <w:tcPr>
            <w:tcW w:w="605" w:type="dxa"/>
          </w:tcPr>
          <w:p w14:paraId="1308DEBC" w14:textId="77777777" w:rsidR="00D526E7" w:rsidRPr="007F37A0" w:rsidRDefault="00D526E7" w:rsidP="00735871">
            <w:pPr>
              <w:spacing w:line="480" w:lineRule="auto"/>
              <w:rPr>
                <w:rFonts w:ascii="Times New Roman" w:hAnsi="Times New Roman" w:cs="Times New Roman"/>
                <w:i/>
                <w:iCs/>
              </w:rPr>
            </w:pPr>
          </w:p>
        </w:tc>
        <w:tc>
          <w:tcPr>
            <w:tcW w:w="7225" w:type="dxa"/>
          </w:tcPr>
          <w:p w14:paraId="565584B9"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Y</m:t>
                </m:r>
                <m:sSup>
                  <m:sSupPr>
                    <m:ctrlPr>
                      <w:rPr>
                        <w:rFonts w:ascii="Cambria Math" w:hAnsi="Cambria Math" w:cs="Times New Roman"/>
                        <w:i/>
                        <w:iCs/>
                      </w:rPr>
                    </m:ctrlPr>
                  </m:sSupPr>
                  <m:e>
                    <m:r>
                      <w:rPr>
                        <w:rFonts w:ascii="Cambria Math" w:hAnsi="Cambria Math" w:cs="Times New Roman"/>
                      </w:rPr>
                      <m:t>K</m:t>
                    </m:r>
                  </m:e>
                  <m:sup>
                    <m:r>
                      <w:rPr>
                        <w:rFonts w:ascii="Cambria Math" w:hAnsi="Cambria Math" w:cs="Times New Roman"/>
                      </w:rPr>
                      <m:t>1-θ</m:t>
                    </m:r>
                  </m:sup>
                </m:sSup>
                <m:r>
                  <w:rPr>
                    <w:rFonts w:ascii="Cambria Math" w:hAnsi="Cambria Math" w:cs="Times New Roman"/>
                  </w:rPr>
                  <m:t>=</m:t>
                </m:r>
                <m:acc>
                  <m:accPr>
                    <m:chr m:val="̅"/>
                    <m:ctrlPr>
                      <w:rPr>
                        <w:rFonts w:ascii="Cambria Math" w:hAnsi="Cambria Math" w:cs="Times New Roman"/>
                        <w:i/>
                        <w:iCs/>
                      </w:rPr>
                    </m:ctrlPr>
                  </m:accPr>
                  <m:e>
                    <m:r>
                      <w:rPr>
                        <w:rFonts w:ascii="Cambria Math" w:hAnsi="Cambria Math" w:cs="Times New Roman"/>
                      </w:rPr>
                      <m:t>M</m:t>
                    </m:r>
                  </m:e>
                </m:acc>
              </m:oMath>
            </m:oMathPara>
          </w:p>
        </w:tc>
        <w:tc>
          <w:tcPr>
            <w:tcW w:w="810" w:type="dxa"/>
          </w:tcPr>
          <w:p w14:paraId="29D1906A" w14:textId="4D00EED0"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12</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326125A1"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where </w:t>
      </w:r>
      <m:oMath>
        <m:acc>
          <m:accPr>
            <m:chr m:val="̅"/>
            <m:ctrlPr>
              <w:rPr>
                <w:rFonts w:ascii="Cambria Math" w:hAnsi="Cambria Math" w:cs="Times New Roman"/>
                <w:i/>
              </w:rPr>
            </m:ctrlPr>
          </m:accPr>
          <m:e>
            <m:r>
              <w:rPr>
                <w:rFonts w:ascii="Cambria Math" w:hAnsi="Cambria Math" w:cs="Times New Roman"/>
              </w:rPr>
              <m:t>M</m:t>
            </m:r>
          </m:e>
        </m:acc>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den>
            </m:f>
          </m:e>
        </m:d>
        <m:f>
          <m:fPr>
            <m:ctrlPr>
              <w:rPr>
                <w:rFonts w:ascii="Cambria Math" w:hAnsi="Cambria Math" w:cs="Times New Roman"/>
                <w:i/>
              </w:rPr>
            </m:ctrlPr>
          </m:fPr>
          <m:num>
            <m:r>
              <w:rPr>
                <w:rFonts w:ascii="Cambria Math" w:hAnsi="Cambria Math" w:cs="Times New Roman"/>
              </w:rPr>
              <m:t>Pθ</m:t>
            </m:r>
          </m:num>
          <m:den>
            <m:r>
              <w:rPr>
                <w:rFonts w:ascii="Cambria Math" w:hAnsi="Cambria Math" w:cs="Times New Roman"/>
              </w:rPr>
              <m:t>κ</m:t>
            </m:r>
            <m:d>
              <m:dPr>
                <m:begChr m:val="["/>
                <m:endChr m:val="]"/>
                <m:ctrlPr>
                  <w:rPr>
                    <w:rFonts w:ascii="Cambria Math" w:hAnsi="Cambria Math" w:cs="Times New Roman"/>
                    <w:i/>
                  </w:rPr>
                </m:ctrlPr>
              </m:dPr>
              <m:e>
                <m:r>
                  <w:rPr>
                    <w:rFonts w:ascii="Cambria Math" w:hAnsi="Cambria Math" w:cs="Times New Roman"/>
                  </w:rPr>
                  <m:t>ρ+α-</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den>
        </m:f>
      </m:oMath>
      <w:r w:rsidRPr="007F37A0">
        <w:rPr>
          <w:rFonts w:ascii="Times New Roman" w:hAnsi="Times New Roman" w:cs="Times New Roman"/>
        </w:rPr>
        <w:t xml:space="preserve"> is a constant given model parameters. When </w:t>
      </w:r>
      <m:oMath>
        <m:r>
          <w:rPr>
            <w:rFonts w:ascii="Cambria Math" w:hAnsi="Cambria Math" w:cs="Times New Roman"/>
          </w:rPr>
          <m:t>Y</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1-θ</m:t>
            </m:r>
          </m:sup>
        </m:sSup>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M</m:t>
            </m:r>
          </m:e>
        </m:acc>
      </m:oMath>
      <w:r w:rsidRPr="007F37A0">
        <w:rPr>
          <w:rFonts w:ascii="Times New Roman" w:hAnsi="Times New Roman" w:cs="Times New Roman"/>
        </w:rPr>
        <w:t xml:space="preserve"> then the firm increases investment, increasing </w:t>
      </w:r>
      <m:oMath>
        <m:r>
          <w:rPr>
            <w:rFonts w:ascii="Cambria Math" w:hAnsi="Cambria Math" w:cs="Times New Roman"/>
          </w:rPr>
          <m:t>Y</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1-θ</m:t>
            </m:r>
          </m:sup>
        </m:sSup>
      </m:oMath>
      <w:r w:rsidRPr="007F37A0">
        <w:rPr>
          <w:rFonts w:ascii="Times New Roman" w:hAnsi="Times New Roman" w:cs="Times New Roman"/>
        </w:rPr>
        <w:t xml:space="preserve"> until </w:t>
      </w:r>
      <m:oMath>
        <m:r>
          <w:rPr>
            <w:rFonts w:ascii="Cambria Math" w:hAnsi="Cambria Math" w:cs="Times New Roman"/>
          </w:rPr>
          <m:t>Y</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1-θ</m:t>
            </m:r>
          </m:sup>
        </m:sSup>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M</m:t>
            </m:r>
          </m:e>
        </m:acc>
      </m:oMath>
      <w:r w:rsidRPr="007F37A0">
        <w:rPr>
          <w:rFonts w:ascii="Times New Roman" w:hAnsi="Times New Roman" w:cs="Times New Roman"/>
        </w:rPr>
        <w:t xml:space="preserve">. When </w:t>
      </w:r>
      <m:oMath>
        <m:r>
          <w:rPr>
            <w:rFonts w:ascii="Cambria Math" w:hAnsi="Cambria Math" w:cs="Times New Roman"/>
          </w:rPr>
          <m:t>Y</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1-θ</m:t>
            </m:r>
          </m:sup>
        </m:sSup>
        <m:r>
          <w:rPr>
            <w:rFonts w:ascii="Cambria Math" w:hAnsi="Cambria Math" w:cs="Times New Roman"/>
          </w:rPr>
          <m:t>&gt;</m:t>
        </m:r>
        <m:acc>
          <m:accPr>
            <m:chr m:val="̅"/>
            <m:ctrlPr>
              <w:rPr>
                <w:rFonts w:ascii="Cambria Math" w:hAnsi="Cambria Math" w:cs="Times New Roman"/>
                <w:i/>
              </w:rPr>
            </m:ctrlPr>
          </m:accPr>
          <m:e>
            <m:r>
              <w:rPr>
                <w:rFonts w:ascii="Cambria Math" w:hAnsi="Cambria Math" w:cs="Times New Roman"/>
              </w:rPr>
              <m:t>M</m:t>
            </m:r>
          </m:e>
        </m:acc>
      </m:oMath>
      <w:r w:rsidRPr="007F37A0">
        <w:rPr>
          <w:rFonts w:ascii="Times New Roman" w:hAnsi="Times New Roman" w:cs="Times New Roman"/>
        </w:rPr>
        <w:t xml:space="preserve"> then the firm does not invest in new capital. When the level of capital does not change, then </w:t>
      </w:r>
      <m:oMath>
        <m:r>
          <w:rPr>
            <w:rFonts w:ascii="Cambria Math" w:hAnsi="Cambria Math" w:cs="Times New Roman"/>
          </w:rPr>
          <m:t>Y</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1-θ</m:t>
            </m:r>
          </m:sup>
        </m:sSup>
      </m:oMath>
      <w:r w:rsidRPr="007F37A0">
        <w:rPr>
          <w:rFonts w:ascii="Times New Roman" w:hAnsi="Times New Roman" w:cs="Times New Roman"/>
        </w:rPr>
        <w:t xml:space="preserve"> follows the same Geometric Brownian Motion as </w:t>
      </w:r>
      <m:oMath>
        <m:r>
          <w:rPr>
            <w:rFonts w:ascii="Cambria Math" w:hAnsi="Cambria Math" w:cs="Times New Roman"/>
          </w:rPr>
          <m:t>Y</m:t>
        </m:r>
      </m:oMath>
      <w:r w:rsidRPr="007F37A0">
        <w:rPr>
          <w:rFonts w:ascii="Times New Roman" w:hAnsi="Times New Roman" w:cs="Times New Roman"/>
        </w:rPr>
        <w:t>. Let</w:t>
      </w:r>
      <w:r w:rsidRPr="007F37A0">
        <w:rPr>
          <w:rFonts w:ascii="Times New Roman" w:hAnsi="Times New Roman" w:cs="Times New Roman"/>
          <w:i/>
        </w:rPr>
        <w:t xml:space="preserve"> </w:t>
      </w:r>
      <m:oMath>
        <m:r>
          <w:rPr>
            <w:rFonts w:ascii="Cambria Math" w:hAnsi="Cambria Math" w:cs="Times New Roman"/>
          </w:rPr>
          <m:t>M=Y</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1-θ</m:t>
            </m:r>
          </m:sup>
        </m:sSup>
      </m:oMath>
      <w:r w:rsidRPr="007F37A0">
        <w:rPr>
          <w:rFonts w:ascii="Times New Roman" w:hAnsi="Times New Roman" w:cs="Times New Roman"/>
          <w:i/>
        </w:rPr>
        <w:t xml:space="preserve">, </w:t>
      </w:r>
      <w:r w:rsidRPr="007F37A0">
        <w:rPr>
          <w:rFonts w:ascii="Times New Roman" w:hAnsi="Times New Roman" w:cs="Times New Roman"/>
        </w:rPr>
        <w:t xml:space="preserve">and </w:t>
      </w:r>
      <m:oMath>
        <m:r>
          <w:rPr>
            <w:rFonts w:ascii="Cambria Math" w:hAnsi="Cambria Math" w:cs="Times New Roman"/>
          </w:rPr>
          <m:t>m=</m:t>
        </m:r>
        <m:func>
          <m:funcPr>
            <m:ctrlPr>
              <w:rPr>
                <w:rFonts w:ascii="Cambria Math" w:hAnsi="Cambria Math" w:cs="Times New Roman"/>
                <w:i/>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Y</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1-θ</m:t>
                    </m:r>
                  </m:sup>
                </m:sSup>
              </m:e>
            </m:d>
          </m:e>
        </m:func>
      </m:oMath>
      <w:r w:rsidRPr="007F37A0">
        <w:rPr>
          <w:rFonts w:ascii="Times New Roman" w:hAnsi="Times New Roman" w:cs="Times New Roman"/>
        </w:rPr>
        <w:t xml:space="preserve">. Then </w:t>
      </w:r>
      <m:oMath>
        <m:r>
          <w:rPr>
            <w:rFonts w:ascii="Cambria Math" w:hAnsi="Cambria Math" w:cs="Times New Roman"/>
          </w:rPr>
          <m:t>m</m:t>
        </m:r>
      </m:oMath>
      <w:r w:rsidRPr="007F37A0">
        <w:rPr>
          <w:rFonts w:ascii="Times New Roman" w:hAnsi="Times New Roman" w:cs="Times New Roman"/>
        </w:rPr>
        <w:t xml:space="preserve"> follows an Arithmetic Brownian Motion so long as the firm does not invest in new capital.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
        <w:gridCol w:w="7215"/>
        <w:gridCol w:w="810"/>
      </w:tblGrid>
      <w:tr w:rsidR="00D526E7" w:rsidRPr="007F37A0" w14:paraId="5160CBB9" w14:textId="77777777" w:rsidTr="00735871">
        <w:tc>
          <w:tcPr>
            <w:tcW w:w="615" w:type="dxa"/>
          </w:tcPr>
          <w:p w14:paraId="53ED682E" w14:textId="77777777" w:rsidR="00D526E7" w:rsidRPr="007F37A0" w:rsidRDefault="00D526E7" w:rsidP="00735871">
            <w:pPr>
              <w:spacing w:line="480" w:lineRule="auto"/>
              <w:rPr>
                <w:rFonts w:ascii="Times New Roman" w:hAnsi="Times New Roman" w:cs="Times New Roman"/>
                <w:i/>
                <w:iCs/>
              </w:rPr>
            </w:pPr>
          </w:p>
        </w:tc>
        <w:tc>
          <w:tcPr>
            <w:tcW w:w="7215" w:type="dxa"/>
          </w:tcPr>
          <w:p w14:paraId="55C28C9E" w14:textId="77777777" w:rsidR="00D526E7" w:rsidRPr="007F37A0" w:rsidRDefault="00D526E7" w:rsidP="00735871">
            <w:pPr>
              <w:spacing w:line="480" w:lineRule="auto"/>
              <w:rPr>
                <w:rFonts w:ascii="Times New Roman" w:hAnsi="Times New Roman" w:cs="Times New Roman"/>
                <w:i/>
                <w:iCs/>
              </w:rPr>
            </w:pPr>
            <m:oMathPara>
              <m:oMath>
                <m:r>
                  <w:rPr>
                    <w:rFonts w:ascii="Cambria Math" w:hAnsi="Cambria Math" w:cs="Times New Roman"/>
                  </w:rPr>
                  <m:t>m=</m:t>
                </m:r>
                <m:d>
                  <m:dPr>
                    <m:ctrlPr>
                      <w:rPr>
                        <w:rFonts w:ascii="Cambria Math" w:hAnsi="Cambria Math" w:cs="Times New Roman"/>
                        <w:i/>
                        <w:iCs/>
                      </w:rPr>
                    </m:ctrlPr>
                  </m:dPr>
                  <m:e>
                    <m:r>
                      <w:rPr>
                        <w:rFonts w:ascii="Cambria Math" w:hAnsi="Cambria Math" w:cs="Times New Roman"/>
                      </w:rPr>
                      <m:t>α-</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e>
                </m:d>
                <m:r>
                  <w:rPr>
                    <w:rFonts w:ascii="Cambria Math" w:hAnsi="Cambria Math" w:cs="Times New Roman"/>
                  </w:rPr>
                  <m:t>t+σ</m:t>
                </m:r>
                <m:sSub>
                  <m:sSubPr>
                    <m:ctrlPr>
                      <w:rPr>
                        <w:rFonts w:ascii="Cambria Math" w:hAnsi="Cambria Math" w:cs="Times New Roman"/>
                        <w:i/>
                        <w:iCs/>
                      </w:rPr>
                    </m:ctrlPr>
                  </m:sSubPr>
                  <m:e>
                    <m:r>
                      <w:rPr>
                        <w:rFonts w:ascii="Cambria Math" w:hAnsi="Cambria Math" w:cs="Times New Roman"/>
                      </w:rPr>
                      <m:t>W</m:t>
                    </m:r>
                  </m:e>
                  <m:sub>
                    <m:r>
                      <w:rPr>
                        <w:rFonts w:ascii="Cambria Math" w:hAnsi="Cambria Math" w:cs="Times New Roman"/>
                      </w:rPr>
                      <m:t>t</m:t>
                    </m:r>
                  </m:sub>
                </m:sSub>
              </m:oMath>
            </m:oMathPara>
          </w:p>
        </w:tc>
        <w:tc>
          <w:tcPr>
            <w:tcW w:w="810" w:type="dxa"/>
          </w:tcPr>
          <w:p w14:paraId="2399766C" w14:textId="1B49C52B"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13</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097464C8"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Assume that </w:t>
      </w:r>
      <m:oMath>
        <m:r>
          <w:rPr>
            <w:rFonts w:ascii="Cambria Math" w:hAnsi="Cambria Math" w:cs="Times New Roman"/>
          </w:rPr>
          <m:t>α&lt;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for the distribution of  </w:t>
      </w:r>
      <m:oMath>
        <m:r>
          <w:rPr>
            <w:rFonts w:ascii="Cambria Math" w:hAnsi="Cambria Math" w:cs="Times New Roman"/>
          </w:rPr>
          <m:t>m</m:t>
        </m:r>
      </m:oMath>
      <w:r w:rsidRPr="007F37A0">
        <w:rPr>
          <w:rFonts w:ascii="Times New Roman" w:hAnsi="Times New Roman" w:cs="Times New Roman"/>
        </w:rPr>
        <w:t xml:space="preserve"> to exist. Note that if </w:t>
      </w:r>
      <m:oMath>
        <m:r>
          <w:rPr>
            <w:rFonts w:ascii="Cambria Math" w:hAnsi="Cambria Math" w:cs="Times New Roman"/>
          </w:rPr>
          <m:t>α≥</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then </w:t>
      </w:r>
      <m:oMath>
        <m:r>
          <w:rPr>
            <w:rFonts w:ascii="Cambria Math" w:hAnsi="Cambria Math" w:cs="Times New Roman"/>
          </w:rPr>
          <m:t>m</m:t>
        </m:r>
      </m:oMath>
      <w:r w:rsidRPr="007F37A0">
        <w:rPr>
          <w:rFonts w:ascii="Times New Roman" w:hAnsi="Times New Roman" w:cs="Times New Roman"/>
        </w:rPr>
        <w:t xml:space="preserve"> does not hit the barrier in the long run. That is, the level of policy activity is increasing too quickly such that firms will never invest in new capital. </w:t>
      </w:r>
    </w:p>
    <w:p w14:paraId="514B07B3"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To derive the investment rate, consider the scenario where a firm will invest in new capital. A firm invests in new capital when </w:t>
      </w:r>
      <m:oMath>
        <m:r>
          <w:rPr>
            <w:rFonts w:ascii="Cambria Math" w:hAnsi="Cambria Math" w:cs="Times New Roman"/>
          </w:rPr>
          <m:t>m</m:t>
        </m:r>
      </m:oMath>
      <w:r w:rsidRPr="007F37A0">
        <w:rPr>
          <w:rFonts w:ascii="Times New Roman" w:hAnsi="Times New Roman" w:cs="Times New Roman"/>
        </w:rPr>
        <w:t xml:space="preserve"> falls to hit the boundary condition. The probability that </w:t>
      </w:r>
      <m:oMath>
        <m:r>
          <w:rPr>
            <w:rFonts w:ascii="Cambria Math" w:hAnsi="Cambria Math" w:cs="Times New Roman"/>
          </w:rPr>
          <m:t>m</m:t>
        </m:r>
      </m:oMath>
      <w:r w:rsidRPr="007F37A0">
        <w:rPr>
          <w:rFonts w:ascii="Times New Roman" w:hAnsi="Times New Roman" w:cs="Times New Roman"/>
        </w:rPr>
        <w:t xml:space="preserve"> hits the boundary condition is equal to the probability that </w:t>
      </w:r>
      <m:oMath>
        <m:r>
          <w:rPr>
            <w:rFonts w:ascii="Cambria Math" w:hAnsi="Cambria Math" w:cs="Times New Roman"/>
          </w:rPr>
          <m:t>m</m:t>
        </m:r>
      </m:oMath>
      <w:r w:rsidRPr="007F37A0">
        <w:rPr>
          <w:rFonts w:ascii="Times New Roman" w:hAnsi="Times New Roman" w:cs="Times New Roman"/>
        </w:rPr>
        <w:t xml:space="preserve"> is sufficiently close to the boundary times the probability that </w:t>
      </w:r>
      <m:oMath>
        <m:r>
          <w:rPr>
            <w:rFonts w:ascii="Cambria Math" w:hAnsi="Cambria Math" w:cs="Times New Roman"/>
          </w:rPr>
          <m:t>m</m:t>
        </m:r>
      </m:oMath>
      <w:r w:rsidRPr="007F37A0">
        <w:rPr>
          <w:rFonts w:ascii="Times New Roman" w:hAnsi="Times New Roman" w:cs="Times New Roman"/>
        </w:rPr>
        <w:t xml:space="preserve"> decreases causing it to hit the boundary condition. The probability that </w:t>
      </w:r>
      <m:oMath>
        <m:r>
          <w:rPr>
            <w:rFonts w:ascii="Cambria Math" w:hAnsi="Cambria Math" w:cs="Times New Roman"/>
          </w:rPr>
          <m:t>m</m:t>
        </m:r>
      </m:oMath>
      <w:r w:rsidRPr="007F37A0">
        <w:rPr>
          <w:rFonts w:ascii="Times New Roman" w:hAnsi="Times New Roman" w:cs="Times New Roman"/>
        </w:rPr>
        <w:t xml:space="preserve"> is sufficiently close to the barrier is </w:t>
      </w:r>
      <m:oMath>
        <m:r>
          <w:rPr>
            <w:rFonts w:ascii="Cambria Math" w:hAnsi="Cambria Math" w:cs="Times New Roman"/>
          </w:rPr>
          <m:t>-dh</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2α</m:t>
                </m:r>
              </m:num>
              <m:den>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-1</m:t>
            </m:r>
          </m:e>
        </m:d>
      </m:oMath>
      <w:r w:rsidRPr="007F37A0">
        <w:rPr>
          <w:rFonts w:ascii="Times New Roman" w:hAnsi="Times New Roman" w:cs="Times New Roman"/>
        </w:rPr>
        <w:t xml:space="preserve"> where </w:t>
      </w:r>
      <m:oMath>
        <m:r>
          <w:rPr>
            <w:rFonts w:ascii="Cambria Math" w:hAnsi="Cambria Math" w:cs="Times New Roman"/>
          </w:rPr>
          <m:t>dh=σ</m:t>
        </m:r>
        <m:rad>
          <m:radPr>
            <m:degHide m:val="1"/>
            <m:ctrlPr>
              <w:rPr>
                <w:rFonts w:ascii="Cambria Math" w:hAnsi="Cambria Math" w:cs="Times New Roman"/>
                <w:i/>
              </w:rPr>
            </m:ctrlPr>
          </m:radPr>
          <m:deg/>
          <m:e>
            <m:r>
              <w:rPr>
                <w:rFonts w:ascii="Cambria Math" w:hAnsi="Cambria Math" w:cs="Times New Roman"/>
              </w:rPr>
              <m:t>dt</m:t>
            </m:r>
          </m:e>
        </m:rad>
      </m:oMath>
      <w:r w:rsidRPr="007F37A0">
        <w:rPr>
          <w:rFonts w:ascii="Times New Roman" w:hAnsi="Times New Roman" w:cs="Times New Roman"/>
        </w:rPr>
        <w:t xml:space="preserve">. The probability that </w:t>
      </w:r>
      <m:oMath>
        <m:r>
          <w:rPr>
            <w:rFonts w:ascii="Cambria Math" w:hAnsi="Cambria Math" w:cs="Times New Roman"/>
          </w:rPr>
          <m:t>m</m:t>
        </m:r>
      </m:oMath>
      <w:r w:rsidRPr="007F37A0">
        <w:rPr>
          <w:rFonts w:ascii="Times New Roman" w:hAnsi="Times New Roman" w:cs="Times New Roman"/>
        </w:rPr>
        <w:t xml:space="preserve"> decreases is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begChr m:val="["/>
            <m:endChr m:val="]"/>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2α</m:t>
                        </m:r>
                      </m:num>
                      <m:den>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-1</m:t>
                    </m:r>
                  </m:e>
                </m:d>
                <m:rad>
                  <m:radPr>
                    <m:degHide m:val="1"/>
                    <m:ctrlPr>
                      <w:rPr>
                        <w:rFonts w:ascii="Cambria Math" w:hAnsi="Cambria Math" w:cs="Times New Roman"/>
                        <w:i/>
                      </w:rPr>
                    </m:ctrlPr>
                  </m:radPr>
                  <m:deg/>
                  <m:e>
                    <m:r>
                      <w:rPr>
                        <w:rFonts w:ascii="Cambria Math" w:hAnsi="Cambria Math" w:cs="Times New Roman"/>
                      </w:rPr>
                      <m:t>dt</m:t>
                    </m:r>
                  </m:e>
                </m:rad>
              </m:num>
              <m:den>
                <m:r>
                  <w:rPr>
                    <w:rFonts w:ascii="Cambria Math" w:hAnsi="Cambria Math" w:cs="Times New Roman"/>
                  </w:rPr>
                  <m:t>σ</m:t>
                </m:r>
              </m:den>
            </m:f>
          </m:e>
        </m:d>
      </m:oMath>
      <w:r w:rsidRPr="007F37A0">
        <w:rPr>
          <w:rFonts w:ascii="Times New Roman" w:hAnsi="Times New Roman" w:cs="Times New Roman"/>
        </w:rPr>
        <w:t xml:space="preserve">. So, the probability that a firm will invest in new capital is equal to </w:t>
      </w:r>
      <m:oMath>
        <m:r>
          <w:rPr>
            <w:rFonts w:ascii="Cambria Math" w:hAnsi="Cambria Math" w:cs="Times New Roman"/>
          </w:rPr>
          <m:t>-dh</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2α</m:t>
                </m:r>
              </m:num>
              <m:den>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-1</m:t>
            </m:r>
          </m:e>
        </m:d>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begChr m:val="["/>
            <m:endChr m:val="]"/>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2α</m:t>
                        </m:r>
                      </m:num>
                      <m:den>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-1</m:t>
                    </m:r>
                  </m:e>
                </m:d>
                <m:rad>
                  <m:radPr>
                    <m:degHide m:val="1"/>
                    <m:ctrlPr>
                      <w:rPr>
                        <w:rFonts w:ascii="Cambria Math" w:hAnsi="Cambria Math" w:cs="Times New Roman"/>
                        <w:i/>
                      </w:rPr>
                    </m:ctrlPr>
                  </m:radPr>
                  <m:deg/>
                  <m:e>
                    <m:r>
                      <w:rPr>
                        <w:rFonts w:ascii="Cambria Math" w:hAnsi="Cambria Math" w:cs="Times New Roman"/>
                      </w:rPr>
                      <m:t>dt</m:t>
                    </m:r>
                  </m:e>
                </m:rad>
              </m:num>
              <m:den>
                <m:r>
                  <w:rPr>
                    <w:rFonts w:ascii="Cambria Math" w:hAnsi="Cambria Math" w:cs="Times New Roman"/>
                  </w:rPr>
                  <m:t>σ</m:t>
                </m:r>
              </m:den>
            </m:f>
          </m:e>
        </m:d>
      </m:oMath>
      <w:r w:rsidRPr="007F37A0">
        <w:rPr>
          <w:rFonts w:ascii="Times New Roman" w:hAnsi="Times New Roman" w:cs="Times New Roman"/>
        </w:rPr>
        <w:t xml:space="preserve">. </w:t>
      </w:r>
    </w:p>
    <w:p w14:paraId="46733CF6" w14:textId="5192E900"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Next, consider the size of the investment when a firm does invest in new capital. The mathematical derivation is shown in</w:t>
      </w:r>
      <w:r w:rsidR="00142A7E">
        <w:rPr>
          <w:rFonts w:ascii="Times New Roman" w:hAnsi="Times New Roman" w:cs="Times New Roman"/>
        </w:rPr>
        <w:t xml:space="preserve"> the</w:t>
      </w:r>
      <w:r w:rsidRPr="007F37A0">
        <w:rPr>
          <w:rFonts w:ascii="Times New Roman" w:hAnsi="Times New Roman" w:cs="Times New Roman"/>
        </w:rPr>
        <w:t xml:space="preserve"> Appendix, but the change in capital when </w:t>
      </w:r>
      <m:oMath>
        <m:r>
          <w:rPr>
            <w:rFonts w:ascii="Cambria Math" w:hAnsi="Cambria Math" w:cs="Times New Roman"/>
          </w:rPr>
          <m:t>m</m:t>
        </m:r>
      </m:oMath>
      <w:r w:rsidRPr="007F37A0">
        <w:rPr>
          <w:rFonts w:ascii="Times New Roman" w:hAnsi="Times New Roman" w:cs="Times New Roman"/>
        </w:rPr>
        <w:t xml:space="preserve"> decreases and hits the barrier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225"/>
        <w:gridCol w:w="810"/>
      </w:tblGrid>
      <w:tr w:rsidR="00D526E7" w:rsidRPr="007F37A0" w14:paraId="7D587207" w14:textId="77777777" w:rsidTr="00735871">
        <w:tc>
          <w:tcPr>
            <w:tcW w:w="605" w:type="dxa"/>
          </w:tcPr>
          <w:p w14:paraId="4DF68887" w14:textId="77777777" w:rsidR="00D526E7" w:rsidRPr="007F37A0" w:rsidRDefault="00D526E7" w:rsidP="00735871">
            <w:pPr>
              <w:spacing w:line="480" w:lineRule="auto"/>
              <w:rPr>
                <w:rFonts w:ascii="Times New Roman" w:hAnsi="Times New Roman" w:cs="Times New Roman"/>
                <w:i/>
                <w:iCs/>
              </w:rPr>
            </w:pPr>
          </w:p>
        </w:tc>
        <w:tc>
          <w:tcPr>
            <w:tcW w:w="7225" w:type="dxa"/>
          </w:tcPr>
          <w:p w14:paraId="05E070BF" w14:textId="77777777" w:rsidR="00D526E7" w:rsidRPr="007F37A0" w:rsidRDefault="00000000" w:rsidP="00735871">
            <w:pPr>
              <w:spacing w:line="480" w:lineRule="auto"/>
              <w:rPr>
                <w:rFonts w:ascii="Times New Roman" w:hAnsi="Times New Roman" w:cs="Times New Roman"/>
                <w:i/>
                <w:iCs/>
              </w:rPr>
            </w:pPr>
            <m:oMathPara>
              <m:oMath>
                <m:f>
                  <m:fPr>
                    <m:ctrlPr>
                      <w:rPr>
                        <w:rFonts w:ascii="Cambria Math" w:hAnsi="Cambria Math" w:cs="Times New Roman"/>
                        <w:i/>
                        <w:iCs/>
                      </w:rPr>
                    </m:ctrlPr>
                  </m:fPr>
                  <m:num>
                    <m:r>
                      <w:rPr>
                        <w:rFonts w:ascii="Cambria Math" w:hAnsi="Cambria Math" w:cs="Times New Roman"/>
                      </w:rPr>
                      <m:t>dK</m:t>
                    </m:r>
                  </m:num>
                  <m:den>
                    <m:r>
                      <w:rPr>
                        <w:rFonts w:ascii="Cambria Math" w:hAnsi="Cambria Math" w:cs="Times New Roman"/>
                      </w:rPr>
                      <m:t>K</m:t>
                    </m:r>
                  </m:den>
                </m:f>
                <m:r>
                  <w:rPr>
                    <w:rFonts w:ascii="Cambria Math" w:hAnsi="Cambria Math" w:cs="Times New Roman"/>
                  </w:rPr>
                  <m:t>=dk=</m:t>
                </m:r>
                <m:f>
                  <m:fPr>
                    <m:ctrlPr>
                      <w:rPr>
                        <w:rFonts w:ascii="Cambria Math" w:hAnsi="Cambria Math" w:cs="Times New Roman"/>
                        <w:i/>
                        <w:iCs/>
                      </w:rPr>
                    </m:ctrlPr>
                  </m:fPr>
                  <m:num>
                    <m:r>
                      <w:rPr>
                        <w:rFonts w:ascii="Cambria Math" w:hAnsi="Cambria Math" w:cs="Times New Roman"/>
                      </w:rPr>
                      <m:t>dh</m:t>
                    </m:r>
                  </m:num>
                  <m:den>
                    <m:r>
                      <w:rPr>
                        <w:rFonts w:ascii="Cambria Math" w:hAnsi="Cambria Math" w:cs="Times New Roman"/>
                      </w:rPr>
                      <m:t>1-θ</m:t>
                    </m:r>
                  </m:den>
                </m:f>
              </m:oMath>
            </m:oMathPara>
          </w:p>
        </w:tc>
        <w:tc>
          <w:tcPr>
            <w:tcW w:w="810" w:type="dxa"/>
          </w:tcPr>
          <w:p w14:paraId="0E5210BA" w14:textId="7561EE37"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14</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451B7B2B"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Finally, the investment rate is the product of the probability that </w:t>
      </w:r>
      <m:oMath>
        <m:r>
          <w:rPr>
            <w:rFonts w:ascii="Cambria Math" w:hAnsi="Cambria Math" w:cs="Times New Roman"/>
          </w:rPr>
          <m:t>m</m:t>
        </m:r>
      </m:oMath>
      <w:r w:rsidRPr="007F37A0">
        <w:rPr>
          <w:rFonts w:ascii="Times New Roman" w:hAnsi="Times New Roman" w:cs="Times New Roman"/>
        </w:rPr>
        <w:t xml:space="preserve"> is sufficiently close to the barrier, the probability that </w:t>
      </w:r>
      <m:oMath>
        <m:r>
          <w:rPr>
            <w:rFonts w:ascii="Cambria Math" w:hAnsi="Cambria Math" w:cs="Times New Roman"/>
          </w:rPr>
          <m:t>m</m:t>
        </m:r>
      </m:oMath>
      <w:r w:rsidRPr="007F37A0">
        <w:rPr>
          <w:rFonts w:ascii="Times New Roman" w:hAnsi="Times New Roman" w:cs="Times New Roman"/>
        </w:rPr>
        <w:t xml:space="preserve"> decreases and hits the barrier, and the magnitude of investment. Converting this into an investment rate gives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225"/>
        <w:gridCol w:w="810"/>
      </w:tblGrid>
      <w:tr w:rsidR="00D526E7" w:rsidRPr="007F37A0" w14:paraId="45915CCF" w14:textId="77777777" w:rsidTr="00735871">
        <w:tc>
          <w:tcPr>
            <w:tcW w:w="605" w:type="dxa"/>
          </w:tcPr>
          <w:p w14:paraId="4A50E794" w14:textId="77777777" w:rsidR="00D526E7" w:rsidRPr="007F37A0" w:rsidRDefault="00D526E7" w:rsidP="00735871">
            <w:pPr>
              <w:spacing w:line="480" w:lineRule="auto"/>
              <w:rPr>
                <w:rFonts w:ascii="Times New Roman" w:hAnsi="Times New Roman" w:cs="Times New Roman"/>
                <w:i/>
                <w:iCs/>
              </w:rPr>
            </w:pPr>
          </w:p>
        </w:tc>
        <w:tc>
          <w:tcPr>
            <w:tcW w:w="7225" w:type="dxa"/>
          </w:tcPr>
          <w:p w14:paraId="1CD0F322" w14:textId="77777777" w:rsidR="00D526E7" w:rsidRPr="007F37A0" w:rsidRDefault="00000000" w:rsidP="00735871">
            <w:pPr>
              <w:spacing w:line="480" w:lineRule="auto"/>
              <w:rPr>
                <w:rFonts w:ascii="Times New Roman" w:hAnsi="Times New Roman" w:cs="Times New Roman"/>
                <w:i/>
                <w:iCs/>
              </w:rPr>
            </w:pPr>
            <m:oMathPara>
              <m:oMath>
                <m:f>
                  <m:fPr>
                    <m:ctrlPr>
                      <w:rPr>
                        <w:rFonts w:ascii="Cambria Math" w:hAnsi="Cambria Math" w:cs="Times New Roman"/>
                        <w:i/>
                        <w:iCs/>
                      </w:rPr>
                    </m:ctrlPr>
                  </m:fPr>
                  <m:num>
                    <m:acc>
                      <m:accPr>
                        <m:chr m:val="̇"/>
                        <m:ctrlPr>
                          <w:rPr>
                            <w:rFonts w:ascii="Cambria Math" w:hAnsi="Cambria Math" w:cs="Times New Roman"/>
                            <w:i/>
                            <w:iCs/>
                          </w:rPr>
                        </m:ctrlPr>
                      </m:accPr>
                      <m:e>
                        <m:r>
                          <w:rPr>
                            <w:rFonts w:ascii="Cambria Math" w:hAnsi="Cambria Math" w:cs="Times New Roman"/>
                          </w:rPr>
                          <m:t>K</m:t>
                        </m:r>
                      </m:e>
                    </m:acc>
                  </m:num>
                  <m:den>
                    <m:r>
                      <w:rPr>
                        <w:rFonts w:ascii="Cambria Math" w:hAnsi="Cambria Math" w:cs="Times New Roman"/>
                      </w:rPr>
                      <m:t>K</m:t>
                    </m:r>
                  </m:den>
                </m:f>
                <m:r>
                  <w:rPr>
                    <w:rFonts w:ascii="Cambria Math" w:hAnsi="Cambria Math" w:cs="Times New Roman"/>
                  </w:rPr>
                  <m:t>=</m:t>
                </m:r>
                <m:d>
                  <m:dPr>
                    <m:ctrlPr>
                      <w:rPr>
                        <w:rFonts w:ascii="Cambria Math" w:hAnsi="Cambria Math" w:cs="Times New Roman"/>
                        <w:i/>
                        <w:iCs/>
                      </w:rPr>
                    </m:ctrlPr>
                  </m:dPr>
                  <m:e>
                    <m:r>
                      <w:rPr>
                        <w:rFonts w:ascii="Cambria Math" w:hAnsi="Cambria Math" w:cs="Times New Roman"/>
                      </w:rPr>
                      <m:t>-α+</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e>
                </m:d>
                <m:d>
                  <m:dPr>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1-θ</m:t>
                        </m:r>
                      </m:den>
                    </m:f>
                  </m:e>
                </m:d>
                <m:r>
                  <w:rPr>
                    <w:rFonts w:ascii="Cambria Math" w:hAnsi="Cambria Math" w:cs="Times New Roman"/>
                  </w:rPr>
                  <m:t>&gt;0</m:t>
                </m:r>
              </m:oMath>
            </m:oMathPara>
          </w:p>
        </w:tc>
        <w:tc>
          <w:tcPr>
            <w:tcW w:w="810" w:type="dxa"/>
          </w:tcPr>
          <w:p w14:paraId="170C1514" w14:textId="78B75564"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15</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74A2420B"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which will be positive provided </w:t>
      </w:r>
      <m:oMath>
        <m:r>
          <w:rPr>
            <w:rFonts w:ascii="Cambria Math" w:hAnsi="Cambria Math" w:cs="Times New Roman"/>
          </w:rPr>
          <m:t>α&lt;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When </w:t>
      </w:r>
      <m:oMath>
        <m:r>
          <w:rPr>
            <w:rFonts w:ascii="Cambria Math" w:hAnsi="Cambria Math" w:cs="Times New Roman"/>
          </w:rPr>
          <m:t>α≥</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then the investment rate is equal to 0. That is, the level of policy activity never falls low enough for firms to invest in new capital. Intuitively, the firms face too much negative policy activity which hurts their profits and deters them from investing. Finally, I examine the effect of the volatility of policy activity on the firm’s investment rate. Consider the partial derivative: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225"/>
        <w:gridCol w:w="810"/>
      </w:tblGrid>
      <w:tr w:rsidR="00D526E7" w:rsidRPr="007F37A0" w14:paraId="282C08E6" w14:textId="77777777" w:rsidTr="00735871">
        <w:tc>
          <w:tcPr>
            <w:tcW w:w="605" w:type="dxa"/>
          </w:tcPr>
          <w:p w14:paraId="0FCC9FD4" w14:textId="77777777" w:rsidR="00D526E7" w:rsidRPr="007F37A0" w:rsidRDefault="00D526E7" w:rsidP="00735871">
            <w:pPr>
              <w:spacing w:line="480" w:lineRule="auto"/>
              <w:rPr>
                <w:rFonts w:ascii="Times New Roman" w:hAnsi="Times New Roman" w:cs="Times New Roman"/>
                <w:i/>
                <w:iCs/>
              </w:rPr>
            </w:pPr>
          </w:p>
        </w:tc>
        <w:tc>
          <w:tcPr>
            <w:tcW w:w="7225" w:type="dxa"/>
          </w:tcPr>
          <w:p w14:paraId="381C36FF" w14:textId="77777777" w:rsidR="00D526E7" w:rsidRPr="007F37A0" w:rsidRDefault="00000000" w:rsidP="00735871">
            <w:pPr>
              <w:spacing w:line="480" w:lineRule="auto"/>
              <w:rPr>
                <w:rFonts w:ascii="Times New Roman" w:hAnsi="Times New Roman" w:cs="Times New Roman"/>
                <w:i/>
                <w:iCs/>
              </w:rPr>
            </w:pPr>
            <m:oMathPara>
              <m:oMath>
                <m:f>
                  <m:fPr>
                    <m:ctrlPr>
                      <w:rPr>
                        <w:rFonts w:ascii="Cambria Math" w:hAnsi="Cambria Math" w:cs="Times New Roman"/>
                        <w:i/>
                        <w:iCs/>
                      </w:rPr>
                    </m:ctrlPr>
                  </m:fPr>
                  <m:num>
                    <m:r>
                      <w:rPr>
                        <w:rFonts w:ascii="Cambria Math" w:hAnsi="Cambria Math" w:cs="Times New Roman"/>
                      </w:rPr>
                      <m:t>∂</m:t>
                    </m:r>
                    <m:f>
                      <m:fPr>
                        <m:ctrlPr>
                          <w:rPr>
                            <w:rFonts w:ascii="Cambria Math" w:hAnsi="Cambria Math" w:cs="Times New Roman"/>
                            <w:i/>
                            <w:iCs/>
                          </w:rPr>
                        </m:ctrlPr>
                      </m:fPr>
                      <m:num>
                        <m:acc>
                          <m:accPr>
                            <m:chr m:val="̇"/>
                            <m:ctrlPr>
                              <w:rPr>
                                <w:rFonts w:ascii="Cambria Math" w:hAnsi="Cambria Math" w:cs="Times New Roman"/>
                                <w:i/>
                                <w:iCs/>
                              </w:rPr>
                            </m:ctrlPr>
                          </m:accPr>
                          <m:e>
                            <m:r>
                              <w:rPr>
                                <w:rFonts w:ascii="Cambria Math" w:hAnsi="Cambria Math" w:cs="Times New Roman"/>
                              </w:rPr>
                              <m:t>K</m:t>
                            </m:r>
                          </m:e>
                        </m:acc>
                      </m:num>
                      <m:den>
                        <m:r>
                          <w:rPr>
                            <w:rFonts w:ascii="Cambria Math" w:hAnsi="Cambria Math" w:cs="Times New Roman"/>
                          </w:rPr>
                          <m:t>K</m:t>
                        </m:r>
                      </m:den>
                    </m:f>
                  </m:num>
                  <m:den>
                    <m:r>
                      <w:rPr>
                        <w:rFonts w:ascii="Cambria Math" w:hAnsi="Cambria Math" w:cs="Times New Roman"/>
                      </w:rPr>
                      <m:t>∂σ</m:t>
                    </m:r>
                  </m:den>
                </m:f>
                <m:r>
                  <w:rPr>
                    <w:rFonts w:ascii="Cambria Math" w:hAnsi="Cambria Math" w:cs="Times New Roman"/>
                  </w:rPr>
                  <m:t>=σ</m:t>
                </m:r>
                <m:d>
                  <m:dPr>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1-θ</m:t>
                        </m:r>
                      </m:den>
                    </m:f>
                  </m:e>
                </m:d>
                <m:r>
                  <w:rPr>
                    <w:rFonts w:ascii="Cambria Math" w:hAnsi="Cambria Math" w:cs="Times New Roman"/>
                  </w:rPr>
                  <m:t>&gt;0</m:t>
                </m:r>
              </m:oMath>
            </m:oMathPara>
          </w:p>
          <w:p w14:paraId="2D76AA35" w14:textId="77777777" w:rsidR="00D526E7" w:rsidRPr="007F37A0" w:rsidRDefault="00D526E7" w:rsidP="00735871">
            <w:pPr>
              <w:spacing w:line="480" w:lineRule="auto"/>
              <w:rPr>
                <w:rFonts w:ascii="Times New Roman" w:hAnsi="Times New Roman" w:cs="Times New Roman"/>
                <w:i/>
                <w:iCs/>
              </w:rPr>
            </w:pPr>
          </w:p>
        </w:tc>
        <w:tc>
          <w:tcPr>
            <w:tcW w:w="810" w:type="dxa"/>
          </w:tcPr>
          <w:p w14:paraId="3C6C775D" w14:textId="45D4FB95"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16</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3C5E186D"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When policy activity is negatively related to the firm’s profit, the investment rate increases with more volatility over the level of policy activity. </w:t>
      </w:r>
    </w:p>
    <w:p w14:paraId="00DBE245"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When </w:t>
      </w:r>
      <m:oMath>
        <m:r>
          <w:rPr>
            <w:rFonts w:ascii="Cambria Math" w:hAnsi="Cambria Math" w:cs="Times New Roman"/>
          </w:rPr>
          <m:t>β=1</m:t>
        </m:r>
      </m:oMath>
      <w:r w:rsidRPr="007F37A0">
        <w:rPr>
          <w:rFonts w:ascii="Times New Roman" w:hAnsi="Times New Roman" w:cs="Times New Roman"/>
        </w:rPr>
        <w:t xml:space="preserve"> I recover Dixit and Pindyck’s (1994) result for firms that benefit from policy activity. Assume that </w:t>
      </w:r>
      <m:oMath>
        <m:r>
          <w:rPr>
            <w:rFonts w:ascii="Cambria Math" w:hAnsi="Cambria Math" w:cs="Times New Roman"/>
          </w:rPr>
          <m:t>α&gt;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to ensure that policy activity increases enough to hit the barrier and cause firm investment. Similarly calculating the investment rate as above, Dixit and Pindyck (1994) find the investment rate to be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gridCol w:w="810"/>
      </w:tblGrid>
      <w:tr w:rsidR="00D526E7" w:rsidRPr="007F37A0" w14:paraId="4506AE4C" w14:textId="77777777" w:rsidTr="00735871">
        <w:tc>
          <w:tcPr>
            <w:tcW w:w="4531" w:type="pct"/>
          </w:tcPr>
          <w:p w14:paraId="0E842E49" w14:textId="77777777" w:rsidR="00D526E7" w:rsidRPr="007F37A0" w:rsidRDefault="00000000" w:rsidP="00735871">
            <w:pPr>
              <w:keepNext/>
              <w:spacing w:line="480" w:lineRule="auto"/>
              <w:rPr>
                <w:rFonts w:ascii="Times New Roman" w:hAnsi="Times New Roman" w:cs="Times New Roman"/>
              </w:rPr>
            </w:pPr>
            <m:oMathPara>
              <m:oMath>
                <m:f>
                  <m:fPr>
                    <m:ctrlPr>
                      <w:rPr>
                        <w:rFonts w:ascii="Cambria Math" w:hAnsi="Cambria Math" w:cs="Times New Roman"/>
                        <w:i/>
                        <w:iCs/>
                      </w:rPr>
                    </m:ctrlPr>
                  </m:fPr>
                  <m:num>
                    <m:acc>
                      <m:accPr>
                        <m:chr m:val="̇"/>
                        <m:ctrlPr>
                          <w:rPr>
                            <w:rFonts w:ascii="Cambria Math" w:hAnsi="Cambria Math" w:cs="Times New Roman"/>
                            <w:i/>
                            <w:iCs/>
                          </w:rPr>
                        </m:ctrlPr>
                      </m:accPr>
                      <m:e>
                        <m:r>
                          <w:rPr>
                            <w:rFonts w:ascii="Cambria Math" w:hAnsi="Cambria Math" w:cs="Times New Roman"/>
                          </w:rPr>
                          <m:t>K</m:t>
                        </m:r>
                      </m:e>
                    </m:acc>
                  </m:num>
                  <m:den>
                    <m:r>
                      <w:rPr>
                        <w:rFonts w:ascii="Cambria Math" w:hAnsi="Cambria Math" w:cs="Times New Roman"/>
                      </w:rPr>
                      <m:t>K</m:t>
                    </m:r>
                  </m:den>
                </m:f>
                <m:r>
                  <w:rPr>
                    <w:rFonts w:ascii="Cambria Math" w:hAnsi="Cambria Math" w:cs="Times New Roman"/>
                  </w:rPr>
                  <m:t>=</m:t>
                </m:r>
                <m:d>
                  <m:dPr>
                    <m:ctrlPr>
                      <w:rPr>
                        <w:rFonts w:ascii="Cambria Math" w:hAnsi="Cambria Math" w:cs="Times New Roman"/>
                        <w:i/>
                        <w:iCs/>
                      </w:rPr>
                    </m:ctrlPr>
                  </m:dPr>
                  <m:e>
                    <m:r>
                      <w:rPr>
                        <w:rFonts w:ascii="Cambria Math" w:hAnsi="Cambria Math" w:cs="Times New Roman"/>
                      </w:rPr>
                      <m:t>α-</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e>
                </m:d>
                <m:d>
                  <m:dPr>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1-θ</m:t>
                        </m:r>
                      </m:den>
                    </m:f>
                  </m:e>
                </m:d>
                <m:r>
                  <w:rPr>
                    <w:rFonts w:ascii="Cambria Math" w:hAnsi="Cambria Math" w:cs="Times New Roman"/>
                  </w:rPr>
                  <m:t>&gt;0</m:t>
                </m:r>
              </m:oMath>
            </m:oMathPara>
          </w:p>
        </w:tc>
        <w:tc>
          <w:tcPr>
            <w:tcW w:w="469" w:type="pct"/>
          </w:tcPr>
          <w:p w14:paraId="7FF0695A" w14:textId="69FF2CCB" w:rsidR="00D526E7" w:rsidRPr="007F37A0" w:rsidRDefault="00D526E7" w:rsidP="00735871">
            <w:pPr>
              <w:spacing w:line="480" w:lineRule="auto"/>
              <w:rPr>
                <w:rFonts w:ascii="Times New Roman" w:hAnsi="Times New Roman" w:cs="Times New Roman"/>
              </w:rPr>
            </w:pPr>
            <w:bookmarkStart w:id="16" w:name="_Ref159839012"/>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17</w:t>
            </w:r>
            <w:r w:rsidRPr="007F37A0">
              <w:rPr>
                <w:rFonts w:ascii="Times New Roman" w:hAnsi="Times New Roman" w:cs="Times New Roman"/>
              </w:rPr>
              <w:fldChar w:fldCharType="end"/>
            </w:r>
            <w:r w:rsidRPr="007F37A0">
              <w:rPr>
                <w:rFonts w:ascii="Times New Roman" w:hAnsi="Times New Roman" w:cs="Times New Roman"/>
              </w:rPr>
              <w:t xml:space="preserve"> )</w:t>
            </w:r>
            <w:bookmarkEnd w:id="16"/>
          </w:p>
        </w:tc>
      </w:tr>
    </w:tbl>
    <w:p w14:paraId="2C5980F0"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which will be positive provided </w:t>
      </w:r>
      <m:oMath>
        <m:r>
          <w:rPr>
            <w:rFonts w:ascii="Cambria Math" w:hAnsi="Cambria Math" w:cs="Times New Roman"/>
          </w:rPr>
          <m:t>α&gt;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When </w:t>
      </w:r>
      <m:oMath>
        <m:r>
          <w:rPr>
            <w:rFonts w:ascii="Cambria Math" w:hAnsi="Cambria Math" w:cs="Times New Roman"/>
          </w:rPr>
          <m:t>α≤</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then firms do not invest in any new capital, and the investment rate is 0. </w:t>
      </w:r>
    </w:p>
    <w:p w14:paraId="00B43D2D" w14:textId="6C629640"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To find the effect of volatility on the investment rate, take the partial derivative of equation </w:t>
      </w:r>
      <w:r w:rsidRPr="007F37A0">
        <w:rPr>
          <w:rFonts w:ascii="Times New Roman" w:hAnsi="Times New Roman" w:cs="Times New Roman"/>
        </w:rPr>
        <w:fldChar w:fldCharType="begin"/>
      </w:r>
      <w:r w:rsidRPr="007F37A0">
        <w:rPr>
          <w:rFonts w:ascii="Times New Roman" w:hAnsi="Times New Roman" w:cs="Times New Roman"/>
        </w:rPr>
        <w:instrText xml:space="preserve"> REF _Ref159839012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 </w:t>
      </w:r>
      <w:r w:rsidR="00142A7E">
        <w:rPr>
          <w:rFonts w:ascii="Times New Roman" w:hAnsi="Times New Roman" w:cs="Times New Roman"/>
          <w:noProof/>
        </w:rPr>
        <w:t>17</w:t>
      </w:r>
      <w:r w:rsidR="00142A7E" w:rsidRPr="007F37A0">
        <w:rPr>
          <w:rFonts w:ascii="Times New Roman" w:hAnsi="Times New Roman" w:cs="Times New Roman"/>
        </w:rPr>
        <w:t xml:space="preserve"> )</w:t>
      </w:r>
      <w:r w:rsidRPr="007F37A0">
        <w:rPr>
          <w:rFonts w:ascii="Times New Roman" w:hAnsi="Times New Roman" w:cs="Times New Roman"/>
        </w:rPr>
        <w:fldChar w:fldCharType="end"/>
      </w:r>
      <w:r w:rsidRPr="007F37A0">
        <w:rPr>
          <w:rFonts w:ascii="Times New Roman" w:hAnsi="Times New Roman" w:cs="Times New Roman"/>
        </w:rPr>
        <w:t xml:space="preserve"> with respect to </w:t>
      </w:r>
      <m:oMath>
        <m:r>
          <w:rPr>
            <w:rFonts w:ascii="Cambria Math" w:hAnsi="Cambria Math" w:cs="Times New Roman"/>
          </w:rPr>
          <m:t>σ</m:t>
        </m:r>
      </m:oMath>
      <w:r w:rsidRPr="007F37A0">
        <w:rPr>
          <w:rFonts w:ascii="Times New Roman" w:hAnsi="Times New Roman"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gridCol w:w="810"/>
      </w:tblGrid>
      <w:tr w:rsidR="00D526E7" w:rsidRPr="007F37A0" w14:paraId="6BC64E81" w14:textId="77777777" w:rsidTr="00735871">
        <w:tc>
          <w:tcPr>
            <w:tcW w:w="4531" w:type="pct"/>
          </w:tcPr>
          <w:p w14:paraId="1D9B8D7D" w14:textId="77777777" w:rsidR="00D526E7" w:rsidRPr="007F37A0" w:rsidRDefault="00000000" w:rsidP="00735871">
            <w:pPr>
              <w:spacing w:line="480" w:lineRule="auto"/>
              <w:rPr>
                <w:rFonts w:ascii="Times New Roman" w:hAnsi="Times New Roman" w:cs="Times New Roman"/>
                <w:i/>
                <w:iCs/>
              </w:rPr>
            </w:pPr>
            <m:oMathPara>
              <m:oMath>
                <m:f>
                  <m:fPr>
                    <m:ctrlPr>
                      <w:rPr>
                        <w:rFonts w:ascii="Cambria Math" w:hAnsi="Cambria Math" w:cs="Times New Roman"/>
                        <w:i/>
                        <w:iCs/>
                      </w:rPr>
                    </m:ctrlPr>
                  </m:fPr>
                  <m:num>
                    <m:r>
                      <w:rPr>
                        <w:rFonts w:ascii="Cambria Math" w:hAnsi="Cambria Math" w:cs="Times New Roman"/>
                      </w:rPr>
                      <m:t>∂</m:t>
                    </m:r>
                    <m:f>
                      <m:fPr>
                        <m:ctrlPr>
                          <w:rPr>
                            <w:rFonts w:ascii="Cambria Math" w:hAnsi="Cambria Math" w:cs="Times New Roman"/>
                            <w:i/>
                            <w:iCs/>
                          </w:rPr>
                        </m:ctrlPr>
                      </m:fPr>
                      <m:num>
                        <m:acc>
                          <m:accPr>
                            <m:chr m:val="̇"/>
                            <m:ctrlPr>
                              <w:rPr>
                                <w:rFonts w:ascii="Cambria Math" w:hAnsi="Cambria Math" w:cs="Times New Roman"/>
                                <w:i/>
                                <w:iCs/>
                              </w:rPr>
                            </m:ctrlPr>
                          </m:accPr>
                          <m:e>
                            <m:r>
                              <w:rPr>
                                <w:rFonts w:ascii="Cambria Math" w:hAnsi="Cambria Math" w:cs="Times New Roman"/>
                              </w:rPr>
                              <m:t>K</m:t>
                            </m:r>
                          </m:e>
                        </m:acc>
                      </m:num>
                      <m:den>
                        <m:r>
                          <w:rPr>
                            <w:rFonts w:ascii="Cambria Math" w:hAnsi="Cambria Math" w:cs="Times New Roman"/>
                          </w:rPr>
                          <m:t>K</m:t>
                        </m:r>
                      </m:den>
                    </m:f>
                  </m:num>
                  <m:den>
                    <m:r>
                      <w:rPr>
                        <w:rFonts w:ascii="Cambria Math" w:hAnsi="Cambria Math" w:cs="Times New Roman"/>
                      </w:rPr>
                      <m:t>∂σ</m:t>
                    </m:r>
                  </m:den>
                </m:f>
                <m:r>
                  <w:rPr>
                    <w:rFonts w:ascii="Cambria Math" w:hAnsi="Cambria Math" w:cs="Times New Roman"/>
                  </w:rPr>
                  <m:t>=-σ</m:t>
                </m:r>
                <m:d>
                  <m:dPr>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1-θ</m:t>
                        </m:r>
                      </m:den>
                    </m:f>
                  </m:e>
                </m:d>
                <m:r>
                  <w:rPr>
                    <w:rFonts w:ascii="Cambria Math" w:hAnsi="Cambria Math" w:cs="Times New Roman"/>
                  </w:rPr>
                  <m:t>&lt;0</m:t>
                </m:r>
              </m:oMath>
            </m:oMathPara>
          </w:p>
        </w:tc>
        <w:tc>
          <w:tcPr>
            <w:tcW w:w="469" w:type="pct"/>
          </w:tcPr>
          <w:p w14:paraId="738FB958" w14:textId="766C5FA6"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18</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31BE91E4"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When policy activity benefits firms, then volatility decreases investment rates. </w:t>
      </w:r>
    </w:p>
    <w:p w14:paraId="76EFA85F" w14:textId="77777777" w:rsidR="00D526E7" w:rsidRPr="007F37A0" w:rsidRDefault="00D526E7" w:rsidP="00D526E7">
      <w:pPr>
        <w:pStyle w:val="Heading3"/>
        <w:spacing w:line="480" w:lineRule="auto"/>
        <w:rPr>
          <w:rFonts w:ascii="Times New Roman" w:hAnsi="Times New Roman" w:cs="Times New Roman"/>
          <w:szCs w:val="24"/>
        </w:rPr>
      </w:pPr>
      <w:bookmarkStart w:id="17" w:name="_Toc164862497"/>
      <w:r w:rsidRPr="007F37A0">
        <w:rPr>
          <w:rFonts w:ascii="Times New Roman" w:hAnsi="Times New Roman" w:cs="Times New Roman"/>
          <w:szCs w:val="24"/>
        </w:rPr>
        <w:t>1.3.2 DISCUSSION</w:t>
      </w:r>
      <w:bookmarkEnd w:id="17"/>
    </w:p>
    <w:p w14:paraId="631B4ED4"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The theoretical model presented above predicts that policy uncertainty, measured as the volatility in policy activity, can increase investment rates under certain circumstances. It highlights the difference between types of policies: “carrots” or policies that benefit firms and “sticks” or policies that hurt firm profits. Empirical studies cite real options investment models as a theoretical basis for the negative effect of uncertainty on investment rates (e.g. Baker, Bloom, &amp; Davis, 2016; Gulen &amp; Ion, 2016). As I have just shown, since policy activity can be either “carrots” or “sticks,” the theoretical model accommodates both positive and negative effects of policy uncertainty on investment rates. Further, real options investment models that focus on risk defined as the volatility in policy activity provide no theoretical guidance on the impacts of text-generated measures of policy uncertainty provided in the empirical research which are unable to distinguish between risk and uncertainty or notions of current and future risk.</w:t>
      </w:r>
    </w:p>
    <w:p w14:paraId="29AC00D8"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lastRenderedPageBreak/>
        <w:t xml:space="preserve">The theoretical model provides predictions under the four different scenarios based on values of </w:t>
      </w:r>
      <m:oMath>
        <m:r>
          <w:rPr>
            <w:rFonts w:ascii="Cambria Math" w:hAnsi="Cambria Math" w:cs="Times New Roman"/>
          </w:rPr>
          <m:t>β</m:t>
        </m:r>
      </m:oMath>
      <w:r w:rsidRPr="007F37A0">
        <w:rPr>
          <w:rFonts w:ascii="Times New Roman" w:hAnsi="Times New Roman" w:cs="Times New Roman"/>
        </w:rPr>
        <w:t xml:space="preserve"> conditional on how policy activity evolves, </w:t>
      </w:r>
      <m:oMath>
        <m:r>
          <w:rPr>
            <w:rFonts w:ascii="Cambria Math" w:hAnsi="Cambria Math" w:cs="Times New Roman"/>
          </w:rPr>
          <m:t>α</m:t>
        </m:r>
      </m:oMath>
      <w:r w:rsidRPr="007F37A0">
        <w:rPr>
          <w:rFonts w:ascii="Times New Roman" w:hAnsi="Times New Roman" w:cs="Times New Roman"/>
        </w:rPr>
        <w:t>.</w:t>
      </w:r>
    </w:p>
    <w:p w14:paraId="46A9328A" w14:textId="77777777" w:rsidR="00D526E7" w:rsidRPr="007F37A0" w:rsidRDefault="00D526E7" w:rsidP="00D526E7">
      <w:pPr>
        <w:spacing w:line="480" w:lineRule="auto"/>
        <w:rPr>
          <w:rFonts w:ascii="Times New Roman" w:hAnsi="Times New Roman" w:cs="Times New Roman"/>
          <w:b/>
          <w:bCs/>
        </w:rPr>
      </w:pPr>
      <w:r w:rsidRPr="007F37A0">
        <w:rPr>
          <w:rFonts w:ascii="Times New Roman" w:hAnsi="Times New Roman" w:cs="Times New Roman"/>
        </w:rPr>
        <w:tab/>
        <w:t xml:space="preserve">When </w:t>
      </w:r>
      <m:oMath>
        <m:r>
          <w:rPr>
            <w:rFonts w:ascii="Cambria Math" w:hAnsi="Cambria Math" w:cs="Times New Roman"/>
          </w:rPr>
          <m:t>α&gt;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and </w:t>
      </w:r>
      <m:oMath>
        <m:r>
          <w:rPr>
            <w:rFonts w:ascii="Cambria Math" w:hAnsi="Cambria Math" w:cs="Times New Roman"/>
          </w:rPr>
          <m:t>β=1</m:t>
        </m:r>
      </m:oMath>
      <w:r w:rsidRPr="007F37A0">
        <w:rPr>
          <w:rFonts w:ascii="Times New Roman" w:hAnsi="Times New Roman" w:cs="Times New Roman"/>
        </w:rPr>
        <w:t>, the model produces identical results to Dixit and Pindyck (1994) where policy uncertainty negatively impacts investment rates. In this scenario, firms expect future non-specific policies to positively affect their profits, or policies to be “carrots.” However, positive expectations for policies are not sufficient in this model. The level of policy must be growing sufficiently fast to induce investments.</w:t>
      </w:r>
    </w:p>
    <w:p w14:paraId="6404AA54"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b/>
          <w:bCs/>
        </w:rPr>
        <w:tab/>
      </w:r>
      <w:r w:rsidRPr="007F37A0">
        <w:rPr>
          <w:rFonts w:ascii="Times New Roman" w:hAnsi="Times New Roman" w:cs="Times New Roman"/>
        </w:rPr>
        <w:t xml:space="preserve">When </w:t>
      </w:r>
      <m:oMath>
        <m:r>
          <w:rPr>
            <w:rFonts w:ascii="Cambria Math" w:hAnsi="Cambria Math" w:cs="Times New Roman"/>
          </w:rPr>
          <m:t>α&gt;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and </w:t>
      </w:r>
      <m:oMath>
        <m:r>
          <w:rPr>
            <w:rFonts w:ascii="Cambria Math" w:hAnsi="Cambria Math" w:cs="Times New Roman"/>
          </w:rPr>
          <m:t>β=-1</m:t>
        </m:r>
      </m:oMath>
      <w:r w:rsidRPr="007F37A0">
        <w:rPr>
          <w:rFonts w:ascii="Times New Roman" w:hAnsi="Times New Roman" w:cs="Times New Roman"/>
        </w:rPr>
        <w:t xml:space="preserve"> or </w:t>
      </w:r>
      <m:oMath>
        <m:r>
          <w:rPr>
            <w:rFonts w:ascii="Cambria Math" w:hAnsi="Cambria Math" w:cs="Times New Roman"/>
          </w:rPr>
          <m:t>α&lt;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and </w:t>
      </w:r>
      <m:oMath>
        <m:r>
          <w:rPr>
            <w:rFonts w:ascii="Cambria Math" w:hAnsi="Cambria Math" w:cs="Times New Roman"/>
          </w:rPr>
          <m:t>β=1</m:t>
        </m:r>
      </m:oMath>
      <w:r w:rsidRPr="007F37A0">
        <w:rPr>
          <w:rFonts w:ascii="Times New Roman" w:hAnsi="Times New Roman" w:cs="Times New Roman"/>
        </w:rPr>
        <w:t xml:space="preserve">, policy activity causes firms to halt all investments. In the first scenario, firms expect policy activity to negatively impact their profits and the level of policy activity is growing quickly. This lowers a firm’s expected profits, and they halt all investment. In the second scenario, firms expect policy activity to positively impact their profits, but the level of policy activity is growing too slowly or even decreasing over time. Similarly, this lowers a firm’s expected profits, driving its investment rate to zero. </w:t>
      </w:r>
    </w:p>
    <w:p w14:paraId="22073C52"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Lastly, when </w:t>
      </w:r>
      <m:oMath>
        <m:r>
          <w:rPr>
            <w:rFonts w:ascii="Cambria Math" w:hAnsi="Cambria Math" w:cs="Times New Roman"/>
          </w:rPr>
          <m:t>α&lt;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oMath>
      <w:r w:rsidRPr="007F37A0">
        <w:rPr>
          <w:rFonts w:ascii="Times New Roman" w:hAnsi="Times New Roman" w:cs="Times New Roman"/>
        </w:rPr>
        <w:t xml:space="preserve"> and </w:t>
      </w:r>
      <m:oMath>
        <m:r>
          <w:rPr>
            <w:rFonts w:ascii="Cambria Math" w:hAnsi="Cambria Math" w:cs="Times New Roman"/>
          </w:rPr>
          <m:t>β=-1</m:t>
        </m:r>
      </m:oMath>
      <w:r w:rsidRPr="007F37A0">
        <w:rPr>
          <w:rFonts w:ascii="Times New Roman" w:hAnsi="Times New Roman" w:cs="Times New Roman"/>
        </w:rPr>
        <w:t xml:space="preserve">, firms expect “stick” policies and the policy level increases slowly or decreases over time. In this scenario, uncertainty drives the level of policy down due to the asymmetric effect of volatility. Mathematically, volatility will result in larger drops in policy activity when the level of policy activity is high compared to relatively smaller increases in policy activity. Even though there is an equal probability that policy activity will increase or decrease, the magnitude of the decrease is larger than the magnitude of the increase. This asymmetric effect of volatility encourages firms to invest more since policy negatively affects their profits. Intuitively, consider the choice </w:t>
      </w:r>
      <w:r w:rsidRPr="007F37A0">
        <w:rPr>
          <w:rFonts w:ascii="Times New Roman" w:hAnsi="Times New Roman" w:cs="Times New Roman"/>
        </w:rPr>
        <w:lastRenderedPageBreak/>
        <w:t xml:space="preserve">between two scenarios: a tax policy implemented with certainty, and a tax policy implemented with some uncertainty. In expectation, firms would rather have uncertainty over the “stick” policy since there is a chance it will not be implemented. The higher expected profits under policy uncertainty translate into a higher investment rate. </w:t>
      </w:r>
    </w:p>
    <w:p w14:paraId="0AA1ED89"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It is plausible that firms would expect future non-specific policies to be either “carrots” or “sticks” depending on the industry, time period, regulatory body, or other factors. The key results of the theoretical model show that statistical policy uncertainty could have a positive or negative effect on firm investments. Ultimately, this is an empirical question.</w:t>
      </w:r>
    </w:p>
    <w:p w14:paraId="012248C9" w14:textId="77777777" w:rsidR="00D526E7" w:rsidRPr="007F37A0" w:rsidRDefault="00D526E7" w:rsidP="00D526E7">
      <w:pPr>
        <w:pStyle w:val="Heading2"/>
        <w:spacing w:line="480" w:lineRule="auto"/>
        <w:rPr>
          <w:rFonts w:ascii="Times New Roman" w:hAnsi="Times New Roman" w:cs="Times New Roman"/>
          <w:sz w:val="24"/>
          <w:szCs w:val="24"/>
        </w:rPr>
      </w:pPr>
      <w:bookmarkStart w:id="18" w:name="_Toc164862498"/>
      <w:r w:rsidRPr="007F37A0">
        <w:rPr>
          <w:rFonts w:ascii="Times New Roman" w:hAnsi="Times New Roman" w:cs="Times New Roman"/>
          <w:sz w:val="24"/>
          <w:szCs w:val="24"/>
        </w:rPr>
        <w:t>1.4 EMPIRICS</w:t>
      </w:r>
      <w:bookmarkEnd w:id="18"/>
    </w:p>
    <w:p w14:paraId="1B4EFA59" w14:textId="3EDE0762"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Now that I’ve developed the theoretical model that predicts a positive effect of policy uncertainty, I turn to an application of my model showing how policy uncertainty affects the electric utility industry. First, I create two measures of policy uncertainty for the electric utility industry using newspaper text analysis. First, I create a policy index for the electric utility industry which measures the level of policy activity through newspaper text analysis. I derive a measure of the statistical policy uncertainty by estimating a stochastic volatility model using the policy index. Then I use Baker, Bloom, and Davis’s (2016) methods to create a direct policy uncertainty index for the electric utility industry. The direct policy uncertainty index measures current policy uncertainty: uncertainty over current policies passing and how those policies affect firms. The difference between these two measures is summarized in </w:t>
      </w:r>
      <w:r w:rsidRPr="007F37A0">
        <w:rPr>
          <w:rFonts w:ascii="Times New Roman" w:hAnsi="Times New Roman" w:cs="Times New Roman"/>
        </w:rPr>
        <w:fldChar w:fldCharType="begin"/>
      </w:r>
      <w:r w:rsidRPr="007F37A0">
        <w:rPr>
          <w:rFonts w:ascii="Times New Roman" w:hAnsi="Times New Roman" w:cs="Times New Roman"/>
        </w:rPr>
        <w:instrText xml:space="preserve"> REF _Ref159331610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w:t>
      </w:r>
      <w:r w:rsidRPr="007F37A0">
        <w:rPr>
          <w:rFonts w:ascii="Times New Roman" w:hAnsi="Times New Roman" w:cs="Times New Roman"/>
        </w:rPr>
        <w:fldChar w:fldCharType="end"/>
      </w:r>
      <w:r w:rsidRPr="007F37A0">
        <w:rPr>
          <w:rFonts w:ascii="Times New Roman" w:hAnsi="Times New Roman" w:cs="Times New Roman"/>
        </w:rPr>
        <w:t xml:space="preserve">. Next, I present the data and models used to empirically estimate the effect of these two measures of policy uncertainty on electric utility investment rates. Finally, I present the empirical results that find evidence that </w:t>
      </w:r>
      <w:r w:rsidRPr="007F37A0">
        <w:rPr>
          <w:rFonts w:ascii="Times New Roman" w:hAnsi="Times New Roman" w:cs="Times New Roman"/>
        </w:rPr>
        <w:lastRenderedPageBreak/>
        <w:t>policy uncertainty can have a positive effect on firm investment and suggest that the two measures of policy uncertainty both affect firm investment in different ways.</w:t>
      </w:r>
    </w:p>
    <w:p w14:paraId="3FE6EC12"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The difference between direct policy uncertainty and statistical policy uncertainty is highlighted by how each index is generated. I favor the statistical policy uncertainty index as it is consistent with the real option theory definition of uncertainty. Direct policy uncertainty measures a different type of uncertainty which has been favored by the empirical literature. In interpretation, the direct policy uncertainty measure captures every type of uncertainty related to a policy. It captures uncertainty over the legislative process including passing into law, uncertainty over the implementation of a specific regulation, uncertainty over the impact of the regulation on specific outcomes, and uncertainty over the future landscape of regulations among others. However, statistical policy uncertainty describes a specific type of uncertainty which is well-defined in the real option theory literature. Statistical policy uncertainty is the variation in the discussion of relevant policies. I interpret this as the uncertainty over the regulatory landscape. Periods of consistent strict regulations do not cause higher levels of uncertainty since electric utilities can form accurate expectations. However, when policymakers drastically increase or decrease their discussion of policies, uncertainty increases since utilities’ expectations do not match the regulatory landscape.</w:t>
      </w:r>
    </w:p>
    <w:p w14:paraId="18FB3550" w14:textId="77777777" w:rsidR="00D526E7" w:rsidRPr="007F37A0" w:rsidRDefault="00D526E7" w:rsidP="00D526E7">
      <w:pPr>
        <w:pStyle w:val="Heading3"/>
        <w:spacing w:line="480" w:lineRule="auto"/>
        <w:rPr>
          <w:rFonts w:ascii="Times New Roman" w:hAnsi="Times New Roman" w:cs="Times New Roman"/>
          <w:szCs w:val="24"/>
        </w:rPr>
      </w:pPr>
      <w:bookmarkStart w:id="19" w:name="_Toc164862499"/>
      <w:r w:rsidRPr="007F37A0">
        <w:rPr>
          <w:rFonts w:ascii="Times New Roman" w:hAnsi="Times New Roman" w:cs="Times New Roman"/>
          <w:szCs w:val="24"/>
        </w:rPr>
        <w:t>1.4.1 ELECTRIC UTILITY POLICY UNCERTAINTY</w:t>
      </w:r>
      <w:bookmarkEnd w:id="19"/>
    </w:p>
    <w:p w14:paraId="7838F3DC"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In this section I present the newspaper text-based measures of policy uncertainty specific to the electric utility industry. Little data exists about industry-level policy uncertainty, so I utilize a text analysis of newspaper articles. Following Palikhe et al. </w:t>
      </w:r>
      <w:r w:rsidRPr="007F37A0">
        <w:rPr>
          <w:rFonts w:ascii="Times New Roman" w:hAnsi="Times New Roman" w:cs="Times New Roman"/>
        </w:rPr>
        <w:lastRenderedPageBreak/>
        <w:t xml:space="preserve">(2022) I create a policy index to measure the level of policy activity for electric utilities based on Baker et al.’s (2016) method. This measure uses media coverage in newspapers to generate a measure of discussion about policies specific to electric utilities. I use the policy index to estimate a monthly measure of statistical policy uncertainty. Second, I create a measure of direct policy uncertainty following Baker et al. (2016). Gentzkow et al. (2019) credit this approach as being among the most influential text analysis applications in economics. Baker et al. (2016) established the validity of their approach through a human audit of 12,000 articles to ensure that their methods appropriately captured relevant newspaper articles. Academic researchers used the economic policy uncertainty index in a wide range of contexts (Gulen &amp; Ion, 2016; Wu et al., 2020), and the media have referenced the publicly available index numerous times, further emphasizing its practical use. </w:t>
      </w:r>
    </w:p>
    <w:p w14:paraId="3BF028CC"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Baker et al. (2016) use a dictionary-based method to construct their economic policy uncertainty index. They identify a set of keywords that they search for in the database of all newspaper articles. This approach requires prior knowledge of relevant industry policy keywords as compared to other data-driven techniques (Calomiris &amp; Mamaysky, 2019). Data-driven techniques outperform dictionary-based methods in the context of predicting observables such as stock prices. However, dictionary-based methods are justified when there is no directly observable information on the latent variable of interest such as policy uncertainty. Further, results from data-driven methods are often highly correlated with dictionary-based methods (e.g. Calomiris &amp; Mamaysky, 2019).</w:t>
      </w:r>
    </w:p>
    <w:p w14:paraId="0759E6EA" w14:textId="1EA504F6"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lastRenderedPageBreak/>
        <w:t xml:space="preserve">I construct the electric utility policy index by identifying five sets of search criteria listed in </w:t>
      </w:r>
      <w:r w:rsidRPr="007F37A0">
        <w:rPr>
          <w:rFonts w:ascii="Times New Roman" w:hAnsi="Times New Roman" w:cs="Times New Roman"/>
        </w:rPr>
        <w:fldChar w:fldCharType="begin"/>
      </w:r>
      <w:r w:rsidRPr="007F37A0">
        <w:rPr>
          <w:rFonts w:ascii="Times New Roman" w:hAnsi="Times New Roman" w:cs="Times New Roman"/>
        </w:rPr>
        <w:instrText xml:space="preserve"> REF _Ref159839322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w:t>
      </w:r>
      <w:r w:rsidRPr="007F37A0">
        <w:rPr>
          <w:rFonts w:ascii="Times New Roman" w:hAnsi="Times New Roman" w:cs="Times New Roman"/>
        </w:rPr>
        <w:fldChar w:fldCharType="end"/>
      </w:r>
      <w:r w:rsidRPr="007F37A0">
        <w:rPr>
          <w:rFonts w:ascii="Times New Roman" w:hAnsi="Times New Roman" w:cs="Times New Roman"/>
        </w:rPr>
        <w:t xml:space="preserve">. An article must contain one keyword from each of these five sets of search criteria to be counted by the index. The first set identifies articles economic in nature. I exclude any articles which include words in the second set, ensuring articles discuss policies as in Palikhe, et al. (2023). The third set of keywords relate to the regulating body for electric utilities. The fourth set of keywords guarantees that news coverage is relevant to the electric utility industry. The last set of keywords identifies specific policy topics to ensure that articles are reporting on policies specific to the electric utility industry. </w:t>
      </w:r>
    </w:p>
    <w:p w14:paraId="1EFC5974"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I conduct all searches in the Newsbank database which contains over 4,400 newspapers across the United States. The database contains large regional newspapers with over one million articles each such as the Orlando Sentinel, the Star-Ledger, Houston Chronicle, the Seattle Times, and Chicago Sun-Times. Newsbank includes thousands of smaller local newspapers as well as national-level newspapers such as USA Today. Between 1985 and 2022, the database contains over 340 million U.S. news articles on which I conduct the searches.</w:t>
      </w:r>
    </w:p>
    <w:p w14:paraId="520084B1"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After obtaining a monthly count of newspaper articles matching the search criteria, I normalize the data into an index. First, I divide the count of relevant articles by the total number of articles in the Newsbank database for that month which gives the proportion of newspaper articles discussing relevant policy. Next, I normalize this value, by dividing by the mean proportion of newspaper articles discussing policy between 1985 </w:t>
      </w:r>
      <w:r w:rsidRPr="007F37A0">
        <w:rPr>
          <w:rFonts w:ascii="Times New Roman" w:hAnsi="Times New Roman" w:cs="Times New Roman"/>
        </w:rPr>
        <w:lastRenderedPageBreak/>
        <w:t>and 2009 and multiplying by 100. Formally, the electric utility policy index is calculated by the following: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6"/>
        <w:gridCol w:w="774"/>
      </w:tblGrid>
      <w:tr w:rsidR="00D526E7" w:rsidRPr="007F37A0" w14:paraId="0771C754" w14:textId="77777777" w:rsidTr="00735871">
        <w:tc>
          <w:tcPr>
            <w:tcW w:w="7315" w:type="dxa"/>
          </w:tcPr>
          <w:p w14:paraId="78EF5410" w14:textId="77777777" w:rsidR="00D526E7" w:rsidRPr="007F37A0" w:rsidRDefault="00000000" w:rsidP="00735871">
            <w:pPr>
              <w:spacing w:line="480" w:lineRule="auto"/>
              <w:ind w:firstLine="720"/>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rPr>
                    </m:ctrlPr>
                  </m:fPr>
                  <m:num>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t</m:t>
                                </m:r>
                              </m:sub>
                            </m:sSub>
                          </m:den>
                        </m:f>
                        <m:r>
                          <w:rPr>
                            <w:rFonts w:ascii="Cambria Math" w:hAnsi="Cambria Math" w:cs="Times New Roman"/>
                          </w:rPr>
                          <m:t>*100</m:t>
                        </m:r>
                      </m:e>
                    </m:d>
                  </m:num>
                  <m:den>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300</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s</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s</m:t>
                                    </m:r>
                                  </m:sub>
                                </m:sSub>
                              </m:den>
                            </m:f>
                          </m:e>
                        </m:nary>
                      </m:num>
                      <m:den>
                        <m:r>
                          <w:rPr>
                            <w:rFonts w:ascii="Cambria Math" w:hAnsi="Cambria Math" w:cs="Times New Roman"/>
                          </w:rPr>
                          <m:t>300</m:t>
                        </m:r>
                      </m:den>
                    </m:f>
                  </m:den>
                </m:f>
              </m:oMath>
            </m:oMathPara>
          </w:p>
        </w:tc>
        <w:tc>
          <w:tcPr>
            <w:tcW w:w="720" w:type="dxa"/>
          </w:tcPr>
          <w:p w14:paraId="1078DAE2" w14:textId="1C4124DF"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19</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32F88FF9"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r w:rsidRPr="007F37A0">
        <w:rPr>
          <w:rFonts w:ascii="Times New Roman" w:hAnsi="Times New Roman" w:cs="Times New Roman"/>
        </w:rPr>
        <w:t xml:space="preserve"> is the number of newspaper articles satisfying the search criteria in month </w:t>
      </w:r>
      <m:oMath>
        <m:r>
          <w:rPr>
            <w:rFonts w:ascii="Cambria Math" w:hAnsi="Cambria Math" w:cs="Times New Roman"/>
          </w:rPr>
          <m:t>t</m:t>
        </m:r>
      </m:oMath>
      <w:r w:rsidRPr="007F37A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t</m:t>
            </m:r>
          </m:sub>
        </m:sSub>
      </m:oMath>
      <w:r w:rsidRPr="007F37A0">
        <w:rPr>
          <w:rFonts w:ascii="Times New Roman" w:hAnsi="Times New Roman" w:cs="Times New Roman"/>
        </w:rPr>
        <w:t xml:space="preserve"> is the number of all newspaper articles in month </w:t>
      </w:r>
      <m:oMath>
        <m:r>
          <w:rPr>
            <w:rFonts w:ascii="Cambria Math" w:hAnsi="Cambria Math" w:cs="Times New Roman"/>
          </w:rPr>
          <m:t>t</m:t>
        </m:r>
      </m:oMath>
      <w:r w:rsidRPr="007F37A0">
        <w:rPr>
          <w:rFonts w:ascii="Times New Roman" w:hAnsi="Times New Roman" w:cs="Times New Roman"/>
        </w:rPr>
        <w:t xml:space="preserve">, and in the denominator, time period 1 starts in January 1985, and time period 300 corresponds to December 2009. The resulting time series index measures newspaper coverage of electric utility policy from 1985 to 2022 relative to the average level of newspaper coverage from 1985 to 2009. A value of 125 in a given month means the proportion of electric utility policy-relevant articles is 1.25 times the average proportion of electric utility policy-relevant articles from 1985 to 2009. </w:t>
      </w:r>
    </w:p>
    <w:p w14:paraId="04B80E9D"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use the utility policy index to create a measure of statistical policy uncertainty. Let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oMath>
      <w:r w:rsidRPr="007F37A0">
        <w:rPr>
          <w:rFonts w:ascii="Times New Roman" w:hAnsi="Times New Roman" w:cs="Times New Roman"/>
        </w:rPr>
        <w:t xml:space="preserve"> be the policy index in time t which is a measure of the level of policy activity. I define statistical policy uncertainty to be the estimated latent time-varying volatility process from a stochastic volatility model assuming an AR(1) process. This captures the instantaneous variance of the time series in a more sophisticated way by taking into account both trends and one period changes. Formally,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6"/>
        <w:gridCol w:w="774"/>
      </w:tblGrid>
      <w:tr w:rsidR="00D526E7" w:rsidRPr="007F37A0" w14:paraId="73DFC657" w14:textId="77777777" w:rsidTr="00735871">
        <w:tc>
          <w:tcPr>
            <w:tcW w:w="7866" w:type="dxa"/>
          </w:tcPr>
          <w:p w14:paraId="241557A2" w14:textId="77777777" w:rsidR="00D526E7" w:rsidRPr="007F37A0" w:rsidRDefault="00000000" w:rsidP="00735871">
            <w:pPr>
              <w:spacing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m:t>
                            </m:r>
                          </m:sub>
                        </m:sSub>
                      </m:num>
                      <m:den>
                        <m:r>
                          <w:rPr>
                            <w:rFonts w:ascii="Cambria Math" w:hAnsi="Cambria Math" w:cs="Times New Roman"/>
                          </w:rPr>
                          <m:t>2</m:t>
                        </m:r>
                      </m:den>
                    </m:f>
                  </m:sup>
                </m:sSup>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m:oMathPara>
          </w:p>
        </w:tc>
        <w:tc>
          <w:tcPr>
            <w:tcW w:w="774" w:type="dxa"/>
          </w:tcPr>
          <w:p w14:paraId="61CF96F9" w14:textId="14D65598"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20</w:t>
            </w:r>
            <w:r w:rsidRPr="007F37A0">
              <w:rPr>
                <w:rFonts w:ascii="Times New Roman" w:hAnsi="Times New Roman" w:cs="Times New Roman"/>
              </w:rPr>
              <w:fldChar w:fldCharType="end"/>
            </w:r>
            <w:r w:rsidRPr="007F37A0">
              <w:rPr>
                <w:rFonts w:ascii="Times New Roman" w:hAnsi="Times New Roman" w:cs="Times New Roman"/>
              </w:rPr>
              <w:t xml:space="preserve"> )</w:t>
            </w:r>
          </w:p>
        </w:tc>
      </w:tr>
      <w:tr w:rsidR="00D526E7" w:rsidRPr="007F37A0" w14:paraId="46376657" w14:textId="77777777" w:rsidTr="007358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66" w:type="dxa"/>
            <w:tcBorders>
              <w:top w:val="nil"/>
              <w:left w:val="nil"/>
              <w:bottom w:val="nil"/>
              <w:right w:val="nil"/>
            </w:tcBorders>
          </w:tcPr>
          <w:p w14:paraId="6AC8E96B" w14:textId="77777777" w:rsidR="00D526E7" w:rsidRPr="007F37A0" w:rsidRDefault="00000000" w:rsidP="00735871">
            <w:pPr>
              <w:spacing w:line="480" w:lineRule="auto"/>
              <w:ind w:firstLine="720"/>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m:t>
                    </m:r>
                  </m:sub>
                </m:sSub>
                <m:r>
                  <w:rPr>
                    <w:rFonts w:ascii="Cambria Math" w:hAnsi="Cambria Math" w:cs="Times New Roman"/>
                  </w:rPr>
                  <m:t>=μ+ϕ</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t-1</m:t>
                        </m:r>
                      </m:sub>
                    </m:sSub>
                    <m:r>
                      <w:rPr>
                        <w:rFonts w:ascii="Cambria Math" w:hAnsi="Cambria Math" w:cs="Times New Roman"/>
                      </w:rPr>
                      <m:t>-μ</m:t>
                    </m:r>
                  </m:e>
                </m:d>
                <m:r>
                  <w:rPr>
                    <w:rFonts w:ascii="Cambria Math" w:hAnsi="Cambria Math" w:cs="Times New Roman"/>
                  </w:rPr>
                  <m:t>+σ</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t</m:t>
                    </m:r>
                  </m:sub>
                </m:sSub>
              </m:oMath>
            </m:oMathPara>
          </w:p>
        </w:tc>
        <w:tc>
          <w:tcPr>
            <w:tcW w:w="774" w:type="dxa"/>
            <w:tcBorders>
              <w:top w:val="nil"/>
              <w:left w:val="nil"/>
              <w:bottom w:val="nil"/>
              <w:right w:val="nil"/>
            </w:tcBorders>
          </w:tcPr>
          <w:p w14:paraId="38AFAAC7" w14:textId="64FC7527"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21</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565DED79"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lastRenderedPageBreak/>
        <w:t xml:space="preserve">Where </w:t>
      </w: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oMath>
      <w:r w:rsidRPr="007F37A0">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t</m:t>
            </m:r>
          </m:sub>
        </m:sSub>
      </m:oMath>
      <w:r w:rsidRPr="007F37A0">
        <w:rPr>
          <w:rFonts w:ascii="Times New Roman" w:hAnsi="Times New Roman" w:cs="Times New Roman"/>
        </w:rPr>
        <w:t xml:space="preserve"> are i.i.d. standard normal white noise,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m:t>
            </m:r>
          </m:sub>
        </m:sSub>
      </m:oMath>
      <w:r w:rsidRPr="007F37A0">
        <w:rPr>
          <w:rFonts w:ascii="Times New Roman" w:hAnsi="Times New Roman" w:cs="Times New Roman"/>
        </w:rPr>
        <w:t xml:space="preserve"> is the latent time-varying volatility process with initial stationary distribution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0</m:t>
            </m:r>
          </m:sub>
        </m:sSub>
        <m:r>
          <w:rPr>
            <w:rFonts w:ascii="Cambria Math" w:hAnsi="Cambria Math" w:cs="Times New Roman"/>
          </w:rPr>
          <m:t>|μ, ϕ, σ ~N</m:t>
        </m:r>
        <m:d>
          <m:dPr>
            <m:ctrlPr>
              <w:rPr>
                <w:rFonts w:ascii="Cambria Math" w:hAnsi="Cambria Math" w:cs="Times New Roman"/>
                <w:i/>
              </w:rPr>
            </m:ctrlPr>
          </m:dPr>
          <m:e>
            <m:r>
              <w:rPr>
                <w:rFonts w:ascii="Cambria Math" w:hAnsi="Cambria Math" w:cs="Times New Roman"/>
              </w:rPr>
              <m:t>μ,</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d>
                  <m:dPr>
                    <m:ctrlPr>
                      <w:rPr>
                        <w:rFonts w:ascii="Cambria Math" w:hAnsi="Cambria Math" w:cs="Times New Roman"/>
                        <w:i/>
                      </w:rPr>
                    </m:ctrlPr>
                  </m:dPr>
                  <m:e>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ϕ</m:t>
                        </m:r>
                      </m:e>
                      <m:sup>
                        <m:r>
                          <w:rPr>
                            <w:rFonts w:ascii="Cambria Math" w:hAnsi="Cambria Math" w:cs="Times New Roman"/>
                          </w:rPr>
                          <m:t>2</m:t>
                        </m:r>
                      </m:sup>
                    </m:sSup>
                  </m:e>
                </m:d>
              </m:den>
            </m:f>
          </m:e>
        </m:d>
      </m:oMath>
      <w:r w:rsidRPr="007F37A0">
        <w:rPr>
          <w:rFonts w:ascii="Times New Roman" w:hAnsi="Times New Roman" w:cs="Times New Roman"/>
        </w:rPr>
        <w:t xml:space="preserve">. Values of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m:t>
            </m:r>
          </m:sub>
        </m:sSub>
      </m:oMath>
      <w:r w:rsidRPr="007F37A0">
        <w:rPr>
          <w:rFonts w:ascii="Times New Roman" w:hAnsi="Times New Roman" w:cs="Times New Roman"/>
        </w:rPr>
        <w:t xml:space="preserve"> are estimated using the stochvol package in R (Hosszejni &amp; Kastner, 2021). After estimating the underlying parameters, values are simulated 10,000 times and the median value is taken as the measure of statistical policy uncertainty,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t</m:t>
            </m:r>
          </m:sub>
        </m:sSub>
      </m:oMath>
      <w:r w:rsidRPr="007F37A0">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t</m:t>
            </m:r>
          </m:sub>
        </m:sSub>
      </m:oMath>
      <w:r w:rsidRPr="007F37A0">
        <w:rPr>
          <w:rFonts w:ascii="Times New Roman" w:hAnsi="Times New Roman" w:cs="Times New Roman"/>
        </w:rPr>
        <w:t xml:space="preserve"> is interpreted as the log standard deviation of the policy index. A 1 unit increase in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t</m:t>
            </m:r>
          </m:sub>
        </m:sSub>
      </m:oMath>
      <w:r w:rsidRPr="007F37A0">
        <w:rPr>
          <w:rFonts w:ascii="Times New Roman" w:hAnsi="Times New Roman" w:cs="Times New Roman"/>
        </w:rPr>
        <w:t>, from 3 to 4, is interpreted as in increase in the standard deviation of the policy index by 34.5 points.</w:t>
      </w:r>
    </w:p>
    <w:p w14:paraId="6C6C1AF0"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also construct a direct policy uncertainty index to which I compare the theoretically consistent measure. Rather than excluding the uncertain keywords, the direct policy uncertainty index includes any articles that mention “uncertain,” “uncertainties,” or “uncertainty.” This means that the articles in both the policy index and direct policy uncertainty index are disjoint sets. That is, if an article shows up in the policy index, then it cannot show up in the direct policy uncertainty index by construction. </w:t>
      </w:r>
    </w:p>
    <w:p w14:paraId="0A525D2E" w14:textId="11BF689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fldChar w:fldCharType="begin"/>
      </w:r>
      <w:r w:rsidRPr="007F37A0">
        <w:rPr>
          <w:rFonts w:ascii="Times New Roman" w:hAnsi="Times New Roman" w:cs="Times New Roman"/>
        </w:rPr>
        <w:instrText xml:space="preserve"> REF _Ref159331074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3</w:t>
      </w:r>
      <w:r w:rsidRPr="007F37A0">
        <w:rPr>
          <w:rFonts w:ascii="Times New Roman" w:hAnsi="Times New Roman" w:cs="Times New Roman"/>
        </w:rPr>
        <w:fldChar w:fldCharType="end"/>
      </w:r>
      <w:r w:rsidRPr="007F37A0">
        <w:rPr>
          <w:rFonts w:ascii="Times New Roman" w:hAnsi="Times New Roman" w:cs="Times New Roman"/>
        </w:rPr>
        <w:t xml:space="preserve"> shows the utility-specific direct policy uncertainty index with the scale on the left-hand side. The index shows some notable distinct spikes from policy uncertainty. In January 2001, amidst rising gas prices, President George Bush was criticized for a lack of a national energy policy. In response to this, the White House adopted recommendations from the National Energy Policy Development Group in May 2001.</w:t>
      </w:r>
      <w:r w:rsidRPr="007F37A0">
        <w:rPr>
          <w:rFonts w:ascii="Times New Roman" w:hAnsi="Times New Roman" w:cs="Times New Roman"/>
          <w:vertAlign w:val="superscript"/>
        </w:rPr>
        <w:footnoteReference w:id="4"/>
      </w:r>
      <w:r w:rsidRPr="007F37A0">
        <w:rPr>
          <w:rFonts w:ascii="Times New Roman" w:hAnsi="Times New Roman" w:cs="Times New Roman"/>
        </w:rPr>
        <w:t xml:space="preserve"> In April 2006, the Senate energy committee met with firms, scientists, and </w:t>
      </w:r>
      <w:r w:rsidRPr="007F37A0">
        <w:rPr>
          <w:rFonts w:ascii="Times New Roman" w:hAnsi="Times New Roman" w:cs="Times New Roman"/>
        </w:rPr>
        <w:lastRenderedPageBreak/>
        <w:t>environmentalists to discuss greenhouse gas regulation. The fall of 2008 marked the presidential election during the Great Recession, meaning a great deal of policy uncertainty as voters wanted both lower energy prices and policy addressing climate change as seen in the Newsbank articles. In December 2009, while the United Nations Climate Change Conference took place, discussion in the United States turned toward the recent expansion of natural gas as a cost-effective and relatively clean alternative to coal-fired power plants. President Obama spoke about plans for energy security in March 2011 and Congress discussed a policy to increase fees on inactive oil and gas leases after media coverage highlighted the number of inactive federal leases. The Presidential election in 2012 also caused spikes in policy uncertainty when candidates discussed their ideas for addressing climate change and energy independence. These examples show that the index identifies policy-specific uncertainties that relate to utilities.</w:t>
      </w:r>
    </w:p>
    <w:p w14:paraId="14CD6815" w14:textId="2516ACC9"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The utility policy index shown in </w:t>
      </w:r>
      <w:r w:rsidRPr="007F37A0">
        <w:rPr>
          <w:rFonts w:ascii="Times New Roman" w:hAnsi="Times New Roman" w:cs="Times New Roman"/>
        </w:rPr>
        <w:fldChar w:fldCharType="begin"/>
      </w:r>
      <w:r w:rsidRPr="007F37A0">
        <w:rPr>
          <w:rFonts w:ascii="Times New Roman" w:hAnsi="Times New Roman" w:cs="Times New Roman"/>
        </w:rPr>
        <w:instrText xml:space="preserve"> REF _Ref159331074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3</w:t>
      </w:r>
      <w:r w:rsidRPr="007F37A0">
        <w:rPr>
          <w:rFonts w:ascii="Times New Roman" w:hAnsi="Times New Roman" w:cs="Times New Roman"/>
        </w:rPr>
        <w:fldChar w:fldCharType="end"/>
      </w:r>
      <w:r w:rsidRPr="007F37A0">
        <w:rPr>
          <w:rFonts w:ascii="Times New Roman" w:hAnsi="Times New Roman" w:cs="Times New Roman"/>
        </w:rPr>
        <w:t xml:space="preserve"> with the scale on the left-hand side includes several peaks worth mentioning. May 2001 marked the initial implementation of the White House’s energy policy. After periods of high energy policy uncertainty, those uncertainties were resolved as the federal government began implementing specific policies. Newspaper coverage of the Northeast blackout in August 2003 caused a minor spike in the policy index as experts weighed in with their policy recommendations. The index shows a clear uptick in December 2007 with the passage of the Energy Independence and Security Act. The American Clean Energy and Security Act of 2009 was passed in the House in June 2009 but was never passed in the Senate. This peak also corresponds to an increase in the policy uncertainty index in contrast to the Energy </w:t>
      </w:r>
      <w:r w:rsidRPr="007F37A0">
        <w:rPr>
          <w:rFonts w:ascii="Times New Roman" w:hAnsi="Times New Roman" w:cs="Times New Roman"/>
        </w:rPr>
        <w:lastRenderedPageBreak/>
        <w:t>Independence and Security Act which was successfully signed into law with little uncertainty. There was a modest uptick in the utility policy index during the presidential election in August 2012 as newspaper coverage turned to candidates’ ideas on energy policy. June 2013 marked President Obama’s last Climate Action Plan which outlined a set of initiatives intended to reduce greenhouse gas emissions. When paired with the utility policy uncertainty index, the utility policy index completes the picture of policy uncertainty highlighting when bills are passed with varying degrees of certainty. Further, the policy index gives evidence that the utility policy uncertainty index uniquely captures periods of high uncertainty.</w:t>
      </w:r>
    </w:p>
    <w:p w14:paraId="271EB437"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A few specific events highlight the difference between statistical policy uncertainty and direct policy uncertainty. In December 2019, investment in natural gas production fell in response to uncertainty over climate change regulation, causing an increase in direct policy uncertainty. However, statistical policy uncertainty largely did not change. The policy index largely remained constant, indicating that discussion of these policies remained constant over this time period. In March 2017, the Trump administration rolled back carbon regulations, increasing direct policy uncertainty. Statistical policy uncertainty largely remained unchanged. Similarly, in August 2018 the Trump administration froze Obama administration fuel economy standards. This caused an increase in direct policy uncertainty but not statistical policy uncertainty. These periods suggest that the landscape of future policy was predictable during these times, but current policies were uncertain. Finally, in October 2010 statistical policy uncertainty increased while direct policy uncertainty remained relatively low. During this time </w:t>
      </w:r>
      <w:r w:rsidRPr="007F37A0">
        <w:rPr>
          <w:rFonts w:ascii="Times New Roman" w:hAnsi="Times New Roman" w:cs="Times New Roman"/>
        </w:rPr>
        <w:lastRenderedPageBreak/>
        <w:t>newspapers began discussing a wide range of policy goals including renewable energy, fuel efficiency mandates, and biomass energy generation. This increased discussion caused a spike in the statistical policy uncertainty measure as the future regulatory landscape became more uncertain. However, when looking at the modest uptick in the direct policy uncertainty measure, none of the discussion focused on current policies. These specific events highlight a key difference between these two measures. Statistical policy uncertainty measures a very specific type of future uncertainty, whereas the direct policy uncertainty measure captures all types of uncertainty. This means any changes in direct policy uncertainty can be rationalized ex-post by identifying specific events.</w:t>
      </w:r>
    </w:p>
    <w:p w14:paraId="5FF45980" w14:textId="77777777" w:rsidR="00D526E7" w:rsidRPr="007F37A0" w:rsidRDefault="00D526E7" w:rsidP="00D526E7">
      <w:pPr>
        <w:pStyle w:val="Heading3"/>
        <w:spacing w:line="480" w:lineRule="auto"/>
        <w:rPr>
          <w:rFonts w:ascii="Times New Roman" w:hAnsi="Times New Roman" w:cs="Times New Roman"/>
          <w:szCs w:val="24"/>
        </w:rPr>
      </w:pPr>
      <w:bookmarkStart w:id="20" w:name="_Toc164862500"/>
      <w:r w:rsidRPr="007F37A0">
        <w:rPr>
          <w:rFonts w:ascii="Times New Roman" w:hAnsi="Times New Roman" w:cs="Times New Roman"/>
          <w:szCs w:val="24"/>
        </w:rPr>
        <w:t>1.4.2 DATA AND MODEL</w:t>
      </w:r>
      <w:bookmarkEnd w:id="20"/>
    </w:p>
    <w:p w14:paraId="3C1A7431" w14:textId="7CFC4F5E"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Now I turn to firm-level data and the empirical model specification. Publicly listed U.S. firm-level data comes from the same Compustat dataset used by Baker, Bloom, and Davis (2016), updated to 2022 data. The dataset contains revenue, capital expenditures, physical assets, cash flows, and Standard Industrial Classification (SIC) codes, but the investment rate is the primary dependent variable of interest. The investment rate is defined as capital expenditure in quarter </w:t>
      </w:r>
      <m:oMath>
        <m:r>
          <w:rPr>
            <w:rFonts w:ascii="Cambria Math" w:hAnsi="Cambria Math" w:cs="Times New Roman"/>
          </w:rPr>
          <m:t>t</m:t>
        </m:r>
      </m:oMath>
      <w:r w:rsidRPr="007F37A0">
        <w:rPr>
          <w:rFonts w:ascii="Times New Roman" w:hAnsi="Times New Roman" w:cs="Times New Roman"/>
        </w:rPr>
        <w:t xml:space="preserve"> divided by the stock of physical capital in quarter </w:t>
      </w:r>
      <m:oMath>
        <m:r>
          <w:rPr>
            <w:rFonts w:ascii="Cambria Math" w:hAnsi="Cambria Math" w:cs="Times New Roman"/>
          </w:rPr>
          <m:t>t-1</m:t>
        </m:r>
      </m:oMath>
      <w:r w:rsidRPr="007F37A0">
        <w:rPr>
          <w:rFonts w:ascii="Times New Roman" w:hAnsi="Times New Roman" w:cs="Times New Roman"/>
        </w:rPr>
        <w:t xml:space="preserve">. Physical capital is defined as net plant, property, and equipment which includes facilities and machines accounting for depreciation. Following Gulen and Ion (2016), I winsorize investment rates for the top and bottom 5%. I define electric utilities using the Standard Industry Classification for the electric services industry (SIC code 491) which includes power plants and electricity companies. The unbalanced panel data includes 165 utility firms with an average of 54.3 observations per </w:t>
      </w:r>
      <w:r w:rsidRPr="007F37A0">
        <w:rPr>
          <w:rFonts w:ascii="Times New Roman" w:hAnsi="Times New Roman" w:cs="Times New Roman"/>
        </w:rPr>
        <w:lastRenderedPageBreak/>
        <w:t xml:space="preserve">firm for a total of 8,961 quarterly observations. The average investment rate for utility firms is 0.025 with a standard deviation of 0.02. While the panel of all firms includes data from 1985 to 2021, utility firm data only begins in 2001. </w:t>
      </w:r>
      <w:r w:rsidRPr="007F37A0">
        <w:rPr>
          <w:rFonts w:ascii="Times New Roman" w:hAnsi="Times New Roman" w:cs="Times New Roman"/>
          <w:iCs/>
        </w:rPr>
        <w:t xml:space="preserve">Descriptive statistics and data definitions are presented in </w:t>
      </w:r>
      <w:r w:rsidRPr="007F37A0">
        <w:rPr>
          <w:rFonts w:ascii="Times New Roman" w:hAnsi="Times New Roman" w:cs="Times New Roman"/>
          <w:iCs/>
        </w:rPr>
        <w:fldChar w:fldCharType="begin"/>
      </w:r>
      <w:r w:rsidRPr="007F37A0">
        <w:rPr>
          <w:rFonts w:ascii="Times New Roman" w:hAnsi="Times New Roman" w:cs="Times New Roman"/>
          <w:iCs/>
        </w:rPr>
        <w:instrText xml:space="preserve"> REF _Ref159847291 \h </w:instrText>
      </w:r>
      <w:r w:rsidR="007F37A0">
        <w:rPr>
          <w:rFonts w:ascii="Times New Roman" w:hAnsi="Times New Roman" w:cs="Times New Roman"/>
          <w:iCs/>
        </w:rPr>
        <w:instrText xml:space="preserve"> \* MERGEFORMAT </w:instrText>
      </w:r>
      <w:r w:rsidRPr="007F37A0">
        <w:rPr>
          <w:rFonts w:ascii="Times New Roman" w:hAnsi="Times New Roman" w:cs="Times New Roman"/>
          <w:iCs/>
        </w:rPr>
      </w:r>
      <w:r w:rsidRPr="007F37A0">
        <w:rPr>
          <w:rFonts w:ascii="Times New Roman" w:hAnsi="Times New Roman" w:cs="Times New Roman"/>
          <w:iCs/>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w:t>
      </w:r>
      <w:r w:rsidRPr="007F37A0">
        <w:rPr>
          <w:rFonts w:ascii="Times New Roman" w:hAnsi="Times New Roman" w:cs="Times New Roman"/>
          <w:iCs/>
        </w:rPr>
        <w:fldChar w:fldCharType="end"/>
      </w:r>
      <w:r w:rsidRPr="007F37A0">
        <w:rPr>
          <w:rFonts w:ascii="Times New Roman" w:hAnsi="Times New Roman" w:cs="Times New Roman"/>
          <w:iCs/>
        </w:rPr>
        <w:t xml:space="preserve">. </w:t>
      </w:r>
      <w:r w:rsidRPr="007F37A0">
        <w:rPr>
          <w:rFonts w:ascii="Times New Roman" w:hAnsi="Times New Roman" w:cs="Times New Roman"/>
          <w:iCs/>
        </w:rPr>
        <w:fldChar w:fldCharType="begin"/>
      </w:r>
      <w:r w:rsidRPr="007F37A0">
        <w:rPr>
          <w:rFonts w:ascii="Times New Roman" w:hAnsi="Times New Roman" w:cs="Times New Roman"/>
          <w:iCs/>
        </w:rPr>
        <w:instrText xml:space="preserve"> REF _Ref159331010 \h </w:instrText>
      </w:r>
      <w:r w:rsidR="007F37A0">
        <w:rPr>
          <w:rFonts w:ascii="Times New Roman" w:hAnsi="Times New Roman" w:cs="Times New Roman"/>
          <w:iCs/>
        </w:rPr>
        <w:instrText xml:space="preserve"> \* MERGEFORMAT </w:instrText>
      </w:r>
      <w:r w:rsidRPr="007F37A0">
        <w:rPr>
          <w:rFonts w:ascii="Times New Roman" w:hAnsi="Times New Roman" w:cs="Times New Roman"/>
          <w:iCs/>
        </w:rPr>
      </w:r>
      <w:r w:rsidRPr="007F37A0">
        <w:rPr>
          <w:rFonts w:ascii="Times New Roman" w:hAnsi="Times New Roman" w:cs="Times New Roman"/>
          <w:iCs/>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1</w:t>
      </w:r>
      <w:r w:rsidRPr="007F37A0">
        <w:rPr>
          <w:rFonts w:ascii="Times New Roman" w:hAnsi="Times New Roman" w:cs="Times New Roman"/>
          <w:iCs/>
        </w:rPr>
        <w:fldChar w:fldCharType="end"/>
      </w:r>
      <w:r w:rsidRPr="007F37A0">
        <w:rPr>
          <w:rFonts w:ascii="Times New Roman" w:hAnsi="Times New Roman" w:cs="Times New Roman"/>
          <w:iCs/>
        </w:rPr>
        <w:t xml:space="preserve"> shows trends in quarterly average investment rate for electric utilities from 2001 to 2022. Investment rates rose until 2008 after which dropping to a low in 2010. Investment rates recovered to a maximum in 2012 and have since fallen over time. This highlights the variability in investment rates in the data and the recent trend in falling investment. </w:t>
      </w:r>
    </w:p>
    <w:p w14:paraId="5DE85CD5"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merge the firm-level investment data with the policy, direct policy uncertainty, and statistical policy uncertainty indices. Since the indices are measured at a monthly time scale, I aggregate them up to a quarterly measure by taking the average over the three months in the quarter. </w:t>
      </w:r>
    </w:p>
    <w:p w14:paraId="363E39D6"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I consider a model most directly comparable to the real option theoretical model following regression specifications from Baker, Bloom, and Davis (2016) and Gulen and Ion (2016). The dependent variable is the investment rate as defined previously. To ease interpretation, I take the natural log of the policy uncertainty index, policy index, and volatility. This gives the following specification: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6"/>
        <w:gridCol w:w="774"/>
      </w:tblGrid>
      <w:tr w:rsidR="00D526E7" w:rsidRPr="007F37A0" w14:paraId="2847F904" w14:textId="77777777" w:rsidTr="00735871">
        <w:tc>
          <w:tcPr>
            <w:tcW w:w="7866" w:type="dxa"/>
          </w:tcPr>
          <w:p w14:paraId="0C3D9426" w14:textId="77777777" w:rsidR="00D526E7" w:rsidRPr="007F37A0" w:rsidRDefault="00000000" w:rsidP="00735871">
            <w:pPr>
              <w:spacing w:line="480" w:lineRule="auto"/>
              <w:rPr>
                <w:rFonts w:ascii="Times New Roman" w:hAnsi="Times New Roman" w:cs="Times New Roman"/>
              </w:rPr>
            </w:pPr>
            <m:oMathPara>
              <m:oMath>
                <m:f>
                  <m:fPr>
                    <m:ctrlPr>
                      <w:rPr>
                        <w:rFonts w:ascii="Cambria Math" w:hAnsi="Cambria Math" w:cs="Times New Roman"/>
                        <w:i/>
                      </w:rPr>
                    </m:ctrlPr>
                  </m:fPr>
                  <m:num>
                    <m:sSub>
                      <m:sSubPr>
                        <m:ctrlPr>
                          <w:rPr>
                            <w:rFonts w:ascii="Cambria Math" w:hAnsi="Cambria Math" w:cs="Times New Roman"/>
                          </w:rPr>
                        </m:ctrlPr>
                      </m:sSubPr>
                      <m:e>
                        <m:r>
                          <m:rPr>
                            <m:sty m:val="p"/>
                          </m:rPr>
                          <w:rPr>
                            <w:rFonts w:ascii="Cambria Math" w:hAnsi="Cambria Math" w:cs="Times New Roman"/>
                          </w:rPr>
                          <m:t>CAPXY</m:t>
                        </m:r>
                      </m:e>
                      <m:sub>
                        <m:r>
                          <m:rPr>
                            <m:sty m:val="p"/>
                          </m:rPr>
                          <w:rPr>
                            <w:rFonts w:ascii="Cambria Math" w:hAnsi="Cambria Math" w:cs="Times New Roman"/>
                          </w:rPr>
                          <m:t>it</m:t>
                        </m:r>
                      </m:sub>
                    </m:sSub>
                  </m:num>
                  <m:den>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i,t-1</m:t>
                        </m:r>
                      </m:sub>
                    </m:sSub>
                  </m:den>
                </m:f>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α</m:t>
                    </m:r>
                  </m:e>
                  <m:sub>
                    <m:r>
                      <w:rPr>
                        <w:rFonts w:ascii="Cambria Math" w:hAnsi="Cambria Math" w:cs="Times New Roman"/>
                      </w:rPr>
                      <m:t>1</m:t>
                    </m:r>
                  </m:sub>
                </m:sSub>
                <m:sSub>
                  <m:sSubPr>
                    <m:ctrlPr>
                      <w:rPr>
                        <w:rFonts w:ascii="Cambria Math" w:hAnsi="Cambria Math" w:cs="Times New Roman"/>
                        <w:i/>
                        <w:iCs/>
                      </w:rPr>
                    </m:ctrlPr>
                  </m:sSubPr>
                  <m:e>
                    <m:func>
                      <m:funcPr>
                        <m:ctrlPr>
                          <w:rPr>
                            <w:rFonts w:ascii="Cambria Math" w:hAnsi="Cambria Math" w:cs="Times New Roman"/>
                            <w:i/>
                            <w:iCs/>
                          </w:rPr>
                        </m:ctrlPr>
                      </m:funcPr>
                      <m:fName>
                        <m:r>
                          <m:rPr>
                            <m:sty m:val="p"/>
                          </m:rPr>
                          <w:rPr>
                            <w:rFonts w:ascii="Cambria Math" w:hAnsi="Cambria Math" w:cs="Times New Roman"/>
                          </w:rPr>
                          <m:t>ln</m:t>
                        </m:r>
                      </m:fName>
                      <m:e>
                        <m:d>
                          <m:dPr>
                            <m:ctrlPr>
                              <w:rPr>
                                <w:rFonts w:ascii="Cambria Math" w:hAnsi="Cambria Math" w:cs="Times New Roman"/>
                                <w:i/>
                                <w:iCs/>
                              </w:rPr>
                            </m:ctrlPr>
                          </m:dPr>
                          <m:e>
                            <m:r>
                              <w:rPr>
                                <w:rFonts w:ascii="Cambria Math" w:hAnsi="Cambria Math" w:cs="Times New Roman"/>
                              </w:rPr>
                              <m:t>PU</m:t>
                            </m:r>
                          </m:e>
                        </m:d>
                      </m:e>
                    </m:func>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α</m:t>
                    </m:r>
                  </m:e>
                  <m:sub>
                    <m:r>
                      <w:rPr>
                        <w:rFonts w:ascii="Cambria Math" w:hAnsi="Cambria Math" w:cs="Times New Roman"/>
                      </w:rPr>
                      <m:t>1</m:t>
                    </m:r>
                  </m:sub>
                </m:sSub>
                <m:sSub>
                  <m:sSubPr>
                    <m:ctrlPr>
                      <w:rPr>
                        <w:rFonts w:ascii="Cambria Math" w:hAnsi="Cambria Math" w:cs="Times New Roman"/>
                        <w:i/>
                        <w:iCs/>
                      </w:rPr>
                    </m:ctrlPr>
                  </m:sSubPr>
                  <m:e>
                    <m:func>
                      <m:funcPr>
                        <m:ctrlPr>
                          <w:rPr>
                            <w:rFonts w:ascii="Cambria Math" w:hAnsi="Cambria Math" w:cs="Times New Roman"/>
                            <w:i/>
                            <w:iCs/>
                          </w:rPr>
                        </m:ctrlPr>
                      </m:funcPr>
                      <m:fName>
                        <m:r>
                          <m:rPr>
                            <m:sty m:val="p"/>
                          </m:rPr>
                          <w:rPr>
                            <w:rFonts w:ascii="Cambria Math" w:hAnsi="Cambria Math" w:cs="Times New Roman"/>
                          </w:rPr>
                          <m:t>ln</m:t>
                        </m:r>
                      </m:fName>
                      <m:e>
                        <m:d>
                          <m:dPr>
                            <m:ctrlPr>
                              <w:rPr>
                                <w:rFonts w:ascii="Cambria Math" w:hAnsi="Cambria Math" w:cs="Times New Roman"/>
                                <w:i/>
                                <w:iCs/>
                              </w:rPr>
                            </m:ctrlPr>
                          </m:dPr>
                          <m:e>
                            <m:r>
                              <w:rPr>
                                <w:rFonts w:ascii="Cambria Math" w:hAnsi="Cambria Math" w:cs="Times New Roman"/>
                              </w:rPr>
                              <m:t>P</m:t>
                            </m:r>
                          </m:e>
                        </m:d>
                      </m:e>
                    </m:func>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α</m:t>
                    </m:r>
                  </m:e>
                  <m:sub>
                    <m:r>
                      <w:rPr>
                        <w:rFonts w:ascii="Cambria Math" w:hAnsi="Cambria Math" w:cs="Times New Roman"/>
                      </w:rPr>
                      <m:t>2</m:t>
                    </m:r>
                  </m:sub>
                </m:sSub>
                <m:sSub>
                  <m:sSubPr>
                    <m:ctrlPr>
                      <w:rPr>
                        <w:rFonts w:ascii="Cambria Math" w:hAnsi="Cambria Math" w:cs="Times New Roman"/>
                        <w:i/>
                        <w:iCs/>
                      </w:rPr>
                    </m:ctrlPr>
                  </m:sSubPr>
                  <m:e>
                    <m:r>
                      <m:rPr>
                        <m:sty m:val="p"/>
                      </m:rPr>
                      <w:rPr>
                        <w:rFonts w:ascii="Cambria Math" w:hAnsi="Cambria Math" w:cs="Times New Roman"/>
                      </w:rPr>
                      <m:t>ln⁡</m:t>
                    </m:r>
                    <m:r>
                      <w:rPr>
                        <w:rFonts w:ascii="Cambria Math" w:hAnsi="Cambria Math" w:cs="Times New Roman"/>
                      </w:rPr>
                      <m:t>(V)</m:t>
                    </m:r>
                  </m:e>
                  <m:sub>
                    <m:r>
                      <w:rPr>
                        <w:rFonts w:ascii="Cambria Math" w:hAnsi="Cambria Math" w:cs="Times New Roman"/>
                      </w:rPr>
                      <m:t>t</m:t>
                    </m:r>
                  </m:sub>
                </m:sSub>
                <m:r>
                  <w:rPr>
                    <w:rFonts w:ascii="Cambria Math" w:hAnsi="Cambria Math" w:cs="Times New Roman"/>
                  </w:rPr>
                  <m:t>+β</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δ</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m:t>
                        </m:r>
                      </m:sub>
                    </m:sSub>
                    <m:r>
                      <w:rPr>
                        <w:rFonts w:ascii="Cambria Math" w:hAnsi="Cambria Math" w:cs="Times New Roman"/>
                      </w:rPr>
                      <m:t>+γ</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θ</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ϵ</m:t>
                    </m:r>
                  </m:e>
                  <m:sub>
                    <m:r>
                      <w:rPr>
                        <w:rFonts w:ascii="Cambria Math" w:hAnsi="Cambria Math" w:cs="Times New Roman"/>
                      </w:rPr>
                      <m:t>it</m:t>
                    </m:r>
                  </m:sub>
                </m:sSub>
              </m:oMath>
            </m:oMathPara>
          </w:p>
        </w:tc>
        <w:tc>
          <w:tcPr>
            <w:tcW w:w="774" w:type="dxa"/>
          </w:tcPr>
          <w:p w14:paraId="31691B45" w14:textId="652C3246" w:rsidR="00D526E7" w:rsidRPr="007F37A0" w:rsidRDefault="00D526E7"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22</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6C28C4D9" w14:textId="7D535E94" w:rsidR="00D526E7" w:rsidRPr="007F37A0" w:rsidRDefault="00D526E7" w:rsidP="00D526E7">
      <w:pPr>
        <w:spacing w:line="480" w:lineRule="auto"/>
        <w:rPr>
          <w:rFonts w:ascii="Times New Roman" w:hAnsi="Times New Roman" w:cs="Times New Roman"/>
          <w:iCs/>
        </w:rPr>
      </w:pPr>
      <w:r w:rsidRPr="007F37A0">
        <w:rPr>
          <w:rFonts w:ascii="Times New Roman" w:hAnsi="Times New Roman" w:cs="Times New Roman"/>
        </w:rPr>
        <w:t xml:space="preserve">Where </w:t>
      </w:r>
      <m:oMath>
        <m:f>
          <m:fPr>
            <m:ctrlPr>
              <w:rPr>
                <w:rFonts w:ascii="Cambria Math" w:hAnsi="Cambria Math" w:cs="Times New Roman"/>
                <w:i/>
              </w:rPr>
            </m:ctrlPr>
          </m:fPr>
          <m:num>
            <m:sSub>
              <m:sSubPr>
                <m:ctrlPr>
                  <w:rPr>
                    <w:rFonts w:ascii="Cambria Math" w:hAnsi="Cambria Math" w:cs="Times New Roman"/>
                  </w:rPr>
                </m:ctrlPr>
              </m:sSubPr>
              <m:e>
                <m:r>
                  <m:rPr>
                    <m:sty m:val="p"/>
                  </m:rPr>
                  <w:rPr>
                    <w:rFonts w:ascii="Cambria Math" w:hAnsi="Cambria Math" w:cs="Times New Roman"/>
                  </w:rPr>
                  <m:t>CAPXY</m:t>
                </m:r>
              </m:e>
              <m:sub>
                <m:r>
                  <m:rPr>
                    <m:sty m:val="p"/>
                  </m:rPr>
                  <w:rPr>
                    <w:rFonts w:ascii="Cambria Math" w:hAnsi="Cambria Math" w:cs="Times New Roman"/>
                  </w:rPr>
                  <m:t>it</m:t>
                </m:r>
              </m:sub>
            </m:sSub>
          </m:num>
          <m:den>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i,t-1</m:t>
                </m:r>
              </m:sub>
            </m:sSub>
          </m:den>
        </m:f>
      </m:oMath>
      <w:r w:rsidRPr="007F37A0">
        <w:rPr>
          <w:rFonts w:ascii="Times New Roman" w:hAnsi="Times New Roman" w:cs="Times New Roman"/>
        </w:rPr>
        <w:t xml:space="preserve"> is the investment rate for firm </w:t>
      </w:r>
      <m:oMath>
        <m:r>
          <w:rPr>
            <w:rFonts w:ascii="Cambria Math" w:hAnsi="Cambria Math" w:cs="Times New Roman"/>
          </w:rPr>
          <m:t>i</m:t>
        </m:r>
      </m:oMath>
      <w:r w:rsidRPr="007F37A0">
        <w:rPr>
          <w:rFonts w:ascii="Times New Roman" w:hAnsi="Times New Roman" w:cs="Times New Roman"/>
        </w:rPr>
        <w:t xml:space="preserve"> in quarter </w:t>
      </w:r>
      <m:oMath>
        <m:r>
          <w:rPr>
            <w:rFonts w:ascii="Cambria Math" w:hAnsi="Cambria Math" w:cs="Times New Roman"/>
          </w:rPr>
          <m:t>t</m:t>
        </m:r>
      </m:oMath>
      <w:r w:rsidRPr="007F37A0">
        <w:rPr>
          <w:rFonts w:ascii="Times New Roman" w:hAnsi="Times New Roman" w:cs="Times New Roman"/>
        </w:rPr>
        <w:t xml:space="preserve">, </w:t>
      </w:r>
      <m:oMath>
        <m:sSub>
          <m:sSubPr>
            <m:ctrlPr>
              <w:rPr>
                <w:rFonts w:ascii="Cambria Math" w:hAnsi="Cambria Math" w:cs="Times New Roman"/>
                <w:i/>
              </w:rPr>
            </m:ctrlPr>
          </m:sSubPr>
          <m:e>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PU</m:t>
                    </m:r>
                  </m:e>
                </m:d>
              </m:e>
            </m:func>
          </m:e>
          <m:sub>
            <m:r>
              <w:rPr>
                <w:rFonts w:ascii="Cambria Math" w:hAnsi="Cambria Math" w:cs="Times New Roman"/>
              </w:rPr>
              <m:t>t</m:t>
            </m:r>
          </m:sub>
        </m:sSub>
      </m:oMath>
      <w:r w:rsidRPr="007F37A0">
        <w:rPr>
          <w:rFonts w:ascii="Times New Roman" w:hAnsi="Times New Roman" w:cs="Times New Roman"/>
          <w:iCs/>
        </w:rPr>
        <w:t xml:space="preserve"> is the natural log of the direct policy uncertainty index in quarter </w:t>
      </w:r>
      <m:oMath>
        <m:r>
          <w:rPr>
            <w:rFonts w:ascii="Cambria Math" w:hAnsi="Cambria Math" w:cs="Times New Roman"/>
          </w:rPr>
          <m:t>t</m:t>
        </m:r>
      </m:oMath>
      <w:r w:rsidRPr="007F37A0">
        <w:rPr>
          <w:rFonts w:ascii="Times New Roman" w:hAnsi="Times New Roman" w:cs="Times New Roman"/>
          <w:iCs/>
        </w:rPr>
        <w:t xml:space="preserve">, </w:t>
      </w:r>
      <m:oMath>
        <m:sSub>
          <m:sSubPr>
            <m:ctrlPr>
              <w:rPr>
                <w:rFonts w:ascii="Cambria Math" w:hAnsi="Cambria Math" w:cs="Times New Roman"/>
                <w:i/>
              </w:rPr>
            </m:ctrlPr>
          </m:sSubPr>
          <m:e>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P</m:t>
                    </m:r>
                  </m:e>
                </m:d>
              </m:e>
            </m:func>
          </m:e>
          <m:sub>
            <m:r>
              <w:rPr>
                <w:rFonts w:ascii="Cambria Math" w:hAnsi="Cambria Math" w:cs="Times New Roman"/>
              </w:rPr>
              <m:t>t</m:t>
            </m:r>
          </m:sub>
        </m:sSub>
      </m:oMath>
      <w:r w:rsidRPr="007F37A0">
        <w:rPr>
          <w:rFonts w:ascii="Times New Roman" w:hAnsi="Times New Roman" w:cs="Times New Roman"/>
          <w:iCs/>
        </w:rPr>
        <w:t xml:space="preserve"> is the natural log of the policy index in quarter </w:t>
      </w:r>
      <m:oMath>
        <m:r>
          <w:rPr>
            <w:rFonts w:ascii="Cambria Math" w:hAnsi="Cambria Math" w:cs="Times New Roman"/>
          </w:rPr>
          <m:t>t</m:t>
        </m:r>
      </m:oMath>
      <w:r w:rsidRPr="007F37A0">
        <w:rPr>
          <w:rFonts w:ascii="Times New Roman" w:hAnsi="Times New Roman" w:cs="Times New Roman"/>
          <w:iCs/>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m:t>
            </m:r>
          </m:sub>
        </m:sSub>
      </m:oMath>
      <w:r w:rsidRPr="007F37A0">
        <w:rPr>
          <w:rFonts w:ascii="Times New Roman" w:hAnsi="Times New Roman" w:cs="Times New Roman"/>
          <w:iCs/>
        </w:rPr>
        <w:t xml:space="preserve"> is the statistical policy uncertainty in quarter </w:t>
      </w:r>
      <m:oMath>
        <m:r>
          <w:rPr>
            <w:rFonts w:ascii="Cambria Math" w:hAnsi="Cambria Math" w:cs="Times New Roman"/>
          </w:rPr>
          <m:t>t</m:t>
        </m:r>
      </m:oMath>
      <w:r w:rsidRPr="007F37A0">
        <w:rPr>
          <w:rFonts w:ascii="Times New Roman" w:hAnsi="Times New Roman" w:cs="Times New Roman"/>
          <w:iCs/>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oMath>
      <w:r w:rsidRPr="007F37A0">
        <w:rPr>
          <w:rFonts w:ascii="Times New Roman" w:hAnsi="Times New Roman" w:cs="Times New Roman"/>
        </w:rPr>
        <w:t xml:space="preserve"> is a vector of </w:t>
      </w:r>
      <w:r w:rsidRPr="007F37A0">
        <w:rPr>
          <w:rFonts w:ascii="Times New Roman" w:hAnsi="Times New Roman" w:cs="Times New Roman"/>
        </w:rPr>
        <w:lastRenderedPageBreak/>
        <w:t>firm-specific control variables</w:t>
      </w:r>
      <w:r w:rsidRPr="007F37A0">
        <w:rPr>
          <w:rFonts w:ascii="Times New Roman" w:hAnsi="Times New Roman" w:cs="Times New Roman"/>
          <w:iCs/>
        </w:rPr>
        <w:t xml:space="preserv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m:t>
            </m:r>
          </m:sub>
        </m:sSub>
      </m:oMath>
      <w:r w:rsidRPr="007F37A0">
        <w:rPr>
          <w:rFonts w:ascii="Times New Roman" w:hAnsi="Times New Roman" w:cs="Times New Roman"/>
        </w:rPr>
        <w:t xml:space="preserve"> is a vector of macroeconomic control variables,</w:t>
      </w:r>
      <w:r w:rsidRPr="007F37A0">
        <w:rPr>
          <w:rFonts w:ascii="Times New Roman" w:hAnsi="Times New Roman" w:cs="Times New Roman"/>
          <w:iCs/>
        </w:rPr>
        <w:t xml:space="preserve"> </w:t>
      </w:r>
      <m:oMath>
        <m:sSub>
          <m:sSubPr>
            <m:ctrlPr>
              <w:rPr>
                <w:rFonts w:ascii="Cambria Math" w:hAnsi="Cambria Math" w:cs="Times New Roman"/>
                <w:i/>
                <w:iCs/>
              </w:rPr>
            </m:ctrlPr>
          </m:sSubPr>
          <m:e>
            <m:r>
              <w:rPr>
                <w:rFonts w:ascii="Cambria Math" w:hAnsi="Cambria Math" w:cs="Times New Roman"/>
              </w:rPr>
              <m:t>γ</m:t>
            </m:r>
          </m:e>
          <m:sub>
            <m:r>
              <w:rPr>
                <w:rFonts w:ascii="Cambria Math" w:hAnsi="Cambria Math" w:cs="Times New Roman"/>
              </w:rPr>
              <m:t>i</m:t>
            </m:r>
          </m:sub>
        </m:sSub>
      </m:oMath>
      <w:r w:rsidRPr="007F37A0">
        <w:rPr>
          <w:rFonts w:ascii="Times New Roman" w:hAnsi="Times New Roman" w:cs="Times New Roman"/>
          <w:iCs/>
        </w:rPr>
        <w:t xml:space="preserve"> is firm-level fixed effects, and </w:t>
      </w:r>
      <m:oMath>
        <m:sSub>
          <m:sSubPr>
            <m:ctrlPr>
              <w:rPr>
                <w:rFonts w:ascii="Cambria Math" w:hAnsi="Cambria Math" w:cs="Times New Roman"/>
                <w:i/>
                <w:iCs/>
              </w:rPr>
            </m:ctrlPr>
          </m:sSubPr>
          <m:e>
            <m:r>
              <w:rPr>
                <w:rFonts w:ascii="Cambria Math" w:hAnsi="Cambria Math" w:cs="Times New Roman"/>
              </w:rPr>
              <m:t>θ</m:t>
            </m:r>
          </m:e>
          <m:sub>
            <m:r>
              <w:rPr>
                <w:rFonts w:ascii="Cambria Math" w:hAnsi="Cambria Math" w:cs="Times New Roman"/>
              </w:rPr>
              <m:t>t</m:t>
            </m:r>
          </m:sub>
        </m:sSub>
      </m:oMath>
      <w:r w:rsidRPr="007F37A0">
        <w:rPr>
          <w:rFonts w:ascii="Times New Roman" w:hAnsi="Times New Roman" w:cs="Times New Roman"/>
          <w:iCs/>
        </w:rPr>
        <w:t xml:space="preserve"> is a vector of time controls including year, fiscal quarter, and calendar quarter fixed effects. The firm-specific control variables include sales growth and the ratio of cash flow to assets. The macroeconomic control variables include real GDP growth, consumer confidence, and the leading economic index from the Federal Reserve. Real GDP growth and the leading index come from FRED. The measure of consumer confidence comes from the University of Michigan’s Consumer Sentiment survey. Errors are clustered at the firm and year level to account for heteroskedasticity. Descriptive statistics and data definitions are presented in </w:t>
      </w:r>
      <w:r w:rsidRPr="007F37A0">
        <w:rPr>
          <w:rFonts w:ascii="Times New Roman" w:hAnsi="Times New Roman" w:cs="Times New Roman"/>
          <w:iCs/>
        </w:rPr>
        <w:fldChar w:fldCharType="begin"/>
      </w:r>
      <w:r w:rsidRPr="007F37A0">
        <w:rPr>
          <w:rFonts w:ascii="Times New Roman" w:hAnsi="Times New Roman" w:cs="Times New Roman"/>
          <w:iCs/>
        </w:rPr>
        <w:instrText xml:space="preserve"> REF _Ref159847291 \h </w:instrText>
      </w:r>
      <w:r w:rsidR="007F37A0">
        <w:rPr>
          <w:rFonts w:ascii="Times New Roman" w:hAnsi="Times New Roman" w:cs="Times New Roman"/>
          <w:iCs/>
        </w:rPr>
        <w:instrText xml:space="preserve"> \* MERGEFORMAT </w:instrText>
      </w:r>
      <w:r w:rsidRPr="007F37A0">
        <w:rPr>
          <w:rFonts w:ascii="Times New Roman" w:hAnsi="Times New Roman" w:cs="Times New Roman"/>
          <w:iCs/>
        </w:rPr>
      </w:r>
      <w:r w:rsidRPr="007F37A0">
        <w:rPr>
          <w:rFonts w:ascii="Times New Roman" w:hAnsi="Times New Roman" w:cs="Times New Roman"/>
          <w:iCs/>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w:t>
      </w:r>
      <w:r w:rsidRPr="007F37A0">
        <w:rPr>
          <w:rFonts w:ascii="Times New Roman" w:hAnsi="Times New Roman" w:cs="Times New Roman"/>
          <w:iCs/>
        </w:rPr>
        <w:fldChar w:fldCharType="end"/>
      </w:r>
      <w:r w:rsidRPr="007F37A0">
        <w:rPr>
          <w:rFonts w:ascii="Times New Roman" w:hAnsi="Times New Roman" w:cs="Times New Roman"/>
          <w:iCs/>
        </w:rPr>
        <w:t>.</w:t>
      </w:r>
    </w:p>
    <w:p w14:paraId="7314B416" w14:textId="77777777" w:rsidR="00D526E7" w:rsidRPr="007F37A0" w:rsidRDefault="00D526E7" w:rsidP="00D526E7">
      <w:pPr>
        <w:spacing w:line="480" w:lineRule="auto"/>
        <w:ind w:firstLine="720"/>
        <w:rPr>
          <w:rFonts w:ascii="Times New Roman" w:hAnsi="Times New Roman" w:cs="Times New Roman"/>
          <w:iCs/>
        </w:rPr>
      </w:pPr>
      <w:r w:rsidRPr="007F37A0">
        <w:rPr>
          <w:rFonts w:ascii="Times New Roman" w:hAnsi="Times New Roman" w:cs="Times New Roman"/>
          <w:iCs/>
        </w:rPr>
        <w:t>When focusing on a particular sector, such as the electric utility industry, concerns about the endogeneity of the policy uncertainty index arise. When firms decrease their investments, it is possible that policy responds to this change in investment and induces higher levels of policy uncertainty. This higher level of policy uncertainty could help or hinder the firms. Due to limitations in addressing endogeneity, results should be interpreted as an illustration of theoretical predictions rather than causal effects.</w:t>
      </w:r>
    </w:p>
    <w:p w14:paraId="7C4DA88C" w14:textId="77777777" w:rsidR="00D526E7" w:rsidRPr="007F37A0" w:rsidRDefault="00D526E7" w:rsidP="00D526E7">
      <w:pPr>
        <w:pStyle w:val="Heading3"/>
        <w:spacing w:line="480" w:lineRule="auto"/>
        <w:rPr>
          <w:rFonts w:ascii="Times New Roman" w:hAnsi="Times New Roman" w:cs="Times New Roman"/>
          <w:szCs w:val="24"/>
        </w:rPr>
      </w:pPr>
      <w:bookmarkStart w:id="21" w:name="_Toc164862501"/>
      <w:r w:rsidRPr="007F37A0">
        <w:rPr>
          <w:rFonts w:ascii="Times New Roman" w:hAnsi="Times New Roman" w:cs="Times New Roman"/>
          <w:szCs w:val="24"/>
        </w:rPr>
        <w:t>1.4.3 RESULTS</w:t>
      </w:r>
      <w:bookmarkEnd w:id="21"/>
    </w:p>
    <w:p w14:paraId="4A480D1A" w14:textId="4F799EEA"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The first column of </w:t>
      </w:r>
      <w:r w:rsidRPr="007F37A0">
        <w:rPr>
          <w:rFonts w:ascii="Times New Roman" w:hAnsi="Times New Roman" w:cs="Times New Roman"/>
        </w:rPr>
        <w:fldChar w:fldCharType="begin"/>
      </w:r>
      <w:r w:rsidRPr="007F37A0">
        <w:rPr>
          <w:rFonts w:ascii="Times New Roman" w:hAnsi="Times New Roman" w:cs="Times New Roman"/>
        </w:rPr>
        <w:instrText xml:space="preserve"> REF _Ref162089807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4</w:t>
      </w:r>
      <w:r w:rsidRPr="007F37A0">
        <w:rPr>
          <w:rFonts w:ascii="Times New Roman" w:hAnsi="Times New Roman" w:cs="Times New Roman"/>
        </w:rPr>
        <w:fldChar w:fldCharType="end"/>
      </w:r>
      <w:r w:rsidRPr="007F37A0">
        <w:rPr>
          <w:rFonts w:ascii="Times New Roman" w:hAnsi="Times New Roman" w:cs="Times New Roman"/>
        </w:rPr>
        <w:t xml:space="preserve"> shows the results from the regression specification with statistical policy uncertainty. I find a statistically significant effect that statistical policy uncertainty increases firm investment. Column 2 includes the policy index as an added robustness check. Column 3 includes both statistical policy uncertainty and direct policy uncertainty. It might be the case that each of these measures captures similar </w:t>
      </w:r>
      <w:r w:rsidRPr="007F37A0">
        <w:rPr>
          <w:rFonts w:ascii="Times New Roman" w:hAnsi="Times New Roman" w:cs="Times New Roman"/>
        </w:rPr>
        <w:lastRenderedPageBreak/>
        <w:t xml:space="preserve">information, so we might expect individual effects to no longer be significant. However, I find that both these measures of policy uncertainty have a statistically significant effect in opposite directions. The column 4 of </w:t>
      </w:r>
      <w:r w:rsidRPr="007F37A0">
        <w:rPr>
          <w:rFonts w:ascii="Times New Roman" w:hAnsi="Times New Roman" w:cs="Times New Roman"/>
        </w:rPr>
        <w:fldChar w:fldCharType="begin"/>
      </w:r>
      <w:r w:rsidRPr="007F37A0">
        <w:rPr>
          <w:rFonts w:ascii="Times New Roman" w:hAnsi="Times New Roman" w:cs="Times New Roman"/>
        </w:rPr>
        <w:instrText xml:space="preserve"> REF _Ref162089807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4</w:t>
      </w:r>
      <w:r w:rsidRPr="007F37A0">
        <w:rPr>
          <w:rFonts w:ascii="Times New Roman" w:hAnsi="Times New Roman" w:cs="Times New Roman"/>
        </w:rPr>
        <w:fldChar w:fldCharType="end"/>
      </w:r>
      <w:r w:rsidRPr="007F37A0">
        <w:rPr>
          <w:rFonts w:ascii="Times New Roman" w:hAnsi="Times New Roman" w:cs="Times New Roman"/>
        </w:rPr>
        <w:t xml:space="preserve"> adds the policy index as well, showing the results are stable across different specifications and measures of policy uncertainty. The column 5 of </w:t>
      </w:r>
      <w:r w:rsidRPr="007F37A0">
        <w:rPr>
          <w:rFonts w:ascii="Times New Roman" w:hAnsi="Times New Roman" w:cs="Times New Roman"/>
        </w:rPr>
        <w:fldChar w:fldCharType="begin"/>
      </w:r>
      <w:r w:rsidRPr="007F37A0">
        <w:rPr>
          <w:rFonts w:ascii="Times New Roman" w:hAnsi="Times New Roman" w:cs="Times New Roman"/>
        </w:rPr>
        <w:instrText xml:space="preserve"> REF _Ref162089807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4</w:t>
      </w:r>
      <w:r w:rsidRPr="007F37A0">
        <w:rPr>
          <w:rFonts w:ascii="Times New Roman" w:hAnsi="Times New Roman" w:cs="Times New Roman"/>
        </w:rPr>
        <w:fldChar w:fldCharType="end"/>
      </w:r>
      <w:r w:rsidRPr="007F37A0">
        <w:rPr>
          <w:rFonts w:ascii="Times New Roman" w:hAnsi="Times New Roman" w:cs="Times New Roman"/>
        </w:rPr>
        <w:t xml:space="preserve"> shows the results from Ordinary Least Squares estimation of the regression specification most closely comparable to Baker et al.’s (2016) results. There is some evidence that direct policy uncertainty decreases firm investment rates in the electric utility industry; however, the results are not statistically significant. The last column of </w:t>
      </w:r>
      <w:r w:rsidRPr="007F37A0">
        <w:rPr>
          <w:rFonts w:ascii="Times New Roman" w:hAnsi="Times New Roman" w:cs="Times New Roman"/>
        </w:rPr>
        <w:fldChar w:fldCharType="begin"/>
      </w:r>
      <w:r w:rsidRPr="007F37A0">
        <w:rPr>
          <w:rFonts w:ascii="Times New Roman" w:hAnsi="Times New Roman" w:cs="Times New Roman"/>
        </w:rPr>
        <w:instrText xml:space="preserve"> REF _Ref162089807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4</w:t>
      </w:r>
      <w:r w:rsidRPr="007F37A0">
        <w:rPr>
          <w:rFonts w:ascii="Times New Roman" w:hAnsi="Times New Roman" w:cs="Times New Roman"/>
        </w:rPr>
        <w:fldChar w:fldCharType="end"/>
      </w:r>
      <w:r w:rsidRPr="007F37A0">
        <w:rPr>
          <w:rFonts w:ascii="Times New Roman" w:hAnsi="Times New Roman" w:cs="Times New Roman"/>
        </w:rPr>
        <w:t xml:space="preserve"> adds the policy index as an additional control. As Palikhe et al. (2023) argue, measures of direct policy uncertainty might capture changes in overall newspaper coverage of the topic rather than increases in uncertainty. When adding this additional control, the effect of direct policy uncertainty decreases investment rates at a statistically significant level. This matches previous empirical results that direct policy uncertainty has a negative effect on investment rates. </w:t>
      </w:r>
    </w:p>
    <w:p w14:paraId="492B7D3B"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now examine the economic significance of these results. From quarter 1 of 2014 to quarter 2 of 2014, the statistical policy uncertainty index increased by 7.13, one of the largest increases during my observations. Taken in conjunction with my results, this translates into an increase in capital investment of $70.24 million on average. Relative to the average investment, this signifies an increase of 27.4% in investment. During this same period, the direct policy uncertainty index increased by 82 points. This translates into a decrease in investment of $12.27 million on average, or 5% relative to the average investment. From quarter 3 of 2008 to quarter 4 of 2008, the direct policy uncertainty </w:t>
      </w:r>
      <w:r w:rsidRPr="007F37A0">
        <w:rPr>
          <w:rFonts w:ascii="Times New Roman" w:hAnsi="Times New Roman" w:cs="Times New Roman"/>
        </w:rPr>
        <w:lastRenderedPageBreak/>
        <w:t xml:space="preserve">index increased by 192 points, one of the largest increases during my observations. This translates into a decrease in investment of $19.13 million or 7.5% relative to the average investment. During this same period, the statistical policy uncertainty index increased by 0.11, translating into an increase in investment of $1.11 million or 0.4% relative to the average investment. </w:t>
      </w:r>
    </w:p>
    <w:p w14:paraId="247011A8"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These results highlight a few aspects of the theoretical model previously developed. There is evidence that both direct and statistical policy uncertainty affect firm investment rates. There is evidence that direct policy uncertainty as measured by news coverage has a negative effect on investment in the electric utility industry. This result mirrors previous empirical results using similar measures of direct policy uncertainty. Statistical policy uncertainty, which is directly seen in the theoretical model, was found to have a positive effect. This result is theoretically consistent with my model when firms expect stick policies, or policies that negatively impact their profits. These results also highlight the difference between measures of policy uncertainty. Direct policy uncertainty appears to have negative effects on firm investment rates regardless of the type of policy. However, statistical policy uncertainty can have positive or negative effects on investment rates. This empirical evidence is consistent with the theory, meaning the type of policies over which there is uncertainty (carrots or sticks) changes firms’ responses to uncertainty.</w:t>
      </w:r>
    </w:p>
    <w:p w14:paraId="7A622FF9" w14:textId="7FF91408"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I consider some potential interaction effects between policy uncertainty and firm characteristics. In </w:t>
      </w:r>
      <w:r w:rsidRPr="007F37A0">
        <w:rPr>
          <w:rFonts w:ascii="Times New Roman" w:hAnsi="Times New Roman" w:cs="Times New Roman"/>
        </w:rPr>
        <w:fldChar w:fldCharType="begin"/>
      </w:r>
      <w:r w:rsidRPr="007F37A0">
        <w:rPr>
          <w:rFonts w:ascii="Times New Roman" w:hAnsi="Times New Roman" w:cs="Times New Roman"/>
        </w:rPr>
        <w:instrText xml:space="preserve"> REF _Ref162181117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5</w:t>
      </w:r>
      <w:r w:rsidRPr="007F37A0">
        <w:rPr>
          <w:rFonts w:ascii="Times New Roman" w:hAnsi="Times New Roman" w:cs="Times New Roman"/>
        </w:rPr>
        <w:fldChar w:fldCharType="end"/>
      </w:r>
      <w:r w:rsidRPr="007F37A0">
        <w:rPr>
          <w:rFonts w:ascii="Times New Roman" w:hAnsi="Times New Roman" w:cs="Times New Roman"/>
        </w:rPr>
        <w:t xml:space="preserve">, I report results allowing for the effect of policy uncertainty measures to change depending on the level of firm revenue. Larger firms might be more </w:t>
      </w:r>
      <w:r w:rsidRPr="007F37A0">
        <w:rPr>
          <w:rFonts w:ascii="Times New Roman" w:hAnsi="Times New Roman" w:cs="Times New Roman"/>
        </w:rPr>
        <w:lastRenderedPageBreak/>
        <w:t xml:space="preserve">sensitive to changes in policy uncertainty or account for the positive effect of statistical policy uncertainty. The magnitude of the effect of statistical policy uncertainty increases in this specification, but the qualitative results do not change. Direct policy uncertainty still negatively affects investment rates, and statistical policy uncertainty increases investment rates. </w:t>
      </w:r>
    </w:p>
    <w:p w14:paraId="23D74A69" w14:textId="627BCF36"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Finally, I consider the effect of economic policy uncertainty on electric utility investment rates. The investment data includes all capital investment data from pollution abatement technology to corporate offices. This means changes in investment might capture responses to electric utility policy uncertainty and general economic policy uncertainty. I replicate Baker, et al.’s (2016) economic policy uncertainty index and generate an equivalent economic policy index and statistical economic policy index. </w:t>
      </w:r>
      <w:r w:rsidRPr="007F37A0">
        <w:rPr>
          <w:rFonts w:ascii="Times New Roman" w:hAnsi="Times New Roman" w:cs="Times New Roman"/>
        </w:rPr>
        <w:fldChar w:fldCharType="begin"/>
      </w:r>
      <w:r w:rsidRPr="007F37A0">
        <w:rPr>
          <w:rFonts w:ascii="Times New Roman" w:hAnsi="Times New Roman" w:cs="Times New Roman"/>
        </w:rPr>
        <w:instrText xml:space="preserve"> REF _Ref164589670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6</w:t>
      </w:r>
      <w:r w:rsidRPr="007F37A0">
        <w:rPr>
          <w:rFonts w:ascii="Times New Roman" w:hAnsi="Times New Roman" w:cs="Times New Roman"/>
        </w:rPr>
        <w:fldChar w:fldCharType="end"/>
      </w:r>
      <w:r w:rsidRPr="007F37A0">
        <w:rPr>
          <w:rFonts w:ascii="Times New Roman" w:hAnsi="Times New Roman" w:cs="Times New Roman"/>
        </w:rPr>
        <w:t xml:space="preserve"> shows the effects of economic policy uncertainty on electric utility investment rates. I find no effect of the direct economic policy uncertainty on investment, but statistical economic policy uncertainty increases investment rates. This suggests that electric utilities view economic policy as “sticks” rather than “carrots” during this period as well. However, this highlights that investments included in the data include both unique capital investments in electric utilities such as electric generators and general investments such as corporate offices. I would expect both general economic policy uncertainty and electric utility specific policy uncertainty to have an impact on investments. </w:t>
      </w:r>
    </w:p>
    <w:p w14:paraId="154E67CD" w14:textId="77777777" w:rsidR="00D526E7" w:rsidRPr="007F37A0" w:rsidRDefault="00D526E7" w:rsidP="00D526E7">
      <w:pPr>
        <w:pStyle w:val="Heading2"/>
        <w:spacing w:line="480" w:lineRule="auto"/>
        <w:rPr>
          <w:rFonts w:ascii="Times New Roman" w:hAnsi="Times New Roman" w:cs="Times New Roman"/>
          <w:sz w:val="24"/>
          <w:szCs w:val="24"/>
        </w:rPr>
      </w:pPr>
      <w:bookmarkStart w:id="22" w:name="_Toc164862502"/>
      <w:r w:rsidRPr="007F37A0">
        <w:rPr>
          <w:rFonts w:ascii="Times New Roman" w:hAnsi="Times New Roman" w:cs="Times New Roman"/>
          <w:sz w:val="24"/>
          <w:szCs w:val="24"/>
        </w:rPr>
        <w:lastRenderedPageBreak/>
        <w:t>1.5 CONCLUSION</w:t>
      </w:r>
      <w:bookmarkEnd w:id="22"/>
    </w:p>
    <w:p w14:paraId="7BF0EC26"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Periods of high policy uncertainty have real impacts on firm-level investment decisions. However, previous empirical research has not distinguished between types of policies raising concerns that results may reflect the predominate type of policy used in an industry rather than the effect of uncertainty. Using a tightly coupled mix of theory and empirics, this paper shows the type of policies over which there is uncertainty matters when considering firms’ investment rates. Uncertainty over carrot policies, such as subsidies, causes a decrease in investment rates. However, uncertainty over stick policies, such as taxes, causes an increase in investment rates, which is counter to previous empirical evidence. These theoretical results do not replace the prior literature but generalize their framework. Empirically, I find evidence of a novel positive effect of statistical policy uncertainty on electric utility investment rates. This result is theoretically consistent with my model assuming that utilities expect policies to be “sticks” during this time.</w:t>
      </w:r>
    </w:p>
    <w:p w14:paraId="64A07559"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Further, the theoretical results highlight the difference between direct policy uncertainty and statistical policy uncertainty. The former has been commonly used in empirical literature since Baker et al. (2016). However, the latter has been the traditional definition used by real option investment models such as Dixit and Pindyck (1994). The empirical evidence suggests that these firms in the electric utility industry respond to both these types of policy uncertainty. I find that direct policy uncertainty decreases utility investment rates, but statistical policy uncertainty increases investment rates. These </w:t>
      </w:r>
      <w:r w:rsidRPr="007F37A0">
        <w:rPr>
          <w:rFonts w:ascii="Times New Roman" w:hAnsi="Times New Roman" w:cs="Times New Roman"/>
        </w:rPr>
        <w:lastRenderedPageBreak/>
        <w:t>results begin a larger conversation about the nuances of how firms react to policy uncertainty.</w:t>
      </w:r>
    </w:p>
    <w:p w14:paraId="7AC2C7CC"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One parameter in the theoretical model informs the expected effect of policy uncertainty on investment rates. The firm’s expectations about the effect of policy on their profit, </w:t>
      </w:r>
      <m:oMath>
        <m:r>
          <w:rPr>
            <w:rFonts w:ascii="Cambria Math" w:hAnsi="Cambria Math" w:cs="Times New Roman"/>
          </w:rPr>
          <m:t>β</m:t>
        </m:r>
      </m:oMath>
      <w:r w:rsidRPr="007F37A0">
        <w:rPr>
          <w:rFonts w:ascii="Times New Roman" w:hAnsi="Times New Roman" w:cs="Times New Roman"/>
        </w:rPr>
        <w:t xml:space="preserve"> in the model, in combination with the drift of the level of policy activity, </w:t>
      </w:r>
      <m:oMath>
        <m:r>
          <w:rPr>
            <w:rFonts w:ascii="Cambria Math" w:hAnsi="Cambria Math" w:cs="Times New Roman"/>
          </w:rPr>
          <m:t>α</m:t>
        </m:r>
      </m:oMath>
      <w:r w:rsidRPr="007F37A0">
        <w:rPr>
          <w:rFonts w:ascii="Times New Roman" w:hAnsi="Times New Roman" w:cs="Times New Roman"/>
        </w:rPr>
        <w:t xml:space="preserve">, determine the effect. When firms expect a policy to positively affect profit and the level of policy activity is increasing sufficiently over time, then the model produces the standard results that policy uncertainty deters investment. However, when firms expect a policy to negatively impact their profit and the level of policy activity is decreasing or increasing at a sufficiently small rate, then the model produces a novel result that policy uncertainty increases investment rates. Ultimately, these parameters boil down to an empirical question about firms’ expectations about the effect of policy and how the level of policy activity changes over time. This highlights future opportunity to use earning calls transcripts to capture firm sentiment regarding policies. </w:t>
      </w:r>
    </w:p>
    <w:p w14:paraId="1D77CF9A"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The empirical results suggest that electric utility firms expected policy to negatively affect them over the relevant period. Newspaper articles discussed regulations such as greenhouse gas regulation in April 2006 and increased fees for oil and gas leases in March 2011, providing anecdotal evidence that policies were “stick” regulations. This produces another testable hypothesis that this paper does not address, but future work could measure firms' expectations to further corroborate the theoretical model. The empirical model might suffer from endogeneity as well. If policymakers react to low levels of investment in electric utilities, then this might induce higher levels of </w:t>
      </w:r>
      <w:r w:rsidRPr="007F37A0">
        <w:rPr>
          <w:rFonts w:ascii="Times New Roman" w:hAnsi="Times New Roman" w:cs="Times New Roman"/>
        </w:rPr>
        <w:lastRenderedPageBreak/>
        <w:t>uncertainty. The results serve as an application of theoretical predictions rather than causal effects.</w:t>
      </w:r>
    </w:p>
    <w:p w14:paraId="18640F67"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To give further credibility to the results, there are a few areas for future work. First, future research could explicitly create policy uncertainty measures for both types of policies: “carrots” and “sticks.” This would allow an analysis of how these types of uncertainties affect investment rather than using the regression results to imply what type of policy firms were experiencing. Further, future work could examine different types of investment rates. Compustat gives broad capital expenditures without specifying the types of investments that are being made. Other datasets, such as the Federal Energy Regulatory Commission Form 1, give more investment information specific to utilities. This would allow analysis of what types of investments respond to changes in policy uncertainty. </w:t>
      </w:r>
    </w:p>
    <w:p w14:paraId="51AFAEB2"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ab/>
        <w:t xml:space="preserve">These results suggest a new understanding of how firms respond to policy uncertainty. When considering policy uncertainty in the real option context, consistent discussion of policies reduces future uncertainty. Policy makers could effectively reduce policy uncertainty by keeping an open dialogue, rather than unexpectedly starting policy discussions. However, if uncertainty is an inherent part of the regulatory process, then an argument could be made for “stick” policies. I’ve primarily considered the implications for the electric utility industry, but these results could apply to other sectors as well. If we expect agricultural or defense sectors to primarily receive “carrot” policies, such as subsidies, then policy uncertainty would decrease firm investment. Policy makers should </w:t>
      </w:r>
      <w:r w:rsidRPr="007F37A0">
        <w:rPr>
          <w:rFonts w:ascii="Times New Roman" w:hAnsi="Times New Roman" w:cs="Times New Roman"/>
        </w:rPr>
        <w:lastRenderedPageBreak/>
        <w:t>carefully consider the specific context and potential reactions by the regulated firms when analyzing how policy uncertainty might impact investments.</w:t>
      </w:r>
    </w:p>
    <w:p w14:paraId="5BCDB90E" w14:textId="77777777" w:rsidR="00D526E7" w:rsidRPr="007F37A0" w:rsidRDefault="00D526E7" w:rsidP="00D526E7">
      <w:pPr>
        <w:rPr>
          <w:rFonts w:ascii="Times New Roman" w:hAnsi="Times New Roman" w:cs="Times New Roman"/>
          <w:b/>
          <w:bCs/>
          <w:iCs/>
          <w:sz w:val="28"/>
          <w:szCs w:val="28"/>
        </w:rPr>
      </w:pPr>
      <w:bookmarkStart w:id="23" w:name="_Toc289175831"/>
      <w:r w:rsidRPr="007F37A0">
        <w:rPr>
          <w:rFonts w:ascii="Times New Roman" w:hAnsi="Times New Roman" w:cs="Times New Roman"/>
        </w:rPr>
        <w:br w:type="page"/>
      </w:r>
    </w:p>
    <w:p w14:paraId="7E41387B" w14:textId="77777777" w:rsidR="00D526E7" w:rsidRPr="007F37A0" w:rsidRDefault="00D526E7" w:rsidP="00D526E7">
      <w:pPr>
        <w:pStyle w:val="Heading2"/>
        <w:rPr>
          <w:rFonts w:ascii="Times New Roman" w:hAnsi="Times New Roman" w:cs="Times New Roman"/>
        </w:rPr>
      </w:pPr>
      <w:bookmarkStart w:id="24" w:name="_Toc164862503"/>
      <w:r w:rsidRPr="007F37A0">
        <w:rPr>
          <w:rFonts w:ascii="Times New Roman" w:hAnsi="Times New Roman" w:cs="Times New Roman"/>
        </w:rPr>
        <w:lastRenderedPageBreak/>
        <w:t>R</w:t>
      </w:r>
      <w:bookmarkEnd w:id="23"/>
      <w:r w:rsidRPr="007F37A0">
        <w:rPr>
          <w:rFonts w:ascii="Times New Roman" w:hAnsi="Times New Roman" w:cs="Times New Roman"/>
        </w:rPr>
        <w:t>EFERENCES</w:t>
      </w:r>
      <w:bookmarkEnd w:id="24"/>
    </w:p>
    <w:p w14:paraId="2720C431" w14:textId="77777777" w:rsidR="00D526E7" w:rsidRPr="007F37A0" w:rsidRDefault="00D526E7" w:rsidP="00D526E7">
      <w:pPr>
        <w:rPr>
          <w:rFonts w:ascii="Times New Roman" w:hAnsi="Times New Roman" w:cs="Times New Roman"/>
        </w:rPr>
      </w:pPr>
    </w:p>
    <w:p w14:paraId="2F1348DE"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Abel, A., Blanchard, O., 1986. Investment and sales: Some empirical evidence. NBER </w:t>
      </w:r>
    </w:p>
    <w:p w14:paraId="11DF47EA"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Working Paper 2050.</w:t>
      </w:r>
    </w:p>
    <w:p w14:paraId="3DD698A0"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Ahir, H., Bloom, N., &amp; Furceri, D. (2022). </w:t>
      </w:r>
      <w:r w:rsidRPr="007F37A0">
        <w:rPr>
          <w:rFonts w:ascii="Times New Roman" w:hAnsi="Times New Roman" w:cs="Times New Roman"/>
          <w:i/>
          <w:iCs/>
          <w:color w:val="222222"/>
          <w:shd w:val="clear" w:color="auto" w:fill="FFFFFF"/>
        </w:rPr>
        <w:t>The world uncertainty index</w:t>
      </w:r>
      <w:r w:rsidRPr="007F37A0">
        <w:rPr>
          <w:rFonts w:ascii="Times New Roman" w:hAnsi="Times New Roman" w:cs="Times New Roman"/>
          <w:color w:val="222222"/>
          <w:shd w:val="clear" w:color="auto" w:fill="FFFFFF"/>
        </w:rPr>
        <w:t xml:space="preserve"> (No. w29763). </w:t>
      </w:r>
    </w:p>
    <w:p w14:paraId="6CAA09F0"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National bureau of economic research.</w:t>
      </w:r>
    </w:p>
    <w:p w14:paraId="524C37E5"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Baker, S. R., Bloom, N., &amp; Davis, S. J. (2016). Measuring economic policy </w:t>
      </w:r>
    </w:p>
    <w:p w14:paraId="510921D5" w14:textId="77777777" w:rsidR="00D526E7" w:rsidRPr="007F37A0" w:rsidRDefault="00D526E7" w:rsidP="00D526E7">
      <w:pPr>
        <w:spacing w:line="480" w:lineRule="auto"/>
        <w:ind w:firstLine="720"/>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uncertainty. </w:t>
      </w:r>
      <w:r w:rsidRPr="007F37A0">
        <w:rPr>
          <w:rFonts w:ascii="Times New Roman" w:hAnsi="Times New Roman" w:cs="Times New Roman"/>
          <w:i/>
          <w:iCs/>
          <w:color w:val="222222"/>
          <w:shd w:val="clear" w:color="auto" w:fill="FFFFFF"/>
        </w:rPr>
        <w:t>The Quarterly Journal of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131</w:t>
      </w:r>
      <w:r w:rsidRPr="007F37A0">
        <w:rPr>
          <w:rFonts w:ascii="Times New Roman" w:hAnsi="Times New Roman" w:cs="Times New Roman"/>
          <w:color w:val="222222"/>
          <w:shd w:val="clear" w:color="auto" w:fill="FFFFFF"/>
        </w:rPr>
        <w:t>(4), 1593-1636.</w:t>
      </w:r>
    </w:p>
    <w:p w14:paraId="6663D9D1"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Baker, S. R., Bloom, N., Davis, S., &amp; Renault, T. (2021). Twitter-derived measures of </w:t>
      </w:r>
    </w:p>
    <w:p w14:paraId="1FA82748"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economic uncertainty.</w:t>
      </w:r>
    </w:p>
    <w:p w14:paraId="10F7AE68"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Bernanke, B. S. (1983). Irreversibility, uncertainty, and cyclical investment. </w:t>
      </w:r>
      <w:r w:rsidRPr="007F37A0">
        <w:rPr>
          <w:rFonts w:ascii="Times New Roman" w:hAnsi="Times New Roman" w:cs="Times New Roman"/>
          <w:i/>
          <w:iCs/>
          <w:color w:val="222222"/>
          <w:shd w:val="clear" w:color="auto" w:fill="FFFFFF"/>
        </w:rPr>
        <w:t xml:space="preserve">The </w:t>
      </w:r>
    </w:p>
    <w:p w14:paraId="08EA7692"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Quarterly Journal of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98</w:t>
      </w:r>
      <w:r w:rsidRPr="007F37A0">
        <w:rPr>
          <w:rFonts w:ascii="Times New Roman" w:hAnsi="Times New Roman" w:cs="Times New Roman"/>
          <w:color w:val="222222"/>
          <w:shd w:val="clear" w:color="auto" w:fill="FFFFFF"/>
        </w:rPr>
        <w:t>(1), 85-106.</w:t>
      </w:r>
    </w:p>
    <w:p w14:paraId="25D367A7"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Bloom, N. (2009). The impact of uncertainty shocks. </w:t>
      </w:r>
      <w:r w:rsidRPr="007F37A0">
        <w:rPr>
          <w:rFonts w:ascii="Times New Roman" w:hAnsi="Times New Roman" w:cs="Times New Roman"/>
          <w:i/>
          <w:iCs/>
        </w:rPr>
        <w:t>Econometrica</w:t>
      </w:r>
      <w:r w:rsidRPr="007F37A0">
        <w:rPr>
          <w:rFonts w:ascii="Times New Roman" w:hAnsi="Times New Roman" w:cs="Times New Roman"/>
        </w:rPr>
        <w:t>, </w:t>
      </w:r>
      <w:r w:rsidRPr="007F37A0">
        <w:rPr>
          <w:rFonts w:ascii="Times New Roman" w:hAnsi="Times New Roman" w:cs="Times New Roman"/>
          <w:i/>
          <w:iCs/>
        </w:rPr>
        <w:t>77</w:t>
      </w:r>
      <w:r w:rsidRPr="007F37A0">
        <w:rPr>
          <w:rFonts w:ascii="Times New Roman" w:hAnsi="Times New Roman" w:cs="Times New Roman"/>
        </w:rPr>
        <w:t xml:space="preserve">(3), 623-685. </w:t>
      </w:r>
    </w:p>
    <w:p w14:paraId="3A3C3661"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Bloom, N., Bond, S., &amp; Van Reenen, J. (2007). Uncertainty and investment </w:t>
      </w:r>
    </w:p>
    <w:p w14:paraId="32FEF05F"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dynamics. </w:t>
      </w:r>
      <w:r w:rsidRPr="007F37A0">
        <w:rPr>
          <w:rFonts w:ascii="Times New Roman" w:hAnsi="Times New Roman" w:cs="Times New Roman"/>
          <w:i/>
          <w:iCs/>
          <w:color w:val="222222"/>
          <w:shd w:val="clear" w:color="auto" w:fill="FFFFFF"/>
        </w:rPr>
        <w:t>The Review of Economic Studies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74</w:t>
      </w:r>
      <w:r w:rsidRPr="007F37A0">
        <w:rPr>
          <w:rFonts w:ascii="Times New Roman" w:hAnsi="Times New Roman" w:cs="Times New Roman"/>
          <w:color w:val="222222"/>
          <w:shd w:val="clear" w:color="auto" w:fill="FFFFFF"/>
        </w:rPr>
        <w:t>(2), 391-415.</w:t>
      </w:r>
    </w:p>
    <w:p w14:paraId="79582AC6"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Bloom, N., Davis, S. J., Foster, L. S., Ohlmacher, S. W., &amp; Saporta-Eksten, I. </w:t>
      </w:r>
    </w:p>
    <w:p w14:paraId="466DEBF6"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(2022). </w:t>
      </w:r>
      <w:r w:rsidRPr="007F37A0">
        <w:rPr>
          <w:rFonts w:ascii="Times New Roman" w:hAnsi="Times New Roman" w:cs="Times New Roman"/>
          <w:i/>
          <w:iCs/>
        </w:rPr>
        <w:t>Investment and Subjective Uncertainty</w:t>
      </w:r>
      <w:r w:rsidRPr="007F37A0">
        <w:rPr>
          <w:rFonts w:ascii="Times New Roman" w:hAnsi="Times New Roman" w:cs="Times New Roman"/>
        </w:rPr>
        <w:t xml:space="preserve"> (No. w30654). National Bureau of </w:t>
      </w:r>
    </w:p>
    <w:p w14:paraId="020203EE" w14:textId="77777777" w:rsidR="00D526E7" w:rsidRPr="007F37A0" w:rsidRDefault="00D526E7" w:rsidP="00D526E7">
      <w:pPr>
        <w:spacing w:line="480" w:lineRule="auto"/>
        <w:ind w:left="720"/>
        <w:rPr>
          <w:rFonts w:ascii="Times New Roman" w:hAnsi="Times New Roman" w:cs="Times New Roman"/>
        </w:rPr>
      </w:pPr>
      <w:r w:rsidRPr="007F37A0">
        <w:rPr>
          <w:rFonts w:ascii="Times New Roman" w:hAnsi="Times New Roman" w:cs="Times New Roman"/>
        </w:rPr>
        <w:t xml:space="preserve">Economic Research. </w:t>
      </w:r>
    </w:p>
    <w:p w14:paraId="225D607C"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Calomiris, C. W., &amp; Mamaysky, H. (2019). How news and its context drive risk and </w:t>
      </w:r>
    </w:p>
    <w:p w14:paraId="734B302A"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returns around the world. </w:t>
      </w:r>
      <w:r w:rsidRPr="007F37A0">
        <w:rPr>
          <w:rFonts w:ascii="Times New Roman" w:hAnsi="Times New Roman" w:cs="Times New Roman"/>
          <w:i/>
          <w:iCs/>
          <w:color w:val="222222"/>
          <w:shd w:val="clear" w:color="auto" w:fill="FFFFFF"/>
        </w:rPr>
        <w:t>Journal of Financial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133</w:t>
      </w:r>
      <w:r w:rsidRPr="007F37A0">
        <w:rPr>
          <w:rFonts w:ascii="Times New Roman" w:hAnsi="Times New Roman" w:cs="Times New Roman"/>
          <w:color w:val="222222"/>
          <w:shd w:val="clear" w:color="auto" w:fill="FFFFFF"/>
        </w:rPr>
        <w:t>(2), 299-336.</w:t>
      </w:r>
    </w:p>
    <w:p w14:paraId="2683B82A" w14:textId="77777777" w:rsidR="00D526E7" w:rsidRPr="007F37A0" w:rsidRDefault="00D526E7" w:rsidP="00D526E7">
      <w:pPr>
        <w:rPr>
          <w:rFonts w:ascii="Times New Roman" w:hAnsi="Times New Roman" w:cs="Times New Roman"/>
        </w:rPr>
      </w:pPr>
      <w:r w:rsidRPr="007F37A0">
        <w:rPr>
          <w:rFonts w:ascii="Times New Roman" w:hAnsi="Times New Roman" w:cs="Times New Roman"/>
        </w:rPr>
        <w:br w:type="page"/>
      </w:r>
    </w:p>
    <w:p w14:paraId="263CF54E"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lastRenderedPageBreak/>
        <w:t xml:space="preserve">Cascaldi-Garcia, Danilo, Cisil Sarisoy, Juan M. Londono, John Rogers, Deepa Datta, </w:t>
      </w:r>
    </w:p>
    <w:p w14:paraId="0B9B8735"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Thiago Ferreira, Olesya Grishchenko, Mohammad R. Jahan-Parvar, Francesca </w:t>
      </w:r>
    </w:p>
    <w:p w14:paraId="689EB5DF"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Loria, Sai Ma, Marius Rodriguez, and Ilknur Zer (2020). “What is certain about </w:t>
      </w:r>
    </w:p>
    <w:p w14:paraId="2BB42001" w14:textId="288DE4F8" w:rsidR="00D526E7" w:rsidRPr="007F37A0" w:rsidRDefault="00D526E7" w:rsidP="00D526E7">
      <w:pPr>
        <w:spacing w:line="480" w:lineRule="auto"/>
        <w:ind w:left="720"/>
        <w:rPr>
          <w:rFonts w:ascii="Times New Roman" w:hAnsi="Times New Roman" w:cs="Times New Roman"/>
        </w:rPr>
      </w:pPr>
      <w:r w:rsidRPr="007F37A0">
        <w:rPr>
          <w:rFonts w:ascii="Times New Roman" w:hAnsi="Times New Roman" w:cs="Times New Roman"/>
        </w:rPr>
        <w:t xml:space="preserve">uncertainty?,” International Finance Discussion Papers 1294. Washington: Board of Governors of the Federal Reserve System, </w:t>
      </w:r>
      <w:hyperlink r:id="rId12" w:history="1">
        <w:r w:rsidRPr="007F37A0">
          <w:rPr>
            <w:rStyle w:val="Hyperlink"/>
            <w:rFonts w:ascii="Times New Roman" w:hAnsi="Times New Roman" w:cs="Times New Roman"/>
          </w:rPr>
          <w:t>https://doi.org/10.17016/IFDP.2020.1294</w:t>
        </w:r>
      </w:hyperlink>
      <w:r w:rsidRPr="007F37A0">
        <w:rPr>
          <w:rFonts w:ascii="Times New Roman" w:hAnsi="Times New Roman" w:cs="Times New Roman"/>
        </w:rPr>
        <w:t>.</w:t>
      </w:r>
    </w:p>
    <w:p w14:paraId="383C80BC"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Cui, X., Wang, C., Sensoy, A., Liao, J., &amp; Xie, X. (2023). Economic policy uncertainty </w:t>
      </w:r>
    </w:p>
    <w:p w14:paraId="042372E2"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and green innovation: Evidence from China. </w:t>
      </w:r>
      <w:r w:rsidRPr="007F37A0">
        <w:rPr>
          <w:rFonts w:ascii="Times New Roman" w:hAnsi="Times New Roman" w:cs="Times New Roman"/>
          <w:i/>
          <w:iCs/>
        </w:rPr>
        <w:t>Economic Modelling</w:t>
      </w:r>
      <w:r w:rsidRPr="007F37A0">
        <w:rPr>
          <w:rFonts w:ascii="Times New Roman" w:hAnsi="Times New Roman" w:cs="Times New Roman"/>
        </w:rPr>
        <w:t>, </w:t>
      </w:r>
      <w:r w:rsidRPr="007F37A0">
        <w:rPr>
          <w:rFonts w:ascii="Times New Roman" w:hAnsi="Times New Roman" w:cs="Times New Roman"/>
          <w:i/>
          <w:iCs/>
        </w:rPr>
        <w:t>118</w:t>
      </w:r>
      <w:r w:rsidRPr="007F37A0">
        <w:rPr>
          <w:rFonts w:ascii="Times New Roman" w:hAnsi="Times New Roman" w:cs="Times New Roman"/>
        </w:rPr>
        <w:t>, 106104.</w:t>
      </w:r>
    </w:p>
    <w:p w14:paraId="5EFAFF9F"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Dew-Becker, I., &amp; Giglio, S. (2023). Cross-sectional uncertainty and the business cycle: </w:t>
      </w:r>
    </w:p>
    <w:p w14:paraId="5E2D6774" w14:textId="77777777" w:rsidR="00D526E7" w:rsidRPr="007F37A0" w:rsidRDefault="00D526E7" w:rsidP="00D526E7">
      <w:pPr>
        <w:spacing w:line="480" w:lineRule="auto"/>
        <w:ind w:left="720"/>
        <w:rPr>
          <w:rFonts w:ascii="Times New Roman" w:hAnsi="Times New Roman" w:cs="Times New Roman"/>
        </w:rPr>
      </w:pPr>
      <w:r w:rsidRPr="007F37A0">
        <w:rPr>
          <w:rFonts w:ascii="Times New Roman" w:hAnsi="Times New Roman" w:cs="Times New Roman"/>
        </w:rPr>
        <w:t>evidence from 40 years of options data. </w:t>
      </w:r>
      <w:r w:rsidRPr="007F37A0">
        <w:rPr>
          <w:rFonts w:ascii="Times New Roman" w:hAnsi="Times New Roman" w:cs="Times New Roman"/>
          <w:i/>
          <w:iCs/>
        </w:rPr>
        <w:t>American Economic Journal: Macroeconomics</w:t>
      </w:r>
      <w:r w:rsidRPr="007F37A0">
        <w:rPr>
          <w:rFonts w:ascii="Times New Roman" w:hAnsi="Times New Roman" w:cs="Times New Roman"/>
        </w:rPr>
        <w:t>, </w:t>
      </w:r>
      <w:r w:rsidRPr="007F37A0">
        <w:rPr>
          <w:rFonts w:ascii="Times New Roman" w:hAnsi="Times New Roman" w:cs="Times New Roman"/>
          <w:i/>
          <w:iCs/>
        </w:rPr>
        <w:t>15</w:t>
      </w:r>
      <w:r w:rsidRPr="007F37A0">
        <w:rPr>
          <w:rFonts w:ascii="Times New Roman" w:hAnsi="Times New Roman" w:cs="Times New Roman"/>
        </w:rPr>
        <w:t xml:space="preserve">(2), 65-96. </w:t>
      </w:r>
    </w:p>
    <w:p w14:paraId="0EE6AE2D"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Dixit, A. (1989). Entry and exit decisions under uncertainty. </w:t>
      </w:r>
      <w:r w:rsidRPr="007F37A0">
        <w:rPr>
          <w:rFonts w:ascii="Times New Roman" w:hAnsi="Times New Roman" w:cs="Times New Roman"/>
          <w:i/>
          <w:iCs/>
          <w:color w:val="222222"/>
          <w:shd w:val="clear" w:color="auto" w:fill="FFFFFF"/>
        </w:rPr>
        <w:t xml:space="preserve">Journal of political </w:t>
      </w:r>
    </w:p>
    <w:p w14:paraId="42B4B071"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Economy</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97</w:t>
      </w:r>
      <w:r w:rsidRPr="007F37A0">
        <w:rPr>
          <w:rFonts w:ascii="Times New Roman" w:hAnsi="Times New Roman" w:cs="Times New Roman"/>
          <w:color w:val="222222"/>
          <w:shd w:val="clear" w:color="auto" w:fill="FFFFFF"/>
        </w:rPr>
        <w:t>(3), 620-638.</w:t>
      </w:r>
    </w:p>
    <w:p w14:paraId="28E1AC74"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Dixit, R. K. &amp; Pindyck, R. S. (1994). </w:t>
      </w:r>
      <w:r w:rsidRPr="007F37A0">
        <w:rPr>
          <w:rFonts w:ascii="Times New Roman" w:hAnsi="Times New Roman" w:cs="Times New Roman"/>
          <w:i/>
          <w:iCs/>
          <w:color w:val="222222"/>
          <w:shd w:val="clear" w:color="auto" w:fill="FFFFFF"/>
        </w:rPr>
        <w:t>Investment under uncertainty</w:t>
      </w:r>
      <w:r w:rsidRPr="007F37A0">
        <w:rPr>
          <w:rFonts w:ascii="Times New Roman" w:hAnsi="Times New Roman" w:cs="Times New Roman"/>
          <w:color w:val="222222"/>
          <w:shd w:val="clear" w:color="auto" w:fill="FFFFFF"/>
        </w:rPr>
        <w:t xml:space="preserve">. Princeton university </w:t>
      </w:r>
    </w:p>
    <w:p w14:paraId="74A1A9F7"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press.</w:t>
      </w:r>
    </w:p>
    <w:p w14:paraId="79026209"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Dorsey, J. (2019). Waiting for the courts: Effects of policy uncertainty on pollution and </w:t>
      </w:r>
    </w:p>
    <w:p w14:paraId="6B77F677"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investment. </w:t>
      </w:r>
      <w:r w:rsidRPr="007F37A0">
        <w:rPr>
          <w:rFonts w:ascii="Times New Roman" w:hAnsi="Times New Roman" w:cs="Times New Roman"/>
          <w:i/>
          <w:iCs/>
          <w:color w:val="222222"/>
          <w:shd w:val="clear" w:color="auto" w:fill="FFFFFF"/>
        </w:rPr>
        <w:t>Environmental and Resource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74</w:t>
      </w:r>
      <w:r w:rsidRPr="007F37A0">
        <w:rPr>
          <w:rFonts w:ascii="Times New Roman" w:hAnsi="Times New Roman" w:cs="Times New Roman"/>
          <w:color w:val="222222"/>
          <w:shd w:val="clear" w:color="auto" w:fill="FFFFFF"/>
        </w:rPr>
        <w:t>(4), 1453-1496.</w:t>
      </w:r>
    </w:p>
    <w:p w14:paraId="74373587"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Dugoua, E., Dumas, M., &amp; Noailly, J. (2022). Text as data in environmental economics </w:t>
      </w:r>
    </w:p>
    <w:p w14:paraId="050D7774"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and policy. </w:t>
      </w:r>
      <w:r w:rsidRPr="007F37A0">
        <w:rPr>
          <w:rFonts w:ascii="Times New Roman" w:hAnsi="Times New Roman" w:cs="Times New Roman"/>
          <w:i/>
          <w:iCs/>
          <w:color w:val="222222"/>
          <w:shd w:val="clear" w:color="auto" w:fill="FFFFFF"/>
        </w:rPr>
        <w:t>Review of Environmental Economics and Policy</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16</w:t>
      </w:r>
      <w:r w:rsidRPr="007F37A0">
        <w:rPr>
          <w:rFonts w:ascii="Times New Roman" w:hAnsi="Times New Roman" w:cs="Times New Roman"/>
          <w:color w:val="222222"/>
          <w:shd w:val="clear" w:color="auto" w:fill="FFFFFF"/>
        </w:rPr>
        <w:t xml:space="preserve">(2), 346-356. </w:t>
      </w:r>
    </w:p>
    <w:p w14:paraId="70AC56E8"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Fabrizio, K. R. (2013). The effect of regulatory uncertainty on investment: Evidence from</w:t>
      </w:r>
    </w:p>
    <w:p w14:paraId="1E8F0436" w14:textId="77777777" w:rsidR="00D526E7" w:rsidRPr="007F37A0" w:rsidRDefault="00D526E7" w:rsidP="00D526E7">
      <w:pPr>
        <w:spacing w:line="480" w:lineRule="auto"/>
        <w:ind w:firstLine="720"/>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 xml:space="preserve"> renewable energy generation. </w:t>
      </w:r>
      <w:r w:rsidRPr="007F37A0">
        <w:rPr>
          <w:rFonts w:ascii="Times New Roman" w:hAnsi="Times New Roman" w:cs="Times New Roman"/>
          <w:i/>
          <w:iCs/>
          <w:color w:val="222222"/>
          <w:shd w:val="clear" w:color="auto" w:fill="FFFFFF"/>
        </w:rPr>
        <w:t>The Journal of Law, Economics, &amp;</w:t>
      </w:r>
    </w:p>
    <w:p w14:paraId="6FA13DE4" w14:textId="77777777" w:rsidR="00D526E7" w:rsidRPr="007F37A0" w:rsidRDefault="00D526E7" w:rsidP="00D526E7">
      <w:pPr>
        <w:spacing w:line="480" w:lineRule="auto"/>
        <w:ind w:left="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Organization</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29</w:t>
      </w:r>
      <w:r w:rsidRPr="007F37A0">
        <w:rPr>
          <w:rFonts w:ascii="Times New Roman" w:hAnsi="Times New Roman" w:cs="Times New Roman"/>
          <w:color w:val="222222"/>
          <w:shd w:val="clear" w:color="auto" w:fill="FFFFFF"/>
        </w:rPr>
        <w:t>(4), 765-798.</w:t>
      </w:r>
    </w:p>
    <w:p w14:paraId="17D04F76"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lastRenderedPageBreak/>
        <w:t>Gentzkow, M., Kelly, B., &amp; Taddy, M. (2019). Text as data. </w:t>
      </w:r>
      <w:r w:rsidRPr="007F37A0">
        <w:rPr>
          <w:rFonts w:ascii="Times New Roman" w:hAnsi="Times New Roman" w:cs="Times New Roman"/>
          <w:i/>
          <w:iCs/>
          <w:color w:val="222222"/>
          <w:shd w:val="clear" w:color="auto" w:fill="FFFFFF"/>
        </w:rPr>
        <w:t xml:space="preserve">Journal of Economic </w:t>
      </w:r>
    </w:p>
    <w:p w14:paraId="2D85309E"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Literature</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57</w:t>
      </w:r>
      <w:r w:rsidRPr="007F37A0">
        <w:rPr>
          <w:rFonts w:ascii="Times New Roman" w:hAnsi="Times New Roman" w:cs="Times New Roman"/>
          <w:color w:val="222222"/>
          <w:shd w:val="clear" w:color="auto" w:fill="FFFFFF"/>
        </w:rPr>
        <w:t>(3), 535-74.</w:t>
      </w:r>
    </w:p>
    <w:p w14:paraId="69A6F390"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Gowrisankaran, G., Langer, A., &amp; Zhang, W. (2022). </w:t>
      </w:r>
      <w:r w:rsidRPr="007F37A0">
        <w:rPr>
          <w:rFonts w:ascii="Times New Roman" w:hAnsi="Times New Roman" w:cs="Times New Roman"/>
          <w:i/>
          <w:iCs/>
          <w:color w:val="222222"/>
          <w:shd w:val="clear" w:color="auto" w:fill="FFFFFF"/>
        </w:rPr>
        <w:t>Policy uncertainty in the market for</w:t>
      </w:r>
    </w:p>
    <w:p w14:paraId="44DAD72B"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 xml:space="preserve"> coal electricity: The case of air toxics standards</w:t>
      </w:r>
      <w:r w:rsidRPr="007F37A0">
        <w:rPr>
          <w:rFonts w:ascii="Times New Roman" w:hAnsi="Times New Roman" w:cs="Times New Roman"/>
          <w:color w:val="222222"/>
          <w:shd w:val="clear" w:color="auto" w:fill="FFFFFF"/>
        </w:rPr>
        <w:t xml:space="preserve"> (No. w30297). National Bureau </w:t>
      </w:r>
    </w:p>
    <w:p w14:paraId="1A7D7021" w14:textId="77777777" w:rsidR="00D526E7" w:rsidRPr="007F37A0" w:rsidRDefault="00D526E7" w:rsidP="00D526E7">
      <w:pPr>
        <w:spacing w:line="480" w:lineRule="auto"/>
        <w:ind w:left="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of Economic Research.</w:t>
      </w:r>
    </w:p>
    <w:p w14:paraId="59435DDB"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Gulen, H., &amp; Ion, M. (2016). Policy uncertainty and corporate investment. </w:t>
      </w:r>
      <w:r w:rsidRPr="007F37A0">
        <w:rPr>
          <w:rFonts w:ascii="Times New Roman" w:hAnsi="Times New Roman" w:cs="Times New Roman"/>
          <w:i/>
          <w:iCs/>
          <w:color w:val="222222"/>
          <w:shd w:val="clear" w:color="auto" w:fill="FFFFFF"/>
        </w:rPr>
        <w:t xml:space="preserve">The Review of </w:t>
      </w:r>
    </w:p>
    <w:p w14:paraId="0874796C"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Financial Studies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29</w:t>
      </w:r>
      <w:r w:rsidRPr="007F37A0">
        <w:rPr>
          <w:rFonts w:ascii="Times New Roman" w:hAnsi="Times New Roman" w:cs="Times New Roman"/>
          <w:color w:val="222222"/>
          <w:shd w:val="clear" w:color="auto" w:fill="FFFFFF"/>
        </w:rPr>
        <w:t>(3), 523-564.</w:t>
      </w:r>
    </w:p>
    <w:p w14:paraId="7762D60F"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Handley, K., &amp; Limao, N. (2015). Trade and investment under policy uncertainty: Theory </w:t>
      </w:r>
    </w:p>
    <w:p w14:paraId="25BAF5A3" w14:textId="77777777" w:rsidR="00D526E7" w:rsidRPr="007F37A0" w:rsidRDefault="00D526E7" w:rsidP="00D526E7">
      <w:pPr>
        <w:spacing w:line="480" w:lineRule="auto"/>
        <w:ind w:firstLine="720"/>
        <w:rPr>
          <w:rFonts w:ascii="Times New Roman" w:eastAsiaTheme="minorEastAsia" w:hAnsi="Times New Roman" w:cs="Times New Roman"/>
        </w:rPr>
      </w:pPr>
      <w:r w:rsidRPr="007F37A0">
        <w:rPr>
          <w:rFonts w:ascii="Times New Roman" w:hAnsi="Times New Roman" w:cs="Times New Roman"/>
          <w:color w:val="222222"/>
          <w:shd w:val="clear" w:color="auto" w:fill="FFFFFF"/>
        </w:rPr>
        <w:t>and firm evidence. </w:t>
      </w:r>
      <w:r w:rsidRPr="007F37A0">
        <w:rPr>
          <w:rFonts w:ascii="Times New Roman" w:hAnsi="Times New Roman" w:cs="Times New Roman"/>
          <w:i/>
          <w:iCs/>
          <w:color w:val="222222"/>
          <w:shd w:val="clear" w:color="auto" w:fill="FFFFFF"/>
        </w:rPr>
        <w:t>American Economic Journal: Economic Policy</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7</w:t>
      </w:r>
      <w:r w:rsidRPr="007F37A0">
        <w:rPr>
          <w:rFonts w:ascii="Times New Roman" w:hAnsi="Times New Roman" w:cs="Times New Roman"/>
          <w:color w:val="222222"/>
          <w:shd w:val="clear" w:color="auto" w:fill="FFFFFF"/>
        </w:rPr>
        <w:t>(4), 189-222.</w:t>
      </w:r>
    </w:p>
    <w:p w14:paraId="106E2F2E"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Hassan, T. A., Hollander, S., Van Lent, L., &amp; Tahoun, A. (2019). Firm-level political </w:t>
      </w:r>
    </w:p>
    <w:p w14:paraId="6E14BDB1"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risk: Measurement and effects. </w:t>
      </w:r>
      <w:r w:rsidRPr="007F37A0">
        <w:rPr>
          <w:rFonts w:ascii="Times New Roman" w:hAnsi="Times New Roman" w:cs="Times New Roman"/>
          <w:i/>
          <w:iCs/>
          <w:color w:val="222222"/>
          <w:shd w:val="clear" w:color="auto" w:fill="FFFFFF"/>
        </w:rPr>
        <w:t>The Quarterly Journal of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134</w:t>
      </w:r>
      <w:r w:rsidRPr="007F37A0">
        <w:rPr>
          <w:rFonts w:ascii="Times New Roman" w:hAnsi="Times New Roman" w:cs="Times New Roman"/>
          <w:color w:val="222222"/>
          <w:shd w:val="clear" w:color="auto" w:fill="FFFFFF"/>
        </w:rPr>
        <w:t xml:space="preserve">(4), </w:t>
      </w:r>
    </w:p>
    <w:p w14:paraId="2CBE222B" w14:textId="77777777" w:rsidR="00D526E7" w:rsidRPr="007F37A0" w:rsidRDefault="00D526E7" w:rsidP="00D526E7">
      <w:pPr>
        <w:spacing w:line="480" w:lineRule="auto"/>
        <w:ind w:left="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2135-2202.</w:t>
      </w:r>
    </w:p>
    <w:p w14:paraId="153190A2"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Hosszejni D., &amp; Kastner G. (2021). Modeling univariate and multivariate stochastic </w:t>
      </w:r>
    </w:p>
    <w:p w14:paraId="2986557E" w14:textId="77777777" w:rsidR="00D526E7" w:rsidRPr="007F37A0" w:rsidRDefault="00D526E7" w:rsidP="00D526E7">
      <w:pPr>
        <w:spacing w:line="480" w:lineRule="auto"/>
        <w:ind w:firstLine="720"/>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volatility in R with stochvol and factorstochvol. </w:t>
      </w:r>
      <w:r w:rsidRPr="007F37A0">
        <w:rPr>
          <w:rFonts w:ascii="Times New Roman" w:hAnsi="Times New Roman" w:cs="Times New Roman"/>
          <w:i/>
          <w:iCs/>
          <w:color w:val="222222"/>
          <w:shd w:val="clear" w:color="auto" w:fill="FFFFFF"/>
        </w:rPr>
        <w:t xml:space="preserve">Journal of Statistical </w:t>
      </w:r>
    </w:p>
    <w:p w14:paraId="218A96EC" w14:textId="1DB4DB8F"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Software</w:t>
      </w:r>
      <w:r w:rsidRPr="007F37A0">
        <w:rPr>
          <w:rFonts w:ascii="Times New Roman" w:hAnsi="Times New Roman" w:cs="Times New Roman"/>
          <w:color w:val="222222"/>
          <w:shd w:val="clear" w:color="auto" w:fill="FFFFFF"/>
        </w:rPr>
        <w:t>, 100(12), 1–34. </w:t>
      </w:r>
      <w:hyperlink r:id="rId13" w:history="1">
        <w:r w:rsidRPr="007F37A0">
          <w:rPr>
            <w:rStyle w:val="Hyperlink"/>
            <w:rFonts w:ascii="Times New Roman" w:hAnsi="Times New Roman" w:cs="Times New Roman"/>
            <w:shd w:val="clear" w:color="auto" w:fill="FFFFFF"/>
          </w:rPr>
          <w:t>doi:10.18637/jss.v100.i12</w:t>
        </w:r>
      </w:hyperlink>
      <w:r w:rsidRPr="007F37A0">
        <w:rPr>
          <w:rFonts w:ascii="Times New Roman" w:hAnsi="Times New Roman" w:cs="Times New Roman"/>
          <w:color w:val="222222"/>
          <w:shd w:val="clear" w:color="auto" w:fill="FFFFFF"/>
        </w:rPr>
        <w:t>.</w:t>
      </w:r>
    </w:p>
    <w:p w14:paraId="5CCC8E89"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Jens, C. E. (2017). Political uncertainty and investment: Causal evidence from US </w:t>
      </w:r>
    </w:p>
    <w:p w14:paraId="2E84FD74"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gubernatorial elections. </w:t>
      </w:r>
      <w:r w:rsidRPr="007F37A0">
        <w:rPr>
          <w:rFonts w:ascii="Times New Roman" w:hAnsi="Times New Roman" w:cs="Times New Roman"/>
          <w:i/>
          <w:iCs/>
          <w:color w:val="222222"/>
          <w:shd w:val="clear" w:color="auto" w:fill="FFFFFF"/>
        </w:rPr>
        <w:t>Journal of Financial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124</w:t>
      </w:r>
      <w:r w:rsidRPr="007F37A0">
        <w:rPr>
          <w:rFonts w:ascii="Times New Roman" w:hAnsi="Times New Roman" w:cs="Times New Roman"/>
          <w:color w:val="222222"/>
          <w:shd w:val="clear" w:color="auto" w:fill="FFFFFF"/>
        </w:rPr>
        <w:t>(3), 563-579.</w:t>
      </w:r>
    </w:p>
    <w:p w14:paraId="3EFC2342"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Julio, B., &amp; Yook, Y. (2012). Political uncertainty and corporate investment cycles. </w:t>
      </w:r>
      <w:r w:rsidRPr="007F37A0">
        <w:rPr>
          <w:rFonts w:ascii="Times New Roman" w:hAnsi="Times New Roman" w:cs="Times New Roman"/>
          <w:i/>
          <w:iCs/>
          <w:color w:val="222222"/>
          <w:shd w:val="clear" w:color="auto" w:fill="FFFFFF"/>
        </w:rPr>
        <w:t xml:space="preserve">The </w:t>
      </w:r>
    </w:p>
    <w:p w14:paraId="69E165D4"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Journal of Finance</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67</w:t>
      </w:r>
      <w:r w:rsidRPr="007F37A0">
        <w:rPr>
          <w:rFonts w:ascii="Times New Roman" w:hAnsi="Times New Roman" w:cs="Times New Roman"/>
          <w:color w:val="222222"/>
          <w:shd w:val="clear" w:color="auto" w:fill="FFFFFF"/>
        </w:rPr>
        <w:t>(1), 45-83.</w:t>
      </w:r>
    </w:p>
    <w:p w14:paraId="070C6177"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Kalamara, E., Turrell, A., Redl, C., Kapetanios, G., &amp; Kapadia, S. (2020). Making text </w:t>
      </w:r>
    </w:p>
    <w:p w14:paraId="0103D7D8" w14:textId="77777777" w:rsidR="00D526E7" w:rsidRPr="007F37A0" w:rsidRDefault="00D526E7" w:rsidP="00D526E7">
      <w:pPr>
        <w:spacing w:line="480" w:lineRule="auto"/>
        <w:ind w:firstLine="720"/>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count: Economic forecasting using newspaper text. </w:t>
      </w:r>
      <w:r w:rsidRPr="007F37A0">
        <w:rPr>
          <w:rFonts w:ascii="Times New Roman" w:hAnsi="Times New Roman" w:cs="Times New Roman"/>
          <w:i/>
          <w:iCs/>
          <w:color w:val="222222"/>
          <w:shd w:val="clear" w:color="auto" w:fill="FFFFFF"/>
        </w:rPr>
        <w:t xml:space="preserve">Journal of Applied </w:t>
      </w:r>
    </w:p>
    <w:p w14:paraId="0B7C2322"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Econometrics</w:t>
      </w:r>
      <w:r w:rsidRPr="007F37A0">
        <w:rPr>
          <w:rFonts w:ascii="Times New Roman" w:hAnsi="Times New Roman" w:cs="Times New Roman"/>
          <w:color w:val="222222"/>
          <w:shd w:val="clear" w:color="auto" w:fill="FFFFFF"/>
        </w:rPr>
        <w:t>.</w:t>
      </w:r>
    </w:p>
    <w:p w14:paraId="345C8288"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lastRenderedPageBreak/>
        <w:t xml:space="preserve">Kang, W., Lee, K., &amp; Ratti, R. A. (2014). Economic policy uncertainty and firm-level </w:t>
      </w:r>
    </w:p>
    <w:p w14:paraId="5C085CB4"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investment. </w:t>
      </w:r>
      <w:r w:rsidRPr="007F37A0">
        <w:rPr>
          <w:rFonts w:ascii="Times New Roman" w:hAnsi="Times New Roman" w:cs="Times New Roman"/>
          <w:i/>
          <w:iCs/>
          <w:color w:val="222222"/>
          <w:shd w:val="clear" w:color="auto" w:fill="FFFFFF"/>
        </w:rPr>
        <w:t>Journal of Macroeconomics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39</w:t>
      </w:r>
      <w:r w:rsidRPr="007F37A0">
        <w:rPr>
          <w:rFonts w:ascii="Times New Roman" w:hAnsi="Times New Roman" w:cs="Times New Roman"/>
          <w:color w:val="222222"/>
          <w:shd w:val="clear" w:color="auto" w:fill="FFFFFF"/>
        </w:rPr>
        <w:t>, 42-53.</w:t>
      </w:r>
    </w:p>
    <w:p w14:paraId="47D95DEA"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Kellogg, R. (2014). The effect of uncertainty on investment: evidence from Texas oil </w:t>
      </w:r>
    </w:p>
    <w:p w14:paraId="78F4A72E"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drilling. </w:t>
      </w:r>
      <w:r w:rsidRPr="007F37A0">
        <w:rPr>
          <w:rFonts w:ascii="Times New Roman" w:hAnsi="Times New Roman" w:cs="Times New Roman"/>
          <w:i/>
          <w:iCs/>
          <w:color w:val="222222"/>
          <w:shd w:val="clear" w:color="auto" w:fill="FFFFFF"/>
        </w:rPr>
        <w:t>American Economic Review</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104</w:t>
      </w:r>
      <w:r w:rsidRPr="007F37A0">
        <w:rPr>
          <w:rFonts w:ascii="Times New Roman" w:hAnsi="Times New Roman" w:cs="Times New Roman"/>
          <w:color w:val="222222"/>
          <w:shd w:val="clear" w:color="auto" w:fill="FFFFFF"/>
        </w:rPr>
        <w:t>(6), 1698-1734.</w:t>
      </w:r>
    </w:p>
    <w:p w14:paraId="5CBE935C"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Kulatilaka, N., &amp; Perotti, E. C. (1998). Strategic growth options. </w:t>
      </w:r>
      <w:r w:rsidRPr="007F37A0">
        <w:rPr>
          <w:rFonts w:ascii="Times New Roman" w:hAnsi="Times New Roman" w:cs="Times New Roman"/>
          <w:i/>
          <w:iCs/>
          <w:color w:val="222222"/>
          <w:shd w:val="clear" w:color="auto" w:fill="FFFFFF"/>
        </w:rPr>
        <w:t xml:space="preserve">Management </w:t>
      </w:r>
    </w:p>
    <w:p w14:paraId="16280FCF"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Science</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44</w:t>
      </w:r>
      <w:r w:rsidRPr="007F37A0">
        <w:rPr>
          <w:rFonts w:ascii="Times New Roman" w:hAnsi="Times New Roman" w:cs="Times New Roman"/>
          <w:color w:val="222222"/>
          <w:shd w:val="clear" w:color="auto" w:fill="FFFFFF"/>
        </w:rPr>
        <w:t>(8), 1021-1031.</w:t>
      </w:r>
    </w:p>
    <w:p w14:paraId="19F33472"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Larsen, V. H. (2017). Components of uncertainty. Working Papers No 4/2017, Centre for </w:t>
      </w:r>
    </w:p>
    <w:p w14:paraId="222FAE64"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 xml:space="preserve">Applied Macro- and Petroleum economics (CAMP), BI Norwegian Business </w:t>
      </w:r>
    </w:p>
    <w:p w14:paraId="1A41F5EB" w14:textId="77777777" w:rsidR="00D526E7" w:rsidRPr="007F37A0" w:rsidRDefault="00D526E7" w:rsidP="00D526E7">
      <w:pPr>
        <w:spacing w:line="480" w:lineRule="auto"/>
        <w:ind w:firstLine="720"/>
        <w:rPr>
          <w:rFonts w:ascii="Times New Roman" w:hAnsi="Times New Roman" w:cs="Times New Roman"/>
        </w:rPr>
      </w:pPr>
      <w:r w:rsidRPr="007F37A0">
        <w:rPr>
          <w:rFonts w:ascii="Times New Roman" w:hAnsi="Times New Roman" w:cs="Times New Roman"/>
        </w:rPr>
        <w:t>School.</w:t>
      </w:r>
    </w:p>
    <w:p w14:paraId="6F83E5B3"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Maghyereh, A., &amp; Abdoh, H. (2020). Asymmetric effects of oil price uncertainty on </w:t>
      </w:r>
    </w:p>
    <w:p w14:paraId="3210001C"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corporate investment. </w:t>
      </w:r>
      <w:r w:rsidRPr="007F37A0">
        <w:rPr>
          <w:rFonts w:ascii="Times New Roman" w:hAnsi="Times New Roman" w:cs="Times New Roman"/>
          <w:i/>
          <w:iCs/>
          <w:color w:val="222222"/>
          <w:shd w:val="clear" w:color="auto" w:fill="FFFFFF"/>
        </w:rPr>
        <w:t>Energy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86</w:t>
      </w:r>
      <w:r w:rsidRPr="007F37A0">
        <w:rPr>
          <w:rFonts w:ascii="Times New Roman" w:hAnsi="Times New Roman" w:cs="Times New Roman"/>
          <w:color w:val="222222"/>
          <w:shd w:val="clear" w:color="auto" w:fill="FFFFFF"/>
        </w:rPr>
        <w:t>, 104622.</w:t>
      </w:r>
    </w:p>
    <w:p w14:paraId="2AE10438"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Noailly, J., Nowzohour, L., &amp; van den Heuvel, M. (2022). Does environmental policy </w:t>
      </w:r>
    </w:p>
    <w:p w14:paraId="156BAE37"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uncertainty hinder investment towards a low-carbon economy? NBER Working </w:t>
      </w:r>
    </w:p>
    <w:p w14:paraId="5F072D99"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Paper No w30361.</w:t>
      </w:r>
    </w:p>
    <w:p w14:paraId="316D3A92"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Oi, W. Y. (1961). The desirability of price instability under perfect </w:t>
      </w:r>
    </w:p>
    <w:p w14:paraId="466CD3C5"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competition. </w:t>
      </w:r>
      <w:r w:rsidRPr="007F37A0">
        <w:rPr>
          <w:rFonts w:ascii="Times New Roman" w:hAnsi="Times New Roman" w:cs="Times New Roman"/>
          <w:i/>
          <w:iCs/>
          <w:color w:val="222222"/>
          <w:shd w:val="clear" w:color="auto" w:fill="FFFFFF"/>
        </w:rPr>
        <w:t>Econometrica: Journal of the Econometric Society</w:t>
      </w:r>
      <w:r w:rsidRPr="007F37A0">
        <w:rPr>
          <w:rFonts w:ascii="Times New Roman" w:hAnsi="Times New Roman" w:cs="Times New Roman"/>
          <w:color w:val="222222"/>
          <w:shd w:val="clear" w:color="auto" w:fill="FFFFFF"/>
        </w:rPr>
        <w:t>, 58-64.</w:t>
      </w:r>
    </w:p>
    <w:p w14:paraId="58051983"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Palikhe, H., Schaur, G., &amp; Sims, C. (2023). Environmental policy uncertainty.</w:t>
      </w:r>
    </w:p>
    <w:p w14:paraId="56B09479"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Pástor, Ľ., &amp; Veronesi, P. (2013). Political uncertainty and risk premia. </w:t>
      </w:r>
      <w:r w:rsidRPr="007F37A0">
        <w:rPr>
          <w:rFonts w:ascii="Times New Roman" w:hAnsi="Times New Roman" w:cs="Times New Roman"/>
          <w:i/>
          <w:iCs/>
          <w:color w:val="222222"/>
          <w:shd w:val="clear" w:color="auto" w:fill="FFFFFF"/>
        </w:rPr>
        <w:t xml:space="preserve">Journal of </w:t>
      </w:r>
    </w:p>
    <w:p w14:paraId="4F3CD6A6"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financial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110</w:t>
      </w:r>
      <w:r w:rsidRPr="007F37A0">
        <w:rPr>
          <w:rFonts w:ascii="Times New Roman" w:hAnsi="Times New Roman" w:cs="Times New Roman"/>
          <w:color w:val="222222"/>
          <w:shd w:val="clear" w:color="auto" w:fill="FFFFFF"/>
        </w:rPr>
        <w:t>(3), 520-545.</w:t>
      </w:r>
    </w:p>
    <w:p w14:paraId="6C037F56"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Pindyck, R. S. (1991). Irreversibility, uncertainty, and investment. </w:t>
      </w:r>
      <w:r w:rsidRPr="007F37A0">
        <w:rPr>
          <w:rFonts w:ascii="Times New Roman" w:hAnsi="Times New Roman" w:cs="Times New Roman"/>
          <w:i/>
          <w:iCs/>
          <w:color w:val="222222"/>
          <w:shd w:val="clear" w:color="auto" w:fill="FFFFFF"/>
        </w:rPr>
        <w:t xml:space="preserve">Journal of Economic </w:t>
      </w:r>
    </w:p>
    <w:p w14:paraId="5D38E8B2"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Literature</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29</w:t>
      </w:r>
      <w:r w:rsidRPr="007F37A0">
        <w:rPr>
          <w:rFonts w:ascii="Times New Roman" w:hAnsi="Times New Roman" w:cs="Times New Roman"/>
          <w:color w:val="222222"/>
          <w:shd w:val="clear" w:color="auto" w:fill="FFFFFF"/>
        </w:rPr>
        <w:t>(3), 1110-1148.</w:t>
      </w:r>
    </w:p>
    <w:p w14:paraId="6B43E893"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p>
    <w:p w14:paraId="273E4F88"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lastRenderedPageBreak/>
        <w:t xml:space="preserve">Requate, T. (2005). Dynamic incentives by environmental policy instruments—a </w:t>
      </w:r>
    </w:p>
    <w:p w14:paraId="1C7DDF43"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survey. </w:t>
      </w:r>
      <w:r w:rsidRPr="007F37A0">
        <w:rPr>
          <w:rFonts w:ascii="Times New Roman" w:hAnsi="Times New Roman" w:cs="Times New Roman"/>
          <w:i/>
          <w:iCs/>
          <w:color w:val="222222"/>
          <w:shd w:val="clear" w:color="auto" w:fill="FFFFFF"/>
        </w:rPr>
        <w:t>Ecological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54</w:t>
      </w:r>
      <w:r w:rsidRPr="007F37A0">
        <w:rPr>
          <w:rFonts w:ascii="Times New Roman" w:hAnsi="Times New Roman" w:cs="Times New Roman"/>
          <w:color w:val="222222"/>
          <w:shd w:val="clear" w:color="auto" w:fill="FFFFFF"/>
        </w:rPr>
        <w:t>(2-3), 175-195.</w:t>
      </w:r>
    </w:p>
    <w:p w14:paraId="23EAD26D"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Sautner, Z., Van Lent, L., Vilkov, G., &amp; Zhang, R. (2023). Firm‐level climate change </w:t>
      </w:r>
    </w:p>
    <w:p w14:paraId="02976536"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exposure. </w:t>
      </w:r>
      <w:r w:rsidRPr="007F37A0">
        <w:rPr>
          <w:rFonts w:ascii="Times New Roman" w:hAnsi="Times New Roman" w:cs="Times New Roman"/>
          <w:i/>
          <w:iCs/>
          <w:color w:val="222222"/>
          <w:shd w:val="clear" w:color="auto" w:fill="FFFFFF"/>
        </w:rPr>
        <w:t>The Journal of Finance</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78</w:t>
      </w:r>
      <w:r w:rsidRPr="007F37A0">
        <w:rPr>
          <w:rFonts w:ascii="Times New Roman" w:hAnsi="Times New Roman" w:cs="Times New Roman"/>
          <w:color w:val="222222"/>
          <w:shd w:val="clear" w:color="auto" w:fill="FFFFFF"/>
        </w:rPr>
        <w:t>(3), 1449-1498.</w:t>
      </w:r>
    </w:p>
    <w:p w14:paraId="05127248" w14:textId="77777777" w:rsidR="00D526E7" w:rsidRPr="007F37A0" w:rsidRDefault="00D526E7" w:rsidP="00D526E7">
      <w:pPr>
        <w:spacing w:line="480" w:lineRule="auto"/>
        <w:rPr>
          <w:rFonts w:ascii="Times New Roman" w:hAnsi="Times New Roman" w:cs="Times New Roman"/>
          <w:i/>
          <w:iCs/>
          <w:color w:val="222222"/>
          <w:shd w:val="clear" w:color="auto" w:fill="FFFFFF"/>
        </w:rPr>
      </w:pPr>
      <w:r w:rsidRPr="007F37A0">
        <w:rPr>
          <w:rFonts w:ascii="Times New Roman" w:hAnsi="Times New Roman" w:cs="Times New Roman"/>
          <w:color w:val="222222"/>
          <w:shd w:val="clear" w:color="auto" w:fill="FFFFFF"/>
        </w:rPr>
        <w:t>Stokey, N. L. (2016). Wait-and-see: Investment options under policy uncertainty. </w:t>
      </w:r>
      <w:r w:rsidRPr="007F37A0">
        <w:rPr>
          <w:rFonts w:ascii="Times New Roman" w:hAnsi="Times New Roman" w:cs="Times New Roman"/>
          <w:i/>
          <w:iCs/>
          <w:color w:val="222222"/>
          <w:shd w:val="clear" w:color="auto" w:fill="FFFFFF"/>
        </w:rPr>
        <w:t xml:space="preserve">Review </w:t>
      </w:r>
    </w:p>
    <w:p w14:paraId="2FB6E756"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i/>
          <w:iCs/>
          <w:color w:val="222222"/>
          <w:shd w:val="clear" w:color="auto" w:fill="FFFFFF"/>
        </w:rPr>
        <w:t>of Economic Dynamics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21</w:t>
      </w:r>
      <w:r w:rsidRPr="007F37A0">
        <w:rPr>
          <w:rFonts w:ascii="Times New Roman" w:hAnsi="Times New Roman" w:cs="Times New Roman"/>
          <w:color w:val="222222"/>
          <w:shd w:val="clear" w:color="auto" w:fill="FFFFFF"/>
        </w:rPr>
        <w:t>, 246-265.</w:t>
      </w:r>
    </w:p>
    <w:p w14:paraId="16D59B0A"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Van Soest, D. P. (2005). The impact of environmental policy instruments on the timing of </w:t>
      </w:r>
    </w:p>
    <w:p w14:paraId="1BA979D5" w14:textId="77777777" w:rsidR="00D526E7" w:rsidRPr="007F37A0" w:rsidRDefault="00D526E7" w:rsidP="00D526E7">
      <w:pPr>
        <w:spacing w:line="480" w:lineRule="auto"/>
        <w:ind w:left="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adoption of energy-saving technologies. </w:t>
      </w:r>
      <w:r w:rsidRPr="007F37A0">
        <w:rPr>
          <w:rFonts w:ascii="Times New Roman" w:hAnsi="Times New Roman" w:cs="Times New Roman"/>
          <w:i/>
          <w:iCs/>
          <w:color w:val="222222"/>
          <w:shd w:val="clear" w:color="auto" w:fill="FFFFFF"/>
        </w:rPr>
        <w:t>Resource and Energy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27</w:t>
      </w:r>
      <w:r w:rsidRPr="007F37A0">
        <w:rPr>
          <w:rFonts w:ascii="Times New Roman" w:hAnsi="Times New Roman" w:cs="Times New Roman"/>
          <w:color w:val="222222"/>
          <w:shd w:val="clear" w:color="auto" w:fill="FFFFFF"/>
        </w:rPr>
        <w:t>(3), 235-247.</w:t>
      </w:r>
    </w:p>
    <w:p w14:paraId="4FB39C22"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Van Vo, L., &amp; Le, H. T. T. (2017). Strategic growth option, uncertainty, and R&amp;D </w:t>
      </w:r>
    </w:p>
    <w:p w14:paraId="3879ABF1"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investment. </w:t>
      </w:r>
      <w:r w:rsidRPr="007F37A0">
        <w:rPr>
          <w:rFonts w:ascii="Times New Roman" w:hAnsi="Times New Roman" w:cs="Times New Roman"/>
          <w:i/>
          <w:iCs/>
          <w:color w:val="222222"/>
          <w:shd w:val="clear" w:color="auto" w:fill="FFFFFF"/>
        </w:rPr>
        <w:t>International Review of Financial Analysis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51</w:t>
      </w:r>
      <w:r w:rsidRPr="007F37A0">
        <w:rPr>
          <w:rFonts w:ascii="Times New Roman" w:hAnsi="Times New Roman" w:cs="Times New Roman"/>
          <w:color w:val="222222"/>
          <w:shd w:val="clear" w:color="auto" w:fill="FFFFFF"/>
        </w:rPr>
        <w:t>, 16-24.</w:t>
      </w:r>
    </w:p>
    <w:p w14:paraId="2EC607C8"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Wang, M., Wurgler, J., &amp; Zhang, H. (2023). Policy Uncertainty Reduces Green </w:t>
      </w:r>
    </w:p>
    <w:p w14:paraId="7E254537"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Investment. </w:t>
      </w:r>
      <w:r w:rsidRPr="007F37A0">
        <w:rPr>
          <w:rFonts w:ascii="Times New Roman" w:hAnsi="Times New Roman" w:cs="Times New Roman"/>
          <w:i/>
          <w:iCs/>
          <w:color w:val="222222"/>
          <w:shd w:val="clear" w:color="auto" w:fill="FFFFFF"/>
        </w:rPr>
        <w:t>Available at SSRN 4474726</w:t>
      </w:r>
      <w:r w:rsidRPr="007F37A0">
        <w:rPr>
          <w:rFonts w:ascii="Times New Roman" w:hAnsi="Times New Roman" w:cs="Times New Roman"/>
          <w:color w:val="222222"/>
          <w:shd w:val="clear" w:color="auto" w:fill="FFFFFF"/>
        </w:rPr>
        <w:t xml:space="preserve">. </w:t>
      </w:r>
    </w:p>
    <w:p w14:paraId="76DD4CB5"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Wu, J., Zhang, J., Zhang, S., &amp; Zou, L. (2020). The economic policy uncertainty and firm </w:t>
      </w:r>
    </w:p>
    <w:p w14:paraId="22D4B42A" w14:textId="77777777" w:rsidR="00D526E7" w:rsidRPr="007F37A0" w:rsidRDefault="00D526E7" w:rsidP="00D526E7">
      <w:pPr>
        <w:spacing w:line="480" w:lineRule="auto"/>
        <w:ind w:firstLine="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investment in Australia. </w:t>
      </w:r>
      <w:r w:rsidRPr="007F37A0">
        <w:rPr>
          <w:rFonts w:ascii="Times New Roman" w:hAnsi="Times New Roman" w:cs="Times New Roman"/>
          <w:i/>
          <w:iCs/>
          <w:color w:val="222222"/>
          <w:shd w:val="clear" w:color="auto" w:fill="FFFFFF"/>
        </w:rPr>
        <w:t>Applied Economics</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52</w:t>
      </w:r>
      <w:r w:rsidRPr="007F37A0">
        <w:rPr>
          <w:rFonts w:ascii="Times New Roman" w:hAnsi="Times New Roman" w:cs="Times New Roman"/>
          <w:color w:val="222222"/>
          <w:shd w:val="clear" w:color="auto" w:fill="FFFFFF"/>
        </w:rPr>
        <w:t>(31), 3354-3378.</w:t>
      </w:r>
    </w:p>
    <w:p w14:paraId="55108533" w14:textId="77777777" w:rsidR="00D526E7" w:rsidRPr="007F37A0" w:rsidRDefault="00D526E7" w:rsidP="00D526E7">
      <w:pPr>
        <w:spacing w:line="480" w:lineRule="auto"/>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 xml:space="preserve">Ye, F., Paulson, N., &amp; Khanna, M. (2022). Are renewable energy policies effective to </w:t>
      </w:r>
    </w:p>
    <w:p w14:paraId="75D2DC7A" w14:textId="77777777" w:rsidR="00D526E7" w:rsidRPr="007F37A0" w:rsidRDefault="00D526E7" w:rsidP="00D526E7">
      <w:pPr>
        <w:spacing w:line="480" w:lineRule="auto"/>
        <w:ind w:left="720"/>
        <w:rPr>
          <w:rFonts w:ascii="Times New Roman" w:hAnsi="Times New Roman" w:cs="Times New Roman"/>
          <w:color w:val="222222"/>
          <w:shd w:val="clear" w:color="auto" w:fill="FFFFFF"/>
        </w:rPr>
      </w:pPr>
      <w:r w:rsidRPr="007F37A0">
        <w:rPr>
          <w:rFonts w:ascii="Times New Roman" w:hAnsi="Times New Roman" w:cs="Times New Roman"/>
          <w:color w:val="222222"/>
          <w:shd w:val="clear" w:color="auto" w:fill="FFFFFF"/>
        </w:rPr>
        <w:t>promote technological change? The role of induced technological risk. </w:t>
      </w:r>
      <w:r w:rsidRPr="007F37A0">
        <w:rPr>
          <w:rFonts w:ascii="Times New Roman" w:hAnsi="Times New Roman" w:cs="Times New Roman"/>
          <w:i/>
          <w:iCs/>
          <w:color w:val="222222"/>
          <w:shd w:val="clear" w:color="auto" w:fill="FFFFFF"/>
        </w:rPr>
        <w:t>Journal of Environmental Economics and Management</w:t>
      </w:r>
      <w:r w:rsidRPr="007F37A0">
        <w:rPr>
          <w:rFonts w:ascii="Times New Roman" w:hAnsi="Times New Roman" w:cs="Times New Roman"/>
          <w:color w:val="222222"/>
          <w:shd w:val="clear" w:color="auto" w:fill="FFFFFF"/>
        </w:rPr>
        <w:t>, </w:t>
      </w:r>
      <w:r w:rsidRPr="007F37A0">
        <w:rPr>
          <w:rFonts w:ascii="Times New Roman" w:hAnsi="Times New Roman" w:cs="Times New Roman"/>
          <w:i/>
          <w:iCs/>
          <w:color w:val="222222"/>
          <w:shd w:val="clear" w:color="auto" w:fill="FFFFFF"/>
        </w:rPr>
        <w:t>114</w:t>
      </w:r>
      <w:r w:rsidRPr="007F37A0">
        <w:rPr>
          <w:rFonts w:ascii="Times New Roman" w:hAnsi="Times New Roman" w:cs="Times New Roman"/>
          <w:color w:val="222222"/>
          <w:shd w:val="clear" w:color="auto" w:fill="FFFFFF"/>
        </w:rPr>
        <w:t>, 102665.</w:t>
      </w:r>
    </w:p>
    <w:p w14:paraId="35612430" w14:textId="77777777" w:rsidR="00D526E7" w:rsidRPr="007F37A0" w:rsidRDefault="00D526E7" w:rsidP="00D526E7">
      <w:pPr>
        <w:pStyle w:val="Heading2"/>
        <w:rPr>
          <w:rFonts w:ascii="Times New Roman" w:hAnsi="Times New Roman" w:cs="Times New Roman"/>
        </w:rPr>
      </w:pPr>
      <w:r w:rsidRPr="007F37A0">
        <w:rPr>
          <w:rFonts w:ascii="Times New Roman" w:hAnsi="Times New Roman" w:cs="Times New Roman"/>
          <w:sz w:val="24"/>
          <w:szCs w:val="24"/>
        </w:rPr>
        <w:br w:type="page"/>
      </w:r>
      <w:bookmarkStart w:id="25" w:name="_Toc289175832"/>
      <w:bookmarkStart w:id="26" w:name="_Toc164862504"/>
      <w:r w:rsidRPr="007F37A0">
        <w:rPr>
          <w:rFonts w:ascii="Times New Roman" w:hAnsi="Times New Roman" w:cs="Times New Roman"/>
        </w:rPr>
        <w:lastRenderedPageBreak/>
        <w:t>A</w:t>
      </w:r>
      <w:bookmarkEnd w:id="25"/>
      <w:r w:rsidRPr="007F37A0">
        <w:rPr>
          <w:rFonts w:ascii="Times New Roman" w:hAnsi="Times New Roman" w:cs="Times New Roman"/>
        </w:rPr>
        <w:t>PPENDIX</w:t>
      </w:r>
      <w:bookmarkEnd w:id="26"/>
    </w:p>
    <w:p w14:paraId="6AB6269E" w14:textId="46C5D612" w:rsidR="00D526E7" w:rsidRPr="007F37A0" w:rsidRDefault="00D526E7" w:rsidP="007F37A0">
      <w:pPr>
        <w:pStyle w:val="Caption"/>
        <w:rPr>
          <w:rFonts w:cs="Times New Roman"/>
          <w:b/>
        </w:rPr>
      </w:pPr>
      <w:bookmarkStart w:id="27" w:name="_Ref159331610"/>
      <w:bookmarkStart w:id="28" w:name="_Ref159331130"/>
      <w:bookmarkStart w:id="29" w:name="_Toc289175850"/>
      <w:bookmarkStart w:id="30" w:name="_Toc164862536"/>
      <w:r w:rsidRPr="007F37A0">
        <w:rPr>
          <w:rFonts w:cs="Times New Roman"/>
        </w:rPr>
        <w:t xml:space="preserve">Table </w:t>
      </w:r>
      <w:r w:rsidRPr="007F37A0">
        <w:rPr>
          <w:rFonts w:cs="Times New Roman"/>
          <w:b/>
        </w:rPr>
        <w:fldChar w:fldCharType="begin"/>
      </w:r>
      <w:r w:rsidRPr="007F37A0">
        <w:rPr>
          <w:rFonts w:cs="Times New Roman"/>
        </w:rPr>
        <w:instrText xml:space="preserve"> SEQ Table \* ARABIC </w:instrText>
      </w:r>
      <w:r w:rsidRPr="007F37A0">
        <w:rPr>
          <w:rFonts w:cs="Times New Roman"/>
          <w:b/>
        </w:rPr>
        <w:fldChar w:fldCharType="separate"/>
      </w:r>
      <w:r w:rsidR="00142A7E">
        <w:rPr>
          <w:rFonts w:cs="Times New Roman"/>
          <w:noProof/>
        </w:rPr>
        <w:t>1</w:t>
      </w:r>
      <w:r w:rsidRPr="007F37A0">
        <w:rPr>
          <w:rFonts w:cs="Times New Roman"/>
          <w:b/>
          <w:noProof/>
        </w:rPr>
        <w:fldChar w:fldCharType="end"/>
      </w:r>
      <w:bookmarkEnd w:id="27"/>
      <w:r w:rsidRPr="007F37A0">
        <w:rPr>
          <w:rFonts w:cs="Times New Roman"/>
        </w:rPr>
        <w:t>: Policy Uncertainty Measure Descriptions</w:t>
      </w:r>
      <w:bookmarkEnd w:id="30"/>
    </w:p>
    <w:tbl>
      <w:tblPr>
        <w:tblStyle w:val="TableGrid"/>
        <w:tblW w:w="0" w:type="auto"/>
        <w:tblLook w:val="04A0" w:firstRow="1" w:lastRow="0" w:firstColumn="1" w:lastColumn="0" w:noHBand="0" w:noVBand="1"/>
      </w:tblPr>
      <w:tblGrid>
        <w:gridCol w:w="3055"/>
        <w:gridCol w:w="5575"/>
      </w:tblGrid>
      <w:tr w:rsidR="00D526E7" w:rsidRPr="007F37A0" w14:paraId="12E703DC" w14:textId="77777777" w:rsidTr="00735871">
        <w:tc>
          <w:tcPr>
            <w:tcW w:w="3055" w:type="dxa"/>
          </w:tcPr>
          <w:p w14:paraId="68F46BCA" w14:textId="77777777" w:rsidR="00D526E7" w:rsidRPr="007F37A0" w:rsidRDefault="00D526E7" w:rsidP="00735871">
            <w:pPr>
              <w:jc w:val="center"/>
              <w:rPr>
                <w:rFonts w:ascii="Times New Roman" w:hAnsi="Times New Roman" w:cs="Times New Roman"/>
              </w:rPr>
            </w:pPr>
            <w:r w:rsidRPr="007F37A0">
              <w:rPr>
                <w:rFonts w:ascii="Times New Roman" w:hAnsi="Times New Roman" w:cs="Times New Roman"/>
              </w:rPr>
              <w:t>Policy Uncertainty Measure</w:t>
            </w:r>
          </w:p>
        </w:tc>
        <w:tc>
          <w:tcPr>
            <w:tcW w:w="5575" w:type="dxa"/>
          </w:tcPr>
          <w:p w14:paraId="03D80FE9" w14:textId="77777777" w:rsidR="00D526E7" w:rsidRPr="007F37A0" w:rsidRDefault="00D526E7" w:rsidP="00735871">
            <w:pPr>
              <w:jc w:val="center"/>
              <w:rPr>
                <w:rFonts w:ascii="Times New Roman" w:hAnsi="Times New Roman" w:cs="Times New Roman"/>
              </w:rPr>
            </w:pPr>
            <w:r w:rsidRPr="007F37A0">
              <w:rPr>
                <w:rFonts w:ascii="Times New Roman" w:hAnsi="Times New Roman" w:cs="Times New Roman"/>
              </w:rPr>
              <w:t>Description</w:t>
            </w:r>
          </w:p>
        </w:tc>
      </w:tr>
      <w:tr w:rsidR="00D526E7" w:rsidRPr="007F37A0" w14:paraId="02DA5552" w14:textId="77777777" w:rsidTr="00735871">
        <w:tc>
          <w:tcPr>
            <w:tcW w:w="3055" w:type="dxa"/>
          </w:tcPr>
          <w:p w14:paraId="438BDAD3" w14:textId="77777777" w:rsidR="00D526E7" w:rsidRPr="007F37A0" w:rsidRDefault="00D526E7" w:rsidP="00735871">
            <w:pPr>
              <w:jc w:val="both"/>
              <w:rPr>
                <w:rFonts w:ascii="Times New Roman" w:hAnsi="Times New Roman" w:cs="Times New Roman"/>
              </w:rPr>
            </w:pPr>
            <w:r w:rsidRPr="007F37A0">
              <w:rPr>
                <w:rFonts w:ascii="Times New Roman" w:hAnsi="Times New Roman" w:cs="Times New Roman"/>
              </w:rPr>
              <w:t>Direct Policy Uncertainty</w:t>
            </w:r>
          </w:p>
        </w:tc>
        <w:tc>
          <w:tcPr>
            <w:tcW w:w="5575" w:type="dxa"/>
          </w:tcPr>
          <w:p w14:paraId="6756AA9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Policy uncertainty as measured by text analysis of newspaper articles mentioning uncertainty, following Baker, Bloom, and Davis (2016). This measure attempts to directly measure policy uncertainty by counting articles that discuss relevant policies and include words relating to uncertainty.</w:t>
            </w:r>
          </w:p>
        </w:tc>
      </w:tr>
      <w:tr w:rsidR="00D526E7" w:rsidRPr="007F37A0" w14:paraId="420F1FEE" w14:textId="77777777" w:rsidTr="00735871">
        <w:tc>
          <w:tcPr>
            <w:tcW w:w="3055" w:type="dxa"/>
          </w:tcPr>
          <w:p w14:paraId="0D07D9B3" w14:textId="77777777" w:rsidR="00D526E7" w:rsidRPr="007F37A0" w:rsidRDefault="00D526E7" w:rsidP="00735871">
            <w:pPr>
              <w:jc w:val="both"/>
              <w:rPr>
                <w:rFonts w:ascii="Times New Roman" w:hAnsi="Times New Roman" w:cs="Times New Roman"/>
              </w:rPr>
            </w:pPr>
            <w:r w:rsidRPr="007F37A0">
              <w:rPr>
                <w:rFonts w:ascii="Times New Roman" w:hAnsi="Times New Roman" w:cs="Times New Roman"/>
              </w:rPr>
              <w:t>Statistical Policy Uncertainty</w:t>
            </w:r>
          </w:p>
        </w:tc>
        <w:tc>
          <w:tcPr>
            <w:tcW w:w="5575" w:type="dxa"/>
          </w:tcPr>
          <w:p w14:paraId="0137504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Policy uncertainty as measured by estimating the stochastic volatility of the level of policy activity. First, I construct a text analysis measure of newspaper articles mentioning relevant policies, the policy index. Next, eI estimate the latent time-varying volatility process from a stochastic volatility model assuming an AR(1) process using the policy index.</w:t>
            </w:r>
          </w:p>
        </w:tc>
      </w:tr>
    </w:tbl>
    <w:p w14:paraId="5948B2DF" w14:textId="77777777" w:rsidR="00D526E7" w:rsidRPr="007F37A0" w:rsidRDefault="00D526E7" w:rsidP="007F37A0">
      <w:pPr>
        <w:pStyle w:val="Caption"/>
        <w:rPr>
          <w:rFonts w:cs="Times New Roman"/>
        </w:rPr>
      </w:pPr>
    </w:p>
    <w:p w14:paraId="55030960" w14:textId="36CBE5BC" w:rsidR="00D526E7" w:rsidRPr="007F37A0" w:rsidRDefault="00D526E7" w:rsidP="007F37A0">
      <w:pPr>
        <w:pStyle w:val="Caption"/>
        <w:rPr>
          <w:rFonts w:cs="Times New Roman"/>
          <w:b/>
        </w:rPr>
      </w:pPr>
      <w:bookmarkStart w:id="31" w:name="_Ref159839322"/>
      <w:bookmarkStart w:id="32" w:name="_Ref159839317"/>
      <w:bookmarkStart w:id="33" w:name="_Toc164862537"/>
      <w:r w:rsidRPr="007F37A0">
        <w:rPr>
          <w:rFonts w:cs="Times New Roman"/>
        </w:rPr>
        <w:t xml:space="preserve">Table </w:t>
      </w:r>
      <w:r w:rsidRPr="007F37A0">
        <w:rPr>
          <w:rFonts w:cs="Times New Roman"/>
          <w:b/>
        </w:rPr>
        <w:fldChar w:fldCharType="begin"/>
      </w:r>
      <w:r w:rsidRPr="007F37A0">
        <w:rPr>
          <w:rFonts w:cs="Times New Roman"/>
        </w:rPr>
        <w:instrText xml:space="preserve"> SEQ Table \* ARABIC </w:instrText>
      </w:r>
      <w:r w:rsidRPr="007F37A0">
        <w:rPr>
          <w:rFonts w:cs="Times New Roman"/>
          <w:b/>
        </w:rPr>
        <w:fldChar w:fldCharType="separate"/>
      </w:r>
      <w:r w:rsidR="00142A7E">
        <w:rPr>
          <w:rFonts w:cs="Times New Roman"/>
          <w:noProof/>
        </w:rPr>
        <w:t>2</w:t>
      </w:r>
      <w:r w:rsidRPr="007F37A0">
        <w:rPr>
          <w:rFonts w:cs="Times New Roman"/>
          <w:b/>
          <w:noProof/>
        </w:rPr>
        <w:fldChar w:fldCharType="end"/>
      </w:r>
      <w:bookmarkEnd w:id="28"/>
      <w:bookmarkEnd w:id="31"/>
      <w:r w:rsidRPr="007F37A0">
        <w:rPr>
          <w:rFonts w:cs="Times New Roman"/>
        </w:rPr>
        <w:t xml:space="preserve">: </w:t>
      </w:r>
      <w:bookmarkEnd w:id="29"/>
      <w:r w:rsidRPr="007F37A0">
        <w:rPr>
          <w:rFonts w:cs="Times New Roman"/>
        </w:rPr>
        <w:t>Electric Utility Policy Uncertainty Newspaper Article Search Terms</w:t>
      </w:r>
      <w:bookmarkEnd w:id="32"/>
      <w:bookmarkEnd w:id="33"/>
    </w:p>
    <w:tbl>
      <w:tblPr>
        <w:tblStyle w:val="TableGrid"/>
        <w:tblW w:w="0" w:type="auto"/>
        <w:tblLook w:val="04A0" w:firstRow="1" w:lastRow="0" w:firstColumn="1" w:lastColumn="0" w:noHBand="0" w:noVBand="1"/>
      </w:tblPr>
      <w:tblGrid>
        <w:gridCol w:w="3235"/>
        <w:gridCol w:w="5395"/>
      </w:tblGrid>
      <w:tr w:rsidR="00D526E7" w:rsidRPr="007F37A0" w14:paraId="6F0B1DB6" w14:textId="77777777" w:rsidTr="00735871">
        <w:tc>
          <w:tcPr>
            <w:tcW w:w="3235" w:type="dxa"/>
          </w:tcPr>
          <w:p w14:paraId="708B8515" w14:textId="77777777" w:rsidR="00D526E7" w:rsidRPr="007F37A0" w:rsidRDefault="00D526E7" w:rsidP="00735871">
            <w:pPr>
              <w:jc w:val="center"/>
              <w:rPr>
                <w:rFonts w:ascii="Times New Roman" w:hAnsi="Times New Roman" w:cs="Times New Roman"/>
              </w:rPr>
            </w:pPr>
            <w:r w:rsidRPr="007F37A0">
              <w:rPr>
                <w:rFonts w:ascii="Times New Roman" w:hAnsi="Times New Roman" w:cs="Times New Roman"/>
              </w:rPr>
              <w:t>Keyword Group</w:t>
            </w:r>
          </w:p>
        </w:tc>
        <w:tc>
          <w:tcPr>
            <w:tcW w:w="5395" w:type="dxa"/>
          </w:tcPr>
          <w:p w14:paraId="337D7555" w14:textId="77777777" w:rsidR="00D526E7" w:rsidRPr="007F37A0" w:rsidRDefault="00D526E7" w:rsidP="00735871">
            <w:pPr>
              <w:jc w:val="center"/>
              <w:rPr>
                <w:rFonts w:ascii="Times New Roman" w:hAnsi="Times New Roman" w:cs="Times New Roman"/>
              </w:rPr>
            </w:pPr>
            <w:r w:rsidRPr="007F37A0">
              <w:rPr>
                <w:rFonts w:ascii="Times New Roman" w:hAnsi="Times New Roman" w:cs="Times New Roman"/>
              </w:rPr>
              <w:t>Search Criteria</w:t>
            </w:r>
          </w:p>
        </w:tc>
      </w:tr>
      <w:tr w:rsidR="00D526E7" w:rsidRPr="007F37A0" w14:paraId="60734228" w14:textId="77777777" w:rsidTr="00735871">
        <w:tc>
          <w:tcPr>
            <w:tcW w:w="3235" w:type="dxa"/>
          </w:tcPr>
          <w:p w14:paraId="187FB52C" w14:textId="77777777" w:rsidR="00D526E7" w:rsidRPr="007F37A0" w:rsidRDefault="00D526E7" w:rsidP="00735871">
            <w:pPr>
              <w:jc w:val="both"/>
              <w:rPr>
                <w:rFonts w:ascii="Times New Roman" w:hAnsi="Times New Roman" w:cs="Times New Roman"/>
              </w:rPr>
            </w:pPr>
            <w:r w:rsidRPr="007F37A0">
              <w:rPr>
                <w:rFonts w:ascii="Times New Roman" w:hAnsi="Times New Roman" w:cs="Times New Roman"/>
              </w:rPr>
              <w:t>Economic</w:t>
            </w:r>
          </w:p>
        </w:tc>
        <w:tc>
          <w:tcPr>
            <w:tcW w:w="5395" w:type="dxa"/>
          </w:tcPr>
          <w:p w14:paraId="76561BB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“economic” or “economy”</w:t>
            </w:r>
          </w:p>
        </w:tc>
      </w:tr>
      <w:tr w:rsidR="00D526E7" w:rsidRPr="007F37A0" w14:paraId="5A106817" w14:textId="77777777" w:rsidTr="00735871">
        <w:tc>
          <w:tcPr>
            <w:tcW w:w="3235" w:type="dxa"/>
          </w:tcPr>
          <w:p w14:paraId="40BDD55E" w14:textId="77777777" w:rsidR="00D526E7" w:rsidRPr="007F37A0" w:rsidRDefault="00D526E7" w:rsidP="00735871">
            <w:pPr>
              <w:jc w:val="both"/>
              <w:rPr>
                <w:rFonts w:ascii="Times New Roman" w:hAnsi="Times New Roman" w:cs="Times New Roman"/>
              </w:rPr>
            </w:pPr>
            <w:r w:rsidRPr="007F37A0">
              <w:rPr>
                <w:rFonts w:ascii="Times New Roman" w:hAnsi="Times New Roman" w:cs="Times New Roman"/>
              </w:rPr>
              <w:t>Uncertainty</w:t>
            </w:r>
          </w:p>
        </w:tc>
        <w:tc>
          <w:tcPr>
            <w:tcW w:w="5395" w:type="dxa"/>
          </w:tcPr>
          <w:p w14:paraId="4DAF530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“uncertain” or “uncertainty” or “uncertainties”</w:t>
            </w:r>
          </w:p>
        </w:tc>
      </w:tr>
      <w:tr w:rsidR="00D526E7" w:rsidRPr="007F37A0" w14:paraId="1F21EF37" w14:textId="77777777" w:rsidTr="00735871">
        <w:tc>
          <w:tcPr>
            <w:tcW w:w="3235" w:type="dxa"/>
          </w:tcPr>
          <w:p w14:paraId="42761791" w14:textId="77777777" w:rsidR="00D526E7" w:rsidRPr="007F37A0" w:rsidRDefault="00D526E7" w:rsidP="00735871">
            <w:pPr>
              <w:jc w:val="both"/>
              <w:rPr>
                <w:rFonts w:ascii="Times New Roman" w:hAnsi="Times New Roman" w:cs="Times New Roman"/>
              </w:rPr>
            </w:pPr>
            <w:r w:rsidRPr="007F37A0">
              <w:rPr>
                <w:rFonts w:ascii="Times New Roman" w:hAnsi="Times New Roman" w:cs="Times New Roman"/>
              </w:rPr>
              <w:t>Regulatory Body</w:t>
            </w:r>
          </w:p>
        </w:tc>
        <w:tc>
          <w:tcPr>
            <w:tcW w:w="5395" w:type="dxa"/>
          </w:tcPr>
          <w:p w14:paraId="4772EE0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“Congress” or “legislation” or “regulation” or “regulatory” or “White House” or “policy” or “Federal Energy Regulatory Commission” or “Nuclear Regulatory Commission” or “public utility commission”</w:t>
            </w:r>
          </w:p>
        </w:tc>
      </w:tr>
      <w:tr w:rsidR="00D526E7" w:rsidRPr="007F37A0" w14:paraId="41772215" w14:textId="77777777" w:rsidTr="00735871">
        <w:tc>
          <w:tcPr>
            <w:tcW w:w="3235" w:type="dxa"/>
          </w:tcPr>
          <w:p w14:paraId="73E2C9B3" w14:textId="77777777" w:rsidR="00D526E7" w:rsidRPr="007F37A0" w:rsidRDefault="00D526E7" w:rsidP="00735871">
            <w:pPr>
              <w:jc w:val="both"/>
              <w:rPr>
                <w:rFonts w:ascii="Times New Roman" w:hAnsi="Times New Roman" w:cs="Times New Roman"/>
              </w:rPr>
            </w:pPr>
            <w:r w:rsidRPr="007F37A0">
              <w:rPr>
                <w:rFonts w:ascii="Times New Roman" w:hAnsi="Times New Roman" w:cs="Times New Roman"/>
              </w:rPr>
              <w:t>Industry</w:t>
            </w:r>
          </w:p>
        </w:tc>
        <w:tc>
          <w:tcPr>
            <w:tcW w:w="5395" w:type="dxa"/>
          </w:tcPr>
          <w:p w14:paraId="5E60C51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“electricity” or “electric” or “utilities” or “power plant” or “energy industry” or “energy sector”</w:t>
            </w:r>
          </w:p>
        </w:tc>
      </w:tr>
      <w:tr w:rsidR="00D526E7" w:rsidRPr="007F37A0" w14:paraId="370E0CC6" w14:textId="77777777" w:rsidTr="00735871">
        <w:tc>
          <w:tcPr>
            <w:tcW w:w="3235" w:type="dxa"/>
          </w:tcPr>
          <w:p w14:paraId="12636815" w14:textId="77777777" w:rsidR="00D526E7" w:rsidRPr="007F37A0" w:rsidRDefault="00D526E7" w:rsidP="00735871">
            <w:pPr>
              <w:jc w:val="both"/>
              <w:rPr>
                <w:rFonts w:ascii="Times New Roman" w:hAnsi="Times New Roman" w:cs="Times New Roman"/>
              </w:rPr>
            </w:pPr>
            <w:r w:rsidRPr="007F37A0">
              <w:rPr>
                <w:rFonts w:ascii="Times New Roman" w:hAnsi="Times New Roman" w:cs="Times New Roman"/>
              </w:rPr>
              <w:t>Policy</w:t>
            </w:r>
          </w:p>
        </w:tc>
        <w:tc>
          <w:tcPr>
            <w:tcW w:w="5395" w:type="dxa"/>
          </w:tcPr>
          <w:p w14:paraId="0A9CA90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“energy policy” or “energy tax” or “energy subsidy” or “carbon tax” or “cap and trade” or “cap and tax” or “pollution controls” or “environmental restrictions” or “clean air act” or “clean water act” or “greenhouse gas regulation” or “climate change regulation” or “mercury air toxics standards“ or “coal ash” or “energy efficiency” or “smart grid” or “carbon capture and storage” or “renewable energy tax credit” or “renewable energy production tax credit” or “net metering” or “electrification” or “carbon pollution” or “emissions regulations” or “carbon emissions” or “modernization” or “grid security” or “energy security” or “air pollution” or “smog”</w:t>
            </w:r>
          </w:p>
        </w:tc>
      </w:tr>
    </w:tbl>
    <w:p w14:paraId="310CD27C" w14:textId="77777777" w:rsidR="00D526E7" w:rsidRPr="007F37A0" w:rsidRDefault="00D526E7" w:rsidP="00D526E7">
      <w:pPr>
        <w:rPr>
          <w:rFonts w:ascii="Times New Roman" w:hAnsi="Times New Roman" w:cs="Times New Roman"/>
        </w:rPr>
      </w:pPr>
      <w:bookmarkStart w:id="34" w:name="_Ref159332240"/>
    </w:p>
    <w:tbl>
      <w:tblPr>
        <w:tblStyle w:val="TableGrid"/>
        <w:tblW w:w="9085" w:type="dxa"/>
        <w:jc w:val="center"/>
        <w:tblLook w:val="04A0" w:firstRow="1" w:lastRow="0" w:firstColumn="1" w:lastColumn="0" w:noHBand="0" w:noVBand="1"/>
      </w:tblPr>
      <w:tblGrid>
        <w:gridCol w:w="2006"/>
        <w:gridCol w:w="5009"/>
        <w:gridCol w:w="900"/>
        <w:gridCol w:w="1170"/>
      </w:tblGrid>
      <w:tr w:rsidR="00D526E7" w:rsidRPr="007F37A0" w14:paraId="467EDFDB" w14:textId="77777777" w:rsidTr="00735871">
        <w:trPr>
          <w:jc w:val="center"/>
        </w:trPr>
        <w:tc>
          <w:tcPr>
            <w:tcW w:w="9085" w:type="dxa"/>
            <w:gridSpan w:val="4"/>
            <w:tcBorders>
              <w:top w:val="nil"/>
              <w:left w:val="nil"/>
              <w:bottom w:val="single" w:sz="4" w:space="0" w:color="auto"/>
              <w:right w:val="nil"/>
            </w:tcBorders>
          </w:tcPr>
          <w:p w14:paraId="53F3AE9F" w14:textId="40939B87" w:rsidR="00D526E7" w:rsidRPr="007F37A0" w:rsidRDefault="00D526E7" w:rsidP="007F37A0">
            <w:pPr>
              <w:pStyle w:val="Caption"/>
              <w:rPr>
                <w:rFonts w:cs="Times New Roman"/>
                <w:b/>
              </w:rPr>
            </w:pPr>
            <w:bookmarkStart w:id="35" w:name="_Ref159847291"/>
            <w:bookmarkStart w:id="36" w:name="_Toc164862538"/>
            <w:r w:rsidRPr="007F37A0">
              <w:rPr>
                <w:rFonts w:cs="Times New Roman"/>
              </w:rPr>
              <w:t xml:space="preserve">Table </w:t>
            </w:r>
            <w:r w:rsidRPr="007F37A0">
              <w:rPr>
                <w:rFonts w:cs="Times New Roman"/>
                <w:b/>
              </w:rPr>
              <w:fldChar w:fldCharType="begin"/>
            </w:r>
            <w:r w:rsidRPr="007F37A0">
              <w:rPr>
                <w:rFonts w:cs="Times New Roman"/>
              </w:rPr>
              <w:instrText xml:space="preserve"> SEQ Table \* ARABIC </w:instrText>
            </w:r>
            <w:r w:rsidRPr="007F37A0">
              <w:rPr>
                <w:rFonts w:cs="Times New Roman"/>
                <w:b/>
              </w:rPr>
              <w:fldChar w:fldCharType="separate"/>
            </w:r>
            <w:r w:rsidR="00142A7E">
              <w:rPr>
                <w:rFonts w:cs="Times New Roman"/>
                <w:noProof/>
              </w:rPr>
              <w:t>3</w:t>
            </w:r>
            <w:r w:rsidRPr="007F37A0">
              <w:rPr>
                <w:rFonts w:cs="Times New Roman"/>
                <w:b/>
                <w:noProof/>
              </w:rPr>
              <w:fldChar w:fldCharType="end"/>
            </w:r>
            <w:bookmarkEnd w:id="35"/>
            <w:r w:rsidRPr="007F37A0">
              <w:rPr>
                <w:rFonts w:cs="Times New Roman"/>
              </w:rPr>
              <w:t>: Descriptive Statistics</w:t>
            </w:r>
            <w:bookmarkEnd w:id="36"/>
          </w:p>
        </w:tc>
      </w:tr>
      <w:tr w:rsidR="00D526E7" w:rsidRPr="007F37A0" w14:paraId="78ACB140" w14:textId="77777777" w:rsidTr="00735871">
        <w:trPr>
          <w:jc w:val="center"/>
        </w:trPr>
        <w:tc>
          <w:tcPr>
            <w:tcW w:w="2006" w:type="dxa"/>
            <w:tcBorders>
              <w:top w:val="single" w:sz="4" w:space="0" w:color="auto"/>
            </w:tcBorders>
          </w:tcPr>
          <w:p w14:paraId="0C5EA316" w14:textId="77777777" w:rsidR="00D526E7" w:rsidRPr="007F37A0" w:rsidRDefault="00D526E7" w:rsidP="00735871">
            <w:pPr>
              <w:jc w:val="center"/>
              <w:rPr>
                <w:rFonts w:ascii="Times New Roman" w:hAnsi="Times New Roman" w:cs="Times New Roman"/>
              </w:rPr>
            </w:pPr>
            <w:r w:rsidRPr="007F37A0">
              <w:rPr>
                <w:rFonts w:ascii="Times New Roman" w:hAnsi="Times New Roman" w:cs="Times New Roman"/>
              </w:rPr>
              <w:t>Variable</w:t>
            </w:r>
          </w:p>
        </w:tc>
        <w:tc>
          <w:tcPr>
            <w:tcW w:w="5009" w:type="dxa"/>
            <w:tcBorders>
              <w:top w:val="single" w:sz="4" w:space="0" w:color="auto"/>
            </w:tcBorders>
          </w:tcPr>
          <w:p w14:paraId="25A34442" w14:textId="77777777" w:rsidR="00D526E7" w:rsidRPr="007F37A0" w:rsidRDefault="00D526E7" w:rsidP="00735871">
            <w:pPr>
              <w:jc w:val="center"/>
              <w:rPr>
                <w:rFonts w:ascii="Times New Roman" w:hAnsi="Times New Roman" w:cs="Times New Roman"/>
              </w:rPr>
            </w:pPr>
            <w:r w:rsidRPr="007F37A0">
              <w:rPr>
                <w:rFonts w:ascii="Times New Roman" w:hAnsi="Times New Roman" w:cs="Times New Roman"/>
              </w:rPr>
              <w:t>Description</w:t>
            </w:r>
          </w:p>
        </w:tc>
        <w:tc>
          <w:tcPr>
            <w:tcW w:w="900" w:type="dxa"/>
            <w:tcBorders>
              <w:top w:val="single" w:sz="4" w:space="0" w:color="auto"/>
            </w:tcBorders>
          </w:tcPr>
          <w:p w14:paraId="037E5379" w14:textId="77777777" w:rsidR="00D526E7" w:rsidRPr="007F37A0" w:rsidRDefault="00D526E7" w:rsidP="00735871">
            <w:pPr>
              <w:jc w:val="center"/>
              <w:rPr>
                <w:rFonts w:ascii="Times New Roman" w:hAnsi="Times New Roman" w:cs="Times New Roman"/>
              </w:rPr>
            </w:pPr>
            <w:r w:rsidRPr="007F37A0">
              <w:rPr>
                <w:rFonts w:ascii="Times New Roman" w:hAnsi="Times New Roman" w:cs="Times New Roman"/>
              </w:rPr>
              <w:t>Mean</w:t>
            </w:r>
          </w:p>
        </w:tc>
        <w:tc>
          <w:tcPr>
            <w:tcW w:w="1170" w:type="dxa"/>
            <w:tcBorders>
              <w:top w:val="single" w:sz="4" w:space="0" w:color="auto"/>
            </w:tcBorders>
          </w:tcPr>
          <w:p w14:paraId="205504FA" w14:textId="77777777" w:rsidR="00D526E7" w:rsidRPr="007F37A0" w:rsidRDefault="00D526E7" w:rsidP="00735871">
            <w:pPr>
              <w:jc w:val="center"/>
              <w:rPr>
                <w:rFonts w:ascii="Times New Roman" w:hAnsi="Times New Roman" w:cs="Times New Roman"/>
              </w:rPr>
            </w:pPr>
            <w:r w:rsidRPr="007F37A0">
              <w:rPr>
                <w:rFonts w:ascii="Times New Roman" w:hAnsi="Times New Roman" w:cs="Times New Roman"/>
              </w:rPr>
              <w:t>Standard Deviation</w:t>
            </w:r>
          </w:p>
        </w:tc>
      </w:tr>
      <w:tr w:rsidR="00D526E7" w:rsidRPr="007F37A0" w14:paraId="4D6EC0E5" w14:textId="77777777" w:rsidTr="00735871">
        <w:trPr>
          <w:jc w:val="center"/>
        </w:trPr>
        <w:tc>
          <w:tcPr>
            <w:tcW w:w="2006" w:type="dxa"/>
          </w:tcPr>
          <w:p w14:paraId="1418DA9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Investment Rate</w:t>
            </w:r>
          </w:p>
        </w:tc>
        <w:tc>
          <w:tcPr>
            <w:tcW w:w="5009" w:type="dxa"/>
          </w:tcPr>
          <w:p w14:paraId="188598F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Capital expenditures in the previous quarter divided by stock of physical capital as measured by plant, property, and equipment, winsorized, multiplied by 100 so values are interpreted as percentages</w:t>
            </w:r>
          </w:p>
        </w:tc>
        <w:tc>
          <w:tcPr>
            <w:tcW w:w="900" w:type="dxa"/>
          </w:tcPr>
          <w:p w14:paraId="5849D641"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2.57</w:t>
            </w:r>
          </w:p>
        </w:tc>
        <w:tc>
          <w:tcPr>
            <w:tcW w:w="1170" w:type="dxa"/>
          </w:tcPr>
          <w:p w14:paraId="23AD60FE"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2.02</w:t>
            </w:r>
          </w:p>
        </w:tc>
      </w:tr>
      <w:tr w:rsidR="00D526E7" w:rsidRPr="007F37A0" w14:paraId="5CEE385C" w14:textId="77777777" w:rsidTr="00735871">
        <w:trPr>
          <w:jc w:val="center"/>
        </w:trPr>
        <w:tc>
          <w:tcPr>
            <w:tcW w:w="2006" w:type="dxa"/>
          </w:tcPr>
          <w:p w14:paraId="2CEAFC1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Policy Index (P)</w:t>
            </w:r>
          </w:p>
        </w:tc>
        <w:tc>
          <w:tcPr>
            <w:tcW w:w="5009" w:type="dxa"/>
          </w:tcPr>
          <w:p w14:paraId="4DD6C61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Direct measure of policy activity using newspaper article text analysis.</w:t>
            </w:r>
          </w:p>
        </w:tc>
        <w:tc>
          <w:tcPr>
            <w:tcW w:w="900" w:type="dxa"/>
          </w:tcPr>
          <w:p w14:paraId="437A4D3A"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184.80</w:t>
            </w:r>
          </w:p>
        </w:tc>
        <w:tc>
          <w:tcPr>
            <w:tcW w:w="1170" w:type="dxa"/>
          </w:tcPr>
          <w:p w14:paraId="45F180FD"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111.14</w:t>
            </w:r>
          </w:p>
        </w:tc>
      </w:tr>
      <w:tr w:rsidR="00D526E7" w:rsidRPr="007F37A0" w14:paraId="2F79F3FA" w14:textId="77777777" w:rsidTr="00735871">
        <w:trPr>
          <w:jc w:val="center"/>
        </w:trPr>
        <w:tc>
          <w:tcPr>
            <w:tcW w:w="2006" w:type="dxa"/>
          </w:tcPr>
          <w:p w14:paraId="39F5021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Direct Policy Uncertainty (PU)</w:t>
            </w:r>
          </w:p>
        </w:tc>
        <w:tc>
          <w:tcPr>
            <w:tcW w:w="5009" w:type="dxa"/>
          </w:tcPr>
          <w:p w14:paraId="075D9F3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Direct measure of policy uncertainty using newspaper article text analysis following Baker, Bloom, and Davis (2016).</w:t>
            </w:r>
          </w:p>
        </w:tc>
        <w:tc>
          <w:tcPr>
            <w:tcW w:w="900" w:type="dxa"/>
          </w:tcPr>
          <w:p w14:paraId="2DB2EF88"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223.16</w:t>
            </w:r>
          </w:p>
        </w:tc>
        <w:tc>
          <w:tcPr>
            <w:tcW w:w="1170" w:type="dxa"/>
          </w:tcPr>
          <w:p w14:paraId="449BFE5C"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201.38</w:t>
            </w:r>
          </w:p>
        </w:tc>
      </w:tr>
      <w:tr w:rsidR="00D526E7" w:rsidRPr="007F37A0" w14:paraId="582F7BA7" w14:textId="77777777" w:rsidTr="00735871">
        <w:trPr>
          <w:jc w:val="center"/>
        </w:trPr>
        <w:tc>
          <w:tcPr>
            <w:tcW w:w="2006" w:type="dxa"/>
          </w:tcPr>
          <w:p w14:paraId="74918E8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Statistical Policy Uncertainty (V)</w:t>
            </w:r>
          </w:p>
        </w:tc>
        <w:tc>
          <w:tcPr>
            <w:tcW w:w="5009" w:type="dxa"/>
          </w:tcPr>
          <w:p w14:paraId="0F154FD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Estimated statistical volatility of the Policy Index.</w:t>
            </w:r>
          </w:p>
        </w:tc>
        <w:tc>
          <w:tcPr>
            <w:tcW w:w="900" w:type="dxa"/>
          </w:tcPr>
          <w:p w14:paraId="3FA4EEE8"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7.68</w:t>
            </w:r>
          </w:p>
        </w:tc>
        <w:tc>
          <w:tcPr>
            <w:tcW w:w="1170" w:type="dxa"/>
          </w:tcPr>
          <w:p w14:paraId="356E012A"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0.95</w:t>
            </w:r>
          </w:p>
        </w:tc>
      </w:tr>
      <w:tr w:rsidR="00D526E7" w:rsidRPr="007F37A0" w14:paraId="58854845" w14:textId="77777777" w:rsidTr="00735871">
        <w:trPr>
          <w:jc w:val="center"/>
        </w:trPr>
        <w:tc>
          <w:tcPr>
            <w:tcW w:w="2006" w:type="dxa"/>
          </w:tcPr>
          <w:p w14:paraId="30A795E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Real GDP growth</w:t>
            </w:r>
          </w:p>
        </w:tc>
        <w:tc>
          <w:tcPr>
            <w:tcW w:w="5009" w:type="dxa"/>
          </w:tcPr>
          <w:p w14:paraId="282D94E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Real GDP growth from FRED.</w:t>
            </w:r>
          </w:p>
        </w:tc>
        <w:tc>
          <w:tcPr>
            <w:tcW w:w="900" w:type="dxa"/>
          </w:tcPr>
          <w:p w14:paraId="77B65CA6"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0.50</w:t>
            </w:r>
          </w:p>
        </w:tc>
        <w:tc>
          <w:tcPr>
            <w:tcW w:w="1170" w:type="dxa"/>
          </w:tcPr>
          <w:p w14:paraId="2A0D3A60"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1.34</w:t>
            </w:r>
          </w:p>
        </w:tc>
      </w:tr>
      <w:tr w:rsidR="00D526E7" w:rsidRPr="007F37A0" w14:paraId="5B9BBE78" w14:textId="77777777" w:rsidTr="00735871">
        <w:trPr>
          <w:jc w:val="center"/>
        </w:trPr>
        <w:tc>
          <w:tcPr>
            <w:tcW w:w="2006" w:type="dxa"/>
          </w:tcPr>
          <w:p w14:paraId="0C325F4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Consumer Sentiment Index</w:t>
            </w:r>
          </w:p>
        </w:tc>
        <w:tc>
          <w:tcPr>
            <w:tcW w:w="5009" w:type="dxa"/>
          </w:tcPr>
          <w:p w14:paraId="037DE2F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University of Michigan’s Consumer Sentiment survey which summarizes consumer perception of economic conditions.</w:t>
            </w:r>
          </w:p>
        </w:tc>
        <w:tc>
          <w:tcPr>
            <w:tcW w:w="900" w:type="dxa"/>
          </w:tcPr>
          <w:p w14:paraId="0F78CBBD"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84.12</w:t>
            </w:r>
          </w:p>
        </w:tc>
        <w:tc>
          <w:tcPr>
            <w:tcW w:w="1170" w:type="dxa"/>
          </w:tcPr>
          <w:p w14:paraId="282CD95E"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10.97</w:t>
            </w:r>
          </w:p>
        </w:tc>
      </w:tr>
      <w:tr w:rsidR="00D526E7" w:rsidRPr="007F37A0" w14:paraId="19299E8E" w14:textId="77777777" w:rsidTr="00735871">
        <w:trPr>
          <w:jc w:val="center"/>
        </w:trPr>
        <w:tc>
          <w:tcPr>
            <w:tcW w:w="2006" w:type="dxa"/>
          </w:tcPr>
          <w:p w14:paraId="00E6DAD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Leading Index</w:t>
            </w:r>
          </w:p>
        </w:tc>
        <w:tc>
          <w:tcPr>
            <w:tcW w:w="5009" w:type="dxa"/>
          </w:tcPr>
          <w:p w14:paraId="3366040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Predicted six-month growth rate for the coincident index which measures economic conditions.</w:t>
            </w:r>
          </w:p>
        </w:tc>
        <w:tc>
          <w:tcPr>
            <w:tcW w:w="900" w:type="dxa"/>
          </w:tcPr>
          <w:p w14:paraId="6BB57AE6"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0.82</w:t>
            </w:r>
          </w:p>
        </w:tc>
        <w:tc>
          <w:tcPr>
            <w:tcW w:w="1170" w:type="dxa"/>
          </w:tcPr>
          <w:p w14:paraId="2C38C6A6"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0.82</w:t>
            </w:r>
          </w:p>
        </w:tc>
      </w:tr>
      <w:tr w:rsidR="00D526E7" w:rsidRPr="007F37A0" w14:paraId="29B2C120" w14:textId="77777777" w:rsidTr="00735871">
        <w:trPr>
          <w:jc w:val="center"/>
        </w:trPr>
        <w:tc>
          <w:tcPr>
            <w:tcW w:w="2006" w:type="dxa"/>
          </w:tcPr>
          <w:p w14:paraId="6CB475A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Cashflow</w:t>
            </w:r>
          </w:p>
        </w:tc>
        <w:tc>
          <w:tcPr>
            <w:tcW w:w="5009" w:type="dxa"/>
          </w:tcPr>
          <w:p w14:paraId="6212F0E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Ratio of cash flow to assets for a firm in a quarter.</w:t>
            </w:r>
          </w:p>
        </w:tc>
        <w:tc>
          <w:tcPr>
            <w:tcW w:w="900" w:type="dxa"/>
          </w:tcPr>
          <w:p w14:paraId="0BB15272"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0.02</w:t>
            </w:r>
          </w:p>
        </w:tc>
        <w:tc>
          <w:tcPr>
            <w:tcW w:w="1170" w:type="dxa"/>
          </w:tcPr>
          <w:p w14:paraId="2CB4A88C"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0.52</w:t>
            </w:r>
          </w:p>
        </w:tc>
      </w:tr>
      <w:tr w:rsidR="00D526E7" w:rsidRPr="007F37A0" w14:paraId="33AF8D3A" w14:textId="77777777" w:rsidTr="00735871">
        <w:trPr>
          <w:jc w:val="center"/>
        </w:trPr>
        <w:tc>
          <w:tcPr>
            <w:tcW w:w="2006" w:type="dxa"/>
          </w:tcPr>
          <w:p w14:paraId="49A7C04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Sales Growth</w:t>
            </w:r>
          </w:p>
        </w:tc>
        <w:tc>
          <w:tcPr>
            <w:tcW w:w="5009" w:type="dxa"/>
          </w:tcPr>
          <w:p w14:paraId="4388C4A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Growth of revenue for a firm from last quarter.</w:t>
            </w:r>
          </w:p>
        </w:tc>
        <w:tc>
          <w:tcPr>
            <w:tcW w:w="900" w:type="dxa"/>
          </w:tcPr>
          <w:p w14:paraId="70ED187A"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0.01</w:t>
            </w:r>
          </w:p>
        </w:tc>
        <w:tc>
          <w:tcPr>
            <w:tcW w:w="1170" w:type="dxa"/>
          </w:tcPr>
          <w:p w14:paraId="52D0EA0B" w14:textId="77777777" w:rsidR="00D526E7" w:rsidRPr="007F37A0" w:rsidRDefault="00D526E7" w:rsidP="00735871">
            <w:pPr>
              <w:jc w:val="right"/>
              <w:rPr>
                <w:rFonts w:ascii="Times New Roman" w:hAnsi="Times New Roman" w:cs="Times New Roman"/>
              </w:rPr>
            </w:pPr>
            <w:r w:rsidRPr="007F37A0">
              <w:rPr>
                <w:rFonts w:ascii="Times New Roman" w:hAnsi="Times New Roman" w:cs="Times New Roman"/>
              </w:rPr>
              <w:t>0.24</w:t>
            </w:r>
          </w:p>
        </w:tc>
      </w:tr>
    </w:tbl>
    <w:p w14:paraId="70C9ACC1" w14:textId="77777777" w:rsidR="00D526E7" w:rsidRPr="007F37A0" w:rsidRDefault="00D526E7" w:rsidP="00D526E7">
      <w:pPr>
        <w:rPr>
          <w:rFonts w:ascii="Times New Roman" w:hAnsi="Times New Roman" w:cs="Times New Roman"/>
          <w:b/>
          <w:bCs/>
        </w:rPr>
      </w:pPr>
      <w:r w:rsidRPr="007F37A0">
        <w:rPr>
          <w:rFonts w:ascii="Times New Roman" w:hAnsi="Times New Roman" w:cs="Times New Roman"/>
        </w:rPr>
        <w:br w:type="page"/>
      </w:r>
    </w:p>
    <w:p w14:paraId="03F55B48" w14:textId="79DC2704" w:rsidR="00D526E7" w:rsidRPr="007F37A0" w:rsidRDefault="00D526E7" w:rsidP="007F37A0">
      <w:pPr>
        <w:pStyle w:val="Caption"/>
        <w:rPr>
          <w:rFonts w:cs="Times New Roman"/>
          <w:b/>
        </w:rPr>
      </w:pPr>
      <w:bookmarkStart w:id="37" w:name="_Ref162089807"/>
      <w:bookmarkStart w:id="38" w:name="_Toc164862539"/>
      <w:r w:rsidRPr="007F37A0">
        <w:rPr>
          <w:rFonts w:cs="Times New Roman"/>
        </w:rPr>
        <w:lastRenderedPageBreak/>
        <w:t xml:space="preserve">Table </w:t>
      </w:r>
      <w:r w:rsidRPr="007F37A0">
        <w:rPr>
          <w:rFonts w:cs="Times New Roman"/>
          <w:b/>
        </w:rPr>
        <w:fldChar w:fldCharType="begin"/>
      </w:r>
      <w:r w:rsidRPr="007F37A0">
        <w:rPr>
          <w:rFonts w:cs="Times New Roman"/>
        </w:rPr>
        <w:instrText xml:space="preserve"> SEQ Table \* ARABIC </w:instrText>
      </w:r>
      <w:r w:rsidRPr="007F37A0">
        <w:rPr>
          <w:rFonts w:cs="Times New Roman"/>
          <w:b/>
        </w:rPr>
        <w:fldChar w:fldCharType="separate"/>
      </w:r>
      <w:r w:rsidR="00142A7E">
        <w:rPr>
          <w:rFonts w:cs="Times New Roman"/>
          <w:noProof/>
        </w:rPr>
        <w:t>4</w:t>
      </w:r>
      <w:r w:rsidRPr="007F37A0">
        <w:rPr>
          <w:rFonts w:cs="Times New Roman"/>
          <w:b/>
          <w:noProof/>
        </w:rPr>
        <w:fldChar w:fldCharType="end"/>
      </w:r>
      <w:bookmarkEnd w:id="34"/>
      <w:bookmarkEnd w:id="37"/>
      <w:r w:rsidRPr="007F37A0">
        <w:rPr>
          <w:rFonts w:cs="Times New Roman"/>
        </w:rPr>
        <w:t>: Policy Uncertainty and Firm-level Investment</w:t>
      </w:r>
      <w:bookmarkEnd w:id="38"/>
    </w:p>
    <w:tbl>
      <w:tblPr>
        <w:tblW w:w="10116" w:type="dxa"/>
        <w:jc w:val="center"/>
        <w:tblLook w:val="04A0" w:firstRow="1" w:lastRow="0" w:firstColumn="1" w:lastColumn="0" w:noHBand="0" w:noVBand="1"/>
      </w:tblPr>
      <w:tblGrid>
        <w:gridCol w:w="2340"/>
        <w:gridCol w:w="1296"/>
        <w:gridCol w:w="1296"/>
        <w:gridCol w:w="1296"/>
        <w:gridCol w:w="1296"/>
        <w:gridCol w:w="1296"/>
        <w:gridCol w:w="1296"/>
      </w:tblGrid>
      <w:tr w:rsidR="00D526E7" w:rsidRPr="007F37A0" w14:paraId="4A7A3377" w14:textId="77777777" w:rsidTr="00735871">
        <w:trPr>
          <w:trHeight w:val="276"/>
          <w:jc w:val="center"/>
        </w:trPr>
        <w:tc>
          <w:tcPr>
            <w:tcW w:w="2340" w:type="dxa"/>
            <w:tcBorders>
              <w:top w:val="single" w:sz="4" w:space="0" w:color="000000"/>
              <w:left w:val="nil"/>
              <w:right w:val="nil"/>
            </w:tcBorders>
            <w:shd w:val="clear" w:color="auto" w:fill="auto"/>
            <w:noWrap/>
            <w:vAlign w:val="bottom"/>
            <w:hideMark/>
          </w:tcPr>
          <w:p w14:paraId="76BB93A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 </w:t>
            </w:r>
          </w:p>
        </w:tc>
        <w:tc>
          <w:tcPr>
            <w:tcW w:w="1296" w:type="dxa"/>
            <w:tcBorders>
              <w:top w:val="single" w:sz="4" w:space="0" w:color="000000"/>
              <w:left w:val="nil"/>
              <w:right w:val="nil"/>
            </w:tcBorders>
            <w:shd w:val="clear" w:color="auto" w:fill="auto"/>
            <w:noWrap/>
            <w:vAlign w:val="bottom"/>
            <w:hideMark/>
          </w:tcPr>
          <w:p w14:paraId="151D285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(1)</w:t>
            </w:r>
          </w:p>
        </w:tc>
        <w:tc>
          <w:tcPr>
            <w:tcW w:w="1296" w:type="dxa"/>
            <w:tcBorders>
              <w:top w:val="single" w:sz="4" w:space="0" w:color="000000"/>
              <w:left w:val="nil"/>
              <w:right w:val="nil"/>
            </w:tcBorders>
            <w:shd w:val="clear" w:color="auto" w:fill="auto"/>
            <w:noWrap/>
            <w:vAlign w:val="bottom"/>
            <w:hideMark/>
          </w:tcPr>
          <w:p w14:paraId="1AA273C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(2)</w:t>
            </w:r>
          </w:p>
        </w:tc>
        <w:tc>
          <w:tcPr>
            <w:tcW w:w="1296" w:type="dxa"/>
            <w:tcBorders>
              <w:top w:val="single" w:sz="4" w:space="0" w:color="000000"/>
              <w:left w:val="nil"/>
              <w:right w:val="nil"/>
            </w:tcBorders>
            <w:shd w:val="clear" w:color="auto" w:fill="auto"/>
            <w:noWrap/>
            <w:vAlign w:val="bottom"/>
            <w:hideMark/>
          </w:tcPr>
          <w:p w14:paraId="6540FDD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(3)</w:t>
            </w:r>
          </w:p>
        </w:tc>
        <w:tc>
          <w:tcPr>
            <w:tcW w:w="1296" w:type="dxa"/>
            <w:tcBorders>
              <w:top w:val="single" w:sz="4" w:space="0" w:color="000000"/>
              <w:left w:val="nil"/>
              <w:right w:val="nil"/>
            </w:tcBorders>
            <w:shd w:val="clear" w:color="auto" w:fill="auto"/>
            <w:noWrap/>
            <w:vAlign w:val="bottom"/>
            <w:hideMark/>
          </w:tcPr>
          <w:p w14:paraId="095661A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(4)</w:t>
            </w:r>
          </w:p>
        </w:tc>
        <w:tc>
          <w:tcPr>
            <w:tcW w:w="1296" w:type="dxa"/>
            <w:tcBorders>
              <w:top w:val="single" w:sz="4" w:space="0" w:color="000000"/>
              <w:left w:val="nil"/>
              <w:right w:val="nil"/>
            </w:tcBorders>
            <w:shd w:val="clear" w:color="auto" w:fill="auto"/>
            <w:noWrap/>
            <w:vAlign w:val="bottom"/>
            <w:hideMark/>
          </w:tcPr>
          <w:p w14:paraId="51ECB03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(5)</w:t>
            </w:r>
          </w:p>
        </w:tc>
        <w:tc>
          <w:tcPr>
            <w:tcW w:w="1296" w:type="dxa"/>
            <w:tcBorders>
              <w:top w:val="single" w:sz="4" w:space="0" w:color="000000"/>
              <w:left w:val="nil"/>
              <w:right w:val="nil"/>
            </w:tcBorders>
            <w:shd w:val="clear" w:color="auto" w:fill="auto"/>
            <w:noWrap/>
            <w:vAlign w:val="bottom"/>
            <w:hideMark/>
          </w:tcPr>
          <w:p w14:paraId="002FF29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(6)</w:t>
            </w:r>
          </w:p>
        </w:tc>
      </w:tr>
      <w:tr w:rsidR="00D526E7" w:rsidRPr="007F37A0" w14:paraId="51491D21" w14:textId="77777777" w:rsidTr="00735871">
        <w:trPr>
          <w:trHeight w:val="276"/>
          <w:jc w:val="center"/>
        </w:trPr>
        <w:tc>
          <w:tcPr>
            <w:tcW w:w="2340" w:type="dxa"/>
            <w:tcBorders>
              <w:top w:val="nil"/>
              <w:left w:val="nil"/>
              <w:bottom w:val="single" w:sz="4" w:space="0" w:color="auto"/>
              <w:right w:val="nil"/>
            </w:tcBorders>
            <w:shd w:val="clear" w:color="auto" w:fill="auto"/>
            <w:noWrap/>
            <w:vAlign w:val="bottom"/>
            <w:hideMark/>
          </w:tcPr>
          <w:p w14:paraId="4D15474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Dependent Variable: Firm Investment Rate</w:t>
            </w:r>
          </w:p>
        </w:tc>
        <w:tc>
          <w:tcPr>
            <w:tcW w:w="1296" w:type="dxa"/>
            <w:tcBorders>
              <w:top w:val="nil"/>
              <w:left w:val="nil"/>
              <w:bottom w:val="single" w:sz="4" w:space="0" w:color="auto"/>
              <w:right w:val="nil"/>
            </w:tcBorders>
            <w:shd w:val="clear" w:color="auto" w:fill="auto"/>
            <w:noWrap/>
            <w:vAlign w:val="bottom"/>
          </w:tcPr>
          <w:p w14:paraId="445D52DA"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4B405507"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7E0AD398"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00645733"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2471DF13"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3F87A170" w14:textId="77777777" w:rsidR="00D526E7" w:rsidRPr="007F37A0" w:rsidRDefault="00D526E7" w:rsidP="00735871">
            <w:pPr>
              <w:rPr>
                <w:rFonts w:ascii="Times New Roman" w:hAnsi="Times New Roman" w:cs="Times New Roman"/>
              </w:rPr>
            </w:pPr>
          </w:p>
        </w:tc>
      </w:tr>
      <w:tr w:rsidR="00D526E7" w:rsidRPr="007F37A0" w14:paraId="39A07398" w14:textId="77777777" w:rsidTr="00735871">
        <w:trPr>
          <w:trHeight w:val="264"/>
          <w:jc w:val="center"/>
        </w:trPr>
        <w:tc>
          <w:tcPr>
            <w:tcW w:w="2340" w:type="dxa"/>
            <w:tcBorders>
              <w:top w:val="single" w:sz="4" w:space="0" w:color="auto"/>
              <w:left w:val="nil"/>
              <w:bottom w:val="nil"/>
              <w:right w:val="nil"/>
            </w:tcBorders>
            <w:shd w:val="clear" w:color="auto" w:fill="auto"/>
            <w:noWrap/>
            <w:vAlign w:val="bottom"/>
            <w:hideMark/>
          </w:tcPr>
          <w:p w14:paraId="7CEF53DA"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0470BC5F"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73F74AD2"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70FE50F9"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677555DE"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1B6C17C4"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1CD8862F" w14:textId="77777777" w:rsidR="00D526E7" w:rsidRPr="007F37A0" w:rsidRDefault="00D526E7" w:rsidP="00735871">
            <w:pPr>
              <w:rPr>
                <w:rFonts w:ascii="Times New Roman" w:hAnsi="Times New Roman" w:cs="Times New Roman"/>
              </w:rPr>
            </w:pPr>
          </w:p>
        </w:tc>
      </w:tr>
      <w:tr w:rsidR="00D526E7" w:rsidRPr="007F37A0" w14:paraId="49A76218"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5B7F62B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Statistical Policy Uncertainty (V)</w:t>
            </w:r>
          </w:p>
        </w:tc>
        <w:tc>
          <w:tcPr>
            <w:tcW w:w="1296" w:type="dxa"/>
            <w:tcBorders>
              <w:top w:val="nil"/>
              <w:left w:val="nil"/>
              <w:bottom w:val="nil"/>
              <w:right w:val="nil"/>
            </w:tcBorders>
            <w:shd w:val="clear" w:color="auto" w:fill="auto"/>
            <w:noWrap/>
            <w:vAlign w:val="bottom"/>
            <w:hideMark/>
          </w:tcPr>
          <w:p w14:paraId="40FBC24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0.113**</w:t>
            </w:r>
          </w:p>
        </w:tc>
        <w:tc>
          <w:tcPr>
            <w:tcW w:w="1296" w:type="dxa"/>
            <w:tcBorders>
              <w:top w:val="nil"/>
              <w:left w:val="nil"/>
              <w:bottom w:val="nil"/>
              <w:right w:val="nil"/>
            </w:tcBorders>
            <w:shd w:val="clear" w:color="auto" w:fill="auto"/>
            <w:noWrap/>
            <w:vAlign w:val="bottom"/>
            <w:hideMark/>
          </w:tcPr>
          <w:p w14:paraId="1559F56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0.100**</w:t>
            </w:r>
          </w:p>
        </w:tc>
        <w:tc>
          <w:tcPr>
            <w:tcW w:w="1296" w:type="dxa"/>
            <w:tcBorders>
              <w:top w:val="nil"/>
              <w:left w:val="nil"/>
              <w:bottom w:val="nil"/>
              <w:right w:val="nil"/>
            </w:tcBorders>
            <w:shd w:val="clear" w:color="auto" w:fill="auto"/>
            <w:noWrap/>
            <w:vAlign w:val="bottom"/>
            <w:hideMark/>
          </w:tcPr>
          <w:p w14:paraId="3728BD7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0.146***</w:t>
            </w:r>
          </w:p>
        </w:tc>
        <w:tc>
          <w:tcPr>
            <w:tcW w:w="1296" w:type="dxa"/>
            <w:tcBorders>
              <w:top w:val="nil"/>
              <w:left w:val="nil"/>
              <w:bottom w:val="nil"/>
              <w:right w:val="nil"/>
            </w:tcBorders>
            <w:shd w:val="clear" w:color="auto" w:fill="auto"/>
            <w:noWrap/>
            <w:vAlign w:val="bottom"/>
            <w:hideMark/>
          </w:tcPr>
          <w:p w14:paraId="30FA90BF"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178FC089"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00DA16C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0.111**</w:t>
            </w:r>
          </w:p>
        </w:tc>
      </w:tr>
      <w:tr w:rsidR="00D526E7" w:rsidRPr="007F37A0" w14:paraId="45CA0507"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356B2237"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A0C61B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(0.045)</w:t>
            </w:r>
          </w:p>
        </w:tc>
        <w:tc>
          <w:tcPr>
            <w:tcW w:w="1296" w:type="dxa"/>
            <w:tcBorders>
              <w:top w:val="nil"/>
              <w:left w:val="nil"/>
              <w:bottom w:val="nil"/>
              <w:right w:val="nil"/>
            </w:tcBorders>
            <w:shd w:val="clear" w:color="auto" w:fill="auto"/>
            <w:noWrap/>
            <w:vAlign w:val="bottom"/>
            <w:hideMark/>
          </w:tcPr>
          <w:p w14:paraId="780D52C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(0.043)</w:t>
            </w:r>
          </w:p>
        </w:tc>
        <w:tc>
          <w:tcPr>
            <w:tcW w:w="1296" w:type="dxa"/>
            <w:tcBorders>
              <w:top w:val="nil"/>
              <w:left w:val="nil"/>
              <w:bottom w:val="nil"/>
              <w:right w:val="nil"/>
            </w:tcBorders>
            <w:shd w:val="clear" w:color="auto" w:fill="auto"/>
            <w:noWrap/>
            <w:vAlign w:val="bottom"/>
            <w:hideMark/>
          </w:tcPr>
          <w:p w14:paraId="322D064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(0.049)</w:t>
            </w:r>
          </w:p>
        </w:tc>
        <w:tc>
          <w:tcPr>
            <w:tcW w:w="1296" w:type="dxa"/>
            <w:tcBorders>
              <w:top w:val="nil"/>
              <w:left w:val="nil"/>
              <w:bottom w:val="nil"/>
              <w:right w:val="nil"/>
            </w:tcBorders>
            <w:shd w:val="clear" w:color="auto" w:fill="auto"/>
            <w:noWrap/>
            <w:vAlign w:val="bottom"/>
            <w:hideMark/>
          </w:tcPr>
          <w:p w14:paraId="04562943"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879988C"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BDE2F5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(0.044)</w:t>
            </w:r>
          </w:p>
        </w:tc>
      </w:tr>
      <w:tr w:rsidR="00D526E7" w:rsidRPr="007F37A0" w14:paraId="381D6684"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722FA5D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Direct Policy Uncertainty (ln(PU))</w:t>
            </w:r>
          </w:p>
        </w:tc>
        <w:tc>
          <w:tcPr>
            <w:tcW w:w="1296" w:type="dxa"/>
            <w:tcBorders>
              <w:top w:val="nil"/>
              <w:left w:val="nil"/>
              <w:bottom w:val="nil"/>
              <w:right w:val="nil"/>
            </w:tcBorders>
            <w:shd w:val="clear" w:color="auto" w:fill="auto"/>
            <w:noWrap/>
            <w:vAlign w:val="bottom"/>
            <w:hideMark/>
          </w:tcPr>
          <w:p w14:paraId="28FA5A8A"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27701868"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1265111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-0.134**</w:t>
            </w:r>
          </w:p>
        </w:tc>
        <w:tc>
          <w:tcPr>
            <w:tcW w:w="1296" w:type="dxa"/>
            <w:tcBorders>
              <w:top w:val="nil"/>
              <w:left w:val="nil"/>
              <w:bottom w:val="nil"/>
              <w:right w:val="nil"/>
            </w:tcBorders>
            <w:shd w:val="clear" w:color="auto" w:fill="auto"/>
            <w:noWrap/>
            <w:vAlign w:val="bottom"/>
            <w:hideMark/>
          </w:tcPr>
          <w:p w14:paraId="4A4C975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-0.060</w:t>
            </w:r>
          </w:p>
        </w:tc>
        <w:tc>
          <w:tcPr>
            <w:tcW w:w="1296" w:type="dxa"/>
            <w:tcBorders>
              <w:top w:val="nil"/>
              <w:left w:val="nil"/>
              <w:bottom w:val="nil"/>
              <w:right w:val="nil"/>
            </w:tcBorders>
            <w:shd w:val="clear" w:color="auto" w:fill="auto"/>
            <w:noWrap/>
            <w:vAlign w:val="bottom"/>
            <w:hideMark/>
          </w:tcPr>
          <w:p w14:paraId="77578A9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-0.155**</w:t>
            </w:r>
          </w:p>
        </w:tc>
        <w:tc>
          <w:tcPr>
            <w:tcW w:w="1296" w:type="dxa"/>
            <w:tcBorders>
              <w:top w:val="nil"/>
              <w:left w:val="nil"/>
              <w:bottom w:val="nil"/>
              <w:right w:val="nil"/>
            </w:tcBorders>
            <w:shd w:val="clear" w:color="auto" w:fill="auto"/>
            <w:noWrap/>
            <w:vAlign w:val="bottom"/>
            <w:hideMark/>
          </w:tcPr>
          <w:p w14:paraId="746DECA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-0.168***</w:t>
            </w:r>
          </w:p>
        </w:tc>
      </w:tr>
      <w:tr w:rsidR="00D526E7" w:rsidRPr="007F37A0" w14:paraId="60AC9E0D"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5AF29C4F"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2863720B"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0A1AE6B1"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4510CDD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(0.055)</w:t>
            </w:r>
          </w:p>
        </w:tc>
        <w:tc>
          <w:tcPr>
            <w:tcW w:w="1296" w:type="dxa"/>
            <w:tcBorders>
              <w:top w:val="nil"/>
              <w:left w:val="nil"/>
              <w:bottom w:val="nil"/>
              <w:right w:val="nil"/>
            </w:tcBorders>
            <w:shd w:val="clear" w:color="auto" w:fill="auto"/>
            <w:noWrap/>
            <w:vAlign w:val="bottom"/>
            <w:hideMark/>
          </w:tcPr>
          <w:p w14:paraId="30B5C47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(0.050)</w:t>
            </w:r>
          </w:p>
        </w:tc>
        <w:tc>
          <w:tcPr>
            <w:tcW w:w="1296" w:type="dxa"/>
            <w:tcBorders>
              <w:top w:val="nil"/>
              <w:left w:val="nil"/>
              <w:bottom w:val="nil"/>
              <w:right w:val="nil"/>
            </w:tcBorders>
            <w:shd w:val="clear" w:color="auto" w:fill="auto"/>
            <w:noWrap/>
            <w:vAlign w:val="bottom"/>
            <w:hideMark/>
          </w:tcPr>
          <w:p w14:paraId="483FD44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(0.063)</w:t>
            </w:r>
          </w:p>
        </w:tc>
        <w:tc>
          <w:tcPr>
            <w:tcW w:w="1296" w:type="dxa"/>
            <w:tcBorders>
              <w:top w:val="nil"/>
              <w:left w:val="nil"/>
              <w:bottom w:val="nil"/>
              <w:right w:val="nil"/>
            </w:tcBorders>
            <w:shd w:val="clear" w:color="auto" w:fill="auto"/>
            <w:noWrap/>
            <w:vAlign w:val="bottom"/>
            <w:hideMark/>
          </w:tcPr>
          <w:p w14:paraId="53BEFAE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(0.064)</w:t>
            </w:r>
          </w:p>
        </w:tc>
      </w:tr>
      <w:tr w:rsidR="00D526E7" w:rsidRPr="007F37A0" w14:paraId="4B5671BB"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593837A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Policy Index (ln(P))</w:t>
            </w:r>
          </w:p>
        </w:tc>
        <w:tc>
          <w:tcPr>
            <w:tcW w:w="1296" w:type="dxa"/>
            <w:tcBorders>
              <w:top w:val="nil"/>
              <w:left w:val="nil"/>
              <w:bottom w:val="nil"/>
              <w:right w:val="nil"/>
            </w:tcBorders>
            <w:shd w:val="clear" w:color="auto" w:fill="auto"/>
            <w:noWrap/>
            <w:vAlign w:val="bottom"/>
            <w:hideMark/>
          </w:tcPr>
          <w:p w14:paraId="5CBC0730"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346CB08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0.047</w:t>
            </w:r>
          </w:p>
        </w:tc>
        <w:tc>
          <w:tcPr>
            <w:tcW w:w="1296" w:type="dxa"/>
            <w:tcBorders>
              <w:top w:val="nil"/>
              <w:left w:val="nil"/>
              <w:bottom w:val="nil"/>
              <w:right w:val="nil"/>
            </w:tcBorders>
            <w:shd w:val="clear" w:color="auto" w:fill="auto"/>
            <w:noWrap/>
            <w:vAlign w:val="bottom"/>
            <w:hideMark/>
          </w:tcPr>
          <w:p w14:paraId="48BC0633"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046BB59"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48E49F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0.280***</w:t>
            </w:r>
          </w:p>
        </w:tc>
        <w:tc>
          <w:tcPr>
            <w:tcW w:w="1296" w:type="dxa"/>
            <w:tcBorders>
              <w:top w:val="nil"/>
              <w:left w:val="nil"/>
              <w:bottom w:val="nil"/>
              <w:right w:val="nil"/>
            </w:tcBorders>
            <w:shd w:val="clear" w:color="auto" w:fill="auto"/>
            <w:noWrap/>
            <w:vAlign w:val="bottom"/>
            <w:hideMark/>
          </w:tcPr>
          <w:p w14:paraId="41B802F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0.151</w:t>
            </w:r>
          </w:p>
        </w:tc>
      </w:tr>
      <w:tr w:rsidR="00D526E7" w:rsidRPr="007F37A0" w14:paraId="2FE3F758"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4E55EF05"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51BF75B9"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39140B0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(0.079)</w:t>
            </w:r>
          </w:p>
        </w:tc>
        <w:tc>
          <w:tcPr>
            <w:tcW w:w="1296" w:type="dxa"/>
            <w:tcBorders>
              <w:top w:val="nil"/>
              <w:left w:val="nil"/>
              <w:bottom w:val="nil"/>
              <w:right w:val="nil"/>
            </w:tcBorders>
            <w:shd w:val="clear" w:color="auto" w:fill="auto"/>
            <w:noWrap/>
            <w:vAlign w:val="bottom"/>
            <w:hideMark/>
          </w:tcPr>
          <w:p w14:paraId="50F8F18D"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957836A"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2D59678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(0.105)</w:t>
            </w:r>
          </w:p>
        </w:tc>
        <w:tc>
          <w:tcPr>
            <w:tcW w:w="1296" w:type="dxa"/>
            <w:tcBorders>
              <w:top w:val="nil"/>
              <w:left w:val="nil"/>
              <w:bottom w:val="nil"/>
              <w:right w:val="nil"/>
            </w:tcBorders>
            <w:shd w:val="clear" w:color="auto" w:fill="auto"/>
            <w:noWrap/>
            <w:vAlign w:val="bottom"/>
            <w:hideMark/>
          </w:tcPr>
          <w:p w14:paraId="59E48C3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(0.093)</w:t>
            </w:r>
          </w:p>
        </w:tc>
      </w:tr>
      <w:tr w:rsidR="00D526E7" w:rsidRPr="007F37A0" w14:paraId="13D4333C"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5794AAE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Cashflow</w:t>
            </w:r>
          </w:p>
        </w:tc>
        <w:tc>
          <w:tcPr>
            <w:tcW w:w="1296" w:type="dxa"/>
            <w:tcBorders>
              <w:top w:val="nil"/>
              <w:left w:val="nil"/>
              <w:bottom w:val="nil"/>
              <w:right w:val="nil"/>
            </w:tcBorders>
            <w:shd w:val="clear" w:color="auto" w:fill="auto"/>
            <w:noWrap/>
            <w:vAlign w:val="bottom"/>
            <w:hideMark/>
          </w:tcPr>
          <w:p w14:paraId="7D6C779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0.167***</w:t>
            </w:r>
          </w:p>
        </w:tc>
        <w:tc>
          <w:tcPr>
            <w:tcW w:w="1296" w:type="dxa"/>
            <w:tcBorders>
              <w:top w:val="nil"/>
              <w:left w:val="nil"/>
              <w:bottom w:val="nil"/>
              <w:right w:val="nil"/>
            </w:tcBorders>
            <w:shd w:val="clear" w:color="auto" w:fill="auto"/>
            <w:noWrap/>
            <w:vAlign w:val="bottom"/>
            <w:hideMark/>
          </w:tcPr>
          <w:p w14:paraId="4535C83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0.167***</w:t>
            </w:r>
          </w:p>
        </w:tc>
        <w:tc>
          <w:tcPr>
            <w:tcW w:w="1296" w:type="dxa"/>
            <w:tcBorders>
              <w:top w:val="nil"/>
              <w:left w:val="nil"/>
              <w:bottom w:val="nil"/>
              <w:right w:val="nil"/>
            </w:tcBorders>
            <w:shd w:val="clear" w:color="auto" w:fill="auto"/>
            <w:noWrap/>
            <w:vAlign w:val="bottom"/>
            <w:hideMark/>
          </w:tcPr>
          <w:p w14:paraId="3B4F659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0.167***</w:t>
            </w:r>
          </w:p>
        </w:tc>
        <w:tc>
          <w:tcPr>
            <w:tcW w:w="1296" w:type="dxa"/>
            <w:tcBorders>
              <w:top w:val="nil"/>
              <w:left w:val="nil"/>
              <w:bottom w:val="nil"/>
              <w:right w:val="nil"/>
            </w:tcBorders>
            <w:shd w:val="clear" w:color="auto" w:fill="auto"/>
            <w:noWrap/>
            <w:vAlign w:val="bottom"/>
            <w:hideMark/>
          </w:tcPr>
          <w:p w14:paraId="6FF80EE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0.166***</w:t>
            </w:r>
          </w:p>
        </w:tc>
        <w:tc>
          <w:tcPr>
            <w:tcW w:w="1296" w:type="dxa"/>
            <w:tcBorders>
              <w:top w:val="nil"/>
              <w:left w:val="nil"/>
              <w:bottom w:val="nil"/>
              <w:right w:val="nil"/>
            </w:tcBorders>
            <w:shd w:val="clear" w:color="auto" w:fill="auto"/>
            <w:noWrap/>
            <w:vAlign w:val="bottom"/>
            <w:hideMark/>
          </w:tcPr>
          <w:p w14:paraId="1A6028E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0.166***</w:t>
            </w:r>
          </w:p>
        </w:tc>
        <w:tc>
          <w:tcPr>
            <w:tcW w:w="1296" w:type="dxa"/>
            <w:tcBorders>
              <w:top w:val="nil"/>
              <w:left w:val="nil"/>
              <w:bottom w:val="nil"/>
              <w:right w:val="nil"/>
            </w:tcBorders>
            <w:shd w:val="clear" w:color="auto" w:fill="auto"/>
            <w:noWrap/>
            <w:vAlign w:val="bottom"/>
            <w:hideMark/>
          </w:tcPr>
          <w:p w14:paraId="760E0B4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0.167***</w:t>
            </w:r>
          </w:p>
        </w:tc>
      </w:tr>
      <w:tr w:rsidR="00D526E7" w:rsidRPr="007F37A0" w14:paraId="3C7F3EFC"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4EBE495B"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511099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(0.016)</w:t>
            </w:r>
          </w:p>
        </w:tc>
        <w:tc>
          <w:tcPr>
            <w:tcW w:w="1296" w:type="dxa"/>
            <w:tcBorders>
              <w:top w:val="nil"/>
              <w:left w:val="nil"/>
              <w:bottom w:val="nil"/>
              <w:right w:val="nil"/>
            </w:tcBorders>
            <w:shd w:val="clear" w:color="auto" w:fill="auto"/>
            <w:noWrap/>
            <w:vAlign w:val="bottom"/>
            <w:hideMark/>
          </w:tcPr>
          <w:p w14:paraId="29AAB8E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(0.016)</w:t>
            </w:r>
          </w:p>
        </w:tc>
        <w:tc>
          <w:tcPr>
            <w:tcW w:w="1296" w:type="dxa"/>
            <w:tcBorders>
              <w:top w:val="nil"/>
              <w:left w:val="nil"/>
              <w:bottom w:val="nil"/>
              <w:right w:val="nil"/>
            </w:tcBorders>
            <w:shd w:val="clear" w:color="auto" w:fill="auto"/>
            <w:noWrap/>
            <w:vAlign w:val="bottom"/>
            <w:hideMark/>
          </w:tcPr>
          <w:p w14:paraId="1584734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(0.016)</w:t>
            </w:r>
          </w:p>
        </w:tc>
        <w:tc>
          <w:tcPr>
            <w:tcW w:w="1296" w:type="dxa"/>
            <w:tcBorders>
              <w:top w:val="nil"/>
              <w:left w:val="nil"/>
              <w:bottom w:val="nil"/>
              <w:right w:val="nil"/>
            </w:tcBorders>
            <w:shd w:val="clear" w:color="auto" w:fill="auto"/>
            <w:noWrap/>
            <w:vAlign w:val="bottom"/>
            <w:hideMark/>
          </w:tcPr>
          <w:p w14:paraId="154719D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(0.016)</w:t>
            </w:r>
          </w:p>
        </w:tc>
        <w:tc>
          <w:tcPr>
            <w:tcW w:w="1296" w:type="dxa"/>
            <w:tcBorders>
              <w:top w:val="nil"/>
              <w:left w:val="nil"/>
              <w:bottom w:val="nil"/>
              <w:right w:val="nil"/>
            </w:tcBorders>
            <w:shd w:val="clear" w:color="auto" w:fill="auto"/>
            <w:noWrap/>
            <w:vAlign w:val="bottom"/>
            <w:hideMark/>
          </w:tcPr>
          <w:p w14:paraId="63B7765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(0.016)</w:t>
            </w:r>
          </w:p>
        </w:tc>
        <w:tc>
          <w:tcPr>
            <w:tcW w:w="1296" w:type="dxa"/>
            <w:tcBorders>
              <w:top w:val="nil"/>
              <w:left w:val="nil"/>
              <w:bottom w:val="nil"/>
              <w:right w:val="nil"/>
            </w:tcBorders>
            <w:shd w:val="clear" w:color="auto" w:fill="auto"/>
            <w:noWrap/>
            <w:vAlign w:val="bottom"/>
            <w:hideMark/>
          </w:tcPr>
          <w:p w14:paraId="1044DA8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(0.016)</w:t>
            </w:r>
          </w:p>
        </w:tc>
      </w:tr>
      <w:tr w:rsidR="00D526E7" w:rsidRPr="007F37A0" w14:paraId="41B34868"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78A0254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Sales Growth</w:t>
            </w:r>
          </w:p>
        </w:tc>
        <w:tc>
          <w:tcPr>
            <w:tcW w:w="1296" w:type="dxa"/>
            <w:tcBorders>
              <w:top w:val="nil"/>
              <w:left w:val="nil"/>
              <w:bottom w:val="nil"/>
              <w:right w:val="nil"/>
            </w:tcBorders>
            <w:shd w:val="clear" w:color="auto" w:fill="auto"/>
            <w:noWrap/>
            <w:vAlign w:val="bottom"/>
            <w:hideMark/>
          </w:tcPr>
          <w:p w14:paraId="32C23B6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0.486**</w:t>
            </w:r>
          </w:p>
        </w:tc>
        <w:tc>
          <w:tcPr>
            <w:tcW w:w="1296" w:type="dxa"/>
            <w:tcBorders>
              <w:top w:val="nil"/>
              <w:left w:val="nil"/>
              <w:bottom w:val="nil"/>
              <w:right w:val="nil"/>
            </w:tcBorders>
            <w:shd w:val="clear" w:color="auto" w:fill="auto"/>
            <w:noWrap/>
            <w:vAlign w:val="bottom"/>
            <w:hideMark/>
          </w:tcPr>
          <w:p w14:paraId="606DC3F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0.485**</w:t>
            </w:r>
          </w:p>
        </w:tc>
        <w:tc>
          <w:tcPr>
            <w:tcW w:w="1296" w:type="dxa"/>
            <w:tcBorders>
              <w:top w:val="nil"/>
              <w:left w:val="nil"/>
              <w:bottom w:val="nil"/>
              <w:right w:val="nil"/>
            </w:tcBorders>
            <w:shd w:val="clear" w:color="auto" w:fill="auto"/>
            <w:noWrap/>
            <w:vAlign w:val="bottom"/>
            <w:hideMark/>
          </w:tcPr>
          <w:p w14:paraId="6E02F97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0.486**</w:t>
            </w:r>
          </w:p>
        </w:tc>
        <w:tc>
          <w:tcPr>
            <w:tcW w:w="1296" w:type="dxa"/>
            <w:tcBorders>
              <w:top w:val="nil"/>
              <w:left w:val="nil"/>
              <w:bottom w:val="nil"/>
              <w:right w:val="nil"/>
            </w:tcBorders>
            <w:shd w:val="clear" w:color="auto" w:fill="auto"/>
            <w:noWrap/>
            <w:vAlign w:val="bottom"/>
            <w:hideMark/>
          </w:tcPr>
          <w:p w14:paraId="032979A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0.475**</w:t>
            </w:r>
          </w:p>
        </w:tc>
        <w:tc>
          <w:tcPr>
            <w:tcW w:w="1296" w:type="dxa"/>
            <w:tcBorders>
              <w:top w:val="nil"/>
              <w:left w:val="nil"/>
              <w:bottom w:val="nil"/>
              <w:right w:val="nil"/>
            </w:tcBorders>
            <w:shd w:val="clear" w:color="auto" w:fill="auto"/>
            <w:noWrap/>
            <w:vAlign w:val="bottom"/>
            <w:hideMark/>
          </w:tcPr>
          <w:p w14:paraId="692C449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0.476**</w:t>
            </w:r>
          </w:p>
        </w:tc>
        <w:tc>
          <w:tcPr>
            <w:tcW w:w="1296" w:type="dxa"/>
            <w:tcBorders>
              <w:top w:val="nil"/>
              <w:left w:val="nil"/>
              <w:bottom w:val="nil"/>
              <w:right w:val="nil"/>
            </w:tcBorders>
            <w:shd w:val="clear" w:color="auto" w:fill="auto"/>
            <w:noWrap/>
            <w:vAlign w:val="bottom"/>
            <w:hideMark/>
          </w:tcPr>
          <w:p w14:paraId="6250680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0.484**</w:t>
            </w:r>
          </w:p>
        </w:tc>
      </w:tr>
      <w:tr w:rsidR="00D526E7" w:rsidRPr="007F37A0" w14:paraId="41A4D71A"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15ED874A"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546BDCA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(0.199)</w:t>
            </w:r>
          </w:p>
        </w:tc>
        <w:tc>
          <w:tcPr>
            <w:tcW w:w="1296" w:type="dxa"/>
            <w:tcBorders>
              <w:top w:val="nil"/>
              <w:left w:val="nil"/>
              <w:bottom w:val="nil"/>
              <w:right w:val="nil"/>
            </w:tcBorders>
            <w:shd w:val="clear" w:color="auto" w:fill="auto"/>
            <w:noWrap/>
            <w:vAlign w:val="bottom"/>
            <w:hideMark/>
          </w:tcPr>
          <w:p w14:paraId="48FBCF8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(0.199)</w:t>
            </w:r>
          </w:p>
        </w:tc>
        <w:tc>
          <w:tcPr>
            <w:tcW w:w="1296" w:type="dxa"/>
            <w:tcBorders>
              <w:top w:val="nil"/>
              <w:left w:val="nil"/>
              <w:bottom w:val="nil"/>
              <w:right w:val="nil"/>
            </w:tcBorders>
            <w:shd w:val="clear" w:color="auto" w:fill="auto"/>
            <w:noWrap/>
            <w:vAlign w:val="bottom"/>
            <w:hideMark/>
          </w:tcPr>
          <w:p w14:paraId="7F561D8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(0.199)</w:t>
            </w:r>
          </w:p>
        </w:tc>
        <w:tc>
          <w:tcPr>
            <w:tcW w:w="1296" w:type="dxa"/>
            <w:tcBorders>
              <w:top w:val="nil"/>
              <w:left w:val="nil"/>
              <w:bottom w:val="nil"/>
              <w:right w:val="nil"/>
            </w:tcBorders>
            <w:shd w:val="clear" w:color="auto" w:fill="auto"/>
            <w:noWrap/>
            <w:vAlign w:val="bottom"/>
            <w:hideMark/>
          </w:tcPr>
          <w:p w14:paraId="25B6AA1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(0.198)</w:t>
            </w:r>
          </w:p>
        </w:tc>
        <w:tc>
          <w:tcPr>
            <w:tcW w:w="1296" w:type="dxa"/>
            <w:tcBorders>
              <w:top w:val="nil"/>
              <w:left w:val="nil"/>
              <w:bottom w:val="nil"/>
              <w:right w:val="nil"/>
            </w:tcBorders>
            <w:shd w:val="clear" w:color="auto" w:fill="auto"/>
            <w:noWrap/>
            <w:vAlign w:val="bottom"/>
            <w:hideMark/>
          </w:tcPr>
          <w:p w14:paraId="6BA71DA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(0.197)</w:t>
            </w:r>
          </w:p>
        </w:tc>
        <w:tc>
          <w:tcPr>
            <w:tcW w:w="1296" w:type="dxa"/>
            <w:tcBorders>
              <w:top w:val="nil"/>
              <w:left w:val="nil"/>
              <w:bottom w:val="nil"/>
              <w:right w:val="nil"/>
            </w:tcBorders>
            <w:shd w:val="clear" w:color="auto" w:fill="auto"/>
            <w:noWrap/>
            <w:vAlign w:val="bottom"/>
            <w:hideMark/>
          </w:tcPr>
          <w:p w14:paraId="052A44F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(0.199)</w:t>
            </w:r>
          </w:p>
        </w:tc>
      </w:tr>
      <w:tr w:rsidR="00D526E7" w:rsidRPr="007F37A0" w14:paraId="7446C89C"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6BDCE7B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Real GDP growth</w:t>
            </w:r>
          </w:p>
        </w:tc>
        <w:tc>
          <w:tcPr>
            <w:tcW w:w="1296" w:type="dxa"/>
            <w:tcBorders>
              <w:top w:val="nil"/>
              <w:left w:val="nil"/>
              <w:bottom w:val="nil"/>
              <w:right w:val="nil"/>
            </w:tcBorders>
            <w:shd w:val="clear" w:color="auto" w:fill="auto"/>
            <w:noWrap/>
            <w:vAlign w:val="bottom"/>
            <w:hideMark/>
          </w:tcPr>
          <w:p w14:paraId="14B17D0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-0.025</w:t>
            </w:r>
          </w:p>
        </w:tc>
        <w:tc>
          <w:tcPr>
            <w:tcW w:w="1296" w:type="dxa"/>
            <w:tcBorders>
              <w:top w:val="nil"/>
              <w:left w:val="nil"/>
              <w:bottom w:val="nil"/>
              <w:right w:val="nil"/>
            </w:tcBorders>
            <w:shd w:val="clear" w:color="auto" w:fill="auto"/>
            <w:noWrap/>
            <w:vAlign w:val="bottom"/>
            <w:hideMark/>
          </w:tcPr>
          <w:p w14:paraId="7816DFB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-0.024</w:t>
            </w:r>
          </w:p>
        </w:tc>
        <w:tc>
          <w:tcPr>
            <w:tcW w:w="1296" w:type="dxa"/>
            <w:tcBorders>
              <w:top w:val="nil"/>
              <w:left w:val="nil"/>
              <w:bottom w:val="nil"/>
              <w:right w:val="nil"/>
            </w:tcBorders>
            <w:shd w:val="clear" w:color="auto" w:fill="auto"/>
            <w:noWrap/>
            <w:vAlign w:val="bottom"/>
            <w:hideMark/>
          </w:tcPr>
          <w:p w14:paraId="20907B3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-0.052</w:t>
            </w:r>
          </w:p>
        </w:tc>
        <w:tc>
          <w:tcPr>
            <w:tcW w:w="1296" w:type="dxa"/>
            <w:tcBorders>
              <w:top w:val="nil"/>
              <w:left w:val="nil"/>
              <w:bottom w:val="nil"/>
              <w:right w:val="nil"/>
            </w:tcBorders>
            <w:shd w:val="clear" w:color="auto" w:fill="auto"/>
            <w:noWrap/>
            <w:vAlign w:val="bottom"/>
            <w:hideMark/>
          </w:tcPr>
          <w:p w14:paraId="61D2E43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-0.014</w:t>
            </w:r>
          </w:p>
        </w:tc>
        <w:tc>
          <w:tcPr>
            <w:tcW w:w="1296" w:type="dxa"/>
            <w:tcBorders>
              <w:top w:val="nil"/>
              <w:left w:val="nil"/>
              <w:bottom w:val="nil"/>
              <w:right w:val="nil"/>
            </w:tcBorders>
            <w:shd w:val="clear" w:color="auto" w:fill="auto"/>
            <w:noWrap/>
            <w:vAlign w:val="bottom"/>
            <w:hideMark/>
          </w:tcPr>
          <w:p w14:paraId="728ABF0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-0.039</w:t>
            </w:r>
          </w:p>
        </w:tc>
        <w:tc>
          <w:tcPr>
            <w:tcW w:w="1296" w:type="dxa"/>
            <w:tcBorders>
              <w:top w:val="nil"/>
              <w:left w:val="nil"/>
              <w:bottom w:val="nil"/>
              <w:right w:val="nil"/>
            </w:tcBorders>
            <w:shd w:val="clear" w:color="auto" w:fill="auto"/>
            <w:noWrap/>
            <w:vAlign w:val="bottom"/>
            <w:hideMark/>
          </w:tcPr>
          <w:p w14:paraId="4FCFDC6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-0.057</w:t>
            </w:r>
          </w:p>
        </w:tc>
      </w:tr>
      <w:tr w:rsidR="00D526E7" w:rsidRPr="007F37A0" w14:paraId="27875C16"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5A8AF22B"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1F79523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(0.046)</w:t>
            </w:r>
          </w:p>
        </w:tc>
        <w:tc>
          <w:tcPr>
            <w:tcW w:w="1296" w:type="dxa"/>
            <w:tcBorders>
              <w:top w:val="nil"/>
              <w:left w:val="nil"/>
              <w:bottom w:val="nil"/>
              <w:right w:val="nil"/>
            </w:tcBorders>
            <w:shd w:val="clear" w:color="auto" w:fill="auto"/>
            <w:noWrap/>
            <w:vAlign w:val="bottom"/>
            <w:hideMark/>
          </w:tcPr>
          <w:p w14:paraId="0C548FE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(0.045)</w:t>
            </w:r>
          </w:p>
        </w:tc>
        <w:tc>
          <w:tcPr>
            <w:tcW w:w="1296" w:type="dxa"/>
            <w:tcBorders>
              <w:top w:val="nil"/>
              <w:left w:val="nil"/>
              <w:bottom w:val="nil"/>
              <w:right w:val="nil"/>
            </w:tcBorders>
            <w:shd w:val="clear" w:color="auto" w:fill="auto"/>
            <w:noWrap/>
            <w:vAlign w:val="bottom"/>
            <w:hideMark/>
          </w:tcPr>
          <w:p w14:paraId="23207A8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(0.047)</w:t>
            </w:r>
          </w:p>
        </w:tc>
        <w:tc>
          <w:tcPr>
            <w:tcW w:w="1296" w:type="dxa"/>
            <w:tcBorders>
              <w:top w:val="nil"/>
              <w:left w:val="nil"/>
              <w:bottom w:val="nil"/>
              <w:right w:val="nil"/>
            </w:tcBorders>
            <w:shd w:val="clear" w:color="auto" w:fill="auto"/>
            <w:noWrap/>
            <w:vAlign w:val="bottom"/>
            <w:hideMark/>
          </w:tcPr>
          <w:p w14:paraId="3009C4C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(0.047)</w:t>
            </w:r>
          </w:p>
        </w:tc>
        <w:tc>
          <w:tcPr>
            <w:tcW w:w="1296" w:type="dxa"/>
            <w:tcBorders>
              <w:top w:val="nil"/>
              <w:left w:val="nil"/>
              <w:bottom w:val="nil"/>
              <w:right w:val="nil"/>
            </w:tcBorders>
            <w:shd w:val="clear" w:color="auto" w:fill="auto"/>
            <w:noWrap/>
            <w:vAlign w:val="bottom"/>
            <w:hideMark/>
          </w:tcPr>
          <w:p w14:paraId="01CE7BB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(0.048)</w:t>
            </w:r>
          </w:p>
        </w:tc>
        <w:tc>
          <w:tcPr>
            <w:tcW w:w="1296" w:type="dxa"/>
            <w:tcBorders>
              <w:top w:val="nil"/>
              <w:left w:val="nil"/>
              <w:bottom w:val="nil"/>
              <w:right w:val="nil"/>
            </w:tcBorders>
            <w:shd w:val="clear" w:color="auto" w:fill="auto"/>
            <w:noWrap/>
            <w:vAlign w:val="bottom"/>
            <w:hideMark/>
          </w:tcPr>
          <w:p w14:paraId="696D775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(0.048)</w:t>
            </w:r>
          </w:p>
        </w:tc>
      </w:tr>
      <w:tr w:rsidR="00D526E7" w:rsidRPr="007F37A0" w14:paraId="3514D151"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0EE4739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Consumer Sentiment Index</w:t>
            </w:r>
          </w:p>
        </w:tc>
        <w:tc>
          <w:tcPr>
            <w:tcW w:w="1296" w:type="dxa"/>
            <w:tcBorders>
              <w:top w:val="nil"/>
              <w:left w:val="nil"/>
              <w:bottom w:val="nil"/>
              <w:right w:val="nil"/>
            </w:tcBorders>
            <w:shd w:val="clear" w:color="auto" w:fill="auto"/>
            <w:noWrap/>
            <w:vAlign w:val="bottom"/>
            <w:hideMark/>
          </w:tcPr>
          <w:p w14:paraId="6D321E4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-0.012***</w:t>
            </w:r>
          </w:p>
        </w:tc>
        <w:tc>
          <w:tcPr>
            <w:tcW w:w="1296" w:type="dxa"/>
            <w:tcBorders>
              <w:top w:val="nil"/>
              <w:left w:val="nil"/>
              <w:bottom w:val="nil"/>
              <w:right w:val="nil"/>
            </w:tcBorders>
            <w:shd w:val="clear" w:color="auto" w:fill="auto"/>
            <w:noWrap/>
            <w:vAlign w:val="bottom"/>
            <w:hideMark/>
          </w:tcPr>
          <w:p w14:paraId="36C1324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-0.012***</w:t>
            </w:r>
          </w:p>
        </w:tc>
        <w:tc>
          <w:tcPr>
            <w:tcW w:w="1296" w:type="dxa"/>
            <w:tcBorders>
              <w:top w:val="nil"/>
              <w:left w:val="nil"/>
              <w:bottom w:val="nil"/>
              <w:right w:val="nil"/>
            </w:tcBorders>
            <w:shd w:val="clear" w:color="auto" w:fill="auto"/>
            <w:noWrap/>
            <w:vAlign w:val="bottom"/>
            <w:hideMark/>
          </w:tcPr>
          <w:p w14:paraId="2CB2EAE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-0.012**</w:t>
            </w:r>
          </w:p>
        </w:tc>
        <w:tc>
          <w:tcPr>
            <w:tcW w:w="1296" w:type="dxa"/>
            <w:tcBorders>
              <w:top w:val="nil"/>
              <w:left w:val="nil"/>
              <w:bottom w:val="nil"/>
              <w:right w:val="nil"/>
            </w:tcBorders>
            <w:shd w:val="clear" w:color="auto" w:fill="auto"/>
            <w:noWrap/>
            <w:vAlign w:val="bottom"/>
            <w:hideMark/>
          </w:tcPr>
          <w:p w14:paraId="66EB0F6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-0.014***</w:t>
            </w:r>
          </w:p>
        </w:tc>
        <w:tc>
          <w:tcPr>
            <w:tcW w:w="1296" w:type="dxa"/>
            <w:tcBorders>
              <w:top w:val="nil"/>
              <w:left w:val="nil"/>
              <w:bottom w:val="nil"/>
              <w:right w:val="nil"/>
            </w:tcBorders>
            <w:shd w:val="clear" w:color="auto" w:fill="auto"/>
            <w:noWrap/>
            <w:vAlign w:val="bottom"/>
            <w:hideMark/>
          </w:tcPr>
          <w:p w14:paraId="62BA36E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-0.016***</w:t>
            </w:r>
          </w:p>
        </w:tc>
        <w:tc>
          <w:tcPr>
            <w:tcW w:w="1296" w:type="dxa"/>
            <w:tcBorders>
              <w:top w:val="nil"/>
              <w:left w:val="nil"/>
              <w:bottom w:val="nil"/>
              <w:right w:val="nil"/>
            </w:tcBorders>
            <w:shd w:val="clear" w:color="auto" w:fill="auto"/>
            <w:noWrap/>
            <w:vAlign w:val="bottom"/>
            <w:hideMark/>
          </w:tcPr>
          <w:p w14:paraId="1CD867D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-0.013***</w:t>
            </w:r>
          </w:p>
        </w:tc>
      </w:tr>
      <w:tr w:rsidR="00D526E7" w:rsidRPr="007F37A0" w14:paraId="487C8BE2"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7AAECFF6"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1F6D11C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(0.004)</w:t>
            </w:r>
          </w:p>
        </w:tc>
        <w:tc>
          <w:tcPr>
            <w:tcW w:w="1296" w:type="dxa"/>
            <w:tcBorders>
              <w:top w:val="nil"/>
              <w:left w:val="nil"/>
              <w:bottom w:val="nil"/>
              <w:right w:val="nil"/>
            </w:tcBorders>
            <w:shd w:val="clear" w:color="auto" w:fill="auto"/>
            <w:noWrap/>
            <w:vAlign w:val="bottom"/>
            <w:hideMark/>
          </w:tcPr>
          <w:p w14:paraId="364F80B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(0.004)</w:t>
            </w:r>
          </w:p>
        </w:tc>
        <w:tc>
          <w:tcPr>
            <w:tcW w:w="1296" w:type="dxa"/>
            <w:tcBorders>
              <w:top w:val="nil"/>
              <w:left w:val="nil"/>
              <w:bottom w:val="nil"/>
              <w:right w:val="nil"/>
            </w:tcBorders>
            <w:shd w:val="clear" w:color="auto" w:fill="auto"/>
            <w:noWrap/>
            <w:vAlign w:val="bottom"/>
            <w:hideMark/>
          </w:tcPr>
          <w:p w14:paraId="2309D7A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(0.004)</w:t>
            </w:r>
          </w:p>
        </w:tc>
        <w:tc>
          <w:tcPr>
            <w:tcW w:w="1296" w:type="dxa"/>
            <w:tcBorders>
              <w:top w:val="nil"/>
              <w:left w:val="nil"/>
              <w:bottom w:val="nil"/>
              <w:right w:val="nil"/>
            </w:tcBorders>
            <w:shd w:val="clear" w:color="auto" w:fill="auto"/>
            <w:noWrap/>
            <w:vAlign w:val="bottom"/>
            <w:hideMark/>
          </w:tcPr>
          <w:p w14:paraId="4BA20B9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(0.004)</w:t>
            </w:r>
          </w:p>
        </w:tc>
        <w:tc>
          <w:tcPr>
            <w:tcW w:w="1296" w:type="dxa"/>
            <w:tcBorders>
              <w:top w:val="nil"/>
              <w:left w:val="nil"/>
              <w:bottom w:val="nil"/>
              <w:right w:val="nil"/>
            </w:tcBorders>
            <w:shd w:val="clear" w:color="auto" w:fill="auto"/>
            <w:noWrap/>
            <w:vAlign w:val="bottom"/>
            <w:hideMark/>
          </w:tcPr>
          <w:p w14:paraId="22A35A0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(0.004)</w:t>
            </w:r>
          </w:p>
        </w:tc>
        <w:tc>
          <w:tcPr>
            <w:tcW w:w="1296" w:type="dxa"/>
            <w:tcBorders>
              <w:top w:val="nil"/>
              <w:left w:val="nil"/>
              <w:bottom w:val="nil"/>
              <w:right w:val="nil"/>
            </w:tcBorders>
            <w:shd w:val="clear" w:color="auto" w:fill="auto"/>
            <w:noWrap/>
            <w:vAlign w:val="bottom"/>
            <w:hideMark/>
          </w:tcPr>
          <w:p w14:paraId="6FC08A0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(0.004)</w:t>
            </w:r>
          </w:p>
        </w:tc>
      </w:tr>
      <w:tr w:rsidR="00D526E7" w:rsidRPr="007F37A0" w14:paraId="2598D047"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6D0F267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Leading Index</w:t>
            </w:r>
          </w:p>
        </w:tc>
        <w:tc>
          <w:tcPr>
            <w:tcW w:w="1296" w:type="dxa"/>
            <w:tcBorders>
              <w:top w:val="nil"/>
              <w:left w:val="nil"/>
              <w:bottom w:val="nil"/>
              <w:right w:val="nil"/>
            </w:tcBorders>
            <w:shd w:val="clear" w:color="auto" w:fill="auto"/>
            <w:noWrap/>
            <w:vAlign w:val="bottom"/>
            <w:hideMark/>
          </w:tcPr>
          <w:p w14:paraId="794329A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-0.021</w:t>
            </w:r>
          </w:p>
        </w:tc>
        <w:tc>
          <w:tcPr>
            <w:tcW w:w="1296" w:type="dxa"/>
            <w:tcBorders>
              <w:top w:val="nil"/>
              <w:left w:val="nil"/>
              <w:bottom w:val="nil"/>
              <w:right w:val="nil"/>
            </w:tcBorders>
            <w:shd w:val="clear" w:color="auto" w:fill="auto"/>
            <w:noWrap/>
            <w:vAlign w:val="bottom"/>
            <w:hideMark/>
          </w:tcPr>
          <w:p w14:paraId="20A29D4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-0.020</w:t>
            </w:r>
          </w:p>
        </w:tc>
        <w:tc>
          <w:tcPr>
            <w:tcW w:w="1296" w:type="dxa"/>
            <w:tcBorders>
              <w:top w:val="nil"/>
              <w:left w:val="nil"/>
              <w:bottom w:val="nil"/>
              <w:right w:val="nil"/>
            </w:tcBorders>
            <w:shd w:val="clear" w:color="auto" w:fill="auto"/>
            <w:noWrap/>
            <w:vAlign w:val="bottom"/>
            <w:hideMark/>
          </w:tcPr>
          <w:p w14:paraId="1979698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-0.001</w:t>
            </w:r>
          </w:p>
        </w:tc>
        <w:tc>
          <w:tcPr>
            <w:tcW w:w="1296" w:type="dxa"/>
            <w:tcBorders>
              <w:top w:val="nil"/>
              <w:left w:val="nil"/>
              <w:bottom w:val="nil"/>
              <w:right w:val="nil"/>
            </w:tcBorders>
            <w:shd w:val="clear" w:color="auto" w:fill="auto"/>
            <w:noWrap/>
            <w:vAlign w:val="bottom"/>
            <w:hideMark/>
          </w:tcPr>
          <w:p w14:paraId="61D1BEE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-0.046</w:t>
            </w:r>
          </w:p>
        </w:tc>
        <w:tc>
          <w:tcPr>
            <w:tcW w:w="1296" w:type="dxa"/>
            <w:tcBorders>
              <w:top w:val="nil"/>
              <w:left w:val="nil"/>
              <w:bottom w:val="nil"/>
              <w:right w:val="nil"/>
            </w:tcBorders>
            <w:shd w:val="clear" w:color="auto" w:fill="auto"/>
            <w:noWrap/>
            <w:vAlign w:val="bottom"/>
            <w:hideMark/>
          </w:tcPr>
          <w:p w14:paraId="469658F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-0.011</w:t>
            </w:r>
          </w:p>
        </w:tc>
        <w:tc>
          <w:tcPr>
            <w:tcW w:w="1296" w:type="dxa"/>
            <w:tcBorders>
              <w:top w:val="nil"/>
              <w:left w:val="nil"/>
              <w:bottom w:val="nil"/>
              <w:right w:val="nil"/>
            </w:tcBorders>
            <w:shd w:val="clear" w:color="auto" w:fill="auto"/>
            <w:noWrap/>
            <w:vAlign w:val="bottom"/>
            <w:hideMark/>
          </w:tcPr>
          <w:p w14:paraId="10E112B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0.007</w:t>
            </w:r>
          </w:p>
        </w:tc>
      </w:tr>
      <w:tr w:rsidR="00D526E7" w:rsidRPr="007F37A0" w14:paraId="6B6D6FA7"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727AF1AE"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196A1C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(0.046)</w:t>
            </w:r>
          </w:p>
        </w:tc>
        <w:tc>
          <w:tcPr>
            <w:tcW w:w="1296" w:type="dxa"/>
            <w:tcBorders>
              <w:top w:val="nil"/>
              <w:left w:val="nil"/>
              <w:bottom w:val="nil"/>
              <w:right w:val="nil"/>
            </w:tcBorders>
            <w:shd w:val="clear" w:color="auto" w:fill="auto"/>
            <w:noWrap/>
            <w:vAlign w:val="bottom"/>
            <w:hideMark/>
          </w:tcPr>
          <w:p w14:paraId="3AC891E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(0.046)</w:t>
            </w:r>
          </w:p>
        </w:tc>
        <w:tc>
          <w:tcPr>
            <w:tcW w:w="1296" w:type="dxa"/>
            <w:tcBorders>
              <w:top w:val="nil"/>
              <w:left w:val="nil"/>
              <w:bottom w:val="nil"/>
              <w:right w:val="nil"/>
            </w:tcBorders>
            <w:shd w:val="clear" w:color="auto" w:fill="auto"/>
            <w:noWrap/>
            <w:vAlign w:val="bottom"/>
            <w:hideMark/>
          </w:tcPr>
          <w:p w14:paraId="3B93141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(0.047)</w:t>
            </w:r>
          </w:p>
        </w:tc>
        <w:tc>
          <w:tcPr>
            <w:tcW w:w="1296" w:type="dxa"/>
            <w:tcBorders>
              <w:top w:val="nil"/>
              <w:left w:val="nil"/>
              <w:bottom w:val="nil"/>
              <w:right w:val="nil"/>
            </w:tcBorders>
            <w:shd w:val="clear" w:color="auto" w:fill="auto"/>
            <w:noWrap/>
            <w:vAlign w:val="bottom"/>
            <w:hideMark/>
          </w:tcPr>
          <w:p w14:paraId="14761B1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(0.049)</w:t>
            </w:r>
          </w:p>
        </w:tc>
        <w:tc>
          <w:tcPr>
            <w:tcW w:w="1296" w:type="dxa"/>
            <w:tcBorders>
              <w:top w:val="nil"/>
              <w:left w:val="nil"/>
              <w:bottom w:val="nil"/>
              <w:right w:val="nil"/>
            </w:tcBorders>
            <w:shd w:val="clear" w:color="auto" w:fill="auto"/>
            <w:noWrap/>
            <w:vAlign w:val="bottom"/>
            <w:hideMark/>
          </w:tcPr>
          <w:p w14:paraId="11F9C9F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(0.048)</w:t>
            </w:r>
          </w:p>
        </w:tc>
        <w:tc>
          <w:tcPr>
            <w:tcW w:w="1296" w:type="dxa"/>
            <w:tcBorders>
              <w:top w:val="nil"/>
              <w:left w:val="nil"/>
              <w:bottom w:val="nil"/>
              <w:right w:val="nil"/>
            </w:tcBorders>
            <w:shd w:val="clear" w:color="auto" w:fill="auto"/>
            <w:noWrap/>
            <w:vAlign w:val="bottom"/>
            <w:hideMark/>
          </w:tcPr>
          <w:p w14:paraId="36C62B0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(0.048)</w:t>
            </w:r>
          </w:p>
        </w:tc>
      </w:tr>
      <w:tr w:rsidR="00D526E7" w:rsidRPr="007F37A0" w14:paraId="0A4C05B1"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606137C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Constant</w:t>
            </w:r>
          </w:p>
        </w:tc>
        <w:tc>
          <w:tcPr>
            <w:tcW w:w="1296" w:type="dxa"/>
            <w:tcBorders>
              <w:top w:val="nil"/>
              <w:left w:val="nil"/>
              <w:bottom w:val="nil"/>
              <w:right w:val="nil"/>
            </w:tcBorders>
            <w:shd w:val="clear" w:color="auto" w:fill="auto"/>
            <w:noWrap/>
            <w:vAlign w:val="bottom"/>
            <w:hideMark/>
          </w:tcPr>
          <w:p w14:paraId="0CA5AC8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1.752***</w:t>
            </w:r>
          </w:p>
        </w:tc>
        <w:tc>
          <w:tcPr>
            <w:tcW w:w="1296" w:type="dxa"/>
            <w:tcBorders>
              <w:top w:val="nil"/>
              <w:left w:val="nil"/>
              <w:bottom w:val="nil"/>
              <w:right w:val="nil"/>
            </w:tcBorders>
            <w:shd w:val="clear" w:color="auto" w:fill="auto"/>
            <w:noWrap/>
            <w:vAlign w:val="bottom"/>
            <w:hideMark/>
          </w:tcPr>
          <w:p w14:paraId="4AD88BB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1.697***</w:t>
            </w:r>
          </w:p>
        </w:tc>
        <w:tc>
          <w:tcPr>
            <w:tcW w:w="1296" w:type="dxa"/>
            <w:tcBorders>
              <w:top w:val="nil"/>
              <w:left w:val="nil"/>
              <w:bottom w:val="nil"/>
              <w:right w:val="nil"/>
            </w:tcBorders>
            <w:shd w:val="clear" w:color="auto" w:fill="auto"/>
            <w:noWrap/>
            <w:vAlign w:val="bottom"/>
            <w:hideMark/>
          </w:tcPr>
          <w:p w14:paraId="7074A8B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2.042***</w:t>
            </w:r>
          </w:p>
        </w:tc>
        <w:tc>
          <w:tcPr>
            <w:tcW w:w="1296" w:type="dxa"/>
            <w:tcBorders>
              <w:top w:val="nil"/>
              <w:left w:val="nil"/>
              <w:bottom w:val="nil"/>
              <w:right w:val="nil"/>
            </w:tcBorders>
            <w:shd w:val="clear" w:color="auto" w:fill="auto"/>
            <w:noWrap/>
            <w:vAlign w:val="bottom"/>
            <w:hideMark/>
          </w:tcPr>
          <w:p w14:paraId="46789DD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2.791***</w:t>
            </w:r>
          </w:p>
        </w:tc>
        <w:tc>
          <w:tcPr>
            <w:tcW w:w="1296" w:type="dxa"/>
            <w:tcBorders>
              <w:top w:val="nil"/>
              <w:left w:val="nil"/>
              <w:bottom w:val="nil"/>
              <w:right w:val="nil"/>
            </w:tcBorders>
            <w:shd w:val="clear" w:color="auto" w:fill="auto"/>
            <w:noWrap/>
            <w:vAlign w:val="bottom"/>
            <w:hideMark/>
          </w:tcPr>
          <w:p w14:paraId="1C4D020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2.264***</w:t>
            </w:r>
          </w:p>
        </w:tc>
        <w:tc>
          <w:tcPr>
            <w:tcW w:w="1296" w:type="dxa"/>
            <w:tcBorders>
              <w:top w:val="nil"/>
              <w:left w:val="nil"/>
              <w:bottom w:val="nil"/>
              <w:right w:val="nil"/>
            </w:tcBorders>
            <w:shd w:val="clear" w:color="auto" w:fill="auto"/>
            <w:noWrap/>
            <w:vAlign w:val="bottom"/>
            <w:hideMark/>
          </w:tcPr>
          <w:p w14:paraId="515378B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1.936***</w:t>
            </w:r>
          </w:p>
        </w:tc>
      </w:tr>
      <w:tr w:rsidR="00D526E7" w:rsidRPr="007F37A0" w14:paraId="71B24D08"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218303A9"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3A30324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(0.575)</w:t>
            </w:r>
          </w:p>
        </w:tc>
        <w:tc>
          <w:tcPr>
            <w:tcW w:w="1296" w:type="dxa"/>
            <w:tcBorders>
              <w:top w:val="nil"/>
              <w:left w:val="nil"/>
              <w:bottom w:val="nil"/>
              <w:right w:val="nil"/>
            </w:tcBorders>
            <w:shd w:val="clear" w:color="auto" w:fill="auto"/>
            <w:noWrap/>
            <w:vAlign w:val="bottom"/>
            <w:hideMark/>
          </w:tcPr>
          <w:p w14:paraId="6604A28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(0.614)</w:t>
            </w:r>
          </w:p>
        </w:tc>
        <w:tc>
          <w:tcPr>
            <w:tcW w:w="1296" w:type="dxa"/>
            <w:tcBorders>
              <w:top w:val="nil"/>
              <w:left w:val="nil"/>
              <w:bottom w:val="nil"/>
              <w:right w:val="nil"/>
            </w:tcBorders>
            <w:shd w:val="clear" w:color="auto" w:fill="auto"/>
            <w:noWrap/>
            <w:vAlign w:val="bottom"/>
            <w:hideMark/>
          </w:tcPr>
          <w:p w14:paraId="5ADB263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(0.587)</w:t>
            </w:r>
          </w:p>
        </w:tc>
        <w:tc>
          <w:tcPr>
            <w:tcW w:w="1296" w:type="dxa"/>
            <w:tcBorders>
              <w:top w:val="nil"/>
              <w:left w:val="nil"/>
              <w:bottom w:val="nil"/>
              <w:right w:val="nil"/>
            </w:tcBorders>
            <w:shd w:val="clear" w:color="auto" w:fill="auto"/>
            <w:noWrap/>
            <w:vAlign w:val="bottom"/>
            <w:hideMark/>
          </w:tcPr>
          <w:p w14:paraId="2456401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(0.507)</w:t>
            </w:r>
          </w:p>
        </w:tc>
        <w:tc>
          <w:tcPr>
            <w:tcW w:w="1296" w:type="dxa"/>
            <w:tcBorders>
              <w:top w:val="nil"/>
              <w:left w:val="nil"/>
              <w:bottom w:val="nil"/>
              <w:right w:val="nil"/>
            </w:tcBorders>
            <w:shd w:val="clear" w:color="auto" w:fill="auto"/>
            <w:noWrap/>
            <w:vAlign w:val="bottom"/>
            <w:hideMark/>
          </w:tcPr>
          <w:p w14:paraId="1BE63F2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(0.572)</w:t>
            </w:r>
          </w:p>
        </w:tc>
        <w:tc>
          <w:tcPr>
            <w:tcW w:w="1296" w:type="dxa"/>
            <w:tcBorders>
              <w:top w:val="nil"/>
              <w:left w:val="nil"/>
              <w:bottom w:val="nil"/>
              <w:right w:val="nil"/>
            </w:tcBorders>
            <w:shd w:val="clear" w:color="auto" w:fill="auto"/>
            <w:noWrap/>
            <w:vAlign w:val="bottom"/>
            <w:hideMark/>
          </w:tcPr>
          <w:p w14:paraId="6B10770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(0.611)</w:t>
            </w:r>
          </w:p>
        </w:tc>
      </w:tr>
      <w:tr w:rsidR="00D526E7" w:rsidRPr="007F37A0" w14:paraId="1EABF117"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60422CDB"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5BFBEA0"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0800DDA4"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24438411"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4D2E4F73"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04AACF5D"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27E1DB6F" w14:textId="77777777" w:rsidR="00D526E7" w:rsidRPr="007F37A0" w:rsidRDefault="00D526E7" w:rsidP="00735871">
            <w:pPr>
              <w:rPr>
                <w:rFonts w:ascii="Times New Roman" w:hAnsi="Times New Roman" w:cs="Times New Roman"/>
              </w:rPr>
            </w:pPr>
          </w:p>
        </w:tc>
      </w:tr>
      <w:tr w:rsidR="00D526E7" w:rsidRPr="007F37A0" w14:paraId="3AFDB811"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454CC8E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Firm FE</w:t>
            </w:r>
          </w:p>
        </w:tc>
        <w:tc>
          <w:tcPr>
            <w:tcW w:w="1296" w:type="dxa"/>
            <w:tcBorders>
              <w:top w:val="nil"/>
              <w:left w:val="nil"/>
              <w:bottom w:val="nil"/>
              <w:right w:val="nil"/>
            </w:tcBorders>
            <w:shd w:val="clear" w:color="auto" w:fill="auto"/>
            <w:noWrap/>
            <w:vAlign w:val="bottom"/>
            <w:hideMark/>
          </w:tcPr>
          <w:p w14:paraId="2DC560E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08233CD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4AE28D9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705E2F7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684F099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3B2FFCB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r>
      <w:tr w:rsidR="00D526E7" w:rsidRPr="007F37A0" w14:paraId="0591339E"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328B2CA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Time Controls</w:t>
            </w:r>
          </w:p>
        </w:tc>
        <w:tc>
          <w:tcPr>
            <w:tcW w:w="1296" w:type="dxa"/>
            <w:tcBorders>
              <w:top w:val="nil"/>
              <w:left w:val="nil"/>
              <w:bottom w:val="nil"/>
              <w:right w:val="nil"/>
            </w:tcBorders>
            <w:shd w:val="clear" w:color="auto" w:fill="auto"/>
            <w:noWrap/>
            <w:vAlign w:val="bottom"/>
            <w:hideMark/>
          </w:tcPr>
          <w:p w14:paraId="203C0F2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3B1D3B6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6B7BE2A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0AB25E5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77DAAC7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1B1812A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r>
      <w:tr w:rsidR="00D526E7" w:rsidRPr="007F37A0" w14:paraId="7AE6B98D"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2E75F3C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Observations</w:t>
            </w:r>
          </w:p>
        </w:tc>
        <w:tc>
          <w:tcPr>
            <w:tcW w:w="1296" w:type="dxa"/>
            <w:tcBorders>
              <w:top w:val="nil"/>
              <w:left w:val="nil"/>
              <w:bottom w:val="nil"/>
              <w:right w:val="nil"/>
            </w:tcBorders>
            <w:shd w:val="clear" w:color="auto" w:fill="auto"/>
            <w:noWrap/>
            <w:vAlign w:val="bottom"/>
            <w:hideMark/>
          </w:tcPr>
          <w:p w14:paraId="7E16597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3A73C05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05A7933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08C7803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688FAD8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6B0005A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r>
      <w:tr w:rsidR="00D526E7" w:rsidRPr="007F37A0" w14:paraId="18085AA8" w14:textId="77777777" w:rsidTr="00735871">
        <w:trPr>
          <w:trHeight w:val="276"/>
          <w:jc w:val="center"/>
        </w:trPr>
        <w:tc>
          <w:tcPr>
            <w:tcW w:w="2340" w:type="dxa"/>
            <w:tcBorders>
              <w:top w:val="nil"/>
              <w:left w:val="nil"/>
              <w:bottom w:val="single" w:sz="4" w:space="0" w:color="000000"/>
              <w:right w:val="nil"/>
            </w:tcBorders>
            <w:shd w:val="clear" w:color="auto" w:fill="auto"/>
            <w:noWrap/>
            <w:vAlign w:val="bottom"/>
            <w:hideMark/>
          </w:tcPr>
          <w:p w14:paraId="0069523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R-squared</w:t>
            </w:r>
          </w:p>
        </w:tc>
        <w:tc>
          <w:tcPr>
            <w:tcW w:w="1296" w:type="dxa"/>
            <w:tcBorders>
              <w:top w:val="nil"/>
              <w:left w:val="nil"/>
              <w:bottom w:val="single" w:sz="4" w:space="0" w:color="000000"/>
              <w:right w:val="nil"/>
            </w:tcBorders>
            <w:shd w:val="clear" w:color="auto" w:fill="auto"/>
            <w:noWrap/>
            <w:vAlign w:val="bottom"/>
            <w:hideMark/>
          </w:tcPr>
          <w:p w14:paraId="63846C9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96" w:type="dxa"/>
            <w:tcBorders>
              <w:top w:val="nil"/>
              <w:left w:val="nil"/>
              <w:bottom w:val="single" w:sz="4" w:space="0" w:color="000000"/>
              <w:right w:val="nil"/>
            </w:tcBorders>
            <w:shd w:val="clear" w:color="auto" w:fill="auto"/>
            <w:noWrap/>
            <w:vAlign w:val="bottom"/>
            <w:hideMark/>
          </w:tcPr>
          <w:p w14:paraId="6A46977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96" w:type="dxa"/>
            <w:tcBorders>
              <w:top w:val="nil"/>
              <w:left w:val="nil"/>
              <w:bottom w:val="single" w:sz="4" w:space="0" w:color="000000"/>
              <w:right w:val="nil"/>
            </w:tcBorders>
            <w:shd w:val="clear" w:color="auto" w:fill="auto"/>
            <w:noWrap/>
            <w:vAlign w:val="bottom"/>
            <w:hideMark/>
          </w:tcPr>
          <w:p w14:paraId="312D00A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96" w:type="dxa"/>
            <w:tcBorders>
              <w:top w:val="nil"/>
              <w:left w:val="nil"/>
              <w:bottom w:val="single" w:sz="4" w:space="0" w:color="000000"/>
              <w:right w:val="nil"/>
            </w:tcBorders>
            <w:shd w:val="clear" w:color="auto" w:fill="auto"/>
            <w:noWrap/>
            <w:vAlign w:val="bottom"/>
            <w:hideMark/>
          </w:tcPr>
          <w:p w14:paraId="267ED36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0.317</w:t>
            </w:r>
          </w:p>
        </w:tc>
        <w:tc>
          <w:tcPr>
            <w:tcW w:w="1296" w:type="dxa"/>
            <w:tcBorders>
              <w:top w:val="nil"/>
              <w:left w:val="nil"/>
              <w:bottom w:val="single" w:sz="4" w:space="0" w:color="000000"/>
              <w:right w:val="nil"/>
            </w:tcBorders>
            <w:shd w:val="clear" w:color="auto" w:fill="auto"/>
            <w:noWrap/>
            <w:vAlign w:val="bottom"/>
            <w:hideMark/>
          </w:tcPr>
          <w:p w14:paraId="6A80A38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96" w:type="dxa"/>
            <w:tcBorders>
              <w:top w:val="nil"/>
              <w:left w:val="nil"/>
              <w:bottom w:val="single" w:sz="4" w:space="0" w:color="000000"/>
              <w:right w:val="nil"/>
            </w:tcBorders>
            <w:shd w:val="clear" w:color="auto" w:fill="auto"/>
            <w:noWrap/>
            <w:vAlign w:val="bottom"/>
            <w:hideMark/>
          </w:tcPr>
          <w:p w14:paraId="640E6A1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r>
      <w:tr w:rsidR="00D526E7" w:rsidRPr="007F37A0" w14:paraId="4A2588BB" w14:textId="77777777" w:rsidTr="00735871">
        <w:trPr>
          <w:trHeight w:val="276"/>
          <w:jc w:val="center"/>
        </w:trPr>
        <w:tc>
          <w:tcPr>
            <w:tcW w:w="10116" w:type="dxa"/>
            <w:gridSpan w:val="7"/>
            <w:tcBorders>
              <w:top w:val="nil"/>
              <w:left w:val="nil"/>
              <w:bottom w:val="nil"/>
              <w:right w:val="nil"/>
            </w:tcBorders>
            <w:shd w:val="clear" w:color="auto" w:fill="auto"/>
            <w:noWrap/>
            <w:vAlign w:val="bottom"/>
            <w:hideMark/>
          </w:tcPr>
          <w:p w14:paraId="138AAD4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Robust standard errors in parentheses, clustered at the firm and year level</w:t>
            </w:r>
          </w:p>
        </w:tc>
      </w:tr>
      <w:tr w:rsidR="00D526E7" w:rsidRPr="007F37A0" w14:paraId="54F48F90" w14:textId="77777777" w:rsidTr="00735871">
        <w:trPr>
          <w:trHeight w:val="276"/>
          <w:jc w:val="center"/>
        </w:trPr>
        <w:tc>
          <w:tcPr>
            <w:tcW w:w="10116" w:type="dxa"/>
            <w:gridSpan w:val="7"/>
            <w:tcBorders>
              <w:top w:val="nil"/>
              <w:left w:val="nil"/>
              <w:bottom w:val="nil"/>
              <w:right w:val="nil"/>
            </w:tcBorders>
            <w:shd w:val="clear" w:color="auto" w:fill="auto"/>
            <w:noWrap/>
            <w:vAlign w:val="bottom"/>
            <w:hideMark/>
          </w:tcPr>
          <w:p w14:paraId="1CFB39E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 p&lt;0.01, ** p&lt;0.05, * p&lt;0.1</w:t>
            </w:r>
          </w:p>
          <w:p w14:paraId="6CE9808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The dependent variable is the lagged quarterly capital expenditures divided by the level of capital stock multiplied by 100, so investment rate can be interpreted as a percentage. Statistical Policy Uncertainty is the estimated log of statistical volatility of the Policy Index. The log of Direct Policy Uncertainty measures policy uncertainty using newspaper article text analysis following Baker, Bloom, and Davis (2016). The log of Policy Index measures policy activity using newspaper article text analysis. Cashflow is the ratio of cash flow to assets for a firm in a quarter. Sales growth is the growth of revenue for a firm from last quarter. Real GDP growth comes from FRED. Consumer Sentiment Index is the University of Michigan’s Consumer Sentiment survey which summarizes consumer perception of economic conditions. The Leading Index is the predicted six-month growth rate for the coincident index which measures economic conditions.</w:t>
            </w:r>
          </w:p>
        </w:tc>
      </w:tr>
    </w:tbl>
    <w:p w14:paraId="04DEEE16" w14:textId="7911C5FE" w:rsidR="00D526E7" w:rsidRPr="007F37A0" w:rsidRDefault="00D526E7" w:rsidP="007F37A0">
      <w:pPr>
        <w:pStyle w:val="Caption"/>
        <w:rPr>
          <w:rFonts w:cs="Times New Roman"/>
          <w:b/>
        </w:rPr>
      </w:pPr>
      <w:bookmarkStart w:id="39" w:name="_Ref162181117"/>
      <w:bookmarkStart w:id="40" w:name="_Toc164862540"/>
      <w:r w:rsidRPr="007F37A0">
        <w:rPr>
          <w:rFonts w:cs="Times New Roman"/>
        </w:rPr>
        <w:lastRenderedPageBreak/>
        <w:t xml:space="preserve">Table </w:t>
      </w:r>
      <w:r w:rsidRPr="007F37A0">
        <w:rPr>
          <w:rFonts w:cs="Times New Roman"/>
          <w:b/>
        </w:rPr>
        <w:fldChar w:fldCharType="begin"/>
      </w:r>
      <w:r w:rsidRPr="007F37A0">
        <w:rPr>
          <w:rFonts w:cs="Times New Roman"/>
        </w:rPr>
        <w:instrText xml:space="preserve"> SEQ Table \* ARABIC </w:instrText>
      </w:r>
      <w:r w:rsidRPr="007F37A0">
        <w:rPr>
          <w:rFonts w:cs="Times New Roman"/>
          <w:b/>
        </w:rPr>
        <w:fldChar w:fldCharType="separate"/>
      </w:r>
      <w:r w:rsidR="00142A7E">
        <w:rPr>
          <w:rFonts w:cs="Times New Roman"/>
          <w:noProof/>
        </w:rPr>
        <w:t>5</w:t>
      </w:r>
      <w:r w:rsidRPr="007F37A0">
        <w:rPr>
          <w:rFonts w:cs="Times New Roman"/>
          <w:b/>
          <w:noProof/>
        </w:rPr>
        <w:fldChar w:fldCharType="end"/>
      </w:r>
      <w:bookmarkEnd w:id="39"/>
      <w:r w:rsidRPr="007F37A0">
        <w:rPr>
          <w:rFonts w:cs="Times New Roman"/>
        </w:rPr>
        <w:t>: Heterogenous Effects of Policy Uncertainty and Firm-level Investment</w:t>
      </w:r>
      <w:bookmarkEnd w:id="40"/>
    </w:p>
    <w:tbl>
      <w:tblPr>
        <w:tblW w:w="9900" w:type="dxa"/>
        <w:jc w:val="center"/>
        <w:tblLook w:val="04A0" w:firstRow="1" w:lastRow="0" w:firstColumn="1" w:lastColumn="0" w:noHBand="0" w:noVBand="1"/>
      </w:tblPr>
      <w:tblGrid>
        <w:gridCol w:w="2430"/>
        <w:gridCol w:w="1170"/>
        <w:gridCol w:w="1260"/>
        <w:gridCol w:w="1260"/>
        <w:gridCol w:w="1260"/>
        <w:gridCol w:w="1260"/>
        <w:gridCol w:w="1260"/>
      </w:tblGrid>
      <w:tr w:rsidR="00D526E7" w:rsidRPr="007F37A0" w14:paraId="617F9BFC" w14:textId="77777777" w:rsidTr="00735871">
        <w:trPr>
          <w:trHeight w:val="276"/>
          <w:jc w:val="center"/>
        </w:trPr>
        <w:tc>
          <w:tcPr>
            <w:tcW w:w="2430" w:type="dxa"/>
            <w:tcBorders>
              <w:top w:val="single" w:sz="4" w:space="0" w:color="000000"/>
              <w:left w:val="nil"/>
              <w:right w:val="nil"/>
            </w:tcBorders>
            <w:shd w:val="clear" w:color="auto" w:fill="auto"/>
            <w:noWrap/>
            <w:vAlign w:val="bottom"/>
            <w:hideMark/>
          </w:tcPr>
          <w:p w14:paraId="7760759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 </w:t>
            </w:r>
          </w:p>
        </w:tc>
        <w:tc>
          <w:tcPr>
            <w:tcW w:w="1170" w:type="dxa"/>
            <w:tcBorders>
              <w:top w:val="single" w:sz="4" w:space="0" w:color="000000"/>
              <w:left w:val="nil"/>
              <w:right w:val="nil"/>
            </w:tcBorders>
            <w:shd w:val="clear" w:color="auto" w:fill="auto"/>
            <w:noWrap/>
            <w:vAlign w:val="bottom"/>
            <w:hideMark/>
          </w:tcPr>
          <w:p w14:paraId="4A8D0E0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(1)</w:t>
            </w:r>
          </w:p>
        </w:tc>
        <w:tc>
          <w:tcPr>
            <w:tcW w:w="1260" w:type="dxa"/>
            <w:tcBorders>
              <w:top w:val="single" w:sz="4" w:space="0" w:color="000000"/>
              <w:left w:val="nil"/>
              <w:right w:val="nil"/>
            </w:tcBorders>
            <w:shd w:val="clear" w:color="auto" w:fill="auto"/>
            <w:noWrap/>
            <w:vAlign w:val="bottom"/>
            <w:hideMark/>
          </w:tcPr>
          <w:p w14:paraId="205F33E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(2)</w:t>
            </w:r>
          </w:p>
        </w:tc>
        <w:tc>
          <w:tcPr>
            <w:tcW w:w="1260" w:type="dxa"/>
            <w:tcBorders>
              <w:top w:val="single" w:sz="4" w:space="0" w:color="000000"/>
              <w:left w:val="nil"/>
              <w:right w:val="nil"/>
            </w:tcBorders>
            <w:shd w:val="clear" w:color="auto" w:fill="auto"/>
            <w:noWrap/>
            <w:vAlign w:val="bottom"/>
            <w:hideMark/>
          </w:tcPr>
          <w:p w14:paraId="7F55E75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(3)</w:t>
            </w:r>
          </w:p>
        </w:tc>
        <w:tc>
          <w:tcPr>
            <w:tcW w:w="1260" w:type="dxa"/>
            <w:tcBorders>
              <w:top w:val="single" w:sz="4" w:space="0" w:color="000000"/>
              <w:left w:val="nil"/>
              <w:right w:val="nil"/>
            </w:tcBorders>
            <w:shd w:val="clear" w:color="auto" w:fill="auto"/>
            <w:noWrap/>
            <w:vAlign w:val="bottom"/>
            <w:hideMark/>
          </w:tcPr>
          <w:p w14:paraId="1D992C6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(4)</w:t>
            </w:r>
          </w:p>
        </w:tc>
        <w:tc>
          <w:tcPr>
            <w:tcW w:w="1260" w:type="dxa"/>
            <w:tcBorders>
              <w:top w:val="single" w:sz="4" w:space="0" w:color="000000"/>
              <w:left w:val="nil"/>
              <w:right w:val="nil"/>
            </w:tcBorders>
            <w:shd w:val="clear" w:color="auto" w:fill="auto"/>
            <w:noWrap/>
            <w:vAlign w:val="bottom"/>
            <w:hideMark/>
          </w:tcPr>
          <w:p w14:paraId="18495AF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(5)</w:t>
            </w:r>
          </w:p>
        </w:tc>
        <w:tc>
          <w:tcPr>
            <w:tcW w:w="1260" w:type="dxa"/>
            <w:tcBorders>
              <w:top w:val="single" w:sz="4" w:space="0" w:color="000000"/>
              <w:left w:val="nil"/>
              <w:right w:val="nil"/>
            </w:tcBorders>
            <w:shd w:val="clear" w:color="auto" w:fill="auto"/>
            <w:noWrap/>
            <w:vAlign w:val="bottom"/>
            <w:hideMark/>
          </w:tcPr>
          <w:p w14:paraId="5134612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(6)</w:t>
            </w:r>
          </w:p>
        </w:tc>
      </w:tr>
      <w:tr w:rsidR="00D526E7" w:rsidRPr="007F37A0" w14:paraId="7C67EDCF" w14:textId="77777777" w:rsidTr="00735871">
        <w:trPr>
          <w:trHeight w:val="276"/>
          <w:jc w:val="center"/>
        </w:trPr>
        <w:tc>
          <w:tcPr>
            <w:tcW w:w="2430" w:type="dxa"/>
            <w:tcBorders>
              <w:top w:val="nil"/>
              <w:left w:val="nil"/>
              <w:bottom w:val="single" w:sz="4" w:space="0" w:color="auto"/>
              <w:right w:val="nil"/>
            </w:tcBorders>
            <w:shd w:val="clear" w:color="auto" w:fill="auto"/>
            <w:noWrap/>
            <w:vAlign w:val="bottom"/>
            <w:hideMark/>
          </w:tcPr>
          <w:p w14:paraId="779000B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Dependent Variable: Firm Investment Rate</w:t>
            </w:r>
          </w:p>
        </w:tc>
        <w:tc>
          <w:tcPr>
            <w:tcW w:w="1170" w:type="dxa"/>
            <w:tcBorders>
              <w:top w:val="nil"/>
              <w:left w:val="nil"/>
              <w:bottom w:val="single" w:sz="4" w:space="0" w:color="auto"/>
              <w:right w:val="nil"/>
            </w:tcBorders>
            <w:shd w:val="clear" w:color="auto" w:fill="auto"/>
            <w:noWrap/>
            <w:vAlign w:val="bottom"/>
          </w:tcPr>
          <w:p w14:paraId="6A776096" w14:textId="77777777" w:rsidR="00D526E7" w:rsidRPr="007F37A0" w:rsidRDefault="00D526E7" w:rsidP="00735871">
            <w:pPr>
              <w:rPr>
                <w:rFonts w:ascii="Times New Roman" w:hAnsi="Times New Roman" w:cs="Times New Roman"/>
              </w:rPr>
            </w:pPr>
          </w:p>
        </w:tc>
        <w:tc>
          <w:tcPr>
            <w:tcW w:w="1260" w:type="dxa"/>
            <w:tcBorders>
              <w:top w:val="nil"/>
              <w:left w:val="nil"/>
              <w:bottom w:val="single" w:sz="4" w:space="0" w:color="auto"/>
              <w:right w:val="nil"/>
            </w:tcBorders>
            <w:shd w:val="clear" w:color="auto" w:fill="auto"/>
            <w:noWrap/>
            <w:vAlign w:val="bottom"/>
          </w:tcPr>
          <w:p w14:paraId="00C1560E" w14:textId="77777777" w:rsidR="00D526E7" w:rsidRPr="007F37A0" w:rsidRDefault="00D526E7" w:rsidP="00735871">
            <w:pPr>
              <w:rPr>
                <w:rFonts w:ascii="Times New Roman" w:hAnsi="Times New Roman" w:cs="Times New Roman"/>
              </w:rPr>
            </w:pPr>
          </w:p>
        </w:tc>
        <w:tc>
          <w:tcPr>
            <w:tcW w:w="1260" w:type="dxa"/>
            <w:tcBorders>
              <w:top w:val="nil"/>
              <w:left w:val="nil"/>
              <w:bottom w:val="single" w:sz="4" w:space="0" w:color="auto"/>
              <w:right w:val="nil"/>
            </w:tcBorders>
            <w:shd w:val="clear" w:color="auto" w:fill="auto"/>
            <w:noWrap/>
            <w:vAlign w:val="bottom"/>
          </w:tcPr>
          <w:p w14:paraId="140EF85B" w14:textId="77777777" w:rsidR="00D526E7" w:rsidRPr="007F37A0" w:rsidRDefault="00D526E7" w:rsidP="00735871">
            <w:pPr>
              <w:rPr>
                <w:rFonts w:ascii="Times New Roman" w:hAnsi="Times New Roman" w:cs="Times New Roman"/>
              </w:rPr>
            </w:pPr>
          </w:p>
        </w:tc>
        <w:tc>
          <w:tcPr>
            <w:tcW w:w="1260" w:type="dxa"/>
            <w:tcBorders>
              <w:top w:val="nil"/>
              <w:left w:val="nil"/>
              <w:bottom w:val="single" w:sz="4" w:space="0" w:color="auto"/>
              <w:right w:val="nil"/>
            </w:tcBorders>
            <w:shd w:val="clear" w:color="auto" w:fill="auto"/>
            <w:noWrap/>
            <w:vAlign w:val="bottom"/>
          </w:tcPr>
          <w:p w14:paraId="1D5A876A" w14:textId="77777777" w:rsidR="00D526E7" w:rsidRPr="007F37A0" w:rsidRDefault="00D526E7" w:rsidP="00735871">
            <w:pPr>
              <w:rPr>
                <w:rFonts w:ascii="Times New Roman" w:hAnsi="Times New Roman" w:cs="Times New Roman"/>
              </w:rPr>
            </w:pPr>
          </w:p>
        </w:tc>
        <w:tc>
          <w:tcPr>
            <w:tcW w:w="1260" w:type="dxa"/>
            <w:tcBorders>
              <w:top w:val="nil"/>
              <w:left w:val="nil"/>
              <w:bottom w:val="single" w:sz="4" w:space="0" w:color="auto"/>
              <w:right w:val="nil"/>
            </w:tcBorders>
            <w:shd w:val="clear" w:color="auto" w:fill="auto"/>
            <w:noWrap/>
            <w:vAlign w:val="bottom"/>
          </w:tcPr>
          <w:p w14:paraId="3509B002" w14:textId="77777777" w:rsidR="00D526E7" w:rsidRPr="007F37A0" w:rsidRDefault="00D526E7" w:rsidP="00735871">
            <w:pPr>
              <w:rPr>
                <w:rFonts w:ascii="Times New Roman" w:hAnsi="Times New Roman" w:cs="Times New Roman"/>
              </w:rPr>
            </w:pPr>
          </w:p>
        </w:tc>
        <w:tc>
          <w:tcPr>
            <w:tcW w:w="1260" w:type="dxa"/>
            <w:tcBorders>
              <w:top w:val="nil"/>
              <w:left w:val="nil"/>
              <w:bottom w:val="single" w:sz="4" w:space="0" w:color="auto"/>
              <w:right w:val="nil"/>
            </w:tcBorders>
            <w:shd w:val="clear" w:color="auto" w:fill="auto"/>
            <w:noWrap/>
            <w:vAlign w:val="bottom"/>
          </w:tcPr>
          <w:p w14:paraId="4FB20B4A" w14:textId="77777777" w:rsidR="00D526E7" w:rsidRPr="007F37A0" w:rsidRDefault="00D526E7" w:rsidP="00735871">
            <w:pPr>
              <w:rPr>
                <w:rFonts w:ascii="Times New Roman" w:hAnsi="Times New Roman" w:cs="Times New Roman"/>
              </w:rPr>
            </w:pPr>
          </w:p>
        </w:tc>
      </w:tr>
      <w:tr w:rsidR="00D526E7" w:rsidRPr="007F37A0" w14:paraId="42AAB5FA" w14:textId="77777777" w:rsidTr="00735871">
        <w:trPr>
          <w:trHeight w:val="264"/>
          <w:jc w:val="center"/>
        </w:trPr>
        <w:tc>
          <w:tcPr>
            <w:tcW w:w="2430" w:type="dxa"/>
            <w:tcBorders>
              <w:top w:val="single" w:sz="4" w:space="0" w:color="auto"/>
              <w:left w:val="nil"/>
              <w:bottom w:val="nil"/>
              <w:right w:val="nil"/>
            </w:tcBorders>
            <w:shd w:val="clear" w:color="auto" w:fill="auto"/>
            <w:noWrap/>
            <w:vAlign w:val="bottom"/>
            <w:hideMark/>
          </w:tcPr>
          <w:p w14:paraId="3A1B1124" w14:textId="77777777" w:rsidR="00D526E7" w:rsidRPr="007F37A0" w:rsidRDefault="00D526E7" w:rsidP="00735871">
            <w:pPr>
              <w:rPr>
                <w:rFonts w:ascii="Times New Roman" w:hAnsi="Times New Roman" w:cs="Times New Roman"/>
              </w:rPr>
            </w:pPr>
          </w:p>
        </w:tc>
        <w:tc>
          <w:tcPr>
            <w:tcW w:w="1170" w:type="dxa"/>
            <w:tcBorders>
              <w:top w:val="single" w:sz="4" w:space="0" w:color="auto"/>
              <w:left w:val="nil"/>
              <w:bottom w:val="nil"/>
              <w:right w:val="nil"/>
            </w:tcBorders>
            <w:shd w:val="clear" w:color="auto" w:fill="auto"/>
            <w:noWrap/>
            <w:vAlign w:val="bottom"/>
          </w:tcPr>
          <w:p w14:paraId="3B6D5E22" w14:textId="77777777" w:rsidR="00D526E7" w:rsidRPr="007F37A0" w:rsidRDefault="00D526E7" w:rsidP="00735871">
            <w:pPr>
              <w:rPr>
                <w:rFonts w:ascii="Times New Roman" w:hAnsi="Times New Roman" w:cs="Times New Roman"/>
              </w:rPr>
            </w:pPr>
          </w:p>
        </w:tc>
        <w:tc>
          <w:tcPr>
            <w:tcW w:w="1260" w:type="dxa"/>
            <w:tcBorders>
              <w:top w:val="single" w:sz="4" w:space="0" w:color="auto"/>
              <w:left w:val="nil"/>
              <w:bottom w:val="nil"/>
              <w:right w:val="nil"/>
            </w:tcBorders>
            <w:shd w:val="clear" w:color="auto" w:fill="auto"/>
            <w:noWrap/>
            <w:vAlign w:val="bottom"/>
          </w:tcPr>
          <w:p w14:paraId="6DC0FFD6" w14:textId="77777777" w:rsidR="00D526E7" w:rsidRPr="007F37A0" w:rsidRDefault="00D526E7" w:rsidP="00735871">
            <w:pPr>
              <w:rPr>
                <w:rFonts w:ascii="Times New Roman" w:hAnsi="Times New Roman" w:cs="Times New Roman"/>
              </w:rPr>
            </w:pPr>
          </w:p>
        </w:tc>
        <w:tc>
          <w:tcPr>
            <w:tcW w:w="1260" w:type="dxa"/>
            <w:tcBorders>
              <w:top w:val="single" w:sz="4" w:space="0" w:color="auto"/>
              <w:left w:val="nil"/>
              <w:bottom w:val="nil"/>
              <w:right w:val="nil"/>
            </w:tcBorders>
            <w:shd w:val="clear" w:color="auto" w:fill="auto"/>
            <w:noWrap/>
            <w:vAlign w:val="bottom"/>
          </w:tcPr>
          <w:p w14:paraId="2023AB81" w14:textId="77777777" w:rsidR="00D526E7" w:rsidRPr="007F37A0" w:rsidRDefault="00D526E7" w:rsidP="00735871">
            <w:pPr>
              <w:rPr>
                <w:rFonts w:ascii="Times New Roman" w:hAnsi="Times New Roman" w:cs="Times New Roman"/>
              </w:rPr>
            </w:pPr>
          </w:p>
        </w:tc>
        <w:tc>
          <w:tcPr>
            <w:tcW w:w="1260" w:type="dxa"/>
            <w:tcBorders>
              <w:top w:val="single" w:sz="4" w:space="0" w:color="auto"/>
              <w:left w:val="nil"/>
              <w:bottom w:val="nil"/>
              <w:right w:val="nil"/>
            </w:tcBorders>
            <w:shd w:val="clear" w:color="auto" w:fill="auto"/>
            <w:noWrap/>
            <w:vAlign w:val="bottom"/>
          </w:tcPr>
          <w:p w14:paraId="137749F5" w14:textId="77777777" w:rsidR="00D526E7" w:rsidRPr="007F37A0" w:rsidRDefault="00D526E7" w:rsidP="00735871">
            <w:pPr>
              <w:rPr>
                <w:rFonts w:ascii="Times New Roman" w:hAnsi="Times New Roman" w:cs="Times New Roman"/>
              </w:rPr>
            </w:pPr>
          </w:p>
        </w:tc>
        <w:tc>
          <w:tcPr>
            <w:tcW w:w="1260" w:type="dxa"/>
            <w:tcBorders>
              <w:top w:val="single" w:sz="4" w:space="0" w:color="auto"/>
              <w:left w:val="nil"/>
              <w:bottom w:val="nil"/>
              <w:right w:val="nil"/>
            </w:tcBorders>
            <w:shd w:val="clear" w:color="auto" w:fill="auto"/>
            <w:noWrap/>
            <w:vAlign w:val="bottom"/>
          </w:tcPr>
          <w:p w14:paraId="625D0A87" w14:textId="77777777" w:rsidR="00D526E7" w:rsidRPr="007F37A0" w:rsidRDefault="00D526E7" w:rsidP="00735871">
            <w:pPr>
              <w:rPr>
                <w:rFonts w:ascii="Times New Roman" w:hAnsi="Times New Roman" w:cs="Times New Roman"/>
              </w:rPr>
            </w:pPr>
          </w:p>
        </w:tc>
        <w:tc>
          <w:tcPr>
            <w:tcW w:w="1260" w:type="dxa"/>
            <w:tcBorders>
              <w:top w:val="single" w:sz="4" w:space="0" w:color="auto"/>
              <w:left w:val="nil"/>
              <w:bottom w:val="nil"/>
              <w:right w:val="nil"/>
            </w:tcBorders>
            <w:shd w:val="clear" w:color="auto" w:fill="auto"/>
            <w:noWrap/>
            <w:vAlign w:val="bottom"/>
          </w:tcPr>
          <w:p w14:paraId="2669C4AC" w14:textId="77777777" w:rsidR="00D526E7" w:rsidRPr="007F37A0" w:rsidRDefault="00D526E7" w:rsidP="00735871">
            <w:pPr>
              <w:rPr>
                <w:rFonts w:ascii="Times New Roman" w:hAnsi="Times New Roman" w:cs="Times New Roman"/>
              </w:rPr>
            </w:pPr>
          </w:p>
        </w:tc>
      </w:tr>
      <w:tr w:rsidR="00D526E7" w:rsidRPr="007F37A0" w14:paraId="5183C881" w14:textId="77777777" w:rsidTr="00735871">
        <w:trPr>
          <w:trHeight w:val="276"/>
          <w:jc w:val="center"/>
        </w:trPr>
        <w:tc>
          <w:tcPr>
            <w:tcW w:w="2430" w:type="dxa"/>
            <w:tcBorders>
              <w:top w:val="nil"/>
              <w:left w:val="nil"/>
              <w:bottom w:val="nil"/>
              <w:right w:val="nil"/>
            </w:tcBorders>
            <w:shd w:val="clear" w:color="auto" w:fill="auto"/>
            <w:noWrap/>
            <w:vAlign w:val="bottom"/>
            <w:hideMark/>
          </w:tcPr>
          <w:p w14:paraId="2A141A3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Statistical Policy Uncertainty (V)</w:t>
            </w:r>
          </w:p>
        </w:tc>
        <w:tc>
          <w:tcPr>
            <w:tcW w:w="1170" w:type="dxa"/>
            <w:tcBorders>
              <w:top w:val="nil"/>
              <w:left w:val="nil"/>
              <w:bottom w:val="nil"/>
              <w:right w:val="nil"/>
            </w:tcBorders>
            <w:shd w:val="clear" w:color="auto" w:fill="auto"/>
            <w:noWrap/>
            <w:vAlign w:val="bottom"/>
            <w:hideMark/>
          </w:tcPr>
          <w:p w14:paraId="603E035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0.115**</w:t>
            </w:r>
          </w:p>
        </w:tc>
        <w:tc>
          <w:tcPr>
            <w:tcW w:w="1260" w:type="dxa"/>
            <w:tcBorders>
              <w:top w:val="nil"/>
              <w:left w:val="nil"/>
              <w:bottom w:val="nil"/>
              <w:right w:val="nil"/>
            </w:tcBorders>
            <w:shd w:val="clear" w:color="auto" w:fill="auto"/>
            <w:noWrap/>
            <w:vAlign w:val="bottom"/>
            <w:hideMark/>
          </w:tcPr>
          <w:p w14:paraId="4612571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0.162***</w:t>
            </w:r>
          </w:p>
        </w:tc>
        <w:tc>
          <w:tcPr>
            <w:tcW w:w="1260" w:type="dxa"/>
            <w:tcBorders>
              <w:top w:val="nil"/>
              <w:left w:val="nil"/>
              <w:bottom w:val="nil"/>
              <w:right w:val="nil"/>
            </w:tcBorders>
            <w:shd w:val="clear" w:color="auto" w:fill="auto"/>
            <w:noWrap/>
            <w:vAlign w:val="bottom"/>
            <w:hideMark/>
          </w:tcPr>
          <w:p w14:paraId="48A4530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0.181***</w:t>
            </w:r>
          </w:p>
        </w:tc>
        <w:tc>
          <w:tcPr>
            <w:tcW w:w="1260" w:type="dxa"/>
            <w:tcBorders>
              <w:top w:val="nil"/>
              <w:left w:val="nil"/>
              <w:bottom w:val="nil"/>
              <w:right w:val="nil"/>
            </w:tcBorders>
            <w:shd w:val="clear" w:color="auto" w:fill="auto"/>
            <w:noWrap/>
            <w:vAlign w:val="bottom"/>
            <w:hideMark/>
          </w:tcPr>
          <w:p w14:paraId="6311A0BC"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365035CC"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3E2CA35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0.172***</w:t>
            </w:r>
          </w:p>
        </w:tc>
      </w:tr>
      <w:tr w:rsidR="00D526E7" w:rsidRPr="007F37A0" w14:paraId="6908329F" w14:textId="77777777" w:rsidTr="00735871">
        <w:trPr>
          <w:trHeight w:val="276"/>
          <w:jc w:val="center"/>
        </w:trPr>
        <w:tc>
          <w:tcPr>
            <w:tcW w:w="2430" w:type="dxa"/>
            <w:tcBorders>
              <w:top w:val="nil"/>
              <w:left w:val="nil"/>
              <w:bottom w:val="nil"/>
              <w:right w:val="nil"/>
            </w:tcBorders>
            <w:shd w:val="clear" w:color="auto" w:fill="auto"/>
            <w:noWrap/>
            <w:vAlign w:val="bottom"/>
            <w:hideMark/>
          </w:tcPr>
          <w:p w14:paraId="47AFCCA9" w14:textId="77777777" w:rsidR="00D526E7" w:rsidRPr="007F37A0" w:rsidRDefault="00D526E7" w:rsidP="00735871">
            <w:pPr>
              <w:rPr>
                <w:rFonts w:ascii="Times New Roman" w:hAnsi="Times New Roman" w:cs="Times New Roman"/>
              </w:rPr>
            </w:pPr>
          </w:p>
        </w:tc>
        <w:tc>
          <w:tcPr>
            <w:tcW w:w="1170" w:type="dxa"/>
            <w:tcBorders>
              <w:top w:val="nil"/>
              <w:left w:val="nil"/>
              <w:bottom w:val="nil"/>
              <w:right w:val="nil"/>
            </w:tcBorders>
            <w:shd w:val="clear" w:color="auto" w:fill="auto"/>
            <w:noWrap/>
            <w:vAlign w:val="bottom"/>
            <w:hideMark/>
          </w:tcPr>
          <w:p w14:paraId="3E4B5A6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(0.046)</w:t>
            </w:r>
          </w:p>
        </w:tc>
        <w:tc>
          <w:tcPr>
            <w:tcW w:w="1260" w:type="dxa"/>
            <w:tcBorders>
              <w:top w:val="nil"/>
              <w:left w:val="nil"/>
              <w:bottom w:val="nil"/>
              <w:right w:val="nil"/>
            </w:tcBorders>
            <w:shd w:val="clear" w:color="auto" w:fill="auto"/>
            <w:noWrap/>
            <w:vAlign w:val="bottom"/>
            <w:hideMark/>
          </w:tcPr>
          <w:p w14:paraId="6BD796D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(0.059)</w:t>
            </w:r>
          </w:p>
        </w:tc>
        <w:tc>
          <w:tcPr>
            <w:tcW w:w="1260" w:type="dxa"/>
            <w:tcBorders>
              <w:top w:val="nil"/>
              <w:left w:val="nil"/>
              <w:bottom w:val="nil"/>
              <w:right w:val="nil"/>
            </w:tcBorders>
            <w:shd w:val="clear" w:color="auto" w:fill="auto"/>
            <w:noWrap/>
            <w:vAlign w:val="bottom"/>
            <w:hideMark/>
          </w:tcPr>
          <w:p w14:paraId="48C311F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(0.053)</w:t>
            </w:r>
          </w:p>
        </w:tc>
        <w:tc>
          <w:tcPr>
            <w:tcW w:w="1260" w:type="dxa"/>
            <w:tcBorders>
              <w:top w:val="nil"/>
              <w:left w:val="nil"/>
              <w:bottom w:val="nil"/>
              <w:right w:val="nil"/>
            </w:tcBorders>
            <w:shd w:val="clear" w:color="auto" w:fill="auto"/>
            <w:noWrap/>
            <w:vAlign w:val="bottom"/>
            <w:hideMark/>
          </w:tcPr>
          <w:p w14:paraId="7E94485A"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19A8A3ED"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75A57F0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(0.061)</w:t>
            </w:r>
          </w:p>
        </w:tc>
      </w:tr>
      <w:tr w:rsidR="00D526E7" w:rsidRPr="007F37A0" w14:paraId="29339C98" w14:textId="77777777" w:rsidTr="00735871">
        <w:trPr>
          <w:trHeight w:val="276"/>
          <w:jc w:val="center"/>
        </w:trPr>
        <w:tc>
          <w:tcPr>
            <w:tcW w:w="2430" w:type="dxa"/>
            <w:tcBorders>
              <w:top w:val="nil"/>
              <w:left w:val="nil"/>
              <w:bottom w:val="nil"/>
              <w:right w:val="nil"/>
            </w:tcBorders>
            <w:shd w:val="clear" w:color="auto" w:fill="auto"/>
            <w:noWrap/>
            <w:vAlign w:val="bottom"/>
          </w:tcPr>
          <w:p w14:paraId="7A8AE56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Statistical Policy Uncertainty (V) * Revenue</w:t>
            </w:r>
          </w:p>
        </w:tc>
        <w:tc>
          <w:tcPr>
            <w:tcW w:w="1170" w:type="dxa"/>
            <w:tcBorders>
              <w:top w:val="nil"/>
              <w:left w:val="nil"/>
              <w:bottom w:val="nil"/>
              <w:right w:val="nil"/>
            </w:tcBorders>
            <w:shd w:val="clear" w:color="auto" w:fill="auto"/>
            <w:noWrap/>
            <w:vAlign w:val="bottom"/>
            <w:hideMark/>
          </w:tcPr>
          <w:p w14:paraId="3D8EE8D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hideMark/>
          </w:tcPr>
          <w:p w14:paraId="2E86A2D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hideMark/>
          </w:tcPr>
          <w:p w14:paraId="7E2126A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hideMark/>
          </w:tcPr>
          <w:p w14:paraId="58D4E91A"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7AFF5DD6"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31BFE15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r>
      <w:tr w:rsidR="00D526E7" w:rsidRPr="007F37A0" w14:paraId="4AACD140" w14:textId="77777777" w:rsidTr="00735871">
        <w:trPr>
          <w:trHeight w:val="276"/>
          <w:jc w:val="center"/>
        </w:trPr>
        <w:tc>
          <w:tcPr>
            <w:tcW w:w="2430" w:type="dxa"/>
            <w:tcBorders>
              <w:top w:val="nil"/>
              <w:left w:val="nil"/>
              <w:bottom w:val="nil"/>
              <w:right w:val="nil"/>
            </w:tcBorders>
            <w:shd w:val="clear" w:color="auto" w:fill="auto"/>
            <w:noWrap/>
            <w:vAlign w:val="bottom"/>
            <w:hideMark/>
          </w:tcPr>
          <w:p w14:paraId="3C0B4797" w14:textId="77777777" w:rsidR="00D526E7" w:rsidRPr="007F37A0" w:rsidRDefault="00D526E7" w:rsidP="00735871">
            <w:pPr>
              <w:rPr>
                <w:rFonts w:ascii="Times New Roman" w:hAnsi="Times New Roman" w:cs="Times New Roman"/>
              </w:rPr>
            </w:pPr>
          </w:p>
        </w:tc>
        <w:tc>
          <w:tcPr>
            <w:tcW w:w="1170" w:type="dxa"/>
            <w:tcBorders>
              <w:top w:val="nil"/>
              <w:left w:val="nil"/>
              <w:bottom w:val="nil"/>
              <w:right w:val="nil"/>
            </w:tcBorders>
            <w:shd w:val="clear" w:color="auto" w:fill="auto"/>
            <w:noWrap/>
            <w:vAlign w:val="bottom"/>
            <w:hideMark/>
          </w:tcPr>
          <w:p w14:paraId="17C6339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hideMark/>
          </w:tcPr>
          <w:p w14:paraId="29B4EEA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hideMark/>
          </w:tcPr>
          <w:p w14:paraId="1D33961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hideMark/>
          </w:tcPr>
          <w:p w14:paraId="5F11D701"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4A723BB9"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1B69F37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r>
      <w:tr w:rsidR="00D526E7" w:rsidRPr="007F37A0" w14:paraId="7D2FB3D4" w14:textId="77777777" w:rsidTr="00735871">
        <w:trPr>
          <w:trHeight w:val="276"/>
          <w:jc w:val="center"/>
        </w:trPr>
        <w:tc>
          <w:tcPr>
            <w:tcW w:w="2430" w:type="dxa"/>
            <w:tcBorders>
              <w:top w:val="nil"/>
              <w:left w:val="nil"/>
              <w:bottom w:val="nil"/>
              <w:right w:val="nil"/>
            </w:tcBorders>
            <w:shd w:val="clear" w:color="auto" w:fill="auto"/>
            <w:noWrap/>
            <w:vAlign w:val="bottom"/>
          </w:tcPr>
          <w:p w14:paraId="62E45B9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Direct Policy Uncertainty (ln(PU))</w:t>
            </w:r>
          </w:p>
        </w:tc>
        <w:tc>
          <w:tcPr>
            <w:tcW w:w="1170" w:type="dxa"/>
            <w:tcBorders>
              <w:top w:val="nil"/>
              <w:left w:val="nil"/>
              <w:bottom w:val="nil"/>
              <w:right w:val="nil"/>
            </w:tcBorders>
            <w:shd w:val="clear" w:color="auto" w:fill="auto"/>
            <w:noWrap/>
            <w:vAlign w:val="bottom"/>
            <w:hideMark/>
          </w:tcPr>
          <w:p w14:paraId="6D9B8E4B"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03AEC18B"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6243B35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-0.183***</w:t>
            </w:r>
          </w:p>
        </w:tc>
        <w:tc>
          <w:tcPr>
            <w:tcW w:w="1260" w:type="dxa"/>
            <w:tcBorders>
              <w:top w:val="nil"/>
              <w:left w:val="nil"/>
              <w:bottom w:val="nil"/>
              <w:right w:val="nil"/>
            </w:tcBorders>
            <w:shd w:val="clear" w:color="auto" w:fill="auto"/>
            <w:noWrap/>
            <w:vAlign w:val="bottom"/>
            <w:hideMark/>
          </w:tcPr>
          <w:p w14:paraId="5A449D4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-0.061</w:t>
            </w:r>
          </w:p>
        </w:tc>
        <w:tc>
          <w:tcPr>
            <w:tcW w:w="1260" w:type="dxa"/>
            <w:tcBorders>
              <w:top w:val="nil"/>
              <w:left w:val="nil"/>
              <w:bottom w:val="nil"/>
              <w:right w:val="nil"/>
            </w:tcBorders>
            <w:shd w:val="clear" w:color="auto" w:fill="auto"/>
            <w:noWrap/>
            <w:vAlign w:val="bottom"/>
            <w:hideMark/>
          </w:tcPr>
          <w:p w14:paraId="1553546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-0.172**</w:t>
            </w:r>
          </w:p>
        </w:tc>
        <w:tc>
          <w:tcPr>
            <w:tcW w:w="1260" w:type="dxa"/>
            <w:tcBorders>
              <w:top w:val="nil"/>
              <w:left w:val="nil"/>
              <w:bottom w:val="nil"/>
              <w:right w:val="nil"/>
            </w:tcBorders>
            <w:shd w:val="clear" w:color="auto" w:fill="auto"/>
            <w:noWrap/>
            <w:vAlign w:val="bottom"/>
            <w:hideMark/>
          </w:tcPr>
          <w:p w14:paraId="38D9236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-0.174**</w:t>
            </w:r>
          </w:p>
        </w:tc>
      </w:tr>
      <w:tr w:rsidR="00D526E7" w:rsidRPr="007F37A0" w14:paraId="13FD4A04" w14:textId="77777777" w:rsidTr="00735871">
        <w:trPr>
          <w:trHeight w:val="276"/>
          <w:jc w:val="center"/>
        </w:trPr>
        <w:tc>
          <w:tcPr>
            <w:tcW w:w="2430" w:type="dxa"/>
            <w:tcBorders>
              <w:top w:val="nil"/>
              <w:left w:val="nil"/>
              <w:bottom w:val="nil"/>
              <w:right w:val="nil"/>
            </w:tcBorders>
            <w:shd w:val="clear" w:color="auto" w:fill="auto"/>
            <w:noWrap/>
            <w:vAlign w:val="bottom"/>
          </w:tcPr>
          <w:p w14:paraId="2A12B990" w14:textId="77777777" w:rsidR="00D526E7" w:rsidRPr="007F37A0" w:rsidRDefault="00D526E7" w:rsidP="00735871">
            <w:pPr>
              <w:rPr>
                <w:rFonts w:ascii="Times New Roman" w:hAnsi="Times New Roman" w:cs="Times New Roman"/>
              </w:rPr>
            </w:pPr>
          </w:p>
        </w:tc>
        <w:tc>
          <w:tcPr>
            <w:tcW w:w="1170" w:type="dxa"/>
            <w:tcBorders>
              <w:top w:val="nil"/>
              <w:left w:val="nil"/>
              <w:bottom w:val="nil"/>
              <w:right w:val="nil"/>
            </w:tcBorders>
            <w:shd w:val="clear" w:color="auto" w:fill="auto"/>
            <w:noWrap/>
            <w:vAlign w:val="bottom"/>
            <w:hideMark/>
          </w:tcPr>
          <w:p w14:paraId="2B65925F"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72ACFDCE"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7191C9F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(0.062)</w:t>
            </w:r>
          </w:p>
        </w:tc>
        <w:tc>
          <w:tcPr>
            <w:tcW w:w="1260" w:type="dxa"/>
            <w:tcBorders>
              <w:top w:val="nil"/>
              <w:left w:val="nil"/>
              <w:bottom w:val="nil"/>
              <w:right w:val="nil"/>
            </w:tcBorders>
            <w:shd w:val="clear" w:color="auto" w:fill="auto"/>
            <w:noWrap/>
            <w:vAlign w:val="bottom"/>
            <w:hideMark/>
          </w:tcPr>
          <w:p w14:paraId="00FEB60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(0.054)</w:t>
            </w:r>
          </w:p>
        </w:tc>
        <w:tc>
          <w:tcPr>
            <w:tcW w:w="1260" w:type="dxa"/>
            <w:tcBorders>
              <w:top w:val="nil"/>
              <w:left w:val="nil"/>
              <w:bottom w:val="nil"/>
              <w:right w:val="nil"/>
            </w:tcBorders>
            <w:shd w:val="clear" w:color="auto" w:fill="auto"/>
            <w:noWrap/>
            <w:vAlign w:val="bottom"/>
            <w:hideMark/>
          </w:tcPr>
          <w:p w14:paraId="46999FD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(0.068)</w:t>
            </w:r>
          </w:p>
        </w:tc>
        <w:tc>
          <w:tcPr>
            <w:tcW w:w="1260" w:type="dxa"/>
            <w:tcBorders>
              <w:top w:val="nil"/>
              <w:left w:val="nil"/>
              <w:bottom w:val="nil"/>
              <w:right w:val="nil"/>
            </w:tcBorders>
            <w:shd w:val="clear" w:color="auto" w:fill="auto"/>
            <w:noWrap/>
            <w:vAlign w:val="bottom"/>
            <w:hideMark/>
          </w:tcPr>
          <w:p w14:paraId="0E9562D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(0.071)</w:t>
            </w:r>
          </w:p>
        </w:tc>
      </w:tr>
      <w:tr w:rsidR="00D526E7" w:rsidRPr="007F37A0" w14:paraId="4D4D63AB" w14:textId="77777777" w:rsidTr="00735871">
        <w:trPr>
          <w:trHeight w:val="276"/>
          <w:jc w:val="center"/>
        </w:trPr>
        <w:tc>
          <w:tcPr>
            <w:tcW w:w="2430" w:type="dxa"/>
            <w:tcBorders>
              <w:top w:val="nil"/>
              <w:left w:val="nil"/>
              <w:bottom w:val="nil"/>
              <w:right w:val="nil"/>
            </w:tcBorders>
            <w:shd w:val="clear" w:color="auto" w:fill="auto"/>
            <w:noWrap/>
            <w:vAlign w:val="bottom"/>
          </w:tcPr>
          <w:p w14:paraId="770D3D9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Direct Policy Uncertainty (ln(PU)) * Revenue</w:t>
            </w:r>
          </w:p>
        </w:tc>
        <w:tc>
          <w:tcPr>
            <w:tcW w:w="1170" w:type="dxa"/>
            <w:tcBorders>
              <w:top w:val="nil"/>
              <w:left w:val="nil"/>
              <w:bottom w:val="nil"/>
              <w:right w:val="nil"/>
            </w:tcBorders>
            <w:shd w:val="clear" w:color="auto" w:fill="auto"/>
            <w:noWrap/>
            <w:vAlign w:val="bottom"/>
          </w:tcPr>
          <w:p w14:paraId="520198C9"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224F2E77"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52B63DB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346B191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0BAF096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5508CA8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r>
      <w:tr w:rsidR="00D526E7" w:rsidRPr="007F37A0" w14:paraId="66672921" w14:textId="77777777" w:rsidTr="00735871">
        <w:trPr>
          <w:trHeight w:val="276"/>
          <w:jc w:val="center"/>
        </w:trPr>
        <w:tc>
          <w:tcPr>
            <w:tcW w:w="2430" w:type="dxa"/>
            <w:tcBorders>
              <w:top w:val="nil"/>
              <w:left w:val="nil"/>
              <w:bottom w:val="nil"/>
              <w:right w:val="nil"/>
            </w:tcBorders>
            <w:shd w:val="clear" w:color="auto" w:fill="auto"/>
            <w:noWrap/>
            <w:vAlign w:val="bottom"/>
          </w:tcPr>
          <w:p w14:paraId="2CF588CA" w14:textId="77777777" w:rsidR="00D526E7" w:rsidRPr="007F37A0" w:rsidRDefault="00D526E7" w:rsidP="00735871">
            <w:pPr>
              <w:rPr>
                <w:rFonts w:ascii="Times New Roman" w:hAnsi="Times New Roman" w:cs="Times New Roman"/>
              </w:rPr>
            </w:pPr>
          </w:p>
        </w:tc>
        <w:tc>
          <w:tcPr>
            <w:tcW w:w="1170" w:type="dxa"/>
            <w:tcBorders>
              <w:top w:val="nil"/>
              <w:left w:val="nil"/>
              <w:bottom w:val="nil"/>
              <w:right w:val="nil"/>
            </w:tcBorders>
            <w:shd w:val="clear" w:color="auto" w:fill="auto"/>
            <w:noWrap/>
            <w:vAlign w:val="bottom"/>
          </w:tcPr>
          <w:p w14:paraId="628D75E9"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67F16540"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32C640E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7AB408D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67C54CF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1727A16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r>
      <w:tr w:rsidR="00D526E7" w:rsidRPr="007F37A0" w14:paraId="3E91C5E3" w14:textId="77777777" w:rsidTr="00735871">
        <w:trPr>
          <w:trHeight w:val="276"/>
          <w:jc w:val="center"/>
        </w:trPr>
        <w:tc>
          <w:tcPr>
            <w:tcW w:w="2430" w:type="dxa"/>
            <w:tcBorders>
              <w:top w:val="nil"/>
              <w:left w:val="nil"/>
              <w:bottom w:val="nil"/>
              <w:right w:val="nil"/>
            </w:tcBorders>
            <w:shd w:val="clear" w:color="auto" w:fill="auto"/>
            <w:noWrap/>
            <w:vAlign w:val="bottom"/>
          </w:tcPr>
          <w:p w14:paraId="1EA1D2D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Policy Index (ln(P))</w:t>
            </w:r>
          </w:p>
        </w:tc>
        <w:tc>
          <w:tcPr>
            <w:tcW w:w="1170" w:type="dxa"/>
            <w:tcBorders>
              <w:top w:val="nil"/>
              <w:left w:val="nil"/>
              <w:bottom w:val="nil"/>
              <w:right w:val="nil"/>
            </w:tcBorders>
            <w:shd w:val="clear" w:color="auto" w:fill="auto"/>
            <w:noWrap/>
            <w:vAlign w:val="bottom"/>
          </w:tcPr>
          <w:p w14:paraId="41228BF9"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6560B1B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-0.031</w:t>
            </w:r>
          </w:p>
        </w:tc>
        <w:tc>
          <w:tcPr>
            <w:tcW w:w="1260" w:type="dxa"/>
            <w:tcBorders>
              <w:top w:val="nil"/>
              <w:left w:val="nil"/>
              <w:bottom w:val="nil"/>
              <w:right w:val="nil"/>
            </w:tcBorders>
            <w:shd w:val="clear" w:color="auto" w:fill="auto"/>
            <w:noWrap/>
            <w:vAlign w:val="bottom"/>
          </w:tcPr>
          <w:p w14:paraId="498D8BCC"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5638E94D"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605B00C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0.295***</w:t>
            </w:r>
          </w:p>
        </w:tc>
        <w:tc>
          <w:tcPr>
            <w:tcW w:w="1260" w:type="dxa"/>
            <w:tcBorders>
              <w:top w:val="nil"/>
              <w:left w:val="nil"/>
              <w:bottom w:val="nil"/>
              <w:right w:val="nil"/>
            </w:tcBorders>
            <w:shd w:val="clear" w:color="auto" w:fill="auto"/>
            <w:noWrap/>
            <w:vAlign w:val="bottom"/>
          </w:tcPr>
          <w:p w14:paraId="1E3A531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0.081</w:t>
            </w:r>
          </w:p>
        </w:tc>
      </w:tr>
      <w:tr w:rsidR="00D526E7" w:rsidRPr="007F37A0" w14:paraId="49402ECA" w14:textId="77777777" w:rsidTr="00735871">
        <w:trPr>
          <w:trHeight w:val="276"/>
          <w:jc w:val="center"/>
        </w:trPr>
        <w:tc>
          <w:tcPr>
            <w:tcW w:w="2430" w:type="dxa"/>
            <w:tcBorders>
              <w:top w:val="nil"/>
              <w:left w:val="nil"/>
              <w:bottom w:val="nil"/>
              <w:right w:val="nil"/>
            </w:tcBorders>
            <w:shd w:val="clear" w:color="auto" w:fill="auto"/>
            <w:noWrap/>
            <w:vAlign w:val="bottom"/>
          </w:tcPr>
          <w:p w14:paraId="796161F7" w14:textId="77777777" w:rsidR="00D526E7" w:rsidRPr="007F37A0" w:rsidRDefault="00D526E7" w:rsidP="00735871">
            <w:pPr>
              <w:rPr>
                <w:rFonts w:ascii="Times New Roman" w:hAnsi="Times New Roman" w:cs="Times New Roman"/>
              </w:rPr>
            </w:pPr>
          </w:p>
        </w:tc>
        <w:tc>
          <w:tcPr>
            <w:tcW w:w="1170" w:type="dxa"/>
            <w:tcBorders>
              <w:top w:val="nil"/>
              <w:left w:val="nil"/>
              <w:bottom w:val="nil"/>
              <w:right w:val="nil"/>
            </w:tcBorders>
            <w:shd w:val="clear" w:color="auto" w:fill="auto"/>
            <w:noWrap/>
            <w:vAlign w:val="bottom"/>
          </w:tcPr>
          <w:p w14:paraId="27F82C08"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76BDE69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(0.093)</w:t>
            </w:r>
          </w:p>
        </w:tc>
        <w:tc>
          <w:tcPr>
            <w:tcW w:w="1260" w:type="dxa"/>
            <w:tcBorders>
              <w:top w:val="nil"/>
              <w:left w:val="nil"/>
              <w:bottom w:val="nil"/>
              <w:right w:val="nil"/>
            </w:tcBorders>
            <w:shd w:val="clear" w:color="auto" w:fill="auto"/>
            <w:noWrap/>
            <w:vAlign w:val="bottom"/>
          </w:tcPr>
          <w:p w14:paraId="6E439407"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3192CFD9"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683C82A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(0.112)</w:t>
            </w:r>
          </w:p>
        </w:tc>
        <w:tc>
          <w:tcPr>
            <w:tcW w:w="1260" w:type="dxa"/>
            <w:tcBorders>
              <w:top w:val="nil"/>
              <w:left w:val="nil"/>
              <w:bottom w:val="nil"/>
              <w:right w:val="nil"/>
            </w:tcBorders>
            <w:shd w:val="clear" w:color="auto" w:fill="auto"/>
            <w:noWrap/>
            <w:vAlign w:val="bottom"/>
          </w:tcPr>
          <w:p w14:paraId="746E5F0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(0.121)</w:t>
            </w:r>
          </w:p>
        </w:tc>
      </w:tr>
      <w:tr w:rsidR="00D526E7" w:rsidRPr="007F37A0" w14:paraId="38D37214" w14:textId="77777777" w:rsidTr="00735871">
        <w:trPr>
          <w:trHeight w:val="276"/>
          <w:jc w:val="center"/>
        </w:trPr>
        <w:tc>
          <w:tcPr>
            <w:tcW w:w="2430" w:type="dxa"/>
            <w:tcBorders>
              <w:top w:val="nil"/>
              <w:left w:val="nil"/>
              <w:bottom w:val="nil"/>
              <w:right w:val="nil"/>
            </w:tcBorders>
            <w:shd w:val="clear" w:color="auto" w:fill="auto"/>
            <w:noWrap/>
            <w:vAlign w:val="bottom"/>
          </w:tcPr>
          <w:p w14:paraId="3E4FCB7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Policy Index (ln(P)) * Revenue</w:t>
            </w:r>
          </w:p>
        </w:tc>
        <w:tc>
          <w:tcPr>
            <w:tcW w:w="1170" w:type="dxa"/>
            <w:tcBorders>
              <w:top w:val="nil"/>
              <w:left w:val="nil"/>
              <w:bottom w:val="nil"/>
              <w:right w:val="nil"/>
            </w:tcBorders>
            <w:shd w:val="clear" w:color="auto" w:fill="auto"/>
            <w:noWrap/>
            <w:vAlign w:val="bottom"/>
          </w:tcPr>
          <w:p w14:paraId="163E0E32"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65B345D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298B335B"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5C3DF343"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4FAA3CF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50F096B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r>
      <w:tr w:rsidR="00D526E7" w:rsidRPr="007F37A0" w14:paraId="60451128" w14:textId="77777777" w:rsidTr="00735871">
        <w:trPr>
          <w:trHeight w:val="276"/>
          <w:jc w:val="center"/>
        </w:trPr>
        <w:tc>
          <w:tcPr>
            <w:tcW w:w="2430" w:type="dxa"/>
            <w:tcBorders>
              <w:top w:val="nil"/>
              <w:left w:val="nil"/>
              <w:bottom w:val="nil"/>
              <w:right w:val="nil"/>
            </w:tcBorders>
            <w:shd w:val="clear" w:color="auto" w:fill="auto"/>
            <w:noWrap/>
            <w:vAlign w:val="bottom"/>
          </w:tcPr>
          <w:p w14:paraId="22CC438E" w14:textId="77777777" w:rsidR="00D526E7" w:rsidRPr="007F37A0" w:rsidRDefault="00D526E7" w:rsidP="00735871">
            <w:pPr>
              <w:rPr>
                <w:rFonts w:ascii="Times New Roman" w:hAnsi="Times New Roman" w:cs="Times New Roman"/>
              </w:rPr>
            </w:pPr>
          </w:p>
        </w:tc>
        <w:tc>
          <w:tcPr>
            <w:tcW w:w="1170" w:type="dxa"/>
            <w:tcBorders>
              <w:top w:val="nil"/>
              <w:left w:val="nil"/>
              <w:bottom w:val="nil"/>
              <w:right w:val="nil"/>
            </w:tcBorders>
            <w:shd w:val="clear" w:color="auto" w:fill="auto"/>
            <w:noWrap/>
            <w:vAlign w:val="bottom"/>
          </w:tcPr>
          <w:p w14:paraId="114873B5"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238BA76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3FA28458"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58BC00F4"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tcPr>
          <w:p w14:paraId="3F7D7A7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c>
          <w:tcPr>
            <w:tcW w:w="1260" w:type="dxa"/>
            <w:tcBorders>
              <w:top w:val="nil"/>
              <w:left w:val="nil"/>
              <w:bottom w:val="nil"/>
              <w:right w:val="nil"/>
            </w:tcBorders>
            <w:shd w:val="clear" w:color="auto" w:fill="auto"/>
            <w:noWrap/>
            <w:vAlign w:val="bottom"/>
          </w:tcPr>
          <w:p w14:paraId="4BCF06C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(0.000)</w:t>
            </w:r>
          </w:p>
        </w:tc>
      </w:tr>
      <w:tr w:rsidR="00D526E7" w:rsidRPr="007F37A0" w14:paraId="36E7C698" w14:textId="77777777" w:rsidTr="00735871">
        <w:trPr>
          <w:trHeight w:val="276"/>
          <w:jc w:val="center"/>
        </w:trPr>
        <w:tc>
          <w:tcPr>
            <w:tcW w:w="2430" w:type="dxa"/>
            <w:tcBorders>
              <w:top w:val="nil"/>
              <w:left w:val="nil"/>
              <w:bottom w:val="nil"/>
              <w:right w:val="nil"/>
            </w:tcBorders>
            <w:shd w:val="clear" w:color="auto" w:fill="auto"/>
            <w:noWrap/>
            <w:vAlign w:val="bottom"/>
            <w:hideMark/>
          </w:tcPr>
          <w:p w14:paraId="54B02331" w14:textId="77777777" w:rsidR="00D526E7" w:rsidRPr="007F37A0" w:rsidRDefault="00D526E7" w:rsidP="00735871">
            <w:pPr>
              <w:rPr>
                <w:rFonts w:ascii="Times New Roman" w:hAnsi="Times New Roman" w:cs="Times New Roman"/>
              </w:rPr>
            </w:pPr>
          </w:p>
        </w:tc>
        <w:tc>
          <w:tcPr>
            <w:tcW w:w="1170" w:type="dxa"/>
            <w:tcBorders>
              <w:top w:val="nil"/>
              <w:left w:val="nil"/>
              <w:bottom w:val="nil"/>
              <w:right w:val="nil"/>
            </w:tcBorders>
            <w:shd w:val="clear" w:color="auto" w:fill="auto"/>
            <w:noWrap/>
            <w:vAlign w:val="bottom"/>
            <w:hideMark/>
          </w:tcPr>
          <w:p w14:paraId="0442EBB7"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165987F3"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03C13F29"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27A0BF1E"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5CD0B6B7" w14:textId="77777777" w:rsidR="00D526E7" w:rsidRPr="007F37A0" w:rsidRDefault="00D526E7" w:rsidP="00735871">
            <w:pP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4DFE7BFF" w14:textId="77777777" w:rsidR="00D526E7" w:rsidRPr="007F37A0" w:rsidRDefault="00D526E7" w:rsidP="00735871">
            <w:pPr>
              <w:rPr>
                <w:rFonts w:ascii="Times New Roman" w:hAnsi="Times New Roman" w:cs="Times New Roman"/>
              </w:rPr>
            </w:pPr>
          </w:p>
        </w:tc>
      </w:tr>
      <w:tr w:rsidR="00D526E7" w:rsidRPr="007F37A0" w14:paraId="613C66F1" w14:textId="77777777" w:rsidTr="00735871">
        <w:trPr>
          <w:trHeight w:val="276"/>
          <w:jc w:val="center"/>
        </w:trPr>
        <w:tc>
          <w:tcPr>
            <w:tcW w:w="2430" w:type="dxa"/>
            <w:tcBorders>
              <w:top w:val="nil"/>
              <w:left w:val="nil"/>
              <w:bottom w:val="nil"/>
              <w:right w:val="nil"/>
            </w:tcBorders>
            <w:shd w:val="clear" w:color="auto" w:fill="auto"/>
            <w:noWrap/>
            <w:vAlign w:val="bottom"/>
            <w:hideMark/>
          </w:tcPr>
          <w:p w14:paraId="74BA90B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Firm FE</w:t>
            </w:r>
          </w:p>
        </w:tc>
        <w:tc>
          <w:tcPr>
            <w:tcW w:w="1170" w:type="dxa"/>
            <w:tcBorders>
              <w:top w:val="nil"/>
              <w:left w:val="nil"/>
              <w:bottom w:val="nil"/>
              <w:right w:val="nil"/>
            </w:tcBorders>
            <w:shd w:val="clear" w:color="auto" w:fill="auto"/>
            <w:noWrap/>
            <w:vAlign w:val="bottom"/>
            <w:hideMark/>
          </w:tcPr>
          <w:p w14:paraId="344E414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392B0C3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4381A35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5F64A50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331D29D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00DAB41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r>
      <w:tr w:rsidR="00D526E7" w:rsidRPr="007F37A0" w14:paraId="6D18F867" w14:textId="77777777" w:rsidTr="00735871">
        <w:trPr>
          <w:trHeight w:val="276"/>
          <w:jc w:val="center"/>
        </w:trPr>
        <w:tc>
          <w:tcPr>
            <w:tcW w:w="2430" w:type="dxa"/>
            <w:tcBorders>
              <w:top w:val="nil"/>
              <w:left w:val="nil"/>
              <w:bottom w:val="nil"/>
              <w:right w:val="nil"/>
            </w:tcBorders>
            <w:shd w:val="clear" w:color="auto" w:fill="auto"/>
            <w:noWrap/>
            <w:vAlign w:val="bottom"/>
            <w:hideMark/>
          </w:tcPr>
          <w:p w14:paraId="6546246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Time Controls</w:t>
            </w:r>
          </w:p>
        </w:tc>
        <w:tc>
          <w:tcPr>
            <w:tcW w:w="1170" w:type="dxa"/>
            <w:tcBorders>
              <w:top w:val="nil"/>
              <w:left w:val="nil"/>
              <w:bottom w:val="nil"/>
              <w:right w:val="nil"/>
            </w:tcBorders>
            <w:shd w:val="clear" w:color="auto" w:fill="auto"/>
            <w:noWrap/>
            <w:vAlign w:val="bottom"/>
            <w:hideMark/>
          </w:tcPr>
          <w:p w14:paraId="4EEFB4E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5CFCA75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63AC73C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69E22B2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249D4D4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hideMark/>
          </w:tcPr>
          <w:p w14:paraId="41AB8BA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r>
      <w:tr w:rsidR="00D526E7" w:rsidRPr="007F37A0" w14:paraId="31041E96" w14:textId="77777777" w:rsidTr="00735871">
        <w:trPr>
          <w:trHeight w:val="276"/>
          <w:jc w:val="center"/>
        </w:trPr>
        <w:tc>
          <w:tcPr>
            <w:tcW w:w="2430" w:type="dxa"/>
            <w:tcBorders>
              <w:top w:val="nil"/>
              <w:left w:val="nil"/>
              <w:bottom w:val="nil"/>
              <w:right w:val="nil"/>
            </w:tcBorders>
            <w:shd w:val="clear" w:color="auto" w:fill="auto"/>
            <w:noWrap/>
            <w:vAlign w:val="bottom"/>
          </w:tcPr>
          <w:p w14:paraId="71FE81D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Controls</w:t>
            </w:r>
          </w:p>
        </w:tc>
        <w:tc>
          <w:tcPr>
            <w:tcW w:w="1170" w:type="dxa"/>
            <w:tcBorders>
              <w:top w:val="nil"/>
              <w:left w:val="nil"/>
              <w:bottom w:val="nil"/>
              <w:right w:val="nil"/>
            </w:tcBorders>
            <w:shd w:val="clear" w:color="auto" w:fill="auto"/>
            <w:noWrap/>
            <w:vAlign w:val="bottom"/>
          </w:tcPr>
          <w:p w14:paraId="4BC85A8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tcPr>
          <w:p w14:paraId="604651F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tcPr>
          <w:p w14:paraId="04C2ADC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tcPr>
          <w:p w14:paraId="3B90436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tcPr>
          <w:p w14:paraId="2876265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60" w:type="dxa"/>
            <w:tcBorders>
              <w:top w:val="nil"/>
              <w:left w:val="nil"/>
              <w:bottom w:val="nil"/>
              <w:right w:val="nil"/>
            </w:tcBorders>
            <w:shd w:val="clear" w:color="auto" w:fill="auto"/>
            <w:noWrap/>
            <w:vAlign w:val="bottom"/>
          </w:tcPr>
          <w:p w14:paraId="57AA080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r>
      <w:tr w:rsidR="00D526E7" w:rsidRPr="007F37A0" w14:paraId="47E15F10" w14:textId="77777777" w:rsidTr="00735871">
        <w:trPr>
          <w:trHeight w:val="276"/>
          <w:jc w:val="center"/>
        </w:trPr>
        <w:tc>
          <w:tcPr>
            <w:tcW w:w="2430" w:type="dxa"/>
            <w:tcBorders>
              <w:top w:val="nil"/>
              <w:left w:val="nil"/>
              <w:bottom w:val="nil"/>
              <w:right w:val="nil"/>
            </w:tcBorders>
            <w:shd w:val="clear" w:color="auto" w:fill="auto"/>
            <w:noWrap/>
            <w:vAlign w:val="bottom"/>
            <w:hideMark/>
          </w:tcPr>
          <w:p w14:paraId="061632F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Observations</w:t>
            </w:r>
          </w:p>
        </w:tc>
        <w:tc>
          <w:tcPr>
            <w:tcW w:w="1170" w:type="dxa"/>
            <w:tcBorders>
              <w:top w:val="nil"/>
              <w:left w:val="nil"/>
              <w:bottom w:val="nil"/>
              <w:right w:val="nil"/>
            </w:tcBorders>
            <w:shd w:val="clear" w:color="auto" w:fill="auto"/>
            <w:noWrap/>
            <w:vAlign w:val="bottom"/>
            <w:hideMark/>
          </w:tcPr>
          <w:p w14:paraId="1CAEED3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60" w:type="dxa"/>
            <w:tcBorders>
              <w:top w:val="nil"/>
              <w:left w:val="nil"/>
              <w:bottom w:val="nil"/>
              <w:right w:val="nil"/>
            </w:tcBorders>
            <w:shd w:val="clear" w:color="auto" w:fill="auto"/>
            <w:noWrap/>
            <w:vAlign w:val="bottom"/>
            <w:hideMark/>
          </w:tcPr>
          <w:p w14:paraId="7DCF915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60" w:type="dxa"/>
            <w:tcBorders>
              <w:top w:val="nil"/>
              <w:left w:val="nil"/>
              <w:bottom w:val="nil"/>
              <w:right w:val="nil"/>
            </w:tcBorders>
            <w:shd w:val="clear" w:color="auto" w:fill="auto"/>
            <w:noWrap/>
            <w:vAlign w:val="bottom"/>
            <w:hideMark/>
          </w:tcPr>
          <w:p w14:paraId="1F07136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60" w:type="dxa"/>
            <w:tcBorders>
              <w:top w:val="nil"/>
              <w:left w:val="nil"/>
              <w:bottom w:val="nil"/>
              <w:right w:val="nil"/>
            </w:tcBorders>
            <w:shd w:val="clear" w:color="auto" w:fill="auto"/>
            <w:noWrap/>
            <w:vAlign w:val="bottom"/>
            <w:hideMark/>
          </w:tcPr>
          <w:p w14:paraId="6D7FAF1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60" w:type="dxa"/>
            <w:tcBorders>
              <w:top w:val="nil"/>
              <w:left w:val="nil"/>
              <w:bottom w:val="nil"/>
              <w:right w:val="nil"/>
            </w:tcBorders>
            <w:shd w:val="clear" w:color="auto" w:fill="auto"/>
            <w:noWrap/>
            <w:vAlign w:val="bottom"/>
            <w:hideMark/>
          </w:tcPr>
          <w:p w14:paraId="566C849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60" w:type="dxa"/>
            <w:tcBorders>
              <w:top w:val="nil"/>
              <w:left w:val="nil"/>
              <w:bottom w:val="nil"/>
              <w:right w:val="nil"/>
            </w:tcBorders>
            <w:shd w:val="clear" w:color="auto" w:fill="auto"/>
            <w:noWrap/>
            <w:vAlign w:val="bottom"/>
            <w:hideMark/>
          </w:tcPr>
          <w:p w14:paraId="1C280F5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r>
      <w:tr w:rsidR="00D526E7" w:rsidRPr="007F37A0" w14:paraId="110F8CE0" w14:textId="77777777" w:rsidTr="00735871">
        <w:trPr>
          <w:trHeight w:val="276"/>
          <w:jc w:val="center"/>
        </w:trPr>
        <w:tc>
          <w:tcPr>
            <w:tcW w:w="2430" w:type="dxa"/>
            <w:tcBorders>
              <w:top w:val="nil"/>
              <w:left w:val="nil"/>
              <w:bottom w:val="single" w:sz="4" w:space="0" w:color="000000"/>
              <w:right w:val="nil"/>
            </w:tcBorders>
            <w:shd w:val="clear" w:color="auto" w:fill="auto"/>
            <w:noWrap/>
            <w:vAlign w:val="bottom"/>
            <w:hideMark/>
          </w:tcPr>
          <w:p w14:paraId="2C08B637"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R-squared</w:t>
            </w:r>
          </w:p>
        </w:tc>
        <w:tc>
          <w:tcPr>
            <w:tcW w:w="1170" w:type="dxa"/>
            <w:tcBorders>
              <w:top w:val="nil"/>
              <w:left w:val="nil"/>
              <w:bottom w:val="single" w:sz="4" w:space="0" w:color="000000"/>
              <w:right w:val="nil"/>
            </w:tcBorders>
            <w:shd w:val="clear" w:color="auto" w:fill="auto"/>
            <w:noWrap/>
            <w:vAlign w:val="bottom"/>
            <w:hideMark/>
          </w:tcPr>
          <w:p w14:paraId="654327C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60" w:type="dxa"/>
            <w:tcBorders>
              <w:top w:val="nil"/>
              <w:left w:val="nil"/>
              <w:bottom w:val="single" w:sz="4" w:space="0" w:color="000000"/>
              <w:right w:val="nil"/>
            </w:tcBorders>
            <w:shd w:val="clear" w:color="auto" w:fill="auto"/>
            <w:noWrap/>
            <w:vAlign w:val="bottom"/>
            <w:hideMark/>
          </w:tcPr>
          <w:p w14:paraId="5C5B032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60" w:type="dxa"/>
            <w:tcBorders>
              <w:top w:val="nil"/>
              <w:left w:val="nil"/>
              <w:bottom w:val="single" w:sz="4" w:space="0" w:color="000000"/>
              <w:right w:val="nil"/>
            </w:tcBorders>
            <w:shd w:val="clear" w:color="auto" w:fill="auto"/>
            <w:noWrap/>
            <w:vAlign w:val="bottom"/>
            <w:hideMark/>
          </w:tcPr>
          <w:p w14:paraId="2A947F3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60" w:type="dxa"/>
            <w:tcBorders>
              <w:top w:val="nil"/>
              <w:left w:val="nil"/>
              <w:bottom w:val="single" w:sz="4" w:space="0" w:color="000000"/>
              <w:right w:val="nil"/>
            </w:tcBorders>
            <w:shd w:val="clear" w:color="auto" w:fill="auto"/>
            <w:noWrap/>
            <w:vAlign w:val="bottom"/>
            <w:hideMark/>
          </w:tcPr>
          <w:p w14:paraId="1DE0C2C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0.317</w:t>
            </w:r>
          </w:p>
        </w:tc>
        <w:tc>
          <w:tcPr>
            <w:tcW w:w="1260" w:type="dxa"/>
            <w:tcBorders>
              <w:top w:val="nil"/>
              <w:left w:val="nil"/>
              <w:bottom w:val="single" w:sz="4" w:space="0" w:color="000000"/>
              <w:right w:val="nil"/>
            </w:tcBorders>
            <w:shd w:val="clear" w:color="auto" w:fill="auto"/>
            <w:noWrap/>
            <w:vAlign w:val="bottom"/>
            <w:hideMark/>
          </w:tcPr>
          <w:p w14:paraId="529D6B2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60" w:type="dxa"/>
            <w:tcBorders>
              <w:top w:val="nil"/>
              <w:left w:val="nil"/>
              <w:bottom w:val="single" w:sz="4" w:space="0" w:color="000000"/>
              <w:right w:val="nil"/>
            </w:tcBorders>
            <w:shd w:val="clear" w:color="auto" w:fill="auto"/>
            <w:noWrap/>
            <w:vAlign w:val="bottom"/>
            <w:hideMark/>
          </w:tcPr>
          <w:p w14:paraId="7C2420E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0.319</w:t>
            </w:r>
          </w:p>
        </w:tc>
      </w:tr>
      <w:tr w:rsidR="00D526E7" w:rsidRPr="007F37A0" w14:paraId="2811503A" w14:textId="77777777" w:rsidTr="00735871">
        <w:trPr>
          <w:trHeight w:val="1380"/>
          <w:jc w:val="center"/>
        </w:trPr>
        <w:tc>
          <w:tcPr>
            <w:tcW w:w="9900" w:type="dxa"/>
            <w:gridSpan w:val="7"/>
            <w:tcBorders>
              <w:top w:val="nil"/>
              <w:left w:val="nil"/>
              <w:right w:val="nil"/>
            </w:tcBorders>
            <w:shd w:val="clear" w:color="auto" w:fill="auto"/>
            <w:noWrap/>
            <w:vAlign w:val="bottom"/>
            <w:hideMark/>
          </w:tcPr>
          <w:p w14:paraId="1C9C152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Robust standard errors in parentheses, clustered at the firm and year level.</w:t>
            </w:r>
          </w:p>
          <w:p w14:paraId="2AE4B10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 p&lt;0.01, ** p&lt;0.05, * p&lt;0.1</w:t>
            </w:r>
          </w:p>
          <w:p w14:paraId="2268C31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Controls include cashflow, sales growth, real GDP growth, consumer sentiment index, and leading index. The dependent variable is the lagged quarterly capital expenditures divided by the level of capital stock multiplied by 100, so investment rate can be interpreted as a percentage. Statistical Policy Uncertainty is the estimated log of statistical volatility of the Policy Index. The log of Direct Policy Uncertainty measures policy uncertainty using newspaper article text analysis following Baker, Bloom, and Davis (2016). The log of Policy Index measures policy activity using newspaper article text analysis. The statistical policy uncertainty index, direct policy uncertainty index, and policy index are interacted with the gross revenue for a firm in the quarter. This allows the effect of policy uncertainty to change depending on the size of the firm.</w:t>
            </w:r>
          </w:p>
        </w:tc>
      </w:tr>
    </w:tbl>
    <w:p w14:paraId="3B3F991D" w14:textId="77777777" w:rsidR="00D526E7" w:rsidRPr="007F37A0" w:rsidRDefault="00D526E7" w:rsidP="00D526E7">
      <w:pPr>
        <w:rPr>
          <w:rFonts w:ascii="Times New Roman" w:hAnsi="Times New Roman" w:cs="Times New Roman"/>
        </w:rPr>
      </w:pPr>
    </w:p>
    <w:p w14:paraId="11E1B16C" w14:textId="77777777" w:rsidR="00D526E7" w:rsidRPr="007F37A0" w:rsidRDefault="00D526E7" w:rsidP="00D526E7">
      <w:pPr>
        <w:rPr>
          <w:rFonts w:ascii="Times New Roman" w:hAnsi="Times New Roman" w:cs="Times New Roman"/>
        </w:rPr>
      </w:pPr>
      <w:r w:rsidRPr="007F37A0">
        <w:rPr>
          <w:rFonts w:ascii="Times New Roman" w:hAnsi="Times New Roman" w:cs="Times New Roman"/>
        </w:rPr>
        <w:br w:type="page"/>
      </w:r>
    </w:p>
    <w:p w14:paraId="1A604571" w14:textId="14D3F97C" w:rsidR="00D526E7" w:rsidRPr="007F37A0" w:rsidRDefault="00D526E7" w:rsidP="007F37A0">
      <w:pPr>
        <w:pStyle w:val="Caption"/>
        <w:rPr>
          <w:rFonts w:cs="Times New Roman"/>
          <w:b/>
        </w:rPr>
      </w:pPr>
      <w:bookmarkStart w:id="41" w:name="_Ref164589670"/>
      <w:bookmarkStart w:id="42" w:name="_Toc164862541"/>
      <w:r w:rsidRPr="007F37A0">
        <w:rPr>
          <w:rFonts w:cs="Times New Roman"/>
        </w:rPr>
        <w:lastRenderedPageBreak/>
        <w:t xml:space="preserve">Table </w:t>
      </w:r>
      <w:r w:rsidRPr="007F37A0">
        <w:rPr>
          <w:rFonts w:cs="Times New Roman"/>
          <w:b/>
        </w:rPr>
        <w:fldChar w:fldCharType="begin"/>
      </w:r>
      <w:r w:rsidRPr="007F37A0">
        <w:rPr>
          <w:rFonts w:cs="Times New Roman"/>
        </w:rPr>
        <w:instrText xml:space="preserve"> SEQ Table \* ARABIC </w:instrText>
      </w:r>
      <w:r w:rsidRPr="007F37A0">
        <w:rPr>
          <w:rFonts w:cs="Times New Roman"/>
          <w:b/>
        </w:rPr>
        <w:fldChar w:fldCharType="separate"/>
      </w:r>
      <w:r w:rsidR="00142A7E">
        <w:rPr>
          <w:rFonts w:cs="Times New Roman"/>
          <w:noProof/>
        </w:rPr>
        <w:t>6</w:t>
      </w:r>
      <w:r w:rsidRPr="007F37A0">
        <w:rPr>
          <w:rFonts w:cs="Times New Roman"/>
          <w:b/>
          <w:noProof/>
        </w:rPr>
        <w:fldChar w:fldCharType="end"/>
      </w:r>
      <w:bookmarkEnd w:id="41"/>
      <w:r w:rsidRPr="007F37A0">
        <w:rPr>
          <w:rFonts w:cs="Times New Roman"/>
        </w:rPr>
        <w:t>: Economic Policy Uncertainty and Firm-level Investment</w:t>
      </w:r>
      <w:bookmarkEnd w:id="42"/>
    </w:p>
    <w:tbl>
      <w:tblPr>
        <w:tblW w:w="10116" w:type="dxa"/>
        <w:jc w:val="center"/>
        <w:tblLook w:val="04A0" w:firstRow="1" w:lastRow="0" w:firstColumn="1" w:lastColumn="0" w:noHBand="0" w:noVBand="1"/>
      </w:tblPr>
      <w:tblGrid>
        <w:gridCol w:w="2340"/>
        <w:gridCol w:w="1296"/>
        <w:gridCol w:w="1296"/>
        <w:gridCol w:w="1296"/>
        <w:gridCol w:w="1296"/>
        <w:gridCol w:w="1296"/>
        <w:gridCol w:w="1296"/>
      </w:tblGrid>
      <w:tr w:rsidR="00D526E7" w:rsidRPr="007F37A0" w14:paraId="2EB2F5AA" w14:textId="77777777" w:rsidTr="00735871">
        <w:trPr>
          <w:trHeight w:val="276"/>
          <w:jc w:val="center"/>
        </w:trPr>
        <w:tc>
          <w:tcPr>
            <w:tcW w:w="2340" w:type="dxa"/>
            <w:tcBorders>
              <w:top w:val="single" w:sz="4" w:space="0" w:color="000000"/>
              <w:left w:val="nil"/>
              <w:right w:val="nil"/>
            </w:tcBorders>
            <w:shd w:val="clear" w:color="auto" w:fill="auto"/>
            <w:noWrap/>
            <w:vAlign w:val="bottom"/>
            <w:hideMark/>
          </w:tcPr>
          <w:p w14:paraId="7A54C54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 </w:t>
            </w:r>
          </w:p>
        </w:tc>
        <w:tc>
          <w:tcPr>
            <w:tcW w:w="1296" w:type="dxa"/>
            <w:tcBorders>
              <w:top w:val="single" w:sz="4" w:space="0" w:color="000000"/>
              <w:left w:val="nil"/>
              <w:right w:val="nil"/>
            </w:tcBorders>
            <w:shd w:val="clear" w:color="auto" w:fill="auto"/>
            <w:noWrap/>
            <w:vAlign w:val="bottom"/>
            <w:hideMark/>
          </w:tcPr>
          <w:p w14:paraId="2121551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(1)</w:t>
            </w:r>
          </w:p>
        </w:tc>
        <w:tc>
          <w:tcPr>
            <w:tcW w:w="1296" w:type="dxa"/>
            <w:tcBorders>
              <w:top w:val="single" w:sz="4" w:space="0" w:color="000000"/>
              <w:left w:val="nil"/>
              <w:right w:val="nil"/>
            </w:tcBorders>
            <w:shd w:val="clear" w:color="auto" w:fill="auto"/>
            <w:noWrap/>
            <w:vAlign w:val="bottom"/>
            <w:hideMark/>
          </w:tcPr>
          <w:p w14:paraId="16C9350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(2)</w:t>
            </w:r>
          </w:p>
        </w:tc>
        <w:tc>
          <w:tcPr>
            <w:tcW w:w="1296" w:type="dxa"/>
            <w:tcBorders>
              <w:top w:val="single" w:sz="4" w:space="0" w:color="000000"/>
              <w:left w:val="nil"/>
              <w:right w:val="nil"/>
            </w:tcBorders>
            <w:shd w:val="clear" w:color="auto" w:fill="auto"/>
            <w:noWrap/>
            <w:vAlign w:val="bottom"/>
            <w:hideMark/>
          </w:tcPr>
          <w:p w14:paraId="4004552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(3)</w:t>
            </w:r>
          </w:p>
        </w:tc>
        <w:tc>
          <w:tcPr>
            <w:tcW w:w="1296" w:type="dxa"/>
            <w:tcBorders>
              <w:top w:val="single" w:sz="4" w:space="0" w:color="000000"/>
              <w:left w:val="nil"/>
              <w:right w:val="nil"/>
            </w:tcBorders>
            <w:shd w:val="clear" w:color="auto" w:fill="auto"/>
            <w:noWrap/>
            <w:vAlign w:val="bottom"/>
            <w:hideMark/>
          </w:tcPr>
          <w:p w14:paraId="0143FD4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(4)</w:t>
            </w:r>
          </w:p>
        </w:tc>
        <w:tc>
          <w:tcPr>
            <w:tcW w:w="1296" w:type="dxa"/>
            <w:tcBorders>
              <w:top w:val="single" w:sz="4" w:space="0" w:color="000000"/>
              <w:left w:val="nil"/>
              <w:right w:val="nil"/>
            </w:tcBorders>
            <w:shd w:val="clear" w:color="auto" w:fill="auto"/>
            <w:noWrap/>
            <w:vAlign w:val="bottom"/>
            <w:hideMark/>
          </w:tcPr>
          <w:p w14:paraId="28578E0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(5)</w:t>
            </w:r>
          </w:p>
        </w:tc>
        <w:tc>
          <w:tcPr>
            <w:tcW w:w="1296" w:type="dxa"/>
            <w:tcBorders>
              <w:top w:val="single" w:sz="4" w:space="0" w:color="000000"/>
              <w:left w:val="nil"/>
              <w:right w:val="nil"/>
            </w:tcBorders>
            <w:shd w:val="clear" w:color="auto" w:fill="auto"/>
            <w:noWrap/>
            <w:vAlign w:val="bottom"/>
            <w:hideMark/>
          </w:tcPr>
          <w:p w14:paraId="41EFFC6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(6)</w:t>
            </w:r>
          </w:p>
        </w:tc>
      </w:tr>
      <w:tr w:rsidR="00D526E7" w:rsidRPr="007F37A0" w14:paraId="191B483D" w14:textId="77777777" w:rsidTr="00735871">
        <w:trPr>
          <w:trHeight w:val="276"/>
          <w:jc w:val="center"/>
        </w:trPr>
        <w:tc>
          <w:tcPr>
            <w:tcW w:w="2340" w:type="dxa"/>
            <w:tcBorders>
              <w:top w:val="nil"/>
              <w:left w:val="nil"/>
              <w:bottom w:val="single" w:sz="4" w:space="0" w:color="auto"/>
              <w:right w:val="nil"/>
            </w:tcBorders>
            <w:shd w:val="clear" w:color="auto" w:fill="auto"/>
            <w:noWrap/>
            <w:vAlign w:val="bottom"/>
            <w:hideMark/>
          </w:tcPr>
          <w:p w14:paraId="22874EA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Dependent Variable: Firm Investment Rate</w:t>
            </w:r>
          </w:p>
        </w:tc>
        <w:tc>
          <w:tcPr>
            <w:tcW w:w="1296" w:type="dxa"/>
            <w:tcBorders>
              <w:top w:val="nil"/>
              <w:left w:val="nil"/>
              <w:bottom w:val="single" w:sz="4" w:space="0" w:color="auto"/>
              <w:right w:val="nil"/>
            </w:tcBorders>
            <w:shd w:val="clear" w:color="auto" w:fill="auto"/>
            <w:noWrap/>
            <w:vAlign w:val="bottom"/>
          </w:tcPr>
          <w:p w14:paraId="3BE22D79"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6EF740A3"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1E77AA92"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6FD77888"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3837DCE9" w14:textId="77777777" w:rsidR="00D526E7" w:rsidRPr="007F37A0" w:rsidRDefault="00D526E7" w:rsidP="00735871">
            <w:pPr>
              <w:rPr>
                <w:rFonts w:ascii="Times New Roman" w:hAnsi="Times New Roman" w:cs="Times New Roman"/>
              </w:rPr>
            </w:pPr>
          </w:p>
        </w:tc>
        <w:tc>
          <w:tcPr>
            <w:tcW w:w="1296" w:type="dxa"/>
            <w:tcBorders>
              <w:top w:val="nil"/>
              <w:left w:val="nil"/>
              <w:bottom w:val="single" w:sz="4" w:space="0" w:color="auto"/>
              <w:right w:val="nil"/>
            </w:tcBorders>
            <w:shd w:val="clear" w:color="auto" w:fill="auto"/>
            <w:noWrap/>
            <w:vAlign w:val="bottom"/>
          </w:tcPr>
          <w:p w14:paraId="5222B8E0" w14:textId="77777777" w:rsidR="00D526E7" w:rsidRPr="007F37A0" w:rsidRDefault="00D526E7" w:rsidP="00735871">
            <w:pPr>
              <w:rPr>
                <w:rFonts w:ascii="Times New Roman" w:hAnsi="Times New Roman" w:cs="Times New Roman"/>
              </w:rPr>
            </w:pPr>
          </w:p>
        </w:tc>
      </w:tr>
      <w:tr w:rsidR="00D526E7" w:rsidRPr="007F37A0" w14:paraId="1534A0C5" w14:textId="77777777" w:rsidTr="00735871">
        <w:trPr>
          <w:trHeight w:val="264"/>
          <w:jc w:val="center"/>
        </w:trPr>
        <w:tc>
          <w:tcPr>
            <w:tcW w:w="2340" w:type="dxa"/>
            <w:tcBorders>
              <w:top w:val="single" w:sz="4" w:space="0" w:color="auto"/>
              <w:left w:val="nil"/>
              <w:bottom w:val="nil"/>
              <w:right w:val="nil"/>
            </w:tcBorders>
            <w:shd w:val="clear" w:color="auto" w:fill="auto"/>
            <w:noWrap/>
            <w:vAlign w:val="bottom"/>
            <w:hideMark/>
          </w:tcPr>
          <w:p w14:paraId="46AEFDFD"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4252A4BB"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77868142"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7E19AD52"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3A1B15CE"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3C2052C8" w14:textId="77777777" w:rsidR="00D526E7" w:rsidRPr="007F37A0" w:rsidRDefault="00D526E7" w:rsidP="00735871">
            <w:pPr>
              <w:rPr>
                <w:rFonts w:ascii="Times New Roman" w:hAnsi="Times New Roman" w:cs="Times New Roman"/>
              </w:rPr>
            </w:pPr>
          </w:p>
        </w:tc>
        <w:tc>
          <w:tcPr>
            <w:tcW w:w="1296" w:type="dxa"/>
            <w:tcBorders>
              <w:top w:val="single" w:sz="4" w:space="0" w:color="auto"/>
              <w:left w:val="nil"/>
              <w:bottom w:val="nil"/>
              <w:right w:val="nil"/>
            </w:tcBorders>
            <w:shd w:val="clear" w:color="auto" w:fill="auto"/>
            <w:noWrap/>
            <w:vAlign w:val="bottom"/>
          </w:tcPr>
          <w:p w14:paraId="3F149F6B" w14:textId="77777777" w:rsidR="00D526E7" w:rsidRPr="007F37A0" w:rsidRDefault="00D526E7" w:rsidP="00735871">
            <w:pPr>
              <w:rPr>
                <w:rFonts w:ascii="Times New Roman" w:hAnsi="Times New Roman" w:cs="Times New Roman"/>
              </w:rPr>
            </w:pPr>
          </w:p>
        </w:tc>
      </w:tr>
      <w:tr w:rsidR="00D526E7" w:rsidRPr="007F37A0" w14:paraId="0E4B4D3B"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1F08515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Statistical Economic Policy Uncertainty (V)</w:t>
            </w:r>
          </w:p>
        </w:tc>
        <w:tc>
          <w:tcPr>
            <w:tcW w:w="1296" w:type="dxa"/>
            <w:tcBorders>
              <w:top w:val="nil"/>
              <w:left w:val="nil"/>
              <w:bottom w:val="nil"/>
              <w:right w:val="nil"/>
            </w:tcBorders>
            <w:shd w:val="clear" w:color="auto" w:fill="auto"/>
            <w:noWrap/>
            <w:vAlign w:val="bottom"/>
            <w:hideMark/>
          </w:tcPr>
          <w:p w14:paraId="1D24B9F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0.085*</w:t>
            </w:r>
          </w:p>
        </w:tc>
        <w:tc>
          <w:tcPr>
            <w:tcW w:w="1296" w:type="dxa"/>
            <w:tcBorders>
              <w:top w:val="nil"/>
              <w:left w:val="nil"/>
              <w:bottom w:val="nil"/>
              <w:right w:val="nil"/>
            </w:tcBorders>
            <w:shd w:val="clear" w:color="auto" w:fill="auto"/>
            <w:noWrap/>
            <w:vAlign w:val="bottom"/>
            <w:hideMark/>
          </w:tcPr>
          <w:p w14:paraId="24FFFAC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0.090**</w:t>
            </w:r>
          </w:p>
        </w:tc>
        <w:tc>
          <w:tcPr>
            <w:tcW w:w="1296" w:type="dxa"/>
            <w:tcBorders>
              <w:top w:val="nil"/>
              <w:left w:val="nil"/>
              <w:bottom w:val="nil"/>
              <w:right w:val="nil"/>
            </w:tcBorders>
            <w:shd w:val="clear" w:color="auto" w:fill="auto"/>
            <w:noWrap/>
            <w:vAlign w:val="bottom"/>
            <w:hideMark/>
          </w:tcPr>
          <w:p w14:paraId="0B444BE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0.100**</w:t>
            </w:r>
          </w:p>
        </w:tc>
        <w:tc>
          <w:tcPr>
            <w:tcW w:w="1296" w:type="dxa"/>
            <w:tcBorders>
              <w:top w:val="nil"/>
              <w:left w:val="nil"/>
              <w:bottom w:val="nil"/>
              <w:right w:val="nil"/>
            </w:tcBorders>
            <w:shd w:val="clear" w:color="auto" w:fill="auto"/>
            <w:noWrap/>
            <w:vAlign w:val="bottom"/>
            <w:hideMark/>
          </w:tcPr>
          <w:p w14:paraId="5621C6AC"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8CF8CD3"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D5A5A6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0.100**</w:t>
            </w:r>
          </w:p>
        </w:tc>
      </w:tr>
      <w:tr w:rsidR="00D526E7" w:rsidRPr="007F37A0" w14:paraId="75D3040C"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79DE973D"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B5CF1F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(0.045)</w:t>
            </w:r>
          </w:p>
        </w:tc>
        <w:tc>
          <w:tcPr>
            <w:tcW w:w="1296" w:type="dxa"/>
            <w:tcBorders>
              <w:top w:val="nil"/>
              <w:left w:val="nil"/>
              <w:bottom w:val="nil"/>
              <w:right w:val="nil"/>
            </w:tcBorders>
            <w:shd w:val="clear" w:color="auto" w:fill="auto"/>
            <w:noWrap/>
            <w:vAlign w:val="bottom"/>
            <w:hideMark/>
          </w:tcPr>
          <w:p w14:paraId="67BADB9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(0.045)</w:t>
            </w:r>
          </w:p>
        </w:tc>
        <w:tc>
          <w:tcPr>
            <w:tcW w:w="1296" w:type="dxa"/>
            <w:tcBorders>
              <w:top w:val="nil"/>
              <w:left w:val="nil"/>
              <w:bottom w:val="nil"/>
              <w:right w:val="nil"/>
            </w:tcBorders>
            <w:shd w:val="clear" w:color="auto" w:fill="auto"/>
            <w:noWrap/>
            <w:vAlign w:val="bottom"/>
            <w:hideMark/>
          </w:tcPr>
          <w:p w14:paraId="0687AB8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(0.047)</w:t>
            </w:r>
          </w:p>
        </w:tc>
        <w:tc>
          <w:tcPr>
            <w:tcW w:w="1296" w:type="dxa"/>
            <w:tcBorders>
              <w:top w:val="nil"/>
              <w:left w:val="nil"/>
              <w:bottom w:val="nil"/>
              <w:right w:val="nil"/>
            </w:tcBorders>
            <w:shd w:val="clear" w:color="auto" w:fill="auto"/>
            <w:noWrap/>
            <w:vAlign w:val="bottom"/>
            <w:hideMark/>
          </w:tcPr>
          <w:p w14:paraId="1DCCABFF"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4FEF0777"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1FFE320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(0.047)</w:t>
            </w:r>
          </w:p>
        </w:tc>
      </w:tr>
      <w:tr w:rsidR="00D526E7" w:rsidRPr="007F37A0" w14:paraId="474F48C7"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3B4F2CB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Direct Economic Policy Uncertainty (ln(PU))</w:t>
            </w:r>
          </w:p>
        </w:tc>
        <w:tc>
          <w:tcPr>
            <w:tcW w:w="1296" w:type="dxa"/>
            <w:tcBorders>
              <w:top w:val="nil"/>
              <w:left w:val="nil"/>
              <w:bottom w:val="nil"/>
              <w:right w:val="nil"/>
            </w:tcBorders>
            <w:shd w:val="clear" w:color="auto" w:fill="auto"/>
            <w:noWrap/>
            <w:vAlign w:val="bottom"/>
            <w:hideMark/>
          </w:tcPr>
          <w:p w14:paraId="6772E867"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3E4AB0A7"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5267CC7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-0.180*</w:t>
            </w:r>
          </w:p>
        </w:tc>
        <w:tc>
          <w:tcPr>
            <w:tcW w:w="1296" w:type="dxa"/>
            <w:tcBorders>
              <w:top w:val="nil"/>
              <w:left w:val="nil"/>
              <w:bottom w:val="nil"/>
              <w:right w:val="nil"/>
            </w:tcBorders>
            <w:shd w:val="clear" w:color="auto" w:fill="auto"/>
            <w:noWrap/>
            <w:vAlign w:val="bottom"/>
            <w:hideMark/>
          </w:tcPr>
          <w:p w14:paraId="731BA3E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-0.116</w:t>
            </w:r>
          </w:p>
        </w:tc>
        <w:tc>
          <w:tcPr>
            <w:tcW w:w="1296" w:type="dxa"/>
            <w:tcBorders>
              <w:top w:val="nil"/>
              <w:left w:val="nil"/>
              <w:bottom w:val="nil"/>
              <w:right w:val="nil"/>
            </w:tcBorders>
            <w:shd w:val="clear" w:color="auto" w:fill="auto"/>
            <w:noWrap/>
            <w:vAlign w:val="bottom"/>
            <w:hideMark/>
          </w:tcPr>
          <w:p w14:paraId="066AE6D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-0.084</w:t>
            </w:r>
          </w:p>
        </w:tc>
        <w:tc>
          <w:tcPr>
            <w:tcW w:w="1296" w:type="dxa"/>
            <w:tcBorders>
              <w:top w:val="nil"/>
              <w:left w:val="nil"/>
              <w:bottom w:val="nil"/>
              <w:right w:val="nil"/>
            </w:tcBorders>
            <w:shd w:val="clear" w:color="auto" w:fill="auto"/>
            <w:noWrap/>
            <w:vAlign w:val="bottom"/>
            <w:hideMark/>
          </w:tcPr>
          <w:p w14:paraId="4E26F344"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-0.150</w:t>
            </w:r>
          </w:p>
        </w:tc>
      </w:tr>
      <w:tr w:rsidR="00D526E7" w:rsidRPr="007F37A0" w14:paraId="3F984E92"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47A7C24D"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09D5CCCE"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A1EC397"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3942600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(0.100)</w:t>
            </w:r>
          </w:p>
        </w:tc>
        <w:tc>
          <w:tcPr>
            <w:tcW w:w="1296" w:type="dxa"/>
            <w:tcBorders>
              <w:top w:val="nil"/>
              <w:left w:val="nil"/>
              <w:bottom w:val="nil"/>
              <w:right w:val="nil"/>
            </w:tcBorders>
            <w:shd w:val="clear" w:color="auto" w:fill="auto"/>
            <w:noWrap/>
            <w:vAlign w:val="bottom"/>
            <w:hideMark/>
          </w:tcPr>
          <w:p w14:paraId="4269F2A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(0.095)</w:t>
            </w:r>
          </w:p>
        </w:tc>
        <w:tc>
          <w:tcPr>
            <w:tcW w:w="1296" w:type="dxa"/>
            <w:tcBorders>
              <w:top w:val="nil"/>
              <w:left w:val="nil"/>
              <w:bottom w:val="nil"/>
              <w:right w:val="nil"/>
            </w:tcBorders>
            <w:shd w:val="clear" w:color="auto" w:fill="auto"/>
            <w:noWrap/>
            <w:vAlign w:val="bottom"/>
            <w:hideMark/>
          </w:tcPr>
          <w:p w14:paraId="758E1CB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(0.100)</w:t>
            </w:r>
          </w:p>
        </w:tc>
        <w:tc>
          <w:tcPr>
            <w:tcW w:w="1296" w:type="dxa"/>
            <w:tcBorders>
              <w:top w:val="nil"/>
              <w:left w:val="nil"/>
              <w:bottom w:val="nil"/>
              <w:right w:val="nil"/>
            </w:tcBorders>
            <w:shd w:val="clear" w:color="auto" w:fill="auto"/>
            <w:noWrap/>
            <w:vAlign w:val="bottom"/>
            <w:hideMark/>
          </w:tcPr>
          <w:p w14:paraId="67F1BAC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(0.106)</w:t>
            </w:r>
          </w:p>
        </w:tc>
      </w:tr>
      <w:tr w:rsidR="00D526E7" w:rsidRPr="007F37A0" w14:paraId="47DA4095"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510B19C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Economic Policy Index (ln(P))</w:t>
            </w:r>
          </w:p>
        </w:tc>
        <w:tc>
          <w:tcPr>
            <w:tcW w:w="1296" w:type="dxa"/>
            <w:tcBorders>
              <w:top w:val="nil"/>
              <w:left w:val="nil"/>
              <w:bottom w:val="nil"/>
              <w:right w:val="nil"/>
            </w:tcBorders>
            <w:shd w:val="clear" w:color="auto" w:fill="auto"/>
            <w:noWrap/>
            <w:vAlign w:val="bottom"/>
            <w:hideMark/>
          </w:tcPr>
          <w:p w14:paraId="31E96A06"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295238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-0.290</w:t>
            </w:r>
          </w:p>
        </w:tc>
        <w:tc>
          <w:tcPr>
            <w:tcW w:w="1296" w:type="dxa"/>
            <w:tcBorders>
              <w:top w:val="nil"/>
              <w:left w:val="nil"/>
              <w:bottom w:val="nil"/>
              <w:right w:val="nil"/>
            </w:tcBorders>
            <w:shd w:val="clear" w:color="auto" w:fill="auto"/>
            <w:noWrap/>
            <w:vAlign w:val="bottom"/>
            <w:hideMark/>
          </w:tcPr>
          <w:p w14:paraId="0E80A021"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78BBA4C"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4676EB2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-0.126</w:t>
            </w:r>
          </w:p>
        </w:tc>
        <w:tc>
          <w:tcPr>
            <w:tcW w:w="1296" w:type="dxa"/>
            <w:tcBorders>
              <w:top w:val="nil"/>
              <w:left w:val="nil"/>
              <w:bottom w:val="nil"/>
              <w:right w:val="nil"/>
            </w:tcBorders>
            <w:shd w:val="clear" w:color="auto" w:fill="auto"/>
            <w:noWrap/>
            <w:vAlign w:val="bottom"/>
            <w:hideMark/>
          </w:tcPr>
          <w:p w14:paraId="5B28D0A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-0.115</w:t>
            </w:r>
          </w:p>
        </w:tc>
      </w:tr>
      <w:tr w:rsidR="00D526E7" w:rsidRPr="007F37A0" w14:paraId="3E43D246"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1AEC75C3"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C6E8750"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374A0139"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(0.222)</w:t>
            </w:r>
          </w:p>
        </w:tc>
        <w:tc>
          <w:tcPr>
            <w:tcW w:w="1296" w:type="dxa"/>
            <w:tcBorders>
              <w:top w:val="nil"/>
              <w:left w:val="nil"/>
              <w:bottom w:val="nil"/>
              <w:right w:val="nil"/>
            </w:tcBorders>
            <w:shd w:val="clear" w:color="auto" w:fill="auto"/>
            <w:noWrap/>
            <w:vAlign w:val="bottom"/>
            <w:hideMark/>
          </w:tcPr>
          <w:p w14:paraId="2D1DB69C"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67F33C69"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79617BC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(0.237)</w:t>
            </w:r>
          </w:p>
        </w:tc>
        <w:tc>
          <w:tcPr>
            <w:tcW w:w="1296" w:type="dxa"/>
            <w:tcBorders>
              <w:top w:val="nil"/>
              <w:left w:val="nil"/>
              <w:bottom w:val="nil"/>
              <w:right w:val="nil"/>
            </w:tcBorders>
            <w:shd w:val="clear" w:color="auto" w:fill="auto"/>
            <w:noWrap/>
            <w:vAlign w:val="bottom"/>
            <w:hideMark/>
          </w:tcPr>
          <w:p w14:paraId="2BD5A5B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(0.237)</w:t>
            </w:r>
          </w:p>
        </w:tc>
      </w:tr>
      <w:tr w:rsidR="00D526E7" w:rsidRPr="007F37A0" w14:paraId="44F014E8"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4AE68B04"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096FEC27"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25C34386"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4F023DBA"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2406DE71"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36904EAC" w14:textId="77777777" w:rsidR="00D526E7" w:rsidRPr="007F37A0" w:rsidRDefault="00D526E7" w:rsidP="00735871">
            <w:pPr>
              <w:rPr>
                <w:rFonts w:ascii="Times New Roman" w:hAnsi="Times New Roman" w:cs="Times New Roman"/>
              </w:rPr>
            </w:pPr>
          </w:p>
        </w:tc>
        <w:tc>
          <w:tcPr>
            <w:tcW w:w="1296" w:type="dxa"/>
            <w:tcBorders>
              <w:top w:val="nil"/>
              <w:left w:val="nil"/>
              <w:bottom w:val="nil"/>
              <w:right w:val="nil"/>
            </w:tcBorders>
            <w:shd w:val="clear" w:color="auto" w:fill="auto"/>
            <w:noWrap/>
            <w:vAlign w:val="bottom"/>
            <w:hideMark/>
          </w:tcPr>
          <w:p w14:paraId="5926EA1C" w14:textId="77777777" w:rsidR="00D526E7" w:rsidRPr="007F37A0" w:rsidRDefault="00D526E7" w:rsidP="00735871">
            <w:pPr>
              <w:rPr>
                <w:rFonts w:ascii="Times New Roman" w:hAnsi="Times New Roman" w:cs="Times New Roman"/>
              </w:rPr>
            </w:pPr>
          </w:p>
        </w:tc>
      </w:tr>
      <w:tr w:rsidR="00D526E7" w:rsidRPr="007F37A0" w14:paraId="5243B1B6"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495ECED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Firm FE</w:t>
            </w:r>
          </w:p>
        </w:tc>
        <w:tc>
          <w:tcPr>
            <w:tcW w:w="1296" w:type="dxa"/>
            <w:tcBorders>
              <w:top w:val="nil"/>
              <w:left w:val="nil"/>
              <w:bottom w:val="nil"/>
              <w:right w:val="nil"/>
            </w:tcBorders>
            <w:shd w:val="clear" w:color="auto" w:fill="auto"/>
            <w:noWrap/>
            <w:vAlign w:val="bottom"/>
            <w:hideMark/>
          </w:tcPr>
          <w:p w14:paraId="5532D22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19B5AC5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69A05A1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47AD2D2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59AAE4B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0C166595"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r>
      <w:tr w:rsidR="00D526E7" w:rsidRPr="007F37A0" w14:paraId="7FE51080"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0A056FE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Time Controls</w:t>
            </w:r>
          </w:p>
        </w:tc>
        <w:tc>
          <w:tcPr>
            <w:tcW w:w="1296" w:type="dxa"/>
            <w:tcBorders>
              <w:top w:val="nil"/>
              <w:left w:val="nil"/>
              <w:bottom w:val="nil"/>
              <w:right w:val="nil"/>
            </w:tcBorders>
            <w:shd w:val="clear" w:color="auto" w:fill="auto"/>
            <w:noWrap/>
            <w:vAlign w:val="bottom"/>
            <w:hideMark/>
          </w:tcPr>
          <w:p w14:paraId="0DA1DFA3"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160D1BF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0FF6FC4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1139A51D"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6B7FF12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c>
          <w:tcPr>
            <w:tcW w:w="1296" w:type="dxa"/>
            <w:tcBorders>
              <w:top w:val="nil"/>
              <w:left w:val="nil"/>
              <w:bottom w:val="nil"/>
              <w:right w:val="nil"/>
            </w:tcBorders>
            <w:shd w:val="clear" w:color="auto" w:fill="auto"/>
            <w:noWrap/>
            <w:vAlign w:val="bottom"/>
            <w:hideMark/>
          </w:tcPr>
          <w:p w14:paraId="2654023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YES</w:t>
            </w:r>
          </w:p>
        </w:tc>
      </w:tr>
      <w:tr w:rsidR="00D526E7" w:rsidRPr="007F37A0" w14:paraId="17D8CB9C" w14:textId="77777777" w:rsidTr="00735871">
        <w:trPr>
          <w:trHeight w:val="276"/>
          <w:jc w:val="center"/>
        </w:trPr>
        <w:tc>
          <w:tcPr>
            <w:tcW w:w="2340" w:type="dxa"/>
            <w:tcBorders>
              <w:top w:val="nil"/>
              <w:left w:val="nil"/>
              <w:bottom w:val="nil"/>
              <w:right w:val="nil"/>
            </w:tcBorders>
            <w:shd w:val="clear" w:color="auto" w:fill="auto"/>
            <w:noWrap/>
            <w:vAlign w:val="bottom"/>
            <w:hideMark/>
          </w:tcPr>
          <w:p w14:paraId="11B704A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Observations</w:t>
            </w:r>
          </w:p>
        </w:tc>
        <w:tc>
          <w:tcPr>
            <w:tcW w:w="1296" w:type="dxa"/>
            <w:tcBorders>
              <w:top w:val="nil"/>
              <w:left w:val="nil"/>
              <w:bottom w:val="nil"/>
              <w:right w:val="nil"/>
            </w:tcBorders>
            <w:shd w:val="clear" w:color="auto" w:fill="auto"/>
            <w:noWrap/>
            <w:vAlign w:val="bottom"/>
            <w:hideMark/>
          </w:tcPr>
          <w:p w14:paraId="353926FF"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6C99D94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653268E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59EFC248"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5DFD25D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c>
          <w:tcPr>
            <w:tcW w:w="1296" w:type="dxa"/>
            <w:tcBorders>
              <w:top w:val="nil"/>
              <w:left w:val="nil"/>
              <w:bottom w:val="nil"/>
              <w:right w:val="nil"/>
            </w:tcBorders>
            <w:shd w:val="clear" w:color="auto" w:fill="auto"/>
            <w:noWrap/>
            <w:vAlign w:val="bottom"/>
            <w:hideMark/>
          </w:tcPr>
          <w:p w14:paraId="53A263BA"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8,961</w:t>
            </w:r>
          </w:p>
        </w:tc>
      </w:tr>
      <w:tr w:rsidR="00D526E7" w:rsidRPr="007F37A0" w14:paraId="59652712" w14:textId="77777777" w:rsidTr="00735871">
        <w:trPr>
          <w:trHeight w:val="276"/>
          <w:jc w:val="center"/>
        </w:trPr>
        <w:tc>
          <w:tcPr>
            <w:tcW w:w="2340" w:type="dxa"/>
            <w:tcBorders>
              <w:top w:val="nil"/>
              <w:left w:val="nil"/>
              <w:bottom w:val="single" w:sz="4" w:space="0" w:color="000000"/>
              <w:right w:val="nil"/>
            </w:tcBorders>
            <w:shd w:val="clear" w:color="auto" w:fill="auto"/>
            <w:noWrap/>
            <w:vAlign w:val="bottom"/>
            <w:hideMark/>
          </w:tcPr>
          <w:p w14:paraId="7307EED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R-squared</w:t>
            </w:r>
          </w:p>
        </w:tc>
        <w:tc>
          <w:tcPr>
            <w:tcW w:w="1296" w:type="dxa"/>
            <w:tcBorders>
              <w:top w:val="nil"/>
              <w:left w:val="nil"/>
              <w:bottom w:val="single" w:sz="4" w:space="0" w:color="000000"/>
              <w:right w:val="nil"/>
            </w:tcBorders>
            <w:shd w:val="clear" w:color="auto" w:fill="auto"/>
            <w:noWrap/>
            <w:vAlign w:val="bottom"/>
            <w:hideMark/>
          </w:tcPr>
          <w:p w14:paraId="1263BAA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0.317</w:t>
            </w:r>
          </w:p>
        </w:tc>
        <w:tc>
          <w:tcPr>
            <w:tcW w:w="1296" w:type="dxa"/>
            <w:tcBorders>
              <w:top w:val="nil"/>
              <w:left w:val="nil"/>
              <w:bottom w:val="single" w:sz="4" w:space="0" w:color="000000"/>
              <w:right w:val="nil"/>
            </w:tcBorders>
            <w:shd w:val="clear" w:color="auto" w:fill="auto"/>
            <w:noWrap/>
            <w:vAlign w:val="bottom"/>
            <w:hideMark/>
          </w:tcPr>
          <w:p w14:paraId="16FB6F4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0.317</w:t>
            </w:r>
          </w:p>
        </w:tc>
        <w:tc>
          <w:tcPr>
            <w:tcW w:w="1296" w:type="dxa"/>
            <w:tcBorders>
              <w:top w:val="nil"/>
              <w:left w:val="nil"/>
              <w:bottom w:val="single" w:sz="4" w:space="0" w:color="000000"/>
              <w:right w:val="nil"/>
            </w:tcBorders>
            <w:shd w:val="clear" w:color="auto" w:fill="auto"/>
            <w:noWrap/>
            <w:vAlign w:val="bottom"/>
            <w:hideMark/>
          </w:tcPr>
          <w:p w14:paraId="46E7F65E"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96" w:type="dxa"/>
            <w:tcBorders>
              <w:top w:val="nil"/>
              <w:left w:val="nil"/>
              <w:bottom w:val="single" w:sz="4" w:space="0" w:color="000000"/>
              <w:right w:val="nil"/>
            </w:tcBorders>
            <w:shd w:val="clear" w:color="auto" w:fill="auto"/>
            <w:noWrap/>
            <w:vAlign w:val="bottom"/>
            <w:hideMark/>
          </w:tcPr>
          <w:p w14:paraId="4BE34140"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96" w:type="dxa"/>
            <w:tcBorders>
              <w:top w:val="nil"/>
              <w:left w:val="nil"/>
              <w:bottom w:val="single" w:sz="4" w:space="0" w:color="000000"/>
              <w:right w:val="nil"/>
            </w:tcBorders>
            <w:shd w:val="clear" w:color="auto" w:fill="auto"/>
            <w:noWrap/>
            <w:vAlign w:val="bottom"/>
            <w:hideMark/>
          </w:tcPr>
          <w:p w14:paraId="684B0A91"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c>
          <w:tcPr>
            <w:tcW w:w="1296" w:type="dxa"/>
            <w:tcBorders>
              <w:top w:val="nil"/>
              <w:left w:val="nil"/>
              <w:bottom w:val="single" w:sz="4" w:space="0" w:color="000000"/>
              <w:right w:val="nil"/>
            </w:tcBorders>
            <w:shd w:val="clear" w:color="auto" w:fill="auto"/>
            <w:noWrap/>
            <w:vAlign w:val="bottom"/>
            <w:hideMark/>
          </w:tcPr>
          <w:p w14:paraId="21E1401C"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0.318</w:t>
            </w:r>
          </w:p>
        </w:tc>
      </w:tr>
      <w:tr w:rsidR="00D526E7" w:rsidRPr="007F37A0" w14:paraId="371E8622" w14:textId="77777777" w:rsidTr="00735871">
        <w:trPr>
          <w:trHeight w:val="276"/>
          <w:jc w:val="center"/>
        </w:trPr>
        <w:tc>
          <w:tcPr>
            <w:tcW w:w="10116" w:type="dxa"/>
            <w:gridSpan w:val="7"/>
            <w:tcBorders>
              <w:top w:val="nil"/>
              <w:left w:val="nil"/>
              <w:bottom w:val="nil"/>
              <w:right w:val="nil"/>
            </w:tcBorders>
            <w:shd w:val="clear" w:color="auto" w:fill="auto"/>
            <w:noWrap/>
            <w:vAlign w:val="bottom"/>
            <w:hideMark/>
          </w:tcPr>
          <w:p w14:paraId="1898C086"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Robust standard errors in parentheses, clustered at the firm and year level</w:t>
            </w:r>
          </w:p>
        </w:tc>
      </w:tr>
      <w:tr w:rsidR="00D526E7" w:rsidRPr="007F37A0" w14:paraId="0410AEE9" w14:textId="77777777" w:rsidTr="00735871">
        <w:trPr>
          <w:trHeight w:val="276"/>
          <w:jc w:val="center"/>
        </w:trPr>
        <w:tc>
          <w:tcPr>
            <w:tcW w:w="10116" w:type="dxa"/>
            <w:gridSpan w:val="7"/>
            <w:tcBorders>
              <w:top w:val="nil"/>
              <w:left w:val="nil"/>
              <w:bottom w:val="nil"/>
              <w:right w:val="nil"/>
            </w:tcBorders>
            <w:shd w:val="clear" w:color="auto" w:fill="auto"/>
            <w:noWrap/>
            <w:vAlign w:val="bottom"/>
            <w:hideMark/>
          </w:tcPr>
          <w:p w14:paraId="290C9BB2"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 p&lt;0.01, ** p&lt;0.05, * p&lt;0.1</w:t>
            </w:r>
          </w:p>
          <w:p w14:paraId="63BDD13B" w14:textId="77777777" w:rsidR="00D526E7" w:rsidRPr="007F37A0" w:rsidRDefault="00D526E7" w:rsidP="00735871">
            <w:pPr>
              <w:rPr>
                <w:rFonts w:ascii="Times New Roman" w:hAnsi="Times New Roman" w:cs="Times New Roman"/>
              </w:rPr>
            </w:pPr>
            <w:r w:rsidRPr="007F37A0">
              <w:rPr>
                <w:rFonts w:ascii="Times New Roman" w:hAnsi="Times New Roman" w:cs="Times New Roman"/>
              </w:rPr>
              <w:t>The dependent variable is the lagged quarterly capital expenditures divided by the level of capital stock multiplied by 100, so investment rate can be interpreted as a percentage. Statistical Economic Policy Uncertainty is the estimated log of statistical volatility of the Economic Policy Index. The log of Direct Economic Policy Uncertainty measures economic policy uncertainty using newspaper article text analysis replicating Baker, Bloom, and Davis (2016). The log of Economic Policy Index measures economic policy activity using newspaper article text analysis. Cashflow is the ratio of cash flow to assets for a firm in a quarter. Sales growth is the growth of revenue for a firm from last quarter. Real GDP growth comes from FRED. Consumer Sentiment Index is the University of Michigan’s Consumer Sentiment survey which summarizes consumer perception of economic conditions. The Leading Index is the predicted six-month growth rate for the coincident index which measures economic conditions.</w:t>
            </w:r>
          </w:p>
        </w:tc>
      </w:tr>
    </w:tbl>
    <w:p w14:paraId="0F12D865" w14:textId="77777777" w:rsidR="00D526E7" w:rsidRPr="007F37A0" w:rsidRDefault="00D526E7" w:rsidP="00D526E7">
      <w:pPr>
        <w:rPr>
          <w:rFonts w:ascii="Times New Roman" w:hAnsi="Times New Roman" w:cs="Times New Roman"/>
        </w:rPr>
      </w:pPr>
      <w:r w:rsidRPr="007F37A0">
        <w:rPr>
          <w:rFonts w:ascii="Times New Roman" w:hAnsi="Times New Roman" w:cs="Times New Roman"/>
        </w:rPr>
        <w:br w:type="page"/>
      </w:r>
    </w:p>
    <w:p w14:paraId="6104538F" w14:textId="77777777" w:rsidR="00D526E7" w:rsidRPr="007F37A0" w:rsidRDefault="00D526E7" w:rsidP="00D526E7">
      <w:pPr>
        <w:spacing w:line="480" w:lineRule="auto"/>
        <w:rPr>
          <w:rFonts w:ascii="Times New Roman" w:hAnsi="Times New Roman" w:cs="Times New Roman"/>
        </w:rPr>
        <w:sectPr w:rsidR="00D526E7" w:rsidRPr="007F37A0" w:rsidSect="00FE7549">
          <w:footerReference w:type="default" r:id="rId14"/>
          <w:pgSz w:w="12240" w:h="15840" w:code="1"/>
          <w:pgMar w:top="1440" w:right="1800" w:bottom="1872" w:left="1800" w:header="720" w:footer="1440" w:gutter="0"/>
          <w:pgNumType w:start="1"/>
          <w:cols w:space="720"/>
          <w:noEndnote/>
          <w:docGrid w:linePitch="360"/>
        </w:sectPr>
      </w:pPr>
    </w:p>
    <w:p w14:paraId="7E068FFA"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noProof/>
        </w:rPr>
        <w:lastRenderedPageBreak/>
        <w:drawing>
          <wp:inline distT="0" distB="0" distL="0" distR="0" wp14:anchorId="041AE0A3" wp14:editId="16286F3C">
            <wp:extent cx="7955280" cy="2830195"/>
            <wp:effectExtent l="0" t="0" r="7620" b="8255"/>
            <wp:docPr id="2046074373" name="Picture 1"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74373" name="Picture 1" descr="A line graph with tex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7955280" cy="2830195"/>
                    </a:xfrm>
                    <a:prstGeom prst="rect">
                      <a:avLst/>
                    </a:prstGeom>
                  </pic:spPr>
                </pic:pic>
              </a:graphicData>
            </a:graphic>
          </wp:inline>
        </w:drawing>
      </w:r>
    </w:p>
    <w:p w14:paraId="5CCE73C3" w14:textId="55A6636D" w:rsidR="00D526E7" w:rsidRPr="007F37A0" w:rsidRDefault="00D526E7" w:rsidP="007F37A0">
      <w:pPr>
        <w:pStyle w:val="Caption"/>
        <w:rPr>
          <w:rFonts w:cs="Times New Roman"/>
          <w:b/>
        </w:rPr>
      </w:pPr>
      <w:bookmarkStart w:id="43" w:name="_Ref159331010"/>
      <w:bookmarkStart w:id="44" w:name="_Toc164862582"/>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1</w:t>
      </w:r>
      <w:r w:rsidRPr="007F37A0">
        <w:rPr>
          <w:rFonts w:cs="Times New Roman"/>
          <w:b/>
        </w:rPr>
        <w:fldChar w:fldCharType="end"/>
      </w:r>
      <w:bookmarkEnd w:id="43"/>
      <w:r w:rsidRPr="007F37A0">
        <w:rPr>
          <w:rFonts w:cs="Times New Roman"/>
        </w:rPr>
        <w:t>.</w:t>
      </w:r>
      <w:r w:rsidRPr="007F37A0">
        <w:rPr>
          <w:rFonts w:cs="Times New Roman"/>
          <w:i/>
          <w:iCs/>
        </w:rPr>
        <w:t xml:space="preserve"> </w:t>
      </w:r>
      <w:r w:rsidRPr="007F37A0">
        <w:rPr>
          <w:rFonts w:cs="Times New Roman"/>
        </w:rPr>
        <w:t>Quarterly Average Electric Utility Investment Rates from 2001 to 2022.</w:t>
      </w:r>
      <w:bookmarkEnd w:id="44"/>
    </w:p>
    <w:p w14:paraId="773BE91C" w14:textId="77777777" w:rsidR="00D526E7" w:rsidRPr="007F37A0" w:rsidRDefault="00D526E7" w:rsidP="00D526E7">
      <w:pPr>
        <w:rPr>
          <w:rFonts w:ascii="Times New Roman" w:hAnsi="Times New Roman" w:cs="Times New Roman"/>
        </w:rPr>
      </w:pPr>
      <w:r w:rsidRPr="007F37A0">
        <w:rPr>
          <w:rFonts w:ascii="Times New Roman" w:hAnsi="Times New Roman" w:cs="Times New Roman"/>
        </w:rPr>
        <w:br w:type="page"/>
      </w:r>
    </w:p>
    <w:p w14:paraId="0B7F641E" w14:textId="77777777" w:rsidR="007F37A0" w:rsidRPr="007F37A0" w:rsidRDefault="00D526E7" w:rsidP="007F37A0">
      <w:pPr>
        <w:keepNext/>
        <w:spacing w:line="480" w:lineRule="auto"/>
        <w:rPr>
          <w:rFonts w:ascii="Times New Roman" w:hAnsi="Times New Roman" w:cs="Times New Roman"/>
        </w:rPr>
      </w:pPr>
      <w:r w:rsidRPr="007F37A0">
        <w:rPr>
          <w:rFonts w:ascii="Times New Roman" w:hAnsi="Times New Roman" w:cs="Times New Roman"/>
          <w:noProof/>
        </w:rPr>
        <w:lastRenderedPageBreak/>
        <w:drawing>
          <wp:inline distT="0" distB="0" distL="0" distR="0" wp14:anchorId="2840161B" wp14:editId="3D9CE453">
            <wp:extent cx="7763413" cy="3108960"/>
            <wp:effectExtent l="0" t="0" r="9525" b="0"/>
            <wp:docPr id="648521360" name="Picture 1" descr="A diagram of a business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48760" name="Picture 1" descr="A diagram of a business graph&#10;&#10;Description automatically generated with medium confidence"/>
                    <pic:cNvPicPr/>
                  </pic:nvPicPr>
                  <pic:blipFill>
                    <a:blip r:embed="rId16"/>
                    <a:stretch>
                      <a:fillRect/>
                    </a:stretch>
                  </pic:blipFill>
                  <pic:spPr>
                    <a:xfrm>
                      <a:off x="0" y="0"/>
                      <a:ext cx="7771686" cy="3112273"/>
                    </a:xfrm>
                    <a:prstGeom prst="rect">
                      <a:avLst/>
                    </a:prstGeom>
                  </pic:spPr>
                </pic:pic>
              </a:graphicData>
            </a:graphic>
          </wp:inline>
        </w:drawing>
      </w:r>
    </w:p>
    <w:p w14:paraId="31308374" w14:textId="3743102C" w:rsidR="007F37A0" w:rsidRPr="007F37A0" w:rsidRDefault="007F37A0" w:rsidP="007F37A0">
      <w:pPr>
        <w:pStyle w:val="Caption"/>
        <w:rPr>
          <w:rFonts w:cs="Times New Roman"/>
        </w:rPr>
      </w:pPr>
      <w:bookmarkStart w:id="45" w:name="_Toc164862583"/>
      <w:r w:rsidRPr="007F37A0">
        <w:rPr>
          <w:rFonts w:cs="Times New Roman"/>
        </w:rPr>
        <w:t xml:space="preserve">Figure </w:t>
      </w:r>
      <w:r w:rsidRPr="007F37A0">
        <w:rPr>
          <w:rFonts w:cs="Times New Roman"/>
        </w:rPr>
        <w:fldChar w:fldCharType="begin"/>
      </w:r>
      <w:r w:rsidRPr="007F37A0">
        <w:rPr>
          <w:rFonts w:cs="Times New Roman"/>
        </w:rPr>
        <w:instrText xml:space="preserve"> SEQ Figure \* ARABIC </w:instrText>
      </w:r>
      <w:r w:rsidRPr="007F37A0">
        <w:rPr>
          <w:rFonts w:cs="Times New Roman"/>
        </w:rPr>
        <w:fldChar w:fldCharType="separate"/>
      </w:r>
      <w:r w:rsidR="00142A7E">
        <w:rPr>
          <w:rFonts w:cs="Times New Roman"/>
          <w:noProof/>
        </w:rPr>
        <w:t>2</w:t>
      </w:r>
      <w:r w:rsidRPr="007F37A0">
        <w:rPr>
          <w:rFonts w:cs="Times New Roman"/>
        </w:rPr>
        <w:fldChar w:fldCharType="end"/>
      </w:r>
      <w:r w:rsidRPr="007F37A0">
        <w:rPr>
          <w:rFonts w:cs="Times New Roman"/>
        </w:rPr>
        <w:t>. Dixit and Pindyck (1994) Investment Boundary Condition when β =1 (left) and Investment Boundary Condition when β=-1 (right).</w:t>
      </w:r>
      <w:bookmarkEnd w:id="45"/>
    </w:p>
    <w:p w14:paraId="2F0321F8"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noProof/>
        </w:rPr>
        <w:lastRenderedPageBreak/>
        <w:drawing>
          <wp:inline distT="0" distB="0" distL="0" distR="0" wp14:anchorId="46F007D0" wp14:editId="0168913B">
            <wp:extent cx="8369471" cy="2979420"/>
            <wp:effectExtent l="0" t="0" r="0" b="0"/>
            <wp:docPr id="586155638" name="Picture 2" descr="A graph of green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55638" name="Picture 2" descr="A graph of green and blue line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78006" cy="2982458"/>
                    </a:xfrm>
                    <a:prstGeom prst="rect">
                      <a:avLst/>
                    </a:prstGeom>
                    <a:noFill/>
                    <a:ln>
                      <a:noFill/>
                    </a:ln>
                  </pic:spPr>
                </pic:pic>
              </a:graphicData>
            </a:graphic>
          </wp:inline>
        </w:drawing>
      </w:r>
    </w:p>
    <w:p w14:paraId="263AF5C5" w14:textId="27378D26" w:rsidR="00D526E7" w:rsidRPr="007F37A0" w:rsidRDefault="00D526E7" w:rsidP="007F37A0">
      <w:pPr>
        <w:pStyle w:val="Caption"/>
        <w:rPr>
          <w:rFonts w:cs="Times New Roman"/>
          <w:b/>
        </w:rPr>
      </w:pPr>
      <w:bookmarkStart w:id="46" w:name="_Ref159331074"/>
      <w:bookmarkStart w:id="47" w:name="_Toc164862584"/>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3</w:t>
      </w:r>
      <w:r w:rsidRPr="007F37A0">
        <w:rPr>
          <w:rFonts w:cs="Times New Roman"/>
          <w:b/>
        </w:rPr>
        <w:fldChar w:fldCharType="end"/>
      </w:r>
      <w:bookmarkEnd w:id="46"/>
      <w:r w:rsidRPr="007F37A0">
        <w:rPr>
          <w:rFonts w:cs="Times New Roman"/>
        </w:rPr>
        <w:t>. Electric Utility Policy (left scale), Direct Policy Uncertainty (left scale), and Statistical Policy Uncertainty (right scale) Indices 1985-2022.</w:t>
      </w:r>
      <w:bookmarkEnd w:id="47"/>
    </w:p>
    <w:p w14:paraId="3EF355C4" w14:textId="77777777" w:rsidR="00D526E7" w:rsidRPr="007F37A0" w:rsidRDefault="00D526E7" w:rsidP="00D526E7">
      <w:pPr>
        <w:rPr>
          <w:rFonts w:ascii="Times New Roman" w:hAnsi="Times New Roman" w:cs="Times New Roman"/>
        </w:rPr>
      </w:pPr>
      <w:r w:rsidRPr="007F37A0">
        <w:rPr>
          <w:rFonts w:ascii="Times New Roman" w:hAnsi="Times New Roman" w:cs="Times New Roman"/>
        </w:rPr>
        <w:br w:type="page"/>
      </w:r>
    </w:p>
    <w:p w14:paraId="182E19D2" w14:textId="77777777" w:rsidR="00D526E7" w:rsidRPr="007F37A0" w:rsidRDefault="00D526E7" w:rsidP="00D526E7">
      <w:pPr>
        <w:rPr>
          <w:rFonts w:ascii="Times New Roman" w:hAnsi="Times New Roman" w:cs="Times New Roman"/>
          <w:b/>
          <w:bCs/>
          <w:caps/>
        </w:rPr>
        <w:sectPr w:rsidR="00D526E7" w:rsidRPr="007F37A0" w:rsidSect="00FE7549">
          <w:pgSz w:w="15840" w:h="12240" w:orient="landscape" w:code="1"/>
          <w:pgMar w:top="1800" w:right="1440" w:bottom="1800" w:left="1872" w:header="720" w:footer="1440" w:gutter="0"/>
          <w:cols w:space="720"/>
          <w:noEndnote/>
          <w:docGrid w:linePitch="360"/>
        </w:sectPr>
      </w:pPr>
    </w:p>
    <w:p w14:paraId="3BA14A0E" w14:textId="77777777" w:rsidR="00D526E7" w:rsidRPr="007F37A0" w:rsidRDefault="00D526E7" w:rsidP="00D526E7">
      <w:pPr>
        <w:pStyle w:val="Heading3"/>
        <w:spacing w:line="480" w:lineRule="auto"/>
        <w:rPr>
          <w:rFonts w:ascii="Times New Roman" w:hAnsi="Times New Roman" w:cs="Times New Roman"/>
          <w:szCs w:val="24"/>
        </w:rPr>
      </w:pPr>
      <w:bookmarkStart w:id="48" w:name="_Toc164862505"/>
      <w:r w:rsidRPr="007F37A0">
        <w:rPr>
          <w:rFonts w:ascii="Times New Roman" w:hAnsi="Times New Roman" w:cs="Times New Roman"/>
          <w:szCs w:val="24"/>
        </w:rPr>
        <w:lastRenderedPageBreak/>
        <w:t>THEORETICAL MODEL DERIVATION</w:t>
      </w:r>
      <w:bookmarkEnd w:id="48"/>
    </w:p>
    <w:p w14:paraId="35A2E0D7" w14:textId="77777777" w:rsidR="00D526E7" w:rsidRPr="007F37A0" w:rsidRDefault="00D526E7" w:rsidP="007F37A0">
      <w:pPr>
        <w:pStyle w:val="Caption"/>
        <w:rPr>
          <w:rFonts w:cs="Times New Roman"/>
          <w:b/>
        </w:rPr>
      </w:pPr>
      <w:r w:rsidRPr="007F37A0">
        <w:rPr>
          <w:rFonts w:cs="Times New Roman"/>
        </w:rPr>
        <w:t xml:space="preserve">In this appendix, I provide the mathematical steps to the theoretical model starting from rewriting the Geometric Brownian motion in terms of profit, </w:t>
      </w:r>
      <m:oMath>
        <m:r>
          <m:rPr>
            <m:sty m:val="bi"/>
          </m:rPr>
          <w:rPr>
            <w:rFonts w:ascii="Cambria Math" w:hAnsi="Cambria Math" w:cs="Times New Roman"/>
          </w:rPr>
          <m:t>π</m:t>
        </m:r>
      </m:oMath>
      <w:r w:rsidRPr="007F37A0">
        <w:rPr>
          <w:rFonts w:cs="Times New Roman"/>
        </w:rPr>
        <w:t>.</w:t>
      </w:r>
    </w:p>
    <w:p w14:paraId="44986535" w14:textId="055F5CB2" w:rsidR="00D526E7" w:rsidRPr="007F37A0" w:rsidRDefault="00D526E7" w:rsidP="007F37A0">
      <w:pPr>
        <w:pStyle w:val="Caption"/>
        <w:rPr>
          <w:rFonts w:cs="Times New Roman"/>
          <w:b/>
        </w:rPr>
      </w:pPr>
      <w:r w:rsidRPr="007F37A0">
        <w:rPr>
          <w:rFonts w:cs="Times New Roman"/>
        </w:rPr>
        <w:t xml:space="preserve">Using Ito’s Lemma, I rewrite </w:t>
      </w:r>
      <w:r w:rsidRPr="007F37A0">
        <w:rPr>
          <w:rFonts w:cs="Times New Roman"/>
          <w:b/>
        </w:rPr>
        <w:fldChar w:fldCharType="begin"/>
      </w:r>
      <w:r w:rsidRPr="007F37A0">
        <w:rPr>
          <w:rFonts w:cs="Times New Roman"/>
        </w:rPr>
        <w:instrText xml:space="preserve"> REF _Ref109724314 \h  \* MERGEFORMAT </w:instrText>
      </w:r>
      <w:r w:rsidRPr="007F37A0">
        <w:rPr>
          <w:rFonts w:cs="Times New Roman"/>
          <w:b/>
        </w:rPr>
      </w:r>
      <w:r w:rsidRPr="007F37A0">
        <w:rPr>
          <w:rFonts w:cs="Times New Roman"/>
          <w:b/>
        </w:rPr>
        <w:fldChar w:fldCharType="separate"/>
      </w:r>
      <w:r w:rsidR="00142A7E" w:rsidRPr="007F37A0">
        <w:rPr>
          <w:rFonts w:cs="Times New Roman"/>
        </w:rPr>
        <w:t xml:space="preserve">( </w:t>
      </w:r>
      <w:r w:rsidR="00142A7E">
        <w:rPr>
          <w:rFonts w:cs="Times New Roman"/>
        </w:rPr>
        <w:t>2</w:t>
      </w:r>
      <w:r w:rsidR="00142A7E" w:rsidRPr="007F37A0">
        <w:rPr>
          <w:rFonts w:cs="Times New Roman"/>
        </w:rPr>
        <w:t xml:space="preserve"> )</w:t>
      </w:r>
      <w:r w:rsidRPr="007F37A0">
        <w:rPr>
          <w:rFonts w:cs="Times New Roman"/>
          <w:b/>
        </w:rPr>
        <w:fldChar w:fldCharType="end"/>
      </w:r>
      <w:r w:rsidRPr="007F37A0">
        <w:rPr>
          <w:rFonts w:cs="Times New Roman"/>
        </w:rPr>
        <w:t xml:space="preserve">, the Geometric Brownian motion, in terms of </w:t>
      </w:r>
      <m:oMath>
        <m:r>
          <m:rPr>
            <m:sty m:val="bi"/>
          </m:rPr>
          <w:rPr>
            <w:rFonts w:ascii="Cambria Math" w:hAnsi="Cambria Math" w:cs="Times New Roman"/>
          </w:rPr>
          <m:t>π=</m:t>
        </m:r>
        <m:sSup>
          <m:sSupPr>
            <m:ctrlPr>
              <w:rPr>
                <w:rFonts w:ascii="Cambria Math" w:hAnsi="Cambria Math" w:cs="Times New Roman"/>
                <w:i/>
              </w:rPr>
            </m:ctrlPr>
          </m:sSupPr>
          <m:e>
            <m:r>
              <m:rPr>
                <m:sty m:val="bi"/>
              </m:rPr>
              <w:rPr>
                <w:rFonts w:ascii="Cambria Math" w:hAnsi="Cambria Math" w:cs="Times New Roman"/>
              </w:rPr>
              <m:t>Y</m:t>
            </m:r>
          </m:e>
          <m:sup>
            <m:r>
              <m:rPr>
                <m:sty m:val="bi"/>
              </m:rPr>
              <w:rPr>
                <w:rFonts w:ascii="Cambria Math" w:hAnsi="Cambria Math" w:cs="Times New Roman"/>
              </w:rPr>
              <m:t>β</m:t>
            </m:r>
          </m:sup>
        </m:sSup>
        <m:r>
          <m:rPr>
            <m:sty m:val="bi"/>
          </m:rPr>
          <w:rPr>
            <w:rFonts w:ascii="Cambria Math" w:hAnsi="Cambria Math" w:cs="Times New Roman"/>
          </w:rPr>
          <m:t>PH</m:t>
        </m:r>
        <m:d>
          <m:dPr>
            <m:ctrlPr>
              <w:rPr>
                <w:rFonts w:ascii="Cambria Math" w:hAnsi="Cambria Math" w:cs="Times New Roman"/>
                <w:i/>
              </w:rPr>
            </m:ctrlPr>
          </m:dPr>
          <m:e>
            <m:r>
              <m:rPr>
                <m:sty m:val="bi"/>
              </m:rPr>
              <w:rPr>
                <w:rFonts w:ascii="Cambria Math" w:hAnsi="Cambria Math" w:cs="Times New Roman"/>
              </w:rPr>
              <m:t>K</m:t>
            </m:r>
          </m:e>
        </m:d>
      </m:oMath>
      <w:r w:rsidRPr="007F37A0">
        <w:rPr>
          <w:rFonts w:cs="Times New Roman"/>
        </w:rPr>
        <w:t>.</w:t>
      </w:r>
    </w:p>
    <w:p w14:paraId="256F7893"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dπ=β</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β-1</m:t>
              </m:r>
            </m:sup>
          </m:sSup>
          <m:r>
            <w:rPr>
              <w:rFonts w:ascii="Cambria Math" w:hAnsi="Cambria Math" w:cs="Times New Roman"/>
            </w:rPr>
            <m:t>H</m:t>
          </m:r>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Yαdt+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β-1</m:t>
                  </m:r>
                </m:e>
              </m:d>
              <m:r>
                <w:rPr>
                  <w:rFonts w:ascii="Cambria Math" w:hAnsi="Cambria Math" w:cs="Times New Roman"/>
                </w:rPr>
                <m:t>Y</m:t>
              </m:r>
            </m:e>
            <m:sup>
              <m:r>
                <w:rPr>
                  <w:rFonts w:ascii="Cambria Math" w:hAnsi="Cambria Math" w:cs="Times New Roman"/>
                </w:rPr>
                <m:t>β-2</m:t>
              </m:r>
            </m:sup>
          </m:sSup>
          <m:r>
            <w:rPr>
              <w:rFonts w:ascii="Cambria Math" w:hAnsi="Cambria Math" w:cs="Times New Roman"/>
            </w:rPr>
            <m:t>H</m:t>
          </m:r>
          <m:d>
            <m:dPr>
              <m:ctrlPr>
                <w:rPr>
                  <w:rFonts w:ascii="Cambria Math" w:hAnsi="Cambria Math" w:cs="Times New Roman"/>
                  <w:i/>
                </w:rPr>
              </m:ctrlPr>
            </m:dPr>
            <m:e>
              <m:r>
                <w:rPr>
                  <w:rFonts w:ascii="Cambria Math" w:hAnsi="Cambria Math" w:cs="Times New Roman"/>
                </w:rPr>
                <m:t>K</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dt+</m:t>
          </m:r>
          <m:sSup>
            <m:sSupPr>
              <m:ctrlPr>
                <w:rPr>
                  <w:rFonts w:ascii="Cambria Math" w:hAnsi="Cambria Math" w:cs="Times New Roman"/>
                  <w:i/>
                </w:rPr>
              </m:ctrlPr>
            </m:sSupPr>
            <m:e>
              <m:r>
                <w:rPr>
                  <w:rFonts w:ascii="Cambria Math" w:hAnsi="Cambria Math" w:cs="Times New Roman"/>
                </w:rPr>
                <m:t>βY</m:t>
              </m:r>
            </m:e>
            <m:sup>
              <m:r>
                <w:rPr>
                  <w:rFonts w:ascii="Cambria Math" w:hAnsi="Cambria Math" w:cs="Times New Roman"/>
                </w:rPr>
                <m:t>β-1</m:t>
              </m:r>
            </m:sup>
          </m:sSup>
          <m:r>
            <w:rPr>
              <w:rFonts w:ascii="Cambria Math" w:hAnsi="Cambria Math" w:cs="Times New Roman"/>
            </w:rPr>
            <m:t>H</m:t>
          </m:r>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σYdz</m:t>
          </m:r>
        </m:oMath>
      </m:oMathPara>
    </w:p>
    <w:p w14:paraId="40715C78"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=βπαdt+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r>
            <w:rPr>
              <w:rFonts w:ascii="Cambria Math" w:hAnsi="Cambria Math" w:cs="Times New Roman"/>
            </w:rPr>
            <m:t>π</m:t>
          </m:r>
          <m:d>
            <m:dPr>
              <m:ctrlPr>
                <w:rPr>
                  <w:rFonts w:ascii="Cambria Math" w:hAnsi="Cambria Math" w:cs="Times New Roman"/>
                  <w:i/>
                </w:rPr>
              </m:ctrlPr>
            </m:dPr>
            <m:e>
              <m:r>
                <w:rPr>
                  <w:rFonts w:ascii="Cambria Math" w:hAnsi="Cambria Math" w:cs="Times New Roman"/>
                </w:rPr>
                <m:t>K,Y</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dt+βπσdz</m:t>
          </m:r>
        </m:oMath>
      </m:oMathPara>
    </w:p>
    <w:p w14:paraId="57F542DB" w14:textId="77777777" w:rsidR="00D526E7" w:rsidRPr="007F37A0" w:rsidRDefault="00D526E7" w:rsidP="007F37A0">
      <w:pPr>
        <w:pStyle w:val="Caption"/>
        <w:rPr>
          <w:rFonts w:cs="Times New Roman"/>
          <w:b/>
        </w:rPr>
      </w:pPr>
      <w:r w:rsidRPr="007F37A0">
        <w:rPr>
          <w:rFonts w:cs="Times New Roman"/>
        </w:rPr>
        <w:t xml:space="preserve">Rewriting the Bellman equation in terms of </w:t>
      </w:r>
      <m:oMath>
        <m:r>
          <m:rPr>
            <m:sty m:val="bi"/>
          </m:rPr>
          <w:rPr>
            <w:rFonts w:ascii="Cambria Math" w:hAnsi="Cambria Math" w:cs="Times New Roman"/>
          </w:rPr>
          <m:t>π(K,Y)</m:t>
        </m:r>
      </m:oMath>
    </w:p>
    <w:p w14:paraId="7712AE89"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=πdt+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-ρdt</m:t>
              </m:r>
            </m:sup>
          </m:sSup>
          <m:d>
            <m:dPr>
              <m:begChr m:val="{"/>
              <m:endChr m:val="}"/>
              <m:ctrlPr>
                <w:rPr>
                  <w:rFonts w:ascii="Cambria Math" w:hAnsi="Cambria Math" w:cs="Times New Roman"/>
                  <w:i/>
                </w:rPr>
              </m:ctrlPr>
            </m:dPr>
            <m:e>
              <m:r>
                <w:rPr>
                  <w:rFonts w:ascii="Cambria Math" w:hAnsi="Cambria Math" w:cs="Times New Roman"/>
                </w:rPr>
                <m:t>E</m:t>
              </m:r>
              <m:d>
                <m:dPr>
                  <m:begChr m:val="["/>
                  <m:endChr m:val="]"/>
                  <m:ctrlPr>
                    <w:rPr>
                      <w:rFonts w:ascii="Cambria Math" w:hAnsi="Cambria Math" w:cs="Times New Roman"/>
                      <w:i/>
                    </w:rPr>
                  </m:ctrlPr>
                </m:dPr>
                <m:e>
                  <m:r>
                    <w:rPr>
                      <w:rFonts w:ascii="Cambria Math" w:hAnsi="Cambria Math" w:cs="Times New Roman"/>
                    </w:rPr>
                    <m:t>W</m:t>
                  </m:r>
                  <m:d>
                    <m:dPr>
                      <m:ctrlPr>
                        <w:rPr>
                          <w:rFonts w:ascii="Cambria Math" w:hAnsi="Cambria Math" w:cs="Times New Roman"/>
                          <w:i/>
                        </w:rPr>
                      </m:ctrlPr>
                    </m:dPr>
                    <m:e>
                      <m:r>
                        <w:rPr>
                          <w:rFonts w:ascii="Cambria Math" w:hAnsi="Cambria Math" w:cs="Times New Roman"/>
                        </w:rPr>
                        <m:t>π)+dW(π</m:t>
                      </m:r>
                    </m:e>
                  </m:d>
                </m:e>
              </m:d>
            </m:e>
          </m:d>
        </m:oMath>
      </m:oMathPara>
    </w:p>
    <w:p w14:paraId="22BEBBF3" w14:textId="77777777" w:rsidR="00D526E7" w:rsidRPr="007F37A0" w:rsidRDefault="00D526E7" w:rsidP="007F37A0">
      <w:pPr>
        <w:pStyle w:val="Caption"/>
        <w:rPr>
          <w:rFonts w:cs="Times New Roman"/>
          <w:b/>
        </w:rPr>
      </w:pPr>
      <w:r w:rsidRPr="007F37A0">
        <w:rPr>
          <w:rFonts w:cs="Times New Roman"/>
        </w:rPr>
        <w:t xml:space="preserve">Using Ito’s Lemma and substituting in for </w:t>
      </w:r>
      <m:oMath>
        <m:r>
          <m:rPr>
            <m:sty m:val="bi"/>
          </m:rPr>
          <w:rPr>
            <w:rFonts w:ascii="Cambria Math" w:hAnsi="Cambria Math" w:cs="Times New Roman"/>
          </w:rPr>
          <m:t>dπ</m:t>
        </m:r>
      </m:oMath>
    </w:p>
    <w:p w14:paraId="0A3D2EA0"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dW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r>
            <w:rPr>
              <w:rFonts w:ascii="Cambria Math" w:hAnsi="Cambria Math" w:cs="Times New Roman"/>
            </w:rPr>
            <m:t>(π)dπ+</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r>
            <w:rPr>
              <w:rFonts w:ascii="Cambria Math" w:hAnsi="Cambria Math" w:cs="Times New Roman"/>
            </w:rPr>
            <m:t>(π)</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dπ</m:t>
                  </m:r>
                </m:e>
              </m:d>
            </m:e>
            <m:sup>
              <m:r>
                <w:rPr>
                  <w:rFonts w:ascii="Cambria Math" w:hAnsi="Cambria Math" w:cs="Times New Roman"/>
                </w:rPr>
                <m:t>2</m:t>
              </m:r>
            </m:sup>
          </m:sSup>
        </m:oMath>
      </m:oMathPara>
    </w:p>
    <w:p w14:paraId="68325F54"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r>
                <w:rPr>
                  <w:rFonts w:ascii="Cambria Math" w:hAnsi="Cambria Math" w:cs="Times New Roman"/>
                </w:rPr>
                <m:t>βπαdt+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dt+βπσdz</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r>
            <w:rPr>
              <w:rFonts w:ascii="Cambria Math" w:hAnsi="Cambria Math" w:cs="Times New Roman"/>
            </w:rPr>
            <m:t>(π)</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π</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dt</m:t>
              </m:r>
            </m:e>
          </m:d>
        </m:oMath>
      </m:oMathPara>
    </w:p>
    <w:p w14:paraId="6F8003FC" w14:textId="77777777" w:rsidR="00D526E7" w:rsidRPr="007F37A0" w:rsidRDefault="00D526E7" w:rsidP="007F37A0">
      <w:pPr>
        <w:pStyle w:val="Caption"/>
        <w:rPr>
          <w:rFonts w:cs="Times New Roman"/>
          <w:b/>
        </w:rPr>
      </w:pPr>
      <w:r w:rsidRPr="007F37A0">
        <w:rPr>
          <w:rFonts w:cs="Times New Roman"/>
        </w:rPr>
        <w:t>Substituting this into the Bellman equation,</w:t>
      </w:r>
    </w:p>
    <w:p w14:paraId="1D25DF06"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=πdt+</m:t>
          </m:r>
          <m:d>
            <m:dPr>
              <m:ctrlPr>
                <w:rPr>
                  <w:rFonts w:ascii="Cambria Math" w:hAnsi="Cambria Math" w:cs="Times New Roman"/>
                  <w:i/>
                </w:rPr>
              </m:ctrlPr>
            </m:dPr>
            <m:e>
              <m:r>
                <w:rPr>
                  <w:rFonts w:ascii="Cambria Math" w:hAnsi="Cambria Math" w:cs="Times New Roman"/>
                </w:rPr>
                <m:t>1-ρdt</m:t>
              </m:r>
            </m:e>
          </m:d>
          <m:r>
            <w:rPr>
              <w:rFonts w:ascii="Cambria Math" w:hAnsi="Cambria Math" w:cs="Times New Roman"/>
            </w:rPr>
            <m:t>E</m:t>
          </m:r>
          <m:d>
            <m:dPr>
              <m:begChr m:val="{"/>
              <m:endChr m:val="}"/>
              <m:ctrlPr>
                <w:rPr>
                  <w:rFonts w:ascii="Cambria Math" w:hAnsi="Cambria Math" w:cs="Times New Roman"/>
                  <w:i/>
                </w:rPr>
              </m:ctrlPr>
            </m:dPr>
            <m:e>
              <m:r>
                <w:rPr>
                  <w:rFonts w:ascii="Cambria Math" w:hAnsi="Cambria Math" w:cs="Times New Roman"/>
                </w:rPr>
                <m: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r>
                    <w:rPr>
                      <w:rFonts w:ascii="Cambria Math" w:hAnsi="Cambria Math" w:cs="Times New Roman"/>
                    </w:rPr>
                    <m:t>βπαdt+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dt+βπσdz</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π</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dt</m:t>
                  </m:r>
                </m:e>
              </m:d>
            </m:e>
          </m:d>
        </m:oMath>
      </m:oMathPara>
    </w:p>
    <w:p w14:paraId="50E9A20D"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=πdt+W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r>
                <w:rPr>
                  <w:rFonts w:ascii="Cambria Math" w:hAnsi="Cambria Math" w:cs="Times New Roman"/>
                </w:rPr>
                <m:t>βπαdt+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dt</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π</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dt</m:t>
              </m:r>
            </m:e>
          </m:d>
          <m:r>
            <w:rPr>
              <w:rFonts w:ascii="Cambria Math" w:hAnsi="Cambria Math" w:cs="Times New Roman"/>
            </w:rPr>
            <m:t>-ρW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dt -ρ</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dt</m:t>
                  </m:r>
                </m:e>
              </m:d>
            </m:e>
            <m:sup>
              <m:r>
                <w:rPr>
                  <w:rFonts w:ascii="Cambria Math" w:hAnsi="Cambria Math" w:cs="Times New Roman"/>
                </w:rPr>
                <m:t>2</m:t>
              </m:r>
            </m:sup>
          </m:sSup>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r>
                    <w:rPr>
                      <w:rFonts w:ascii="Cambria Math" w:hAnsi="Cambria Math" w:cs="Times New Roman"/>
                    </w:rPr>
                    <m:t>βπα+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π</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e>
          </m:d>
        </m:oMath>
      </m:oMathPara>
    </w:p>
    <w:p w14:paraId="2DFAA165"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w:lastRenderedPageBreak/>
            <m: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+dt</m:t>
          </m:r>
          <m:d>
            <m:dPr>
              <m:begChr m:val="{"/>
              <m:endChr m:val="}"/>
              <m:ctrlPr>
                <w:rPr>
                  <w:rFonts w:ascii="Cambria Math" w:hAnsi="Cambria Math" w:cs="Times New Roman"/>
                  <w:i/>
                </w:rPr>
              </m:ctrlPr>
            </m:dPr>
            <m:e>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r>
                    <w:rPr>
                      <w:rFonts w:ascii="Cambria Math" w:hAnsi="Cambria Math" w:cs="Times New Roman"/>
                    </w:rPr>
                    <m:t>βπα+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π</m:t>
                  </m:r>
                </m:e>
              </m:d>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π</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r>
                <w:rPr>
                  <w:rFonts w:ascii="Cambria Math" w:hAnsi="Cambria Math" w:cs="Times New Roman"/>
                </w:rPr>
                <m:t>-ρW(π)</m:t>
              </m:r>
            </m:e>
          </m:d>
        </m:oMath>
      </m:oMathPara>
    </w:p>
    <w:p w14:paraId="030E5CE9" w14:textId="77777777" w:rsidR="00D526E7" w:rsidRPr="007F37A0" w:rsidRDefault="00D526E7" w:rsidP="007F37A0">
      <w:pPr>
        <w:pStyle w:val="Caption"/>
        <w:rPr>
          <w:rFonts w:cs="Times New Roman"/>
          <w:b/>
        </w:rPr>
      </w:pPr>
      <w:r w:rsidRPr="007F37A0">
        <w:rPr>
          <w:rFonts w:cs="Times New Roman"/>
        </w:rPr>
        <w:t>This gives the differential equation characterizing the value of investing for the firm.</w:t>
      </w:r>
    </w:p>
    <w:p w14:paraId="590F197B" w14:textId="77777777" w:rsidR="00D526E7" w:rsidRPr="007F37A0" w:rsidRDefault="00D526E7" w:rsidP="007F37A0">
      <w:pPr>
        <w:pStyle w:val="Caption"/>
        <w:rPr>
          <w:rFonts w:cs="Times New Roman"/>
        </w:rPr>
      </w:pPr>
      <m:oMathPara>
        <m:oMathParaPr>
          <m:jc m:val="center"/>
        </m:oMathParaPr>
        <m:oMath>
          <m:r>
            <m:rPr>
              <m:sty m:val="b"/>
            </m:rPr>
            <w:rPr>
              <w:rFonts w:ascii="Cambria Math" w:hAnsi="Cambria Math" w:cs="Times New Roman"/>
            </w:rPr>
            <m:t>0</m:t>
          </m:r>
          <m:r>
            <m:rPr>
              <m:sty m:val="p"/>
            </m:rPr>
            <w:rPr>
              <w:rFonts w:ascii="Cambria Math" w:hAnsi="Cambria Math" w:cs="Times New Roman"/>
            </w:rPr>
            <m:t>=</m:t>
          </m:r>
          <m:r>
            <m:rPr>
              <m:sty m:val="bi"/>
            </m:rPr>
            <w:rPr>
              <w:rFonts w:ascii="Cambria Math" w:hAnsi="Cambria Math" w:cs="Times New Roman"/>
            </w:rPr>
            <m:t>π</m:t>
          </m:r>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W</m:t>
              </m:r>
            </m:e>
            <m:sup>
              <m:r>
                <m:rPr>
                  <m:sty m:val="p"/>
                </m:rPr>
                <w:rPr>
                  <w:rFonts w:ascii="Cambria Math" w:hAnsi="Cambria Math" w:cs="Times New Roman"/>
                </w:rPr>
                <m:t>'</m:t>
              </m:r>
            </m:sup>
          </m:sSup>
          <m:d>
            <m:dPr>
              <m:ctrlPr>
                <w:rPr>
                  <w:rFonts w:ascii="Cambria Math" w:hAnsi="Cambria Math" w:cs="Times New Roman"/>
                </w:rPr>
              </m:ctrlPr>
            </m:dPr>
            <m:e>
              <m:r>
                <m:rPr>
                  <m:sty m:val="bi"/>
                </m:rPr>
                <w:rPr>
                  <w:rFonts w:ascii="Cambria Math" w:hAnsi="Cambria Math" w:cs="Times New Roman"/>
                </w:rPr>
                <m:t>π</m:t>
              </m:r>
            </m:e>
          </m:d>
          <m:d>
            <m:dPr>
              <m:ctrlPr>
                <w:rPr>
                  <w:rFonts w:ascii="Cambria Math" w:hAnsi="Cambria Math" w:cs="Times New Roman"/>
                </w:rPr>
              </m:ctrlPr>
            </m:dPr>
            <m:e>
              <m:r>
                <m:rPr>
                  <m:sty m:val="bi"/>
                </m:rPr>
                <w:rPr>
                  <w:rFonts w:ascii="Cambria Math" w:hAnsi="Cambria Math" w:cs="Times New Roman"/>
                </w:rPr>
                <m:t>βπα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r>
                <m:rPr>
                  <m:sty m:val="bi"/>
                </m:rPr>
                <w:rPr>
                  <w:rFonts w:ascii="Cambria Math" w:hAnsi="Cambria Math" w:cs="Times New Roman"/>
                </w:rPr>
                <m:t>π</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sSup>
            <m:sSupPr>
              <m:ctrlPr>
                <w:rPr>
                  <w:rFonts w:ascii="Cambria Math" w:hAnsi="Cambria Math" w:cs="Times New Roman"/>
                </w:rPr>
              </m:ctrlPr>
            </m:sSupPr>
            <m:e>
              <m:r>
                <m:rPr>
                  <m:sty m:val="bi"/>
                </m:rPr>
                <w:rPr>
                  <w:rFonts w:ascii="Cambria Math" w:hAnsi="Cambria Math" w:cs="Times New Roman"/>
                </w:rPr>
                <m:t>W</m:t>
              </m:r>
            </m:e>
            <m:sup>
              <m:r>
                <m:rPr>
                  <m:sty m:val="p"/>
                </m:rPr>
                <w:rPr>
                  <w:rFonts w:ascii="Cambria Math" w:hAnsi="Cambria Math" w:cs="Times New Roman"/>
                </w:rPr>
                <m:t>''</m:t>
              </m:r>
            </m:sup>
          </m:sSup>
          <m:d>
            <m:dPr>
              <m:ctrlPr>
                <w:rPr>
                  <w:rFonts w:ascii="Cambria Math" w:hAnsi="Cambria Math" w:cs="Times New Roman"/>
                </w:rPr>
              </m:ctrlPr>
            </m:dPr>
            <m:e>
              <m:r>
                <m:rPr>
                  <m:sty m:val="bi"/>
                </m:rPr>
                <w:rPr>
                  <w:rFonts w:ascii="Cambria Math" w:hAnsi="Cambria Math" w:cs="Times New Roman"/>
                </w:rPr>
                <m:t>π</m:t>
              </m:r>
            </m:e>
          </m:d>
          <m:d>
            <m:dPr>
              <m:ctrlPr>
                <w:rPr>
                  <w:rFonts w:ascii="Cambria Math" w:hAnsi="Cambria Math" w:cs="Times New Roman"/>
                </w:rPr>
              </m:ctrlPr>
            </m:dPr>
            <m:e>
              <m:sSup>
                <m:sSupPr>
                  <m:ctrlPr>
                    <w:rPr>
                      <w:rFonts w:ascii="Cambria Math" w:hAnsi="Cambria Math" w:cs="Times New Roman"/>
                    </w:rPr>
                  </m:ctrlPr>
                </m:sSupPr>
                <m:e>
                  <m:r>
                    <m:rPr>
                      <m:sty m:val="bi"/>
                    </m:rPr>
                    <w:rPr>
                      <w:rFonts w:ascii="Cambria Math" w:hAnsi="Cambria Math" w:cs="Times New Roman"/>
                    </w:rPr>
                    <m:t>β</m:t>
                  </m:r>
                </m:e>
                <m:sup>
                  <m:r>
                    <m:rPr>
                      <m:sty m:val="b"/>
                    </m:rPr>
                    <w:rPr>
                      <w:rFonts w:ascii="Cambria Math" w:hAnsi="Cambria Math" w:cs="Times New Roman"/>
                    </w:rPr>
                    <m:t>2</m:t>
                  </m:r>
                </m:sup>
              </m:sSup>
              <m:sSup>
                <m:sSupPr>
                  <m:ctrlPr>
                    <w:rPr>
                      <w:rFonts w:ascii="Cambria Math" w:hAnsi="Cambria Math" w:cs="Times New Roman"/>
                    </w:rPr>
                  </m:ctrlPr>
                </m:sSupPr>
                <m:e>
                  <m:r>
                    <m:rPr>
                      <m:sty m:val="bi"/>
                    </m:rPr>
                    <w:rPr>
                      <w:rFonts w:ascii="Cambria Math" w:hAnsi="Cambria Math" w:cs="Times New Roman"/>
                    </w:rPr>
                    <m:t>π</m:t>
                  </m:r>
                </m:e>
                <m:sup>
                  <m:r>
                    <m:rPr>
                      <m:sty m:val="b"/>
                    </m:rPr>
                    <w:rPr>
                      <w:rFonts w:ascii="Cambria Math" w:hAnsi="Cambria Math" w:cs="Times New Roman"/>
                    </w:rPr>
                    <m:t>2</m:t>
                  </m:r>
                </m:sup>
              </m:sSup>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r>
            <m:rPr>
              <m:sty m:val="p"/>
            </m:rPr>
            <w:rPr>
              <w:rFonts w:ascii="Cambria Math" w:hAnsi="Cambria Math" w:cs="Times New Roman"/>
            </w:rPr>
            <m:t>-</m:t>
          </m:r>
          <m:r>
            <m:rPr>
              <m:sty m:val="bi"/>
            </m:rPr>
            <w:rPr>
              <w:rFonts w:ascii="Cambria Math" w:hAnsi="Cambria Math" w:cs="Times New Roman"/>
            </w:rPr>
            <m:t>ρW</m:t>
          </m:r>
          <m:d>
            <m:dPr>
              <m:ctrlPr>
                <w:rPr>
                  <w:rFonts w:ascii="Cambria Math" w:hAnsi="Cambria Math" w:cs="Times New Roman"/>
                </w:rPr>
              </m:ctrlPr>
            </m:dPr>
            <m:e>
              <m:r>
                <m:rPr>
                  <m:sty m:val="bi"/>
                </m:rPr>
                <w:rPr>
                  <w:rFonts w:ascii="Cambria Math" w:hAnsi="Cambria Math" w:cs="Times New Roman"/>
                </w:rPr>
                <m:t>π</m:t>
              </m:r>
            </m:e>
          </m:d>
        </m:oMath>
      </m:oMathPara>
    </w:p>
    <w:p w14:paraId="33515E6D" w14:textId="77777777" w:rsidR="00D526E7" w:rsidRPr="007F37A0" w:rsidRDefault="00D526E7" w:rsidP="007F37A0">
      <w:pPr>
        <w:pStyle w:val="Caption"/>
        <w:rPr>
          <w:rFonts w:cs="Times New Roman"/>
          <w:b/>
        </w:rPr>
      </w:pPr>
      <w:r w:rsidRPr="007F37A0">
        <w:rPr>
          <w:rFonts w:cs="Times New Roman"/>
        </w:rPr>
        <w:t>Solutions to the second-order differential equation are given by</w:t>
      </w:r>
    </w:p>
    <w:p w14:paraId="53A044CD" w14:textId="77777777" w:rsidR="00D526E7" w:rsidRPr="007F37A0" w:rsidRDefault="00D526E7" w:rsidP="00D526E7">
      <w:pPr>
        <w:spacing w:line="480" w:lineRule="auto"/>
        <w:rPr>
          <w:rFonts w:ascii="Times New Roman" w:hAnsi="Times New Roman" w:cs="Times New Roman"/>
        </w:rPr>
      </w:pPr>
      <m:oMathPara>
        <m:oMath>
          <m:r>
            <w:rPr>
              <w:rFonts w:ascii="Cambria Math" w:hAnsi="Cambria Math" w:cs="Times New Roman"/>
            </w:rPr>
            <m: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A</m:t>
              </m:r>
              <m:ctrlPr>
                <w:rPr>
                  <w:rFonts w:ascii="Cambria Math" w:hAnsi="Cambria Math" w:cs="Times New Roman"/>
                </w:rPr>
              </m:ctrlPr>
            </m:e>
            <m:sub>
              <m:r>
                <w:rPr>
                  <w:rFonts w:ascii="Cambria Math" w:hAnsi="Cambria Math" w:cs="Times New Roman"/>
                </w:rPr>
                <m:t>1</m:t>
              </m:r>
            </m:sub>
          </m:sSub>
          <m:sSup>
            <m:sSupPr>
              <m:ctrlPr>
                <w:rPr>
                  <w:rFonts w:ascii="Cambria Math" w:hAnsi="Cambria Math" w:cs="Times New Roman"/>
                  <w:i/>
                </w:rPr>
              </m:ctrlPr>
            </m:sSupPr>
            <m:e>
              <m:r>
                <w:rPr>
                  <w:rFonts w:ascii="Cambria Math" w:hAnsi="Cambria Math" w:cs="Times New Roman"/>
                </w:rPr>
                <m:t>π</m:t>
              </m:r>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sup>
          </m:sSup>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A</m:t>
              </m:r>
              <m:ctrlPr>
                <w:rPr>
                  <w:rFonts w:ascii="Cambria Math" w:hAnsi="Cambria Math" w:cs="Times New Roman"/>
                </w:rPr>
              </m:ctrlPr>
            </m:e>
            <m:sub>
              <m:r>
                <w:rPr>
                  <w:rFonts w:ascii="Cambria Math" w:hAnsi="Cambria Math" w:cs="Times New Roman"/>
                </w:rPr>
                <m:t>2</m:t>
              </m:r>
            </m:sub>
          </m:sSub>
          <m:sSup>
            <m:sSupPr>
              <m:ctrlPr>
                <w:rPr>
                  <w:rFonts w:ascii="Cambria Math" w:hAnsi="Cambria Math" w:cs="Times New Roman"/>
                  <w:i/>
                </w:rPr>
              </m:ctrlPr>
            </m:sSupPr>
            <m:e>
              <m:r>
                <w:rPr>
                  <w:rFonts w:ascii="Cambria Math" w:hAnsi="Cambria Math" w:cs="Times New Roman"/>
                </w:rPr>
                <m:t>π</m:t>
              </m:r>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2</m:t>
                  </m:r>
                </m:sub>
              </m:sSub>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ρ-</m:t>
              </m:r>
              <m:d>
                <m:dPr>
                  <m:ctrlPr>
                    <w:rPr>
                      <w:rFonts w:ascii="Cambria Math" w:hAnsi="Cambria Math" w:cs="Times New Roman"/>
                      <w:i/>
                    </w:rPr>
                  </m:ctrlPr>
                </m:dPr>
                <m:e>
                  <m:r>
                    <w:rPr>
                      <w:rFonts w:ascii="Cambria Math" w:hAnsi="Cambria Math" w:cs="Times New Roman"/>
                    </w:rPr>
                    <m:t>βα+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den>
          </m:f>
        </m:oMath>
      </m:oMathPara>
    </w:p>
    <w:p w14:paraId="467C5812"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η</m:t>
            </m:r>
            <m:ctrlPr>
              <w:rPr>
                <w:rFonts w:ascii="Cambria Math" w:hAnsi="Cambria Math" w:cs="Times New Roman"/>
                <w:i/>
              </w:rPr>
            </m:ctrlPr>
          </m:e>
          <m:sub>
            <m:r>
              <m:rPr>
                <m:sty m:val="p"/>
              </m:rPr>
              <w:rPr>
                <w:rFonts w:ascii="Cambria Math" w:hAnsi="Cambria Math" w:cs="Times New Roman"/>
              </w:rPr>
              <m:t>2</m:t>
            </m:r>
          </m:sub>
        </m:sSub>
      </m:oMath>
      <w:r w:rsidRPr="007F37A0">
        <w:rPr>
          <w:rFonts w:ascii="Times New Roman" w:hAnsi="Times New Roman" w:cs="Times New Roman"/>
        </w:rPr>
        <w:t xml:space="preserve"> are positive and negative roots of the fundamental quadratic, respectively. The fundamental quadratic is </w:t>
      </w:r>
    </w:p>
    <w:p w14:paraId="2B4B7E16" w14:textId="77777777" w:rsidR="00D526E7" w:rsidRPr="007F37A0" w:rsidRDefault="00D526E7" w:rsidP="007F37A0">
      <w:pPr>
        <w:pStyle w:val="Caption"/>
        <w:rPr>
          <w:rFonts w:cs="Times New Roman"/>
        </w:rPr>
      </w:pPr>
      <m:oMathPara>
        <m:oMath>
          <m:r>
            <m:rPr>
              <m:sty m:val="bi"/>
            </m:rPr>
            <w:rPr>
              <w:rFonts w:ascii="Cambria Math" w:hAnsi="Cambria Math" w:cs="Times New Roman"/>
            </w:rPr>
            <m:t>Q</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sSup>
            <m:sSupPr>
              <m:ctrlPr>
                <w:rPr>
                  <w:rFonts w:ascii="Cambria Math" w:hAnsi="Cambria Math" w:cs="Times New Roman"/>
                </w:rPr>
              </m:ctrlPr>
            </m:sSupPr>
            <m:e>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β</m:t>
                  </m:r>
                </m:e>
                <m:sup>
                  <m:r>
                    <m:rPr>
                      <m:sty m:val="b"/>
                    </m:rPr>
                    <w:rPr>
                      <w:rFonts w:ascii="Cambria Math" w:hAnsi="Cambria Math" w:cs="Times New Roman"/>
                    </w:rPr>
                    <m:t>2</m:t>
                  </m:r>
                </m:sup>
              </m:sSup>
              <m:r>
                <m:rPr>
                  <m:sty m:val="bi"/>
                </m:rPr>
                <w:rPr>
                  <w:rFonts w:ascii="Cambria Math" w:hAnsi="Cambria Math" w:cs="Times New Roman"/>
                </w:rPr>
                <m:t>σ</m:t>
              </m:r>
              <m:r>
                <m:rPr>
                  <m:sty m:val="p"/>
                </m:rPr>
                <w:rPr>
                  <w:rFonts w:ascii="Cambria Math" w:hAnsi="Cambria Math" w:cs="Times New Roman"/>
                </w:rPr>
                <m:t>)</m:t>
              </m:r>
            </m:e>
            <m:sup>
              <m:r>
                <m:rPr>
                  <m:sty m:val="b"/>
                </m:rPr>
                <w:rPr>
                  <w:rFonts w:ascii="Cambria Math" w:hAnsi="Cambria Math" w:cs="Times New Roman"/>
                </w:rPr>
                <m:t>2</m:t>
              </m:r>
            </m:sup>
          </m:sSup>
          <m:r>
            <m:rPr>
              <m:sty m:val="bi"/>
            </m:rPr>
            <w:rPr>
              <w:rFonts w:ascii="Cambria Math" w:hAnsi="Cambria Math" w:cs="Times New Roman"/>
            </w:rPr>
            <m:t>η</m:t>
          </m:r>
          <m:d>
            <m:dPr>
              <m:ctrlPr>
                <w:rPr>
                  <w:rFonts w:ascii="Cambria Math" w:hAnsi="Cambria Math" w:cs="Times New Roman"/>
                </w:rPr>
              </m:ctrlPr>
            </m:dPr>
            <m:e>
              <m:r>
                <m:rPr>
                  <m:sty m:val="bi"/>
                </m:rPr>
                <w:rPr>
                  <w:rFonts w:ascii="Cambria Math" w:hAnsi="Cambria Math" w:cs="Times New Roman"/>
                </w:rPr>
                <m:t>η</m:t>
              </m:r>
              <m:r>
                <m:rPr>
                  <m:sty m:val="p"/>
                </m:rPr>
                <w:rPr>
                  <w:rFonts w:ascii="Cambria Math" w:hAnsi="Cambria Math" w:cs="Times New Roman"/>
                </w:rPr>
                <m:t>-</m:t>
              </m:r>
              <m:r>
                <m:rPr>
                  <m:sty m:val="b"/>
                </m:rPr>
                <w:rPr>
                  <w:rFonts w:ascii="Cambria Math" w:hAnsi="Cambria Math" w:cs="Times New Roman"/>
                </w:rPr>
                <m:t>1</m:t>
              </m:r>
            </m:e>
          </m:d>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r>
            <m:rPr>
              <m:sty m:val="bi"/>
            </m:rPr>
            <w:rPr>
              <w:rFonts w:ascii="Cambria Math" w:hAnsi="Cambria Math" w:cs="Times New Roman"/>
            </w:rPr>
            <m:t>η</m:t>
          </m:r>
          <m:r>
            <m:rPr>
              <m:sty m:val="p"/>
            </m:rPr>
            <w:rPr>
              <w:rFonts w:ascii="Cambria Math" w:hAnsi="Cambria Math" w:cs="Times New Roman"/>
            </w:rPr>
            <m:t>-</m:t>
          </m:r>
          <m:r>
            <m:rPr>
              <m:sty m:val="bi"/>
            </m:rPr>
            <w:rPr>
              <w:rFonts w:ascii="Cambria Math" w:hAnsi="Cambria Math" w:cs="Times New Roman"/>
            </w:rPr>
            <m:t>ρ</m:t>
          </m:r>
          <m:r>
            <m:rPr>
              <m:sty m:val="p"/>
            </m:rPr>
            <w:rPr>
              <w:rFonts w:ascii="Cambria Math" w:hAnsi="Cambria Math" w:cs="Times New Roman"/>
            </w:rPr>
            <m:t>=</m:t>
          </m:r>
          <m:r>
            <m:rPr>
              <m:sty m:val="b"/>
            </m:rPr>
            <w:rPr>
              <w:rFonts w:ascii="Cambria Math" w:hAnsi="Cambria Math" w:cs="Times New Roman"/>
            </w:rPr>
            <m:t>0</m:t>
          </m:r>
        </m:oMath>
      </m:oMathPara>
    </w:p>
    <w:p w14:paraId="0A30D9C7" w14:textId="77777777" w:rsidR="00D526E7" w:rsidRPr="007F37A0" w:rsidRDefault="00D526E7" w:rsidP="007F37A0">
      <w:pPr>
        <w:pStyle w:val="Caption"/>
        <w:rPr>
          <w:rFonts w:cs="Times New Roman"/>
        </w:rPr>
      </w:pPr>
      <m:oMathPara>
        <m:oMath>
          <m:r>
            <m:rPr>
              <m:sty m:val="bi"/>
            </m:rPr>
            <w:rPr>
              <w:rFonts w:ascii="Cambria Math" w:hAnsi="Cambria Math" w:cs="Times New Roman"/>
            </w:rPr>
            <m:t>Q</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sSup>
            <m:sSupPr>
              <m:ctrlPr>
                <w:rPr>
                  <w:rFonts w:ascii="Cambria Math" w:hAnsi="Cambria Math" w:cs="Times New Roman"/>
                </w:rPr>
              </m:ctrlPr>
            </m:sSupPr>
            <m:e>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β</m:t>
                  </m:r>
                </m:e>
                <m:sup>
                  <m:r>
                    <m:rPr>
                      <m:sty m:val="b"/>
                    </m:rPr>
                    <w:rPr>
                      <w:rFonts w:ascii="Cambria Math" w:hAnsi="Cambria Math" w:cs="Times New Roman"/>
                    </w:rPr>
                    <m:t>2</m:t>
                  </m:r>
                </m:sup>
              </m:sSup>
              <m:r>
                <m:rPr>
                  <m:sty m:val="bi"/>
                </m:rPr>
                <w:rPr>
                  <w:rFonts w:ascii="Cambria Math" w:hAnsi="Cambria Math" w:cs="Times New Roman"/>
                </w:rPr>
                <m:t>σ</m:t>
              </m:r>
              <m:r>
                <m:rPr>
                  <m:sty m:val="p"/>
                </m:rPr>
                <w:rPr>
                  <w:rFonts w:ascii="Cambria Math" w:hAnsi="Cambria Math" w:cs="Times New Roman"/>
                </w:rPr>
                <m:t>)</m:t>
              </m:r>
            </m:e>
            <m:sup>
              <m:r>
                <m:rPr>
                  <m:sty m:val="b"/>
                </m:rPr>
                <w:rPr>
                  <w:rFonts w:ascii="Cambria Math" w:hAnsi="Cambria Math" w:cs="Times New Roman"/>
                </w:rPr>
                <m:t>2</m:t>
              </m:r>
            </m:sup>
          </m:sSup>
          <m:sSup>
            <m:sSupPr>
              <m:ctrlPr>
                <w:rPr>
                  <w:rFonts w:ascii="Cambria Math" w:hAnsi="Cambria Math" w:cs="Times New Roman"/>
                </w:rPr>
              </m:ctrlPr>
            </m:sSupPr>
            <m:e>
              <m:r>
                <m:rPr>
                  <m:sty m:val="bi"/>
                </m:rPr>
                <w:rPr>
                  <w:rFonts w:ascii="Cambria Math" w:hAnsi="Cambria Math" w:cs="Times New Roman"/>
                </w:rPr>
                <m:t>η</m:t>
              </m:r>
            </m:e>
            <m:sup>
              <m:r>
                <m:rPr>
                  <m:sty m:val="b"/>
                </m:rPr>
                <w:rPr>
                  <w:rFonts w:ascii="Cambria Math" w:hAnsi="Cambria Math" w:cs="Times New Roman"/>
                </w:rPr>
                <m:t>2</m:t>
              </m:r>
            </m:sup>
          </m:sSup>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r>
            <m:rPr>
              <m:sty m:val="bi"/>
            </m:rPr>
            <w:rPr>
              <w:rFonts w:ascii="Cambria Math" w:hAnsi="Cambria Math" w:cs="Times New Roman"/>
            </w:rPr>
            <m:t>η</m:t>
          </m:r>
          <m:r>
            <m:rPr>
              <m:sty m:val="p"/>
            </m:rPr>
            <w:rPr>
              <w:rFonts w:ascii="Cambria Math" w:hAnsi="Cambria Math" w:cs="Times New Roman"/>
            </w:rPr>
            <m:t>-</m:t>
          </m:r>
          <m:r>
            <m:rPr>
              <m:sty m:val="bi"/>
            </m:rPr>
            <w:rPr>
              <w:rFonts w:ascii="Cambria Math" w:hAnsi="Cambria Math" w:cs="Times New Roman"/>
            </w:rPr>
            <m:t>ρ</m:t>
          </m:r>
          <m:r>
            <m:rPr>
              <m:sty m:val="p"/>
            </m:rPr>
            <w:rPr>
              <w:rFonts w:ascii="Cambria Math" w:hAnsi="Cambria Math" w:cs="Times New Roman"/>
            </w:rPr>
            <m:t>=</m:t>
          </m:r>
          <m:r>
            <m:rPr>
              <m:sty m:val="b"/>
            </m:rPr>
            <w:rPr>
              <w:rFonts w:ascii="Cambria Math" w:hAnsi="Cambria Math" w:cs="Times New Roman"/>
            </w:rPr>
            <m:t>0</m:t>
          </m:r>
        </m:oMath>
      </m:oMathPara>
    </w:p>
    <w:p w14:paraId="0F1F5B39" w14:textId="77777777" w:rsidR="00D526E7" w:rsidRPr="007F37A0" w:rsidRDefault="00D526E7" w:rsidP="007F37A0">
      <w:pPr>
        <w:pStyle w:val="Caption"/>
        <w:rPr>
          <w:rFonts w:cs="Times New Roman"/>
          <w:b/>
        </w:rPr>
      </w:pPr>
      <w:r w:rsidRPr="007F37A0">
        <w:rPr>
          <w:rFonts w:cs="Times New Roman"/>
        </w:rPr>
        <w:t xml:space="preserve">Due to boundary conditions </w:t>
      </w:r>
      <m:oMath>
        <m:sSub>
          <m:sSubPr>
            <m:ctrlPr>
              <w:rPr>
                <w:rFonts w:ascii="Cambria Math" w:hAnsi="Cambria Math" w:cs="Times New Roman"/>
                <w:i/>
              </w:rPr>
            </m:ctrlPr>
          </m:sSubPr>
          <m:e>
            <m:r>
              <m:rPr>
                <m:sty m:val="b"/>
              </m:rPr>
              <w:rPr>
                <w:rFonts w:ascii="Cambria Math" w:hAnsi="Cambria Math" w:cs="Times New Roman"/>
              </w:rPr>
              <m:t>A</m:t>
            </m:r>
            <m:ctrlPr>
              <w:rPr>
                <w:rFonts w:ascii="Cambria Math" w:hAnsi="Cambria Math" w:cs="Times New Roman"/>
              </w:rPr>
            </m:ctrlPr>
          </m:e>
          <m:sub>
            <m:r>
              <m:rPr>
                <m:sty m:val="bi"/>
              </m:rPr>
              <w:rPr>
                <w:rFonts w:ascii="Cambria Math" w:hAnsi="Cambria Math" w:cs="Times New Roman"/>
              </w:rPr>
              <m:t>2</m:t>
            </m:r>
          </m:sub>
        </m:sSub>
        <m:r>
          <m:rPr>
            <m:sty m:val="bi"/>
          </m:rPr>
          <w:rPr>
            <w:rFonts w:ascii="Cambria Math" w:hAnsi="Cambria Math" w:cs="Times New Roman"/>
          </w:rPr>
          <m:t>=0</m:t>
        </m:r>
      </m:oMath>
      <w:r w:rsidRPr="007F37A0">
        <w:rPr>
          <w:rFonts w:cs="Times New Roman"/>
        </w:rPr>
        <w:t>, so the solution simplifies further.</w:t>
      </w:r>
    </w:p>
    <w:p w14:paraId="40FB4876"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W</m:t>
          </m:r>
          <m:d>
            <m:dPr>
              <m:ctrlPr>
                <w:rPr>
                  <w:rFonts w:ascii="Cambria Math" w:hAnsi="Cambria Math" w:cs="Times New Roman"/>
                  <w:i/>
                </w:rPr>
              </m:ctrlPr>
            </m:dPr>
            <m:e>
              <m:r>
                <w:rPr>
                  <w:rFonts w:ascii="Cambria Math" w:hAnsi="Cambria Math" w:cs="Times New Roman"/>
                </w:rPr>
                <m:t>π</m:t>
              </m:r>
            </m:e>
          </m:d>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A</m:t>
              </m:r>
              <m:ctrlPr>
                <w:rPr>
                  <w:rFonts w:ascii="Cambria Math" w:hAnsi="Cambria Math" w:cs="Times New Roman"/>
                </w:rPr>
              </m:ctrlPr>
            </m:e>
            <m:sub>
              <m:r>
                <w:rPr>
                  <w:rFonts w:ascii="Cambria Math" w:hAnsi="Cambria Math" w:cs="Times New Roman"/>
                </w:rPr>
                <m:t>1</m:t>
              </m:r>
            </m:sub>
          </m:sSub>
          <m:sSup>
            <m:sSupPr>
              <m:ctrlPr>
                <w:rPr>
                  <w:rFonts w:ascii="Cambria Math" w:hAnsi="Cambria Math" w:cs="Times New Roman"/>
                  <w:i/>
                </w:rPr>
              </m:ctrlPr>
            </m:sSupPr>
            <m:e>
              <m:r>
                <w:rPr>
                  <w:rFonts w:ascii="Cambria Math" w:hAnsi="Cambria Math" w:cs="Times New Roman"/>
                </w:rPr>
                <m:t>π</m:t>
              </m:r>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ρ-</m:t>
              </m:r>
              <m:d>
                <m:dPr>
                  <m:ctrlPr>
                    <w:rPr>
                      <w:rFonts w:ascii="Cambria Math" w:hAnsi="Cambria Math" w:cs="Times New Roman"/>
                      <w:i/>
                    </w:rPr>
                  </m:ctrlPr>
                </m:dPr>
                <m:e>
                  <m:r>
                    <w:rPr>
                      <w:rFonts w:ascii="Cambria Math" w:hAnsi="Cambria Math" w:cs="Times New Roman"/>
                    </w:rPr>
                    <m:t>βα+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den>
          </m:f>
        </m:oMath>
      </m:oMathPara>
    </w:p>
    <w:p w14:paraId="0317BDE6"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W</m:t>
          </m:r>
          <m:d>
            <m:dPr>
              <m:ctrlPr>
                <w:rPr>
                  <w:rFonts w:ascii="Cambria Math" w:hAnsi="Cambria Math" w:cs="Times New Roman"/>
                  <w:i/>
                </w:rPr>
              </m:ctrlPr>
            </m:dPr>
            <m:e>
              <m:r>
                <w:rPr>
                  <w:rFonts w:ascii="Cambria Math" w:hAnsi="Cambria Math" w:cs="Times New Roman"/>
                </w:rPr>
                <m:t>K,Y</m:t>
              </m:r>
            </m:e>
          </m:d>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A</m:t>
              </m:r>
              <m:ctrlPr>
                <w:rPr>
                  <w:rFonts w:ascii="Cambria Math" w:hAnsi="Cambria Math" w:cs="Times New Roman"/>
                </w:rPr>
              </m:ctrlPr>
            </m:e>
            <m:sub>
              <m:r>
                <w:rPr>
                  <w:rFonts w:ascii="Cambria Math" w:hAnsi="Cambria Math" w:cs="Times New Roman"/>
                </w:rPr>
                <m:t>1</m:t>
              </m:r>
            </m:sub>
          </m:sSub>
          <m:sSup>
            <m:sSupPr>
              <m:ctrlPr>
                <w:rPr>
                  <w:rFonts w:ascii="Cambria Math" w:hAnsi="Cambria Math" w:cs="Times New Roman"/>
                  <w:i/>
                </w:rPr>
              </m:ctrlPr>
            </m:sSup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m:t>
                  </m:r>
                  <m:d>
                    <m:dPr>
                      <m:ctrlPr>
                        <w:rPr>
                          <w:rFonts w:ascii="Cambria Math" w:hAnsi="Cambria Math" w:cs="Times New Roman"/>
                          <w:i/>
                        </w:rPr>
                      </m:ctrlPr>
                    </m:dPr>
                    <m:e>
                      <m:r>
                        <w:rPr>
                          <w:rFonts w:ascii="Cambria Math" w:hAnsi="Cambria Math" w:cs="Times New Roman"/>
                        </w:rPr>
                        <m:t>K</m:t>
                      </m:r>
                    </m:e>
                  </m:d>
                </m:e>
              </m:d>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sup>
          </m:sSup>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m:t>
              </m:r>
              <m:d>
                <m:dPr>
                  <m:ctrlPr>
                    <w:rPr>
                      <w:rFonts w:ascii="Cambria Math" w:hAnsi="Cambria Math" w:cs="Times New Roman"/>
                      <w:i/>
                    </w:rPr>
                  </m:ctrlPr>
                </m:dPr>
                <m:e>
                  <m:r>
                    <w:rPr>
                      <w:rFonts w:ascii="Cambria Math" w:hAnsi="Cambria Math" w:cs="Times New Roman"/>
                    </w:rPr>
                    <m:t>K</m:t>
                  </m:r>
                </m:e>
              </m:d>
            </m:num>
            <m:den>
              <m:r>
                <w:rPr>
                  <w:rFonts w:ascii="Cambria Math" w:hAnsi="Cambria Math" w:cs="Times New Roman"/>
                </w:rPr>
                <m:t>ρ-</m:t>
              </m:r>
              <m:d>
                <m:dPr>
                  <m:ctrlPr>
                    <w:rPr>
                      <w:rFonts w:ascii="Cambria Math" w:hAnsi="Cambria Math" w:cs="Times New Roman"/>
                      <w:i/>
                    </w:rPr>
                  </m:ctrlPr>
                </m:dPr>
                <m:e>
                  <m:r>
                    <w:rPr>
                      <w:rFonts w:ascii="Cambria Math" w:hAnsi="Cambria Math" w:cs="Times New Roman"/>
                    </w:rPr>
                    <m:t>βα+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den>
          </m:f>
        </m:oMath>
      </m:oMathPara>
    </w:p>
    <w:p w14:paraId="40DCCAAA" w14:textId="77777777" w:rsidR="00D526E7" w:rsidRPr="007F37A0" w:rsidRDefault="00D526E7" w:rsidP="007F37A0">
      <w:pPr>
        <w:pStyle w:val="Caption"/>
        <w:rPr>
          <w:rFonts w:cs="Times New Roman"/>
        </w:rPr>
      </w:pPr>
      <w:r w:rsidRPr="007F37A0">
        <w:rPr>
          <w:rFonts w:cs="Times New Roman"/>
        </w:rPr>
        <w:t xml:space="preserve">Where </w:t>
      </w:r>
      <w:r w:rsidRPr="007F37A0">
        <w:rPr>
          <w:rFonts w:cs="Times New Roman"/>
        </w:rPr>
        <w:br/>
      </w:r>
      <m:oMathPara>
        <m:oMath>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β</m:t>
              </m:r>
            </m:e>
            <m:sup>
              <m:r>
                <m:rPr>
                  <m:sty m:val="b"/>
                </m:rPr>
                <w:rPr>
                  <w:rFonts w:ascii="Cambria Math" w:hAnsi="Cambria Math" w:cs="Times New Roman"/>
                </w:rPr>
                <m:t>2</m:t>
              </m:r>
            </m:sup>
          </m:sSup>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r>
            <m:rPr>
              <m:sty m:val="p"/>
            </m:rPr>
            <w:rPr>
              <w:rFonts w:ascii="Cambria Math" w:hAnsi="Cambria Math" w:cs="Times New Roman"/>
            </w:rPr>
            <m:t>-</m:t>
          </m:r>
          <m:r>
            <m:rPr>
              <m:sty m:val="b"/>
            </m:rPr>
            <w:rPr>
              <w:rFonts w:ascii="Cambria Math" w:hAnsi="Cambria Math" w:cs="Times New Roman"/>
            </w:rPr>
            <m:t>2</m:t>
          </m:r>
          <m:r>
            <m:rPr>
              <m:sty m:val="bi"/>
            </m:rPr>
            <w:rPr>
              <w:rFonts w:ascii="Cambria Math" w:hAnsi="Cambria Math" w:cs="Times New Roman"/>
            </w:rPr>
            <m:t>βα</m:t>
          </m:r>
          <m:f>
            <m:fPr>
              <m:ctrlPr>
                <w:rPr>
                  <w:rFonts w:ascii="Cambria Math" w:hAnsi="Cambria Math" w:cs="Times New Roman"/>
                </w:rPr>
              </m:ctrlPr>
            </m:fPr>
            <m:num>
              <m:rad>
                <m:radPr>
                  <m:degHide m:val="1"/>
                  <m:ctrlPr>
                    <w:rPr>
                      <w:rFonts w:ascii="Cambria Math" w:hAnsi="Cambria Math" w:cs="Times New Roman"/>
                    </w:rPr>
                  </m:ctrlPr>
                </m:radPr>
                <m:deg/>
                <m:e>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m:t>
                          </m:r>
                          <m:r>
                            <m:rPr>
                              <m:sty m:val="bi"/>
                            </m:rPr>
                            <w:rPr>
                              <w:rFonts w:ascii="Cambria Math" w:hAnsi="Cambria Math" w:cs="Times New Roman"/>
                            </w:rPr>
                            <m:t>β</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r>
                            <m:rPr>
                              <m:sty m:val="p"/>
                            </m:rPr>
                            <w:rPr>
                              <w:rFonts w:ascii="Cambria Math" w:hAnsi="Cambria Math" w:cs="Times New Roman"/>
                            </w:rPr>
                            <m:t>+</m:t>
                          </m:r>
                          <m:r>
                            <m:rPr>
                              <m:sty m:val="b"/>
                            </m:rPr>
                            <w:rPr>
                              <w:rFonts w:ascii="Cambria Math" w:hAnsi="Cambria Math" w:cs="Times New Roman"/>
                            </w:rPr>
                            <m:t>2</m:t>
                          </m:r>
                          <m:r>
                            <m:rPr>
                              <m:sty m:val="bi"/>
                            </m:rPr>
                            <w:rPr>
                              <w:rFonts w:ascii="Cambria Math" w:hAnsi="Cambria Math" w:cs="Times New Roman"/>
                            </w:rPr>
                            <m:t>βα</m:t>
                          </m:r>
                        </m:e>
                      </m:d>
                    </m:e>
                    <m:sup>
                      <m:r>
                        <m:rPr>
                          <m:sty m:val="b"/>
                        </m:rPr>
                        <w:rPr>
                          <w:rFonts w:ascii="Cambria Math" w:hAnsi="Cambria Math" w:cs="Times New Roman"/>
                        </w:rPr>
                        <m:t>2</m:t>
                      </m:r>
                    </m:sup>
                  </m:sSup>
                  <m:r>
                    <m:rPr>
                      <m:sty m:val="p"/>
                    </m:rPr>
                    <w:rPr>
                      <w:rFonts w:ascii="Cambria Math" w:hAnsi="Cambria Math" w:cs="Times New Roman"/>
                    </w:rPr>
                    <m:t>+</m:t>
                  </m:r>
                  <m:r>
                    <m:rPr>
                      <m:sty m:val="b"/>
                    </m:rPr>
                    <w:rPr>
                      <w:rFonts w:ascii="Cambria Math" w:hAnsi="Cambria Math" w:cs="Times New Roman"/>
                    </w:rPr>
                    <m:t>8</m:t>
                  </m:r>
                  <m:sSup>
                    <m:sSupPr>
                      <m:ctrlPr>
                        <w:rPr>
                          <w:rFonts w:ascii="Cambria Math" w:hAnsi="Cambria Math" w:cs="Times New Roman"/>
                        </w:rPr>
                      </m:ctrlPr>
                    </m:sSupPr>
                    <m:e>
                      <m:r>
                        <m:rPr>
                          <m:sty m:val="bi"/>
                        </m:rPr>
                        <w:rPr>
                          <w:rFonts w:ascii="Cambria Math" w:hAnsi="Cambria Math" w:cs="Times New Roman"/>
                        </w:rPr>
                        <m:t>β</m:t>
                      </m:r>
                    </m:e>
                    <m:sup>
                      <m:r>
                        <m:rPr>
                          <m:sty m:val="b"/>
                        </m:rPr>
                        <w:rPr>
                          <w:rFonts w:ascii="Cambria Math" w:hAnsi="Cambria Math" w:cs="Times New Roman"/>
                        </w:rPr>
                        <m:t>2</m:t>
                      </m:r>
                    </m:sup>
                  </m:sSup>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r>
                    <m:rPr>
                      <m:sty m:val="bi"/>
                    </m:rPr>
                    <w:rPr>
                      <w:rFonts w:ascii="Cambria Math" w:hAnsi="Cambria Math" w:cs="Times New Roman"/>
                    </w:rPr>
                    <m:t>ρ</m:t>
                  </m:r>
                </m:e>
              </m:rad>
            </m:num>
            <m:den>
              <m:r>
                <m:rPr>
                  <m:sty m:val="b"/>
                </m:rPr>
                <w:rPr>
                  <w:rFonts w:ascii="Cambria Math" w:hAnsi="Cambria Math" w:cs="Times New Roman"/>
                </w:rPr>
                <m:t>2</m:t>
              </m:r>
              <m:sSup>
                <m:sSupPr>
                  <m:ctrlPr>
                    <w:rPr>
                      <w:rFonts w:ascii="Cambria Math" w:hAnsi="Cambria Math" w:cs="Times New Roman"/>
                    </w:rPr>
                  </m:ctrlPr>
                </m:sSupPr>
                <m:e>
                  <m:r>
                    <m:rPr>
                      <m:sty m:val="bi"/>
                    </m:rPr>
                    <w:rPr>
                      <w:rFonts w:ascii="Cambria Math" w:hAnsi="Cambria Math" w:cs="Times New Roman"/>
                    </w:rPr>
                    <m:t>β</m:t>
                  </m:r>
                </m:e>
                <m:sup>
                  <m:r>
                    <m:rPr>
                      <m:sty m:val="b"/>
                    </m:rPr>
                    <w:rPr>
                      <w:rFonts w:ascii="Cambria Math" w:hAnsi="Cambria Math" w:cs="Times New Roman"/>
                    </w:rPr>
                    <m:t>2</m:t>
                  </m:r>
                </m:sup>
              </m:sSup>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w:br/>
          </m:r>
        </m:oMath>
        <m:oMath>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p"/>
            </m:rPr>
            <w:rPr>
              <w:rFonts w:ascii="Cambria Math" w:hAnsi="Cambria Math" w:cs="Times New Roman"/>
            </w:rPr>
            <m:t>-</m:t>
          </m:r>
          <m:f>
            <m:fPr>
              <m:ctrlPr>
                <w:rPr>
                  <w:rFonts w:ascii="Cambria Math" w:hAnsi="Cambria Math" w:cs="Times New Roman"/>
                </w:rPr>
              </m:ctrlPr>
            </m:fPr>
            <m:num>
              <m:r>
                <m:rPr>
                  <m:sty m:val="bi"/>
                </m:rPr>
                <w:rPr>
                  <w:rFonts w:ascii="Cambria Math" w:hAnsi="Cambria Math" w:cs="Times New Roman"/>
                </w:rPr>
                <m:t>α</m:t>
              </m:r>
            </m:num>
            <m:den>
              <m:r>
                <m:rPr>
                  <m:sty m:val="bi"/>
                </m:rPr>
                <w:rPr>
                  <w:rFonts w:ascii="Cambria Math" w:hAnsi="Cambria Math" w:cs="Times New Roman"/>
                </w:rPr>
                <m:t>β</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2</m:t>
              </m:r>
              <m:r>
                <m:rPr>
                  <m:sty m:val="bi"/>
                </m:rPr>
                <w:rPr>
                  <w:rFonts w:ascii="Cambria Math" w:hAnsi="Cambria Math" w:cs="Times New Roman"/>
                </w:rPr>
                <m:t>β</m:t>
              </m:r>
            </m:num>
            <m:den>
              <m:r>
                <m:rPr>
                  <m:sty m:val="b"/>
                </m:rPr>
                <w:rPr>
                  <w:rFonts w:ascii="Cambria Math" w:hAnsi="Cambria Math" w:cs="Times New Roman"/>
                </w:rPr>
                <m:t>2</m:t>
              </m:r>
              <m:sSup>
                <m:sSupPr>
                  <m:ctrlPr>
                    <w:rPr>
                      <w:rFonts w:ascii="Cambria Math" w:hAnsi="Cambria Math" w:cs="Times New Roman"/>
                    </w:rPr>
                  </m:ctrlPr>
                </m:sSupPr>
                <m:e>
                  <m:r>
                    <m:rPr>
                      <m:sty m:val="bi"/>
                    </m:rPr>
                    <w:rPr>
                      <w:rFonts w:ascii="Cambria Math" w:hAnsi="Cambria Math" w:cs="Times New Roman"/>
                    </w:rPr>
                    <m:t>β</m:t>
                  </m:r>
                </m:e>
                <m:sup>
                  <m:r>
                    <m:rPr>
                      <m:sty m:val="b"/>
                    </m:rPr>
                    <w:rPr>
                      <w:rFonts w:ascii="Cambria Math" w:hAnsi="Cambria Math" w:cs="Times New Roman"/>
                    </w:rPr>
                    <m:t>2</m:t>
                  </m:r>
                </m:sup>
              </m:sSup>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ad>
            <m:radPr>
              <m:degHide m:val="1"/>
              <m:ctrlPr>
                <w:rPr>
                  <w:rFonts w:ascii="Cambria Math" w:hAnsi="Cambria Math" w:cs="Times New Roman"/>
                </w:rPr>
              </m:ctrlPr>
            </m:radPr>
            <m:deg/>
            <m:e>
              <m:sSup>
                <m:sSupPr>
                  <m:ctrlPr>
                    <w:rPr>
                      <w:rFonts w:ascii="Cambria Math" w:hAnsi="Cambria Math" w:cs="Times New Roman"/>
                    </w:rPr>
                  </m:ctrlPr>
                </m:sSupPr>
                <m:e>
                  <m:r>
                    <m:rPr>
                      <m:sty m:val="bi"/>
                    </m:rPr>
                    <w:rPr>
                      <w:rFonts w:ascii="Cambria Math" w:hAnsi="Cambria Math" w:cs="Times New Roman"/>
                    </w:rPr>
                    <m:t>α</m:t>
                  </m:r>
                </m:e>
                <m:sup>
                  <m:r>
                    <m:rPr>
                      <m:sty m:val="b"/>
                    </m:rP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r>
                <m:rPr>
                  <m:sty m:val="bi"/>
                </m:rPr>
                <w:rPr>
                  <w:rFonts w:ascii="Cambria Math" w:hAnsi="Cambria Math" w:cs="Times New Roman"/>
                </w:rPr>
                <m:t>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4</m:t>
                  </m:r>
                </m:den>
              </m:f>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4</m:t>
                  </m:r>
                </m:sup>
              </m:sSup>
              <m:r>
                <m:rPr>
                  <m:sty m:val="p"/>
                </m:rPr>
                <w:rPr>
                  <w:rFonts w:ascii="Cambria Math" w:hAnsi="Cambria Math" w:cs="Times New Roman"/>
                </w:rPr>
                <m:t>+</m:t>
              </m:r>
              <m:r>
                <m:rPr>
                  <m:sty m:val="b"/>
                </m:rPr>
                <w:rPr>
                  <w:rFonts w:ascii="Cambria Math" w:hAnsi="Cambria Math" w:cs="Times New Roman"/>
                </w:rPr>
                <m:t>2</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r>
                <m:rPr>
                  <m:sty m:val="bi"/>
                </m:rPr>
                <w:rPr>
                  <w:rFonts w:ascii="Cambria Math" w:hAnsi="Cambria Math" w:cs="Times New Roman"/>
                </w:rPr>
                <m:t>ρ</m:t>
              </m:r>
            </m:e>
          </m:rad>
          <m:r>
            <m:rPr>
              <m:sty m:val="p"/>
            </m:rPr>
            <w:rPr>
              <w:rFonts w:ascii="Cambria Math" w:hAnsi="Cambria Math" w:cs="Times New Roman"/>
            </w:rPr>
            <w:br/>
          </m:r>
        </m:oMath>
        <m:oMath>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p"/>
            </m:rPr>
            <w:rPr>
              <w:rFonts w:ascii="Cambria Math" w:hAnsi="Cambria Math" w:cs="Times New Roman"/>
            </w:rPr>
            <m:t>-</m:t>
          </m:r>
          <m:f>
            <m:fPr>
              <m:ctrlPr>
                <w:rPr>
                  <w:rFonts w:ascii="Cambria Math" w:hAnsi="Cambria Math" w:cs="Times New Roman"/>
                </w:rPr>
              </m:ctrlPr>
            </m:fPr>
            <m:num>
              <m:r>
                <m:rPr>
                  <m:sty m:val="bi"/>
                </m:rPr>
                <w:rPr>
                  <w:rFonts w:ascii="Cambria Math" w:hAnsi="Cambria Math" w:cs="Times New Roman"/>
                </w:rPr>
                <m:t>α</m:t>
              </m:r>
            </m:num>
            <m:den>
              <m:r>
                <m:rPr>
                  <m:sty m:val="bi"/>
                </m:rPr>
                <w:rPr>
                  <w:rFonts w:ascii="Cambria Math" w:hAnsi="Cambria Math" w:cs="Times New Roman"/>
                </w:rPr>
                <m:t>β</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i"/>
                </m:rPr>
                <w:rPr>
                  <w:rFonts w:ascii="Cambria Math" w:hAnsi="Cambria Math" w:cs="Times New Roman"/>
                </w:rPr>
                <m:t>β</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ad>
            <m:radPr>
              <m:degHide m:val="1"/>
              <m:ctrlPr>
                <w:rPr>
                  <w:rFonts w:ascii="Cambria Math" w:hAnsi="Cambria Math" w:cs="Times New Roman"/>
                </w:rPr>
              </m:ctrlPr>
            </m:radPr>
            <m:deg/>
            <m:e>
              <m:sSup>
                <m:sSupPr>
                  <m:ctrlPr>
                    <w:rPr>
                      <w:rFonts w:ascii="Cambria Math" w:hAnsi="Cambria Math" w:cs="Times New Roman"/>
                    </w:rPr>
                  </m:ctrlPr>
                </m:sSupPr>
                <m:e>
                  <m:d>
                    <m:dPr>
                      <m:ctrlPr>
                        <w:rPr>
                          <w:rFonts w:ascii="Cambria Math" w:hAnsi="Cambria Math" w:cs="Times New Roman"/>
                        </w:rPr>
                      </m:ctrlPr>
                    </m:dPr>
                    <m:e>
                      <m:r>
                        <m:rPr>
                          <m:sty m:val="bi"/>
                        </m:rPr>
                        <w:rPr>
                          <w:rFonts w:ascii="Cambria Math" w:hAnsi="Cambria Math" w:cs="Times New Roman"/>
                        </w:rPr>
                        <m:t>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e>
                <m:sup>
                  <m:r>
                    <m:rPr>
                      <m:sty m:val="b"/>
                    </m:rPr>
                    <w:rPr>
                      <w:rFonts w:ascii="Cambria Math" w:hAnsi="Cambria Math" w:cs="Times New Roman"/>
                    </w:rPr>
                    <m:t>2</m:t>
                  </m:r>
                </m:sup>
              </m:sSup>
              <m:r>
                <m:rPr>
                  <m:sty m:val="p"/>
                </m:rPr>
                <w:rPr>
                  <w:rFonts w:ascii="Cambria Math" w:hAnsi="Cambria Math" w:cs="Times New Roman"/>
                </w:rPr>
                <m:t>+</m:t>
              </m:r>
              <m:r>
                <m:rPr>
                  <m:sty m:val="b"/>
                </m:rPr>
                <w:rPr>
                  <w:rFonts w:ascii="Cambria Math" w:hAnsi="Cambria Math" w:cs="Times New Roman"/>
                </w:rPr>
                <m:t>2</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r>
                <m:rPr>
                  <m:sty m:val="bi"/>
                </m:rPr>
                <w:rPr>
                  <w:rFonts w:ascii="Cambria Math" w:hAnsi="Cambria Math" w:cs="Times New Roman"/>
                </w:rPr>
                <m:t>ρ</m:t>
              </m:r>
            </m:e>
          </m:rad>
        </m:oMath>
      </m:oMathPara>
    </w:p>
    <w:p w14:paraId="7157B8BE" w14:textId="77777777" w:rsidR="00D526E7" w:rsidRPr="007F37A0" w:rsidRDefault="00000000" w:rsidP="00D526E7">
      <w:pPr>
        <w:spacing w:line="480" w:lineRule="auto"/>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α</m:t>
              </m:r>
            </m:num>
            <m:den>
              <m:r>
                <w:rPr>
                  <w:rFonts w:ascii="Cambria Math" w:hAnsi="Cambria Math" w:cs="Times New Roman"/>
                </w:rPr>
                <m:t>β</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m:t>
          </m:r>
          <m:rad>
            <m:radPr>
              <m:degHide m:val="1"/>
              <m:ctrlPr>
                <w:rPr>
                  <w:rFonts w:ascii="Cambria Math" w:hAnsi="Cambria Math" w:cs="Times New Roman"/>
                  <w:i/>
                </w:rPr>
              </m:ctrlPr>
            </m:radPr>
            <m:deg/>
            <m:e>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α</m:t>
                          </m:r>
                        </m:num>
                        <m:den>
                          <m:r>
                            <w:rPr>
                              <w:rFonts w:ascii="Cambria Math" w:hAnsi="Cambria Math" w:cs="Times New Roman"/>
                            </w:rPr>
                            <m:t>β</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2β</m:t>
                          </m:r>
                        </m:den>
                      </m:f>
                    </m:e>
                  </m:d>
                </m:e>
                <m:sup>
                  <m:r>
                    <w:rPr>
                      <w:rFonts w:ascii="Cambria Math" w:hAnsi="Cambria Math" w:cs="Times New Roman"/>
                    </w:rPr>
                    <m:t>2</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2ρ</m:t>
                  </m:r>
                </m:num>
                <m:den>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den>
              </m:f>
            </m:e>
          </m:rad>
        </m:oMath>
      </m:oMathPara>
    </w:p>
    <w:p w14:paraId="4D5751D3" w14:textId="77777777" w:rsidR="00D526E7" w:rsidRPr="007F37A0" w:rsidRDefault="00D526E7" w:rsidP="007F37A0">
      <w:pPr>
        <w:pStyle w:val="Caption"/>
        <w:rPr>
          <w:rFonts w:cs="Times New Roman"/>
          <w:b/>
        </w:rPr>
      </w:pPr>
      <w:r w:rsidRPr="007F37A0">
        <w:rPr>
          <w:rFonts w:cs="Times New Roman"/>
        </w:rPr>
        <w:t>Returning to the boundary condition of inaction for the firm</w:t>
      </w:r>
    </w:p>
    <w:p w14:paraId="29EAEEC9" w14:textId="77777777" w:rsidR="00D526E7" w:rsidRPr="007F37A0" w:rsidRDefault="00000000" w:rsidP="00D526E7">
      <w:pPr>
        <w:spacing w:line="480" w:lineRule="auto"/>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K</m:t>
              </m:r>
            </m:sub>
          </m:sSub>
          <m:d>
            <m:dPr>
              <m:ctrlPr>
                <w:rPr>
                  <w:rFonts w:ascii="Cambria Math" w:hAnsi="Cambria Math" w:cs="Times New Roman"/>
                  <w:i/>
                </w:rPr>
              </m:ctrlPr>
            </m:dPr>
            <m:e>
              <m:r>
                <w:rPr>
                  <w:rFonts w:ascii="Cambria Math" w:hAnsi="Cambria Math" w:cs="Times New Roman"/>
                </w:rPr>
                <m:t>K,Y</m:t>
              </m:r>
            </m:e>
          </m:d>
          <m:r>
            <w:rPr>
              <w:rFonts w:ascii="Cambria Math" w:hAnsi="Cambria Math" w:cs="Times New Roman"/>
            </w:rPr>
            <m:t>=κ</m:t>
          </m:r>
        </m:oMath>
      </m:oMathPara>
    </w:p>
    <w:p w14:paraId="34D75469" w14:textId="77777777" w:rsidR="00D526E7" w:rsidRPr="007F37A0" w:rsidRDefault="00000000" w:rsidP="00D526E7">
      <w:pPr>
        <w:spacing w:line="480" w:lineRule="auto"/>
        <w:rPr>
          <w:rFonts w:ascii="Times New Roman" w:eastAsiaTheme="minorEastAsia" w:hAnsi="Times New Roman" w:cs="Times New Roman"/>
        </w:rPr>
      </w:pPr>
      <m:oMathPara>
        <m:oMath>
          <m:sSub>
            <m:sSubPr>
              <m:ctrlPr>
                <w:rPr>
                  <w:rFonts w:ascii="Cambria Math" w:hAnsi="Cambria Math" w:cs="Times New Roman"/>
                  <w:i/>
                </w:rPr>
              </m:ctrlPr>
            </m:sSubPr>
            <m:e>
              <m:r>
                <m:rPr>
                  <m:sty m:val="p"/>
                </m:rPr>
                <w:rPr>
                  <w:rFonts w:ascii="Cambria Math" w:hAnsi="Cambria Math" w:cs="Times New Roman"/>
                </w:rPr>
                <m:t>A</m:t>
              </m:r>
              <m:ctrlPr>
                <w:rPr>
                  <w:rFonts w:ascii="Cambria Math" w:hAnsi="Cambria Math" w:cs="Times New Roman"/>
                </w:rPr>
              </m:ctrlP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sSup>
            <m:sSupPr>
              <m:ctrlPr>
                <w:rPr>
                  <w:rFonts w:ascii="Cambria Math" w:hAnsi="Cambria Math" w:cs="Times New Roman"/>
                  <w:i/>
                </w:rPr>
              </m:ctrlPr>
            </m:sSup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m:t>
                  </m:r>
                </m:e>
              </m:d>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sup>
          </m:sSup>
          <m:r>
            <w:rPr>
              <w:rFonts w:ascii="Cambria Math" w:hAnsi="Cambria Math" w:cs="Times New Roman"/>
            </w:rPr>
            <m:t>H</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K</m:t>
                  </m:r>
                </m:e>
              </m:d>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PH'(K)</m:t>
              </m:r>
            </m:num>
            <m:den>
              <m:r>
                <w:rPr>
                  <w:rFonts w:ascii="Cambria Math" w:hAnsi="Cambria Math" w:cs="Times New Roman"/>
                </w:rPr>
                <m:t>ρ-</m:t>
              </m:r>
              <m:d>
                <m:dPr>
                  <m:ctrlPr>
                    <w:rPr>
                      <w:rFonts w:ascii="Cambria Math" w:hAnsi="Cambria Math" w:cs="Times New Roman"/>
                      <w:i/>
                    </w:rPr>
                  </m:ctrlPr>
                </m:dPr>
                <m:e>
                  <m:r>
                    <w:rPr>
                      <w:rFonts w:ascii="Cambria Math" w:hAnsi="Cambria Math" w:cs="Times New Roman"/>
                    </w:rPr>
                    <m:t>βα+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den>
          </m:f>
          <m:r>
            <w:rPr>
              <w:rFonts w:ascii="Cambria Math" w:hAnsi="Cambria Math" w:cs="Times New Roman"/>
            </w:rPr>
            <m:t>=κ</m:t>
          </m:r>
        </m:oMath>
      </m:oMathPara>
    </w:p>
    <w:p w14:paraId="43CE0D3F" w14:textId="77777777" w:rsidR="00D526E7" w:rsidRPr="007F37A0" w:rsidRDefault="00000000" w:rsidP="00D526E7">
      <w:pPr>
        <w:spacing w:line="480" w:lineRule="auto"/>
        <w:rPr>
          <w:rFonts w:ascii="Times New Roman" w:eastAsiaTheme="minorEastAsia" w:hAnsi="Times New Roman" w:cs="Times New Roman"/>
        </w:rPr>
      </w:pPr>
      <m:oMathPara>
        <m:oMath>
          <m:d>
            <m:dPr>
              <m:begChr m:val="["/>
              <m:endChr m:val="]"/>
              <m:ctrlPr>
                <w:rPr>
                  <w:rFonts w:ascii="Cambria Math" w:hAnsi="Cambria Math" w:cs="Times New Roman"/>
                  <w:i/>
                </w:rPr>
              </m:ctrlPr>
            </m:dPr>
            <m:e>
              <m:r>
                <w:rPr>
                  <w:rFonts w:ascii="Cambria Math" w:hAnsi="Cambria Math" w:cs="Times New Roman"/>
                </w:rPr>
                <m:t>κ-</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PH'(K)</m:t>
                  </m:r>
                </m:num>
                <m:den>
                  <m:r>
                    <w:rPr>
                      <w:rFonts w:ascii="Cambria Math" w:hAnsi="Cambria Math" w:cs="Times New Roman"/>
                    </w:rPr>
                    <m:t>ρ-</m:t>
                  </m:r>
                  <m:d>
                    <m:dPr>
                      <m:ctrlPr>
                        <w:rPr>
                          <w:rFonts w:ascii="Cambria Math" w:hAnsi="Cambria Math" w:cs="Times New Roman"/>
                          <w:i/>
                        </w:rPr>
                      </m:ctrlPr>
                    </m:dPr>
                    <m:e>
                      <m:r>
                        <w:rPr>
                          <w:rFonts w:ascii="Cambria Math" w:hAnsi="Cambria Math" w:cs="Times New Roman"/>
                        </w:rPr>
                        <m:t>βα+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den>
              </m:f>
            </m:e>
          </m:d>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m:t>
                          </m:r>
                        </m:sup>
                      </m:sSup>
                      <m:r>
                        <w:rPr>
                          <w:rFonts w:ascii="Cambria Math" w:hAnsi="Cambria Math" w:cs="Times New Roman"/>
                        </w:rPr>
                        <m:t>P</m:t>
                      </m:r>
                    </m:e>
                  </m:d>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sup>
              </m:sSup>
            </m:den>
          </m:f>
          <m:r>
            <w:rPr>
              <w:rFonts w:ascii="Cambria Math" w:hAnsi="Cambria Math" w:cs="Times New Roman"/>
            </w:rPr>
            <m:t xml:space="preserve">= </m:t>
          </m:r>
          <m:sSub>
            <m:sSubPr>
              <m:ctrlPr>
                <w:rPr>
                  <w:rFonts w:ascii="Cambria Math" w:hAnsi="Cambria Math" w:cs="Times New Roman"/>
                  <w:i/>
                </w:rPr>
              </m:ctrlPr>
            </m:sSubPr>
            <m:e>
              <m:r>
                <m:rPr>
                  <m:sty m:val="p"/>
                </m:rPr>
                <w:rPr>
                  <w:rFonts w:ascii="Cambria Math" w:hAnsi="Cambria Math" w:cs="Times New Roman"/>
                </w:rPr>
                <m:t>A</m:t>
              </m:r>
              <m:ctrlPr>
                <w:rPr>
                  <w:rFonts w:ascii="Cambria Math" w:hAnsi="Cambria Math" w:cs="Times New Roman"/>
                </w:rPr>
              </m:ctrlP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H</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K</m:t>
                  </m:r>
                </m:e>
              </m:d>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sup>
          </m:sSup>
          <m:r>
            <w:rPr>
              <w:rFonts w:ascii="Cambria Math" w:hAnsi="Cambria Math" w:cs="Times New Roman"/>
            </w:rPr>
            <m:t>H'(K)</m:t>
          </m:r>
        </m:oMath>
      </m:oMathPara>
    </w:p>
    <w:p w14:paraId="52DF0034" w14:textId="77777777" w:rsidR="00D526E7" w:rsidRPr="007F37A0" w:rsidRDefault="00D526E7" w:rsidP="007F37A0">
      <w:pPr>
        <w:pStyle w:val="Caption"/>
        <w:rPr>
          <w:rFonts w:cs="Times New Roman"/>
          <w:b/>
        </w:rPr>
      </w:pPr>
      <w:r w:rsidRPr="007F37A0">
        <w:rPr>
          <w:rFonts w:cs="Times New Roman"/>
        </w:rPr>
        <w:t>The smooth-pasting condition for the solution is:</w:t>
      </w:r>
    </w:p>
    <w:p w14:paraId="5017AE52" w14:textId="77777777" w:rsidR="00D526E7" w:rsidRPr="007F37A0" w:rsidRDefault="00000000" w:rsidP="00D526E7">
      <w:pPr>
        <w:spacing w:line="480" w:lineRule="auto"/>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KY</m:t>
              </m:r>
            </m:sub>
          </m:sSub>
          <m:d>
            <m:dPr>
              <m:ctrlPr>
                <w:rPr>
                  <w:rFonts w:ascii="Cambria Math" w:hAnsi="Cambria Math" w:cs="Times New Roman"/>
                  <w:i/>
                </w:rPr>
              </m:ctrlPr>
            </m:dPr>
            <m:e>
              <m:r>
                <w:rPr>
                  <w:rFonts w:ascii="Cambria Math" w:hAnsi="Cambria Math" w:cs="Times New Roman"/>
                </w:rPr>
                <m:t>K,Y</m:t>
              </m:r>
            </m:e>
          </m:d>
          <m:r>
            <w:rPr>
              <w:rFonts w:ascii="Cambria Math" w:hAnsi="Cambria Math" w:cs="Times New Roman"/>
            </w:rPr>
            <m:t>=0</m:t>
          </m:r>
        </m:oMath>
      </m:oMathPara>
    </w:p>
    <w:p w14:paraId="37875B0D" w14:textId="77777777" w:rsidR="00D526E7" w:rsidRPr="007F37A0" w:rsidRDefault="00000000" w:rsidP="007F37A0">
      <w:pPr>
        <w:pStyle w:val="Caption"/>
        <w:rPr>
          <w:rFonts w:cs="Times New Roman"/>
        </w:rPr>
      </w:pPr>
      <m:oMathPara>
        <m:oMath>
          <m:sSub>
            <m:sSubPr>
              <m:ctrlPr>
                <w:rPr>
                  <w:rFonts w:ascii="Cambria Math" w:hAnsi="Cambria Math" w:cs="Times New Roman"/>
                </w:rPr>
              </m:ctrlPr>
            </m:sSubPr>
            <m:e>
              <m:r>
                <m:rPr>
                  <m:sty m:val="b"/>
                </m:rPr>
                <w:rPr>
                  <w:rFonts w:ascii="Cambria Math" w:hAnsi="Cambria Math" w:cs="Times New Roman"/>
                </w:rPr>
                <m:t>A</m:t>
              </m:r>
            </m:e>
            <m:sub>
              <m:r>
                <m:rPr>
                  <m:sty m:val="b"/>
                </m:rPr>
                <w:rPr>
                  <w:rFonts w:ascii="Cambria Math" w:hAnsi="Cambria Math" w:cs="Times New Roman"/>
                </w:rPr>
                <m:t>1</m:t>
              </m:r>
            </m:sub>
          </m:sSub>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sSub>
            <m:sSubPr>
              <m:ctrlPr>
                <w:rPr>
                  <w:rFonts w:ascii="Cambria Math" w:hAnsi="Cambria Math" w:cs="Times New Roman"/>
                </w:rPr>
              </m:ctrlPr>
            </m:sSubPr>
            <m:e>
              <m:r>
                <m:rPr>
                  <m:sty m:val="p"/>
                </m:rPr>
                <w:rPr>
                  <w:rFonts w:ascii="Cambria Math" w:hAnsi="Cambria Math" w:cs="Times New Roman"/>
                </w:rPr>
                <m:t>(</m:t>
              </m:r>
              <m:r>
                <m:rPr>
                  <m:sty m:val="bi"/>
                </m:rPr>
                <w:rPr>
                  <w:rFonts w:ascii="Cambria Math" w:hAnsi="Cambria Math" w:cs="Times New Roman"/>
                </w:rPr>
                <m:t>η</m:t>
              </m:r>
            </m:e>
            <m:sub>
              <m:r>
                <m:rPr>
                  <m:sty m:val="b"/>
                </m:rPr>
                <w:rPr>
                  <w:rFonts w:ascii="Cambria Math" w:hAnsi="Cambria Math" w:cs="Times New Roman"/>
                </w:rPr>
                <m:t>1</m:t>
              </m:r>
            </m:sub>
          </m:sSub>
          <m:r>
            <m:rPr>
              <m:sty m:val="bi"/>
            </m:rPr>
            <w:rPr>
              <w:rFonts w:ascii="Cambria Math" w:hAnsi="Cambria Math" w:cs="Times New Roman"/>
            </w:rPr>
            <m:t>β</m:t>
          </m:r>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P</m:t>
              </m:r>
            </m:e>
            <m:sup>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sup>
          </m:sSup>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sup>
          </m:sSup>
          <m:r>
            <m:rPr>
              <m:sty m:val="bi"/>
            </m:rPr>
            <w:rPr>
              <w:rFonts w:ascii="Cambria Math" w:hAnsi="Cambria Math" w:cs="Times New Roman"/>
            </w:rPr>
            <m:t>H</m:t>
          </m:r>
          <m:sSup>
            <m:sSupPr>
              <m:ctrlPr>
                <w:rPr>
                  <w:rFonts w:ascii="Cambria Math" w:hAnsi="Cambria Math" w:cs="Times New Roman"/>
                </w:rPr>
              </m:ctrlPr>
            </m:sSupPr>
            <m:e>
              <m:d>
                <m:dPr>
                  <m:ctrlPr>
                    <w:rPr>
                      <w:rFonts w:ascii="Cambria Math" w:hAnsi="Cambria Math" w:cs="Times New Roman"/>
                    </w:rPr>
                  </m:ctrlPr>
                </m:dPr>
                <m:e>
                  <m:r>
                    <m:rPr>
                      <m:sty m:val="bi"/>
                    </m:rPr>
                    <w:rPr>
                      <w:rFonts w:ascii="Cambria Math" w:hAnsi="Cambria Math" w:cs="Times New Roman"/>
                    </w:rPr>
                    <m:t>K</m:t>
                  </m:r>
                </m:e>
              </m:d>
            </m:e>
            <m:sup>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sup>
          </m:sSup>
          <m:r>
            <m:rPr>
              <m:sty m:val="bi"/>
            </m:rPr>
            <w:rPr>
              <w:rFonts w:ascii="Cambria Math" w:hAnsi="Cambria Math" w:cs="Times New Roman"/>
            </w:rPr>
            <m:t>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 +</m:t>
          </m:r>
          <m:f>
            <m:fPr>
              <m:ctrlPr>
                <w:rPr>
                  <w:rFonts w:ascii="Cambria Math" w:hAnsi="Cambria Math" w:cs="Times New Roman"/>
                </w:rPr>
              </m:ctrlPr>
            </m:fPr>
            <m:num>
              <m:r>
                <m:rPr>
                  <m:sty m:val="bi"/>
                </m:rPr>
                <w:rPr>
                  <w:rFonts w:ascii="Cambria Math" w:hAnsi="Cambria Math" w:cs="Times New Roman"/>
                </w:rPr>
                <m:t>β</m:t>
              </m:r>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sup>
              </m:sSup>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num>
            <m:den>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den>
          </m:f>
          <m:r>
            <m:rPr>
              <m:sty m:val="p"/>
            </m:rPr>
            <w:rPr>
              <w:rFonts w:ascii="Cambria Math" w:hAnsi="Cambria Math" w:cs="Times New Roman"/>
            </w:rPr>
            <m:t>=</m:t>
          </m:r>
          <m:r>
            <m:rPr>
              <m:sty m:val="b"/>
            </m:rPr>
            <w:rPr>
              <w:rFonts w:ascii="Cambria Math" w:hAnsi="Cambria Math" w:cs="Times New Roman"/>
            </w:rPr>
            <m:t>0</m:t>
          </m:r>
        </m:oMath>
      </m:oMathPara>
    </w:p>
    <w:p w14:paraId="5EBCE4B4" w14:textId="77777777" w:rsidR="00D526E7" w:rsidRPr="007F37A0" w:rsidRDefault="00D526E7" w:rsidP="00D526E7">
      <w:pPr>
        <w:spacing w:line="480" w:lineRule="auto"/>
        <w:rPr>
          <w:rFonts w:ascii="Times New Roman" w:hAnsi="Times New Roman" w:cs="Times New Roman"/>
        </w:rPr>
      </w:pPr>
      <m:oMathPara>
        <m:oMath>
          <m:r>
            <w:rPr>
              <w:rFonts w:ascii="Cambria Math" w:hAnsi="Cambria Math" w:cs="Times New Roman"/>
            </w:rPr>
            <m:t>-</m:t>
          </m:r>
          <m:f>
            <m:fPr>
              <m:ctrlPr>
                <w:rPr>
                  <w:rFonts w:ascii="Cambria Math" w:hAnsi="Cambria Math" w:cs="Times New Roman"/>
                  <w:i/>
                </w:rPr>
              </m:ctrlPr>
            </m:fPr>
            <m:num>
              <m:r>
                <w:rPr>
                  <w:rFonts w:ascii="Cambria Math" w:hAnsi="Cambria Math" w:cs="Times New Roman"/>
                </w:rPr>
                <m:t>β</m:t>
              </m:r>
            </m:num>
            <m:den>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β</m:t>
              </m:r>
              <m:sSup>
                <m:sSupPr>
                  <m:ctrlPr>
                    <w:rPr>
                      <w:rFonts w:ascii="Cambria Math" w:hAnsi="Cambria Math" w:cs="Times New Roman"/>
                      <w:i/>
                    </w:rPr>
                  </m:ctrlPr>
                </m:sSupPr>
                <m:e>
                  <m:r>
                    <w:rPr>
                      <w:rFonts w:ascii="Cambria Math" w:hAnsi="Cambria Math" w:cs="Times New Roman"/>
                    </w:rPr>
                    <m:t>P</m:t>
                  </m:r>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sup>
              </m:sSup>
            </m:den>
          </m:f>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β-1</m:t>
                  </m:r>
                </m:sup>
              </m:sSup>
              <m:r>
                <w:rPr>
                  <w:rFonts w:ascii="Cambria Math" w:hAnsi="Cambria Math" w:cs="Times New Roman"/>
                </w:rPr>
                <m:t>P</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K</m:t>
                  </m:r>
                </m:e>
              </m:d>
            </m:num>
            <m:den>
              <m:r>
                <w:rPr>
                  <w:rFonts w:ascii="Cambria Math" w:hAnsi="Cambria Math" w:cs="Times New Roman"/>
                </w:rPr>
                <m:t>ρ-</m:t>
              </m:r>
              <m:d>
                <m:dPr>
                  <m:ctrlPr>
                    <w:rPr>
                      <w:rFonts w:ascii="Cambria Math" w:hAnsi="Cambria Math" w:cs="Times New Roman"/>
                      <w:i/>
                    </w:rPr>
                  </m:ctrlPr>
                </m:dPr>
                <m:e>
                  <m:r>
                    <w:rPr>
                      <w:rFonts w:ascii="Cambria Math" w:hAnsi="Cambria Math" w:cs="Times New Roman"/>
                    </w:rPr>
                    <m:t>βα+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den>
          </m:f>
          <m:r>
            <w:rPr>
              <w:rFonts w:ascii="Cambria Math" w:hAnsi="Cambria Math" w:cs="Times New Roman"/>
            </w:rPr>
            <m:t xml:space="preserve">= </m:t>
          </m:r>
          <m:sSub>
            <m:sSubPr>
              <m:ctrlPr>
                <w:rPr>
                  <w:rFonts w:ascii="Cambria Math" w:hAnsi="Cambria Math" w:cs="Times New Roman"/>
                  <w:i/>
                </w:rPr>
              </m:ctrlPr>
            </m:sSubPr>
            <m:e>
              <m:r>
                <m:rPr>
                  <m:sty m:val="p"/>
                </m:rPr>
                <w:rPr>
                  <w:rFonts w:ascii="Cambria Math" w:hAnsi="Cambria Math" w:cs="Times New Roman"/>
                </w:rPr>
                <m:t>A</m:t>
              </m:r>
              <m:ctrlPr>
                <w:rPr>
                  <w:rFonts w:ascii="Cambria Math" w:hAnsi="Cambria Math" w:cs="Times New Roman"/>
                </w:rPr>
              </m:ctrlP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H</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K</m:t>
                  </m:r>
                </m:e>
              </m:d>
            </m:e>
            <m:sup>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K</m:t>
              </m:r>
            </m:e>
          </m:d>
        </m:oMath>
      </m:oMathPara>
    </w:p>
    <w:p w14:paraId="0F9EA536" w14:textId="77777777" w:rsidR="00D526E7" w:rsidRPr="007F37A0" w:rsidRDefault="00D526E7" w:rsidP="00D526E7">
      <w:pPr>
        <w:spacing w:line="480" w:lineRule="auto"/>
        <w:rPr>
          <w:rFonts w:ascii="Times New Roman" w:hAnsi="Times New Roman" w:cs="Times New Roman"/>
        </w:rPr>
      </w:pPr>
      <w:r w:rsidRPr="007F37A0">
        <w:rPr>
          <w:rFonts w:ascii="Times New Roman" w:hAnsi="Times New Roman" w:cs="Times New Roman"/>
        </w:rPr>
        <w:t>Combining these two gives us the final boundary condition of inaction for the firm.</w:t>
      </w:r>
    </w:p>
    <w:p w14:paraId="5434B799" w14:textId="77777777" w:rsidR="00D526E7" w:rsidRPr="007F37A0" w:rsidRDefault="00000000" w:rsidP="007F37A0">
      <w:pPr>
        <w:pStyle w:val="Caption"/>
        <w:rPr>
          <w:rFonts w:cs="Times New Roman"/>
        </w:rPr>
      </w:pPr>
      <m:oMathPara>
        <m:oMath>
          <m:d>
            <m:dPr>
              <m:begChr m:val="["/>
              <m:endChr m:val="]"/>
              <m:ctrlPr>
                <w:rPr>
                  <w:rFonts w:ascii="Cambria Math" w:hAnsi="Cambria Math" w:cs="Times New Roman"/>
                </w:rPr>
              </m:ctrlPr>
            </m:dPr>
            <m:e>
              <m:r>
                <m:rPr>
                  <m:sty m:val="bi"/>
                </m:rPr>
                <w:rPr>
                  <w:rFonts w:ascii="Cambria Math" w:hAnsi="Cambria Math" w:cs="Times New Roman"/>
                </w:rPr>
                <m:t>κ</m:t>
              </m:r>
              <m:r>
                <m:rPr>
                  <m:sty m:val="p"/>
                </m:rPr>
                <w:rPr>
                  <w:rFonts w:ascii="Cambria Math" w:hAnsi="Cambria Math" w:cs="Times New Roman"/>
                </w:rPr>
                <m:t>-</m:t>
              </m:r>
              <m:f>
                <m:fPr>
                  <m:ctrlPr>
                    <w:rPr>
                      <w:rFonts w:ascii="Cambria Math" w:hAnsi="Cambria Math" w:cs="Times New Roman"/>
                    </w:rPr>
                  </m:ctrlPr>
                </m:fPr>
                <m:num>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num>
                <m:den>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den>
              </m:f>
            </m:e>
          </m:d>
          <m:f>
            <m:fPr>
              <m:ctrlPr>
                <w:rPr>
                  <w:rFonts w:ascii="Cambria Math" w:hAnsi="Cambria Math" w:cs="Times New Roman"/>
                </w:rPr>
              </m:ctrlPr>
            </m:fPr>
            <m:num>
              <m:r>
                <m:rPr>
                  <m:sty m:val="b"/>
                </m:rPr>
                <w:rPr>
                  <w:rFonts w:ascii="Cambria Math" w:hAnsi="Cambria Math" w:cs="Times New Roman"/>
                </w:rPr>
                <m:t>1</m:t>
              </m:r>
            </m:num>
            <m:den>
              <m:sSup>
                <m:sSupPr>
                  <m:ctrlPr>
                    <w:rPr>
                      <w:rFonts w:ascii="Cambria Math" w:hAnsi="Cambria Math" w:cs="Times New Roman"/>
                    </w:rPr>
                  </m:ctrlPr>
                </m:sSupPr>
                <m:e>
                  <m:d>
                    <m:dPr>
                      <m:ctrlPr>
                        <w:rPr>
                          <w:rFonts w:ascii="Cambria Math" w:hAnsi="Cambria Math" w:cs="Times New Roman"/>
                        </w:rPr>
                      </m:ctrlPr>
                    </m:dPr>
                    <m:e>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r>
                        <m:rPr>
                          <m:sty m:val="bi"/>
                        </m:rPr>
                        <w:rPr>
                          <w:rFonts w:ascii="Cambria Math" w:hAnsi="Cambria Math" w:cs="Times New Roman"/>
                        </w:rPr>
                        <m:t>P</m:t>
                      </m:r>
                    </m:e>
                  </m:d>
                </m:e>
                <m:sup>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sup>
              </m:sSup>
            </m:den>
          </m:f>
          <m:r>
            <m:rPr>
              <m:sty m:val="p"/>
            </m:rPr>
            <w:rPr>
              <w:rFonts w:ascii="Cambria Math" w:hAnsi="Cambria Math" w:cs="Times New Roman"/>
            </w:rPr>
            <m:t>= -</m:t>
          </m:r>
          <m:f>
            <m:fPr>
              <m:ctrlPr>
                <w:rPr>
                  <w:rFonts w:ascii="Cambria Math" w:hAnsi="Cambria Math" w:cs="Times New Roman"/>
                </w:rPr>
              </m:ctrlPr>
            </m:fPr>
            <m:num>
              <m:r>
                <m:rPr>
                  <m:sty m:val="bi"/>
                </m:rPr>
                <w:rPr>
                  <w:rFonts w:ascii="Cambria Math" w:hAnsi="Cambria Math" w:cs="Times New Roman"/>
                </w:rPr>
                <m:t>β</m:t>
              </m:r>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bi"/>
                </m:rPr>
                <w:rPr>
                  <w:rFonts w:ascii="Cambria Math" w:hAnsi="Cambria Math" w:cs="Times New Roman"/>
                </w:rPr>
                <m:t>β</m:t>
              </m:r>
              <m:sSup>
                <m:sSupPr>
                  <m:ctrlPr>
                    <w:rPr>
                      <w:rFonts w:ascii="Cambria Math" w:hAnsi="Cambria Math" w:cs="Times New Roman"/>
                    </w:rPr>
                  </m:ctrlPr>
                </m:sSupPr>
                <m:e>
                  <m:r>
                    <m:rPr>
                      <m:sty m:val="bi"/>
                    </m:rPr>
                    <w:rPr>
                      <w:rFonts w:ascii="Cambria Math" w:hAnsi="Cambria Math" w:cs="Times New Roman"/>
                    </w:rPr>
                    <m:t>P</m:t>
                  </m:r>
                </m:e>
                <m:sup>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sup>
              </m:sSup>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sup>
              </m:sSup>
            </m:den>
          </m:f>
          <m:f>
            <m:fPr>
              <m:ctrlPr>
                <w:rPr>
                  <w:rFonts w:ascii="Cambria Math" w:hAnsi="Cambria Math" w:cs="Times New Roman"/>
                </w:rPr>
              </m:ctrlPr>
            </m:fPr>
            <m:num>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sup>
              </m:sSup>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num>
            <m:den>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den>
          </m:f>
        </m:oMath>
      </m:oMathPara>
    </w:p>
    <w:p w14:paraId="05743E27" w14:textId="77777777" w:rsidR="00D526E7" w:rsidRPr="007F37A0" w:rsidRDefault="00000000" w:rsidP="007F37A0">
      <w:pPr>
        <w:pStyle w:val="Caption"/>
        <w:rPr>
          <w:rFonts w:cs="Times New Roman"/>
        </w:rPr>
      </w:pPr>
      <m:oMathPara>
        <m:oMath>
          <m:d>
            <m:dPr>
              <m:begChr m:val="["/>
              <m:endChr m:val="]"/>
              <m:ctrlPr>
                <w:rPr>
                  <w:rFonts w:ascii="Cambria Math" w:hAnsi="Cambria Math" w:cs="Times New Roman"/>
                </w:rPr>
              </m:ctrlPr>
            </m:dPr>
            <m:e>
              <m:r>
                <m:rPr>
                  <m:sty m:val="bi"/>
                </m:rPr>
                <w:rPr>
                  <w:rFonts w:ascii="Cambria Math" w:hAnsi="Cambria Math" w:cs="Times New Roman"/>
                </w:rPr>
                <m:t>κ</m:t>
              </m:r>
              <m:r>
                <m:rPr>
                  <m:sty m:val="p"/>
                </m:rPr>
                <w:rPr>
                  <w:rFonts w:ascii="Cambria Math" w:hAnsi="Cambria Math" w:cs="Times New Roman"/>
                </w:rPr>
                <m:t>-</m:t>
              </m:r>
              <m:f>
                <m:fPr>
                  <m:ctrlPr>
                    <w:rPr>
                      <w:rFonts w:ascii="Cambria Math" w:hAnsi="Cambria Math" w:cs="Times New Roman"/>
                    </w:rPr>
                  </m:ctrlPr>
                </m:fPr>
                <m:num>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num>
                <m:den>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den>
              </m:f>
            </m:e>
          </m:d>
          <m:r>
            <m:rPr>
              <m:sty m:val="p"/>
            </m:rPr>
            <w:rPr>
              <w:rFonts w:ascii="Cambria Math" w:hAnsi="Cambria Math" w:cs="Times New Roman"/>
            </w:rPr>
            <m:t>= -</m:t>
          </m:r>
          <m:f>
            <m:fPr>
              <m:ctrlPr>
                <w:rPr>
                  <w:rFonts w:ascii="Cambria Math" w:hAnsi="Cambria Math" w:cs="Times New Roman"/>
                </w:rPr>
              </m:ctrlPr>
            </m:fPr>
            <m:num>
              <m:r>
                <m:rPr>
                  <m:sty m:val="b"/>
                </m:rPr>
                <w:rPr>
                  <w:rFonts w:ascii="Cambria Math" w:hAnsi="Cambria Math" w:cs="Times New Roman"/>
                </w:rPr>
                <m:t>1</m:t>
              </m:r>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den>
          </m:f>
          <m:f>
            <m:fPr>
              <m:ctrlPr>
                <w:rPr>
                  <w:rFonts w:ascii="Cambria Math" w:hAnsi="Cambria Math" w:cs="Times New Roman"/>
                </w:rPr>
              </m:ctrlPr>
            </m:fPr>
            <m:num>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num>
            <m:den>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den>
          </m:f>
        </m:oMath>
      </m:oMathPara>
    </w:p>
    <w:p w14:paraId="57812247" w14:textId="77777777" w:rsidR="00D526E7" w:rsidRPr="007F37A0" w:rsidRDefault="00D526E7" w:rsidP="007F37A0">
      <w:pPr>
        <w:pStyle w:val="Caption"/>
        <w:rPr>
          <w:rFonts w:cs="Times New Roman"/>
        </w:rPr>
      </w:pPr>
      <m:oMathPara>
        <m:oMath>
          <m:r>
            <m:rPr>
              <m:sty m:val="bi"/>
            </m:rPr>
            <w:rPr>
              <w:rFonts w:ascii="Cambria Math" w:hAnsi="Cambria Math" w:cs="Times New Roman"/>
            </w:rPr>
            <m:t>κ</m:t>
          </m:r>
          <m:d>
            <m:dPr>
              <m:begChr m:val="["/>
              <m:endChr m:val="]"/>
              <m:ctrlPr>
                <w:rPr>
                  <w:rFonts w:ascii="Cambria Math" w:hAnsi="Cambria Math" w:cs="Times New Roman"/>
                </w:rPr>
              </m:ctrlPr>
            </m:dPr>
            <m:e>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e>
          </m:d>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r>
            <m:rPr>
              <m:sty m:val="bi"/>
            </m:rPr>
            <w:rPr>
              <w:rFonts w:ascii="Cambria Math" w:hAnsi="Cambria Math" w:cs="Times New Roman"/>
            </w:rPr>
            <m:t>P</m:t>
          </m:r>
          <m:sSup>
            <m:sSupPr>
              <m:ctrlPr>
                <w:rPr>
                  <w:rFonts w:ascii="Cambria Math" w:hAnsi="Cambria Math" w:cs="Times New Roman"/>
                </w:rPr>
              </m:ctrlPr>
            </m:sSupPr>
            <m:e>
              <m:r>
                <m:rPr>
                  <m:sty m:val="bi"/>
                </m:rPr>
                <w:rPr>
                  <w:rFonts w:ascii="Cambria Math" w:hAnsi="Cambria Math" w:cs="Times New Roman"/>
                </w:rPr>
                <m:t>H</m:t>
              </m:r>
            </m:e>
            <m:sup>
              <m:r>
                <m:rPr>
                  <m:sty m:val="p"/>
                </m:rPr>
                <w:rPr>
                  <w:rFonts w:ascii="Cambria Math" w:hAnsi="Cambria Math" w:cs="Times New Roman"/>
                </w:rPr>
                <m:t>'</m:t>
              </m:r>
            </m:sup>
          </m:sSup>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den>
          </m:f>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r>
            <m:rPr>
              <m:sty m:val="bi"/>
            </m:rPr>
            <w:rPr>
              <w:rFonts w:ascii="Cambria Math" w:hAnsi="Cambria Math" w:cs="Times New Roman"/>
            </w:rPr>
            <m:t>PH</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K</m:t>
              </m:r>
            </m:e>
          </m:d>
        </m:oMath>
      </m:oMathPara>
    </w:p>
    <w:p w14:paraId="100CDBE8" w14:textId="77777777" w:rsidR="00D526E7" w:rsidRPr="007F37A0" w:rsidRDefault="00000000" w:rsidP="007F37A0">
      <w:pPr>
        <w:pStyle w:val="Caption"/>
        <w:rPr>
          <w:rFonts w:cs="Times New Roman"/>
        </w:rPr>
      </w:pPr>
      <m:oMathPara>
        <m:oMath>
          <m:f>
            <m:fPr>
              <m:ctrlPr>
                <w:rPr>
                  <w:rFonts w:ascii="Cambria Math" w:hAnsi="Cambria Math" w:cs="Times New Roman"/>
                </w:rPr>
              </m:ctrlPr>
            </m:fPr>
            <m:num>
              <m:r>
                <m:rPr>
                  <m:sty m:val="bi"/>
                </m:rPr>
                <w:rPr>
                  <w:rFonts w:ascii="Cambria Math" w:hAnsi="Cambria Math" w:cs="Times New Roman"/>
                </w:rPr>
                <m:t>κ</m:t>
              </m:r>
            </m:num>
            <m:den>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den>
          </m:f>
          <m:d>
            <m:dPr>
              <m:begChr m:val="["/>
              <m:endChr m:val="]"/>
              <m:ctrlPr>
                <w:rPr>
                  <w:rFonts w:ascii="Cambria Math" w:hAnsi="Cambria Math" w:cs="Times New Roman"/>
                </w:rPr>
              </m:ctrlPr>
            </m:dPr>
            <m:e>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e>
          </m:d>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den>
          </m:f>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oMath>
      </m:oMathPara>
    </w:p>
    <w:p w14:paraId="585D0C27" w14:textId="77777777" w:rsidR="00D526E7" w:rsidRPr="007F37A0" w:rsidRDefault="00000000" w:rsidP="007F37A0">
      <w:pPr>
        <w:pStyle w:val="Caption"/>
        <w:rPr>
          <w:rFonts w:cs="Times New Roman"/>
        </w:rPr>
      </w:pPr>
      <m:oMathPara>
        <m:oMath>
          <m:f>
            <m:fPr>
              <m:ctrlPr>
                <w:rPr>
                  <w:rFonts w:ascii="Cambria Math" w:hAnsi="Cambria Math" w:cs="Times New Roman"/>
                </w:rPr>
              </m:ctrlPr>
            </m:fPr>
            <m:num>
              <m:r>
                <m:rPr>
                  <m:sty m:val="bi"/>
                </m:rPr>
                <w:rPr>
                  <w:rFonts w:ascii="Cambria Math" w:hAnsi="Cambria Math" w:cs="Times New Roman"/>
                </w:rPr>
                <m:t>κ</m:t>
              </m:r>
            </m:num>
            <m:den>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den>
          </m:f>
          <m:d>
            <m:dPr>
              <m:begChr m:val="["/>
              <m:endChr m:val="]"/>
              <m:ctrlPr>
                <w:rPr>
                  <w:rFonts w:ascii="Cambria Math" w:hAnsi="Cambria Math" w:cs="Times New Roman"/>
                </w:rPr>
              </m:ctrlPr>
            </m:dPr>
            <m:e>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e>
          </m:d>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den>
              </m:f>
            </m:e>
          </m:d>
        </m:oMath>
      </m:oMathPara>
    </w:p>
    <w:p w14:paraId="04A808D7" w14:textId="77777777" w:rsidR="00D526E7" w:rsidRPr="007F37A0" w:rsidRDefault="00000000" w:rsidP="007F37A0">
      <w:pPr>
        <w:pStyle w:val="Caption"/>
        <w:rPr>
          <w:rFonts w:cs="Times New Roman"/>
        </w:rPr>
      </w:pPr>
      <m:oMathPara>
        <m:oMath>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den>
              </m:f>
            </m:e>
          </m:d>
          <m:f>
            <m:fPr>
              <m:ctrlPr>
                <w:rPr>
                  <w:rFonts w:ascii="Cambria Math" w:hAnsi="Cambria Math" w:cs="Times New Roman"/>
                </w:rPr>
              </m:ctrlPr>
            </m:fPr>
            <m:num>
              <m:r>
                <m:rPr>
                  <m:sty m:val="bi"/>
                </m:rPr>
                <w:rPr>
                  <w:rFonts w:ascii="Cambria Math" w:hAnsi="Cambria Math" w:cs="Times New Roman"/>
                </w:rPr>
                <m:t>κ</m:t>
              </m:r>
            </m:num>
            <m:den>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den>
          </m:f>
          <m:d>
            <m:dPr>
              <m:begChr m:val="["/>
              <m:endChr m:val="]"/>
              <m:ctrlPr>
                <w:rPr>
                  <w:rFonts w:ascii="Cambria Math" w:hAnsi="Cambria Math" w:cs="Times New Roman"/>
                </w:rPr>
              </m:ctrlPr>
            </m:dPr>
            <m:e>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bi"/>
                    </m:rPr>
                    <w:rPr>
                      <w:rFonts w:ascii="Cambria Math" w:hAnsi="Cambria Math" w:cs="Times New Roman"/>
                    </w:rPr>
                    <m:t>βα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β</m:t>
                  </m:r>
                  <m:d>
                    <m:dPr>
                      <m:ctrlPr>
                        <w:rPr>
                          <w:rFonts w:ascii="Cambria Math" w:hAnsi="Cambria Math" w:cs="Times New Roman"/>
                        </w:rPr>
                      </m:ctrlPr>
                    </m:dPr>
                    <m:e>
                      <m:r>
                        <m:rPr>
                          <m:sty m:val="bi"/>
                        </m:rPr>
                        <w:rPr>
                          <w:rFonts w:ascii="Cambria Math" w:hAnsi="Cambria Math" w:cs="Times New Roman"/>
                        </w:rPr>
                        <m:t>β</m:t>
                      </m:r>
                      <m:r>
                        <m:rPr>
                          <m:sty m:val="p"/>
                        </m:rPr>
                        <w:rPr>
                          <w:rFonts w:ascii="Cambria Math" w:hAnsi="Cambria Math" w:cs="Times New Roman"/>
                        </w:rPr>
                        <m:t>-</m:t>
                      </m:r>
                      <m:r>
                        <m:rPr>
                          <m:sty m:val="b"/>
                        </m:rPr>
                        <w:rPr>
                          <w:rFonts w:ascii="Cambria Math" w:hAnsi="Cambria Math" w:cs="Times New Roman"/>
                        </w:rPr>
                        <m:t>1</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e>
          </m:d>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Y</m:t>
              </m:r>
            </m:e>
            <m:sup>
              <m:r>
                <m:rPr>
                  <m:sty m:val="bi"/>
                </m:rPr>
                <w:rPr>
                  <w:rFonts w:ascii="Cambria Math" w:hAnsi="Cambria Math" w:cs="Times New Roman"/>
                </w:rPr>
                <m:t>β</m:t>
              </m:r>
            </m:sup>
          </m:sSup>
        </m:oMath>
      </m:oMathPara>
    </w:p>
    <w:p w14:paraId="3D67DD53"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Y=</m:t>
          </m:r>
          <m:sSup>
            <m:sSupPr>
              <m:ctrlPr>
                <w:rPr>
                  <w:rFonts w:ascii="Cambria Math" w:hAnsi="Cambria Math" w:cs="Times New Roman"/>
                  <w:i/>
                </w:rPr>
              </m:ctrlPr>
            </m:sSupPr>
            <m:e>
              <m:d>
                <m:dPr>
                  <m:begChr m:val="{"/>
                  <m:endChr m:val="}"/>
                  <m:ctrlPr>
                    <w:rPr>
                      <w:rFonts w:ascii="Cambria Math" w:hAnsi="Cambria Math" w:cs="Times New Roman"/>
                      <w:i/>
                    </w:rPr>
                  </m:ctrlPr>
                </m:d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1</m:t>
                              </m:r>
                            </m:sub>
                          </m:sSub>
                          <m:r>
                            <w:rPr>
                              <w:rFonts w:ascii="Cambria Math" w:hAnsi="Cambria Math" w:cs="Times New Roman"/>
                            </w:rPr>
                            <m:t>-1</m:t>
                          </m:r>
                        </m:den>
                      </m:f>
                    </m:e>
                  </m:d>
                  <m:f>
                    <m:fPr>
                      <m:ctrlPr>
                        <w:rPr>
                          <w:rFonts w:ascii="Cambria Math" w:hAnsi="Cambria Math" w:cs="Times New Roman"/>
                          <w:i/>
                        </w:rPr>
                      </m:ctrlPr>
                    </m:fPr>
                    <m:num>
                      <m:r>
                        <w:rPr>
                          <w:rFonts w:ascii="Cambria Math" w:hAnsi="Cambria Math" w:cs="Times New Roman"/>
                        </w:rPr>
                        <m:t>κ</m:t>
                      </m:r>
                    </m:num>
                    <m:den>
                      <m:r>
                        <w:rPr>
                          <w:rFonts w:ascii="Cambria Math" w:hAnsi="Cambria Math" w:cs="Times New Roman"/>
                        </w:rPr>
                        <m:t>P</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K</m:t>
                          </m:r>
                        </m:e>
                      </m:d>
                    </m:den>
                  </m:f>
                  <m:d>
                    <m:dPr>
                      <m:begChr m:val="["/>
                      <m:endChr m:val="]"/>
                      <m:ctrlPr>
                        <w:rPr>
                          <w:rFonts w:ascii="Cambria Math" w:hAnsi="Cambria Math" w:cs="Times New Roman"/>
                          <w:i/>
                        </w:rPr>
                      </m:ctrlPr>
                    </m:dPr>
                    <m:e>
                      <m:r>
                        <w:rPr>
                          <w:rFonts w:ascii="Cambria Math" w:hAnsi="Cambria Math" w:cs="Times New Roman"/>
                        </w:rPr>
                        <m:t>ρ-</m:t>
                      </m:r>
                      <m:d>
                        <m:dPr>
                          <m:ctrlPr>
                            <w:rPr>
                              <w:rFonts w:ascii="Cambria Math" w:hAnsi="Cambria Math" w:cs="Times New Roman"/>
                              <w:i/>
                            </w:rPr>
                          </m:ctrlPr>
                        </m:dPr>
                        <m:e>
                          <m:r>
                            <w:rPr>
                              <w:rFonts w:ascii="Cambria Math" w:hAnsi="Cambria Math" w:cs="Times New Roman"/>
                            </w:rPr>
                            <m:t>βα+</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β</m:t>
                          </m:r>
                          <m:d>
                            <m:dPr>
                              <m:ctrlPr>
                                <w:rPr>
                                  <w:rFonts w:ascii="Cambria Math" w:hAnsi="Cambria Math" w:cs="Times New Roman"/>
                                  <w:i/>
                                </w:rPr>
                              </m:ctrlPr>
                            </m:dPr>
                            <m:e>
                              <m:r>
                                <w:rPr>
                                  <w:rFonts w:ascii="Cambria Math" w:hAnsi="Cambria Math" w:cs="Times New Roman"/>
                                </w:rPr>
                                <m:t>β-1</m:t>
                              </m:r>
                            </m:e>
                          </m:d>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e>
                  </m:d>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β</m:t>
                  </m:r>
                </m:den>
              </m:f>
            </m:sup>
          </m:sSup>
        </m:oMath>
      </m:oMathPara>
    </w:p>
    <w:p w14:paraId="54A27BFD" w14:textId="77777777" w:rsidR="00D526E7" w:rsidRPr="007F37A0" w:rsidRDefault="00D526E7" w:rsidP="007F37A0">
      <w:pPr>
        <w:pStyle w:val="Caption"/>
        <w:rPr>
          <w:rFonts w:cs="Times New Roman"/>
          <w:b/>
        </w:rPr>
      </w:pPr>
      <w:r w:rsidRPr="007F37A0">
        <w:rPr>
          <w:rFonts w:cs="Times New Roman"/>
        </w:rPr>
        <w:lastRenderedPageBreak/>
        <w:t xml:space="preserve">Note that when </w:t>
      </w:r>
      <m:oMath>
        <m:r>
          <m:rPr>
            <m:sty m:val="bi"/>
          </m:rPr>
          <w:rPr>
            <w:rFonts w:ascii="Cambria Math" w:hAnsi="Cambria Math" w:cs="Times New Roman"/>
          </w:rPr>
          <m:t>β=1</m:t>
        </m:r>
      </m:oMath>
      <w:r w:rsidRPr="007F37A0">
        <w:rPr>
          <w:rFonts w:cs="Times New Roman"/>
        </w:rPr>
        <w:t>, I recover the boundary condition found in Dixit and Pindyck (1994):</w:t>
      </w:r>
    </w:p>
    <w:p w14:paraId="787B73A5" w14:textId="77777777" w:rsidR="00D526E7" w:rsidRPr="007F37A0" w:rsidRDefault="00D526E7" w:rsidP="007F37A0">
      <w:pPr>
        <w:pStyle w:val="Caption"/>
        <w:rPr>
          <w:rFonts w:cs="Times New Roman"/>
        </w:rPr>
      </w:pPr>
      <m:oMathPara>
        <m:oMath>
          <m:r>
            <m:rPr>
              <m:sty m:val="bi"/>
            </m:rPr>
            <w:rPr>
              <w:rFonts w:ascii="Cambria Math" w:hAnsi="Cambria Math" w:cs="Times New Roman"/>
            </w:rPr>
            <m:t>Y</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den>
              </m:f>
            </m:e>
          </m:d>
          <m:f>
            <m:fPr>
              <m:ctrlPr>
                <w:rPr>
                  <w:rFonts w:ascii="Cambria Math" w:hAnsi="Cambria Math" w:cs="Times New Roman"/>
                </w:rPr>
              </m:ctrlPr>
            </m:fPr>
            <m:num>
              <m:r>
                <m:rPr>
                  <m:sty m:val="bi"/>
                </m:rPr>
                <w:rPr>
                  <w:rFonts w:ascii="Cambria Math" w:hAnsi="Cambria Math" w:cs="Times New Roman"/>
                </w:rPr>
                <m:t>κ</m:t>
              </m:r>
            </m:num>
            <m:den>
              <m:r>
                <m:rPr>
                  <m:sty m:val="bi"/>
                </m:rPr>
                <w:rPr>
                  <w:rFonts w:ascii="Cambria Math" w:hAnsi="Cambria Math" w:cs="Times New Roman"/>
                </w:rPr>
                <m:t>P</m:t>
              </m:r>
              <m:sSup>
                <m:sSupPr>
                  <m:ctrlPr>
                    <w:rPr>
                      <w:rFonts w:ascii="Cambria Math" w:hAnsi="Cambria Math" w:cs="Times New Roman"/>
                    </w:rPr>
                  </m:ctrlPr>
                </m:sSupPr>
                <m:e>
                  <m:r>
                    <m:rPr>
                      <m:sty m:val="bi"/>
                    </m:rPr>
                    <w:rPr>
                      <w:rFonts w:ascii="Cambria Math" w:hAnsi="Cambria Math" w:cs="Times New Roman"/>
                    </w:rPr>
                    <m:t>H</m:t>
                  </m:r>
                </m:e>
                <m:sup>
                  <m:r>
                    <m:rPr>
                      <m:sty m:val="p"/>
                    </m:rPr>
                    <w:rPr>
                      <w:rFonts w:ascii="Cambria Math" w:hAnsi="Cambria Math" w:cs="Times New Roman"/>
                    </w:rPr>
                    <m:t>'</m:t>
                  </m:r>
                </m:sup>
              </m:sSup>
              <m:d>
                <m:dPr>
                  <m:ctrlPr>
                    <w:rPr>
                      <w:rFonts w:ascii="Cambria Math" w:hAnsi="Cambria Math" w:cs="Times New Roman"/>
                    </w:rPr>
                  </m:ctrlPr>
                </m:dPr>
                <m:e>
                  <m:r>
                    <m:rPr>
                      <m:sty m:val="bi"/>
                    </m:rPr>
                    <w:rPr>
                      <w:rFonts w:ascii="Cambria Math" w:hAnsi="Cambria Math" w:cs="Times New Roman"/>
                    </w:rPr>
                    <m:t>K</m:t>
                  </m:r>
                </m:e>
              </m:d>
            </m:den>
          </m:f>
          <m:d>
            <m:dPr>
              <m:begChr m:val="["/>
              <m:endChr m:val="]"/>
              <m:ctrlPr>
                <w:rPr>
                  <w:rFonts w:ascii="Cambria Math" w:hAnsi="Cambria Math" w:cs="Times New Roman"/>
                </w:rPr>
              </m:ctrlPr>
            </m:dPr>
            <m:e>
              <m:r>
                <m:rPr>
                  <m:sty m:val="bi"/>
                </m:rPr>
                <w:rPr>
                  <w:rFonts w:ascii="Cambria Math" w:hAnsi="Cambria Math" w:cs="Times New Roman"/>
                </w:rPr>
                <m:t>ρ</m:t>
              </m:r>
              <m:r>
                <m:rPr>
                  <m:sty m:val="p"/>
                </m:rPr>
                <w:rPr>
                  <w:rFonts w:ascii="Cambria Math" w:hAnsi="Cambria Math" w:cs="Times New Roman"/>
                </w:rPr>
                <m:t>-</m:t>
              </m:r>
              <m:r>
                <m:rPr>
                  <m:sty m:val="bi"/>
                </m:rPr>
                <w:rPr>
                  <w:rFonts w:ascii="Cambria Math" w:hAnsi="Cambria Math" w:cs="Times New Roman"/>
                </w:rPr>
                <m:t>α</m:t>
              </m:r>
            </m:e>
          </m:d>
        </m:oMath>
      </m:oMathPara>
    </w:p>
    <w:p w14:paraId="33107FDF" w14:textId="77777777" w:rsidR="00D526E7" w:rsidRPr="007F37A0" w:rsidRDefault="00D526E7" w:rsidP="007F37A0">
      <w:pPr>
        <w:pStyle w:val="Caption"/>
        <w:rPr>
          <w:rFonts w:cs="Times New Roman"/>
          <w:b/>
        </w:rPr>
      </w:pPr>
      <w:r w:rsidRPr="007F37A0">
        <w:rPr>
          <w:rFonts w:cs="Times New Roman"/>
        </w:rPr>
        <w:t xml:space="preserve">Now, let </w:t>
      </w:r>
      <m:oMath>
        <m:r>
          <m:rPr>
            <m:sty m:val="bi"/>
          </m:rPr>
          <w:rPr>
            <w:rFonts w:ascii="Cambria Math" w:hAnsi="Cambria Math" w:cs="Times New Roman"/>
          </w:rPr>
          <m:t>β=-1</m:t>
        </m:r>
      </m:oMath>
      <w:r w:rsidRPr="007F37A0">
        <w:rPr>
          <w:rFonts w:cs="Times New Roman"/>
        </w:rPr>
        <w:t>.</w:t>
      </w:r>
    </w:p>
    <w:p w14:paraId="1B065C77" w14:textId="77777777" w:rsidR="00D526E7" w:rsidRPr="007F37A0" w:rsidRDefault="00D526E7" w:rsidP="007F37A0">
      <w:pPr>
        <w:pStyle w:val="Caption"/>
        <w:rPr>
          <w:rFonts w:cs="Times New Roman"/>
        </w:rPr>
      </w:pPr>
      <m:oMathPara>
        <m:oMath>
          <m:r>
            <m:rPr>
              <m:sty m:val="bi"/>
            </m:rPr>
            <w:rPr>
              <w:rFonts w:ascii="Cambria Math" w:hAnsi="Cambria Math" w:cs="Times New Roman"/>
            </w:rPr>
            <m:t>Y</m:t>
          </m:r>
          <m:r>
            <m:rPr>
              <m:sty m:val="p"/>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den>
                      </m:f>
                    </m:e>
                  </m:d>
                  <m:f>
                    <m:fPr>
                      <m:ctrlPr>
                        <w:rPr>
                          <w:rFonts w:ascii="Cambria Math" w:hAnsi="Cambria Math" w:cs="Times New Roman"/>
                        </w:rPr>
                      </m:ctrlPr>
                    </m:fPr>
                    <m:num>
                      <m:r>
                        <m:rPr>
                          <m:sty m:val="bi"/>
                        </m:rPr>
                        <w:rPr>
                          <w:rFonts w:ascii="Cambria Math" w:hAnsi="Cambria Math" w:cs="Times New Roman"/>
                        </w:rPr>
                        <m:t>κ</m:t>
                      </m:r>
                    </m:num>
                    <m:den>
                      <m:r>
                        <m:rPr>
                          <m:sty m:val="bi"/>
                        </m:rPr>
                        <w:rPr>
                          <w:rFonts w:ascii="Cambria Math" w:hAnsi="Cambria Math" w:cs="Times New Roman"/>
                        </w:rPr>
                        <m:t>P</m:t>
                      </m:r>
                      <m:sSup>
                        <m:sSupPr>
                          <m:ctrlPr>
                            <w:rPr>
                              <w:rFonts w:ascii="Cambria Math" w:hAnsi="Cambria Math" w:cs="Times New Roman"/>
                            </w:rPr>
                          </m:ctrlPr>
                        </m:sSupPr>
                        <m:e>
                          <m:r>
                            <m:rPr>
                              <m:sty m:val="bi"/>
                            </m:rPr>
                            <w:rPr>
                              <w:rFonts w:ascii="Cambria Math" w:hAnsi="Cambria Math" w:cs="Times New Roman"/>
                            </w:rPr>
                            <m:t>H</m:t>
                          </m:r>
                        </m:e>
                        <m:sup>
                          <m:r>
                            <m:rPr>
                              <m:sty m:val="p"/>
                            </m:rPr>
                            <w:rPr>
                              <w:rFonts w:ascii="Cambria Math" w:hAnsi="Cambria Math" w:cs="Times New Roman"/>
                            </w:rPr>
                            <m:t>'</m:t>
                          </m:r>
                        </m:sup>
                      </m:sSup>
                      <m:d>
                        <m:dPr>
                          <m:ctrlPr>
                            <w:rPr>
                              <w:rFonts w:ascii="Cambria Math" w:hAnsi="Cambria Math" w:cs="Times New Roman"/>
                            </w:rPr>
                          </m:ctrlPr>
                        </m:dPr>
                        <m:e>
                          <m:r>
                            <m:rPr>
                              <m:sty m:val="bi"/>
                            </m:rPr>
                            <w:rPr>
                              <w:rFonts w:ascii="Cambria Math" w:hAnsi="Cambria Math" w:cs="Times New Roman"/>
                            </w:rPr>
                            <m:t>K</m:t>
                          </m:r>
                        </m:e>
                      </m:d>
                    </m:den>
                  </m:f>
                  <m:d>
                    <m:dPr>
                      <m:begChr m:val="["/>
                      <m:endChr m:val="]"/>
                      <m:ctrlPr>
                        <w:rPr>
                          <w:rFonts w:ascii="Cambria Math" w:hAnsi="Cambria Math" w:cs="Times New Roman"/>
                        </w:rPr>
                      </m:ctrlPr>
                    </m:dPr>
                    <m:e>
                      <m:r>
                        <m:rPr>
                          <m:sty m:val="bi"/>
                        </m:rPr>
                        <w:rPr>
                          <w:rFonts w:ascii="Cambria Math" w:hAnsi="Cambria Math" w:cs="Times New Roman"/>
                        </w:rPr>
                        <m:t>ρ</m:t>
                      </m:r>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m:t>
                          </m:r>
                          <m:r>
                            <m:rPr>
                              <m:sty m:val="bi"/>
                            </m:rPr>
                            <w:rPr>
                              <w:rFonts w:ascii="Cambria Math" w:hAnsi="Cambria Math" w:cs="Times New Roman"/>
                            </w:rPr>
                            <m:t>α</m:t>
                          </m:r>
                          <m:r>
                            <m:rPr>
                              <m:sty m:val="p"/>
                            </m:rPr>
                            <w:rPr>
                              <w:rFonts w:ascii="Cambria Math" w:hAnsi="Cambria Math" w:cs="Times New Roman"/>
                            </w:rPr>
                            <m:t>+</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r>
                            <m:rPr>
                              <m:sty m:val="p"/>
                            </m:rPr>
                            <w:rPr>
                              <w:rFonts w:ascii="Cambria Math" w:hAnsi="Cambria Math" w:cs="Times New Roman"/>
                            </w:rPr>
                            <m:t>(-</m:t>
                          </m:r>
                          <m:r>
                            <m:rPr>
                              <m:sty m:val="b"/>
                            </m:rPr>
                            <w:rPr>
                              <w:rFonts w:ascii="Cambria Math" w:hAnsi="Cambria Math" w:cs="Times New Roman"/>
                            </w:rPr>
                            <m:t>1</m:t>
                          </m:r>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m:t>
                              </m:r>
                              <m:r>
                                <m:rPr>
                                  <m:sty m:val="b"/>
                                </m:rPr>
                                <w:rPr>
                                  <w:rFonts w:ascii="Cambria Math" w:hAnsi="Cambria Math" w:cs="Times New Roman"/>
                                </w:rPr>
                                <m:t>2</m:t>
                              </m:r>
                            </m:e>
                          </m:d>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e>
                  </m:d>
                </m:e>
              </m:d>
            </m:e>
            <m:sup>
              <m:r>
                <m:rPr>
                  <m:sty m:val="p"/>
                </m:rPr>
                <w:rPr>
                  <w:rFonts w:ascii="Cambria Math" w:hAnsi="Cambria Math" w:cs="Times New Roman"/>
                </w:rPr>
                <m:t>-</m:t>
              </m:r>
              <m:r>
                <m:rPr>
                  <m:sty m:val="b"/>
                </m:rPr>
                <w:rPr>
                  <w:rFonts w:ascii="Cambria Math" w:hAnsi="Cambria Math" w:cs="Times New Roman"/>
                </w:rPr>
                <m:t>1</m:t>
              </m:r>
            </m:sup>
          </m:sSup>
        </m:oMath>
      </m:oMathPara>
    </w:p>
    <w:p w14:paraId="5E15FB86" w14:textId="77777777" w:rsidR="00D526E7" w:rsidRPr="007F37A0" w:rsidRDefault="00D526E7" w:rsidP="007F37A0">
      <w:pPr>
        <w:pStyle w:val="Caption"/>
        <w:rPr>
          <w:rFonts w:cs="Times New Roman"/>
        </w:rPr>
      </w:pPr>
      <m:oMathPara>
        <m:oMath>
          <m:r>
            <m:rPr>
              <m:sty m:val="bi"/>
            </m:rPr>
            <w:rPr>
              <w:rFonts w:ascii="Cambria Math" w:hAnsi="Cambria Math" w:cs="Times New Roman"/>
            </w:rPr>
            <m:t>Y</m:t>
          </m:r>
          <m:r>
            <m:rPr>
              <m:sty m:val="p"/>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den>
                      </m:f>
                    </m:e>
                  </m:d>
                  <m:f>
                    <m:fPr>
                      <m:ctrlPr>
                        <w:rPr>
                          <w:rFonts w:ascii="Cambria Math" w:hAnsi="Cambria Math" w:cs="Times New Roman"/>
                        </w:rPr>
                      </m:ctrlPr>
                    </m:fPr>
                    <m:num>
                      <m:r>
                        <m:rPr>
                          <m:sty m:val="bi"/>
                        </m:rPr>
                        <w:rPr>
                          <w:rFonts w:ascii="Cambria Math" w:hAnsi="Cambria Math" w:cs="Times New Roman"/>
                        </w:rPr>
                        <m:t>κ</m:t>
                      </m:r>
                    </m:num>
                    <m:den>
                      <m:r>
                        <m:rPr>
                          <m:sty m:val="bi"/>
                        </m:rPr>
                        <w:rPr>
                          <w:rFonts w:ascii="Cambria Math" w:hAnsi="Cambria Math" w:cs="Times New Roman"/>
                        </w:rPr>
                        <m:t>P</m:t>
                      </m:r>
                      <m:sSup>
                        <m:sSupPr>
                          <m:ctrlPr>
                            <w:rPr>
                              <w:rFonts w:ascii="Cambria Math" w:hAnsi="Cambria Math" w:cs="Times New Roman"/>
                            </w:rPr>
                          </m:ctrlPr>
                        </m:sSupPr>
                        <m:e>
                          <m:r>
                            <m:rPr>
                              <m:sty m:val="bi"/>
                            </m:rPr>
                            <w:rPr>
                              <w:rFonts w:ascii="Cambria Math" w:hAnsi="Cambria Math" w:cs="Times New Roman"/>
                            </w:rPr>
                            <m:t>H</m:t>
                          </m:r>
                        </m:e>
                        <m:sup>
                          <m:r>
                            <m:rPr>
                              <m:sty m:val="p"/>
                            </m:rPr>
                            <w:rPr>
                              <w:rFonts w:ascii="Cambria Math" w:hAnsi="Cambria Math" w:cs="Times New Roman"/>
                            </w:rPr>
                            <m:t>'</m:t>
                          </m:r>
                        </m:sup>
                      </m:sSup>
                      <m:d>
                        <m:dPr>
                          <m:ctrlPr>
                            <w:rPr>
                              <w:rFonts w:ascii="Cambria Math" w:hAnsi="Cambria Math" w:cs="Times New Roman"/>
                            </w:rPr>
                          </m:ctrlPr>
                        </m:dPr>
                        <m:e>
                          <m:r>
                            <m:rPr>
                              <m:sty m:val="bi"/>
                            </m:rPr>
                            <w:rPr>
                              <w:rFonts w:ascii="Cambria Math" w:hAnsi="Cambria Math" w:cs="Times New Roman"/>
                            </w:rPr>
                            <m:t>K</m:t>
                          </m:r>
                        </m:e>
                      </m:d>
                    </m:den>
                  </m:f>
                  <m:d>
                    <m:dPr>
                      <m:begChr m:val="["/>
                      <m:endChr m:val="]"/>
                      <m:ctrlPr>
                        <w:rPr>
                          <w:rFonts w:ascii="Cambria Math" w:hAnsi="Cambria Math" w:cs="Times New Roman"/>
                        </w:rPr>
                      </m:ctrlPr>
                    </m:dPr>
                    <m:e>
                      <m:r>
                        <m:rPr>
                          <m:sty m:val="bi"/>
                        </m:rPr>
                        <w:rPr>
                          <w:rFonts w:ascii="Cambria Math" w:hAnsi="Cambria Math" w:cs="Times New Roman"/>
                        </w:rPr>
                        <m:t>ρ</m:t>
                      </m:r>
                      <m:r>
                        <m:rPr>
                          <m:sty m:val="p"/>
                        </m:rPr>
                        <w:rPr>
                          <w:rFonts w:ascii="Cambria Math" w:hAnsi="Cambria Math" w:cs="Times New Roman"/>
                        </w:rPr>
                        <m:t>+</m:t>
                      </m:r>
                      <m:r>
                        <m:rPr>
                          <m:sty m:val="bi"/>
                        </m:rPr>
                        <w:rPr>
                          <w:rFonts w:ascii="Cambria Math" w:hAnsi="Cambria Math" w:cs="Times New Roman"/>
                        </w:rPr>
                        <m:t>α</m:t>
                      </m:r>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e>
              </m:d>
            </m:e>
            <m:sup>
              <m:r>
                <m:rPr>
                  <m:sty m:val="p"/>
                </m:rPr>
                <w:rPr>
                  <w:rFonts w:ascii="Cambria Math" w:hAnsi="Cambria Math" w:cs="Times New Roman"/>
                </w:rPr>
                <m:t>-</m:t>
              </m:r>
              <m:r>
                <m:rPr>
                  <m:sty m:val="b"/>
                </m:rPr>
                <w:rPr>
                  <w:rFonts w:ascii="Cambria Math" w:hAnsi="Cambria Math" w:cs="Times New Roman"/>
                </w:rPr>
                <m:t>1</m:t>
              </m:r>
            </m:sup>
          </m:sSup>
        </m:oMath>
      </m:oMathPara>
    </w:p>
    <w:p w14:paraId="0C5F29A9" w14:textId="77777777" w:rsidR="00D526E7" w:rsidRPr="007F37A0" w:rsidRDefault="00D526E7" w:rsidP="007F37A0">
      <w:pPr>
        <w:pStyle w:val="Caption"/>
        <w:rPr>
          <w:rFonts w:cs="Times New Roman"/>
        </w:rPr>
      </w:pPr>
      <m:oMathPara>
        <m:oMath>
          <m:r>
            <m:rPr>
              <m:sty m:val="bi"/>
            </m:rPr>
            <w:rPr>
              <w:rFonts w:ascii="Cambria Math" w:hAnsi="Cambria Math" w:cs="Times New Roman"/>
            </w:rPr>
            <m:t>Y</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r>
                    <m:rPr>
                      <m:sty m:val="p"/>
                    </m:rPr>
                    <w:rPr>
                      <w:rFonts w:ascii="Cambria Math" w:hAnsi="Cambria Math" w:cs="Times New Roman"/>
                    </w:rPr>
                    <m:t>-</m:t>
                  </m:r>
                  <m:r>
                    <m:rPr>
                      <m:sty m:val="b"/>
                    </m:rPr>
                    <w:rPr>
                      <w:rFonts w:ascii="Cambria Math" w:hAnsi="Cambria Math" w:cs="Times New Roman"/>
                    </w:rPr>
                    <m:t>1</m:t>
                  </m:r>
                </m:num>
                <m:den>
                  <m:sSub>
                    <m:sSubPr>
                      <m:ctrlPr>
                        <w:rPr>
                          <w:rFonts w:ascii="Cambria Math" w:hAnsi="Cambria Math" w:cs="Times New Roman"/>
                        </w:rPr>
                      </m:ctrlPr>
                    </m:sSubPr>
                    <m:e>
                      <m:r>
                        <m:rPr>
                          <m:sty m:val="bi"/>
                        </m:rPr>
                        <w:rPr>
                          <w:rFonts w:ascii="Cambria Math" w:hAnsi="Cambria Math" w:cs="Times New Roman"/>
                        </w:rPr>
                        <m:t>η</m:t>
                      </m:r>
                    </m:e>
                    <m:sub>
                      <m:r>
                        <m:rPr>
                          <m:sty m:val="b"/>
                        </m:rPr>
                        <w:rPr>
                          <w:rFonts w:ascii="Cambria Math" w:hAnsi="Cambria Math" w:cs="Times New Roman"/>
                        </w:rPr>
                        <m:t>1</m:t>
                      </m:r>
                    </m:sub>
                  </m:sSub>
                </m:den>
              </m:f>
            </m:e>
          </m:d>
          <m:f>
            <m:fPr>
              <m:ctrlPr>
                <w:rPr>
                  <w:rFonts w:ascii="Cambria Math" w:hAnsi="Cambria Math" w:cs="Times New Roman"/>
                </w:rPr>
              </m:ctrlPr>
            </m:fPr>
            <m:num>
              <m:r>
                <m:rPr>
                  <m:sty m:val="bi"/>
                </m:rPr>
                <w:rPr>
                  <w:rFonts w:ascii="Cambria Math" w:hAnsi="Cambria Math" w:cs="Times New Roman"/>
                </w:rPr>
                <m:t>PH</m:t>
              </m:r>
              <m:r>
                <m:rPr>
                  <m:sty m:val="p"/>
                </m:rPr>
                <w:rPr>
                  <w:rFonts w:ascii="Cambria Math" w:hAnsi="Cambria Math" w:cs="Times New Roman"/>
                </w:rPr>
                <m:t>'(</m:t>
              </m:r>
              <m:r>
                <m:rPr>
                  <m:sty m:val="bi"/>
                </m:rPr>
                <w:rPr>
                  <w:rFonts w:ascii="Cambria Math" w:hAnsi="Cambria Math" w:cs="Times New Roman"/>
                </w:rPr>
                <m:t>K</m:t>
              </m:r>
              <m:r>
                <m:rPr>
                  <m:sty m:val="p"/>
                </m:rPr>
                <w:rPr>
                  <w:rFonts w:ascii="Cambria Math" w:hAnsi="Cambria Math" w:cs="Times New Roman"/>
                </w:rPr>
                <m:t>)</m:t>
              </m:r>
            </m:num>
            <m:den>
              <m:r>
                <m:rPr>
                  <m:sty m:val="bi"/>
                </m:rPr>
                <w:rPr>
                  <w:rFonts w:ascii="Cambria Math" w:hAnsi="Cambria Math" w:cs="Times New Roman"/>
                </w:rPr>
                <m:t>κ</m:t>
              </m:r>
              <m:d>
                <m:dPr>
                  <m:begChr m:val="["/>
                  <m:endChr m:val="]"/>
                  <m:ctrlPr>
                    <w:rPr>
                      <w:rFonts w:ascii="Cambria Math" w:hAnsi="Cambria Math" w:cs="Times New Roman"/>
                    </w:rPr>
                  </m:ctrlPr>
                </m:dPr>
                <m:e>
                  <m:r>
                    <m:rPr>
                      <m:sty m:val="bi"/>
                    </m:rPr>
                    <w:rPr>
                      <w:rFonts w:ascii="Cambria Math" w:hAnsi="Cambria Math" w:cs="Times New Roman"/>
                    </w:rPr>
                    <m:t>ρ</m:t>
                  </m:r>
                  <m:r>
                    <m:rPr>
                      <m:sty m:val="p"/>
                    </m:rPr>
                    <w:rPr>
                      <w:rFonts w:ascii="Cambria Math" w:hAnsi="Cambria Math" w:cs="Times New Roman"/>
                    </w:rPr>
                    <m:t>+</m:t>
                  </m:r>
                  <m:r>
                    <m:rPr>
                      <m:sty m:val="bi"/>
                    </m:rPr>
                    <w:rPr>
                      <w:rFonts w:ascii="Cambria Math" w:hAnsi="Cambria Math" w:cs="Times New Roman"/>
                    </w:rPr>
                    <m:t>α</m:t>
                  </m:r>
                  <m:r>
                    <m:rPr>
                      <m:sty m:val="p"/>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den>
          </m:f>
        </m:oMath>
      </m:oMathPara>
    </w:p>
    <w:p w14:paraId="39CDF40A" w14:textId="0348B37C" w:rsidR="00D526E7" w:rsidRPr="007F37A0" w:rsidRDefault="00D526E7" w:rsidP="007F37A0">
      <w:pPr>
        <w:pStyle w:val="Caption"/>
        <w:rPr>
          <w:rFonts w:cs="Times New Roman"/>
          <w:b/>
        </w:rPr>
      </w:pPr>
      <w:r w:rsidRPr="007F37A0">
        <w:rPr>
          <w:rFonts w:cs="Times New Roman"/>
        </w:rPr>
        <w:t xml:space="preserve">Now, I turn to the derivation of the investment rate from the barrier control problem. First, consider the novel case where </w:t>
      </w:r>
      <m:oMath>
        <m:r>
          <m:rPr>
            <m:sty m:val="bi"/>
          </m:rPr>
          <w:rPr>
            <w:rFonts w:ascii="Cambria Math" w:hAnsi="Cambria Math" w:cs="Times New Roman"/>
          </w:rPr>
          <m:t>β=-1</m:t>
        </m:r>
      </m:oMath>
      <w:r w:rsidRPr="007F37A0">
        <w:rPr>
          <w:rFonts w:cs="Times New Roman"/>
        </w:rPr>
        <w:t xml:space="preserve">.  Equation </w:t>
      </w:r>
      <w:r w:rsidRPr="007F37A0">
        <w:rPr>
          <w:rFonts w:cs="Times New Roman"/>
          <w:b/>
        </w:rPr>
        <w:fldChar w:fldCharType="begin"/>
      </w:r>
      <w:r w:rsidRPr="007F37A0">
        <w:rPr>
          <w:rFonts w:cs="Times New Roman"/>
        </w:rPr>
        <w:instrText xml:space="preserve"> REF _Ref109898222 \h  \* MERGEFORMAT </w:instrText>
      </w:r>
      <w:r w:rsidRPr="007F37A0">
        <w:rPr>
          <w:rFonts w:cs="Times New Roman"/>
          <w:b/>
        </w:rPr>
      </w:r>
      <w:r w:rsidRPr="007F37A0">
        <w:rPr>
          <w:rFonts w:cs="Times New Roman"/>
          <w:b/>
        </w:rPr>
        <w:fldChar w:fldCharType="separate"/>
      </w:r>
      <w:r w:rsidR="00142A7E" w:rsidRPr="007F37A0">
        <w:rPr>
          <w:rFonts w:cs="Times New Roman"/>
        </w:rPr>
        <w:t xml:space="preserve">( </w:t>
      </w:r>
      <w:r w:rsidR="00142A7E">
        <w:rPr>
          <w:rFonts w:cs="Times New Roman"/>
        </w:rPr>
        <w:t>11</w:t>
      </w:r>
      <w:r w:rsidR="00142A7E" w:rsidRPr="007F37A0">
        <w:rPr>
          <w:rFonts w:cs="Times New Roman"/>
        </w:rPr>
        <w:t xml:space="preserve"> )</w:t>
      </w:r>
      <w:r w:rsidRPr="007F37A0">
        <w:rPr>
          <w:rFonts w:cs="Times New Roman"/>
          <w:b/>
        </w:rPr>
        <w:fldChar w:fldCharType="end"/>
      </w:r>
      <w:r w:rsidRPr="007F37A0">
        <w:rPr>
          <w:rFonts w:cs="Times New Roman"/>
        </w:rPr>
        <w:t xml:space="preserve"> can be rewritten as</w:t>
      </w:r>
    </w:p>
    <w:p w14:paraId="2D17ED97"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Y</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1-θ</m:t>
              </m:r>
            </m:sup>
          </m:sSup>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M</m:t>
              </m:r>
            </m:e>
          </m:acc>
        </m:oMath>
      </m:oMathPara>
    </w:p>
    <w:p w14:paraId="0A02780D" w14:textId="77777777" w:rsidR="00D526E7" w:rsidRPr="007F37A0" w:rsidRDefault="00D526E7" w:rsidP="007F37A0">
      <w:pPr>
        <w:pStyle w:val="Caption"/>
        <w:rPr>
          <w:rFonts w:cs="Times New Roman"/>
          <w:b/>
        </w:rPr>
      </w:pPr>
      <w:r w:rsidRPr="007F37A0">
        <w:rPr>
          <w:rFonts w:cs="Times New Roman"/>
        </w:rPr>
        <w:t xml:space="preserve">where </w:t>
      </w:r>
      <m:oMath>
        <m:acc>
          <m:accPr>
            <m:chr m:val="̅"/>
            <m:ctrlPr>
              <w:rPr>
                <w:rFonts w:ascii="Cambria Math" w:hAnsi="Cambria Math" w:cs="Times New Roman"/>
                <w:i/>
              </w:rPr>
            </m:ctrlPr>
          </m:accPr>
          <m:e>
            <m:r>
              <m:rPr>
                <m:sty m:val="bi"/>
              </m:rPr>
              <w:rPr>
                <w:rFonts w:ascii="Cambria Math" w:hAnsi="Cambria Math" w:cs="Times New Roman"/>
              </w:rPr>
              <m:t>M</m:t>
            </m:r>
          </m:e>
        </m:acc>
        <m:r>
          <m:rPr>
            <m:sty m:val="bi"/>
          </m:rP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m:rPr>
                        <m:sty m:val="bi"/>
                      </m:rPr>
                      <w:rPr>
                        <w:rFonts w:ascii="Cambria Math" w:hAnsi="Cambria Math" w:cs="Times New Roman"/>
                      </w:rPr>
                      <m:t>η</m:t>
                    </m:r>
                  </m:e>
                  <m:sub>
                    <m:r>
                      <m:rPr>
                        <m:sty m:val="bi"/>
                      </m:rPr>
                      <w:rPr>
                        <w:rFonts w:ascii="Cambria Math" w:hAnsi="Cambria Math" w:cs="Times New Roman"/>
                      </w:rPr>
                      <m:t>1</m:t>
                    </m:r>
                  </m:sub>
                </m:sSub>
                <m:r>
                  <m:rPr>
                    <m:sty m:val="bi"/>
                  </m:rPr>
                  <w:rPr>
                    <w:rFonts w:ascii="Cambria Math" w:hAnsi="Cambria Math" w:cs="Times New Roman"/>
                  </w:rPr>
                  <m:t>-1</m:t>
                </m:r>
              </m:num>
              <m:den>
                <m:sSub>
                  <m:sSubPr>
                    <m:ctrlPr>
                      <w:rPr>
                        <w:rFonts w:ascii="Cambria Math" w:hAnsi="Cambria Math" w:cs="Times New Roman"/>
                        <w:i/>
                      </w:rPr>
                    </m:ctrlPr>
                  </m:sSubPr>
                  <m:e>
                    <m:r>
                      <m:rPr>
                        <m:sty m:val="bi"/>
                      </m:rPr>
                      <w:rPr>
                        <w:rFonts w:ascii="Cambria Math" w:hAnsi="Cambria Math" w:cs="Times New Roman"/>
                      </w:rPr>
                      <m:t>η</m:t>
                    </m:r>
                  </m:e>
                  <m:sub>
                    <m:r>
                      <m:rPr>
                        <m:sty m:val="bi"/>
                      </m:rPr>
                      <w:rPr>
                        <w:rFonts w:ascii="Cambria Math" w:hAnsi="Cambria Math" w:cs="Times New Roman"/>
                      </w:rPr>
                      <m:t>1</m:t>
                    </m:r>
                  </m:sub>
                </m:sSub>
              </m:den>
            </m:f>
          </m:e>
        </m:d>
        <m:f>
          <m:fPr>
            <m:ctrlPr>
              <w:rPr>
                <w:rFonts w:ascii="Cambria Math" w:hAnsi="Cambria Math" w:cs="Times New Roman"/>
                <w:i/>
              </w:rPr>
            </m:ctrlPr>
          </m:fPr>
          <m:num>
            <m:r>
              <m:rPr>
                <m:sty m:val="bi"/>
              </m:rPr>
              <w:rPr>
                <w:rFonts w:ascii="Cambria Math" w:hAnsi="Cambria Math" w:cs="Times New Roman"/>
              </w:rPr>
              <m:t>Pθ</m:t>
            </m:r>
          </m:num>
          <m:den>
            <m:r>
              <m:rPr>
                <m:sty m:val="bi"/>
              </m:rPr>
              <w:rPr>
                <w:rFonts w:ascii="Cambria Math" w:hAnsi="Cambria Math" w:cs="Times New Roman"/>
              </w:rPr>
              <m:t>κ</m:t>
            </m:r>
            <m:d>
              <m:dPr>
                <m:begChr m:val="["/>
                <m:endChr m:val="]"/>
                <m:ctrlPr>
                  <w:rPr>
                    <w:rFonts w:ascii="Cambria Math" w:hAnsi="Cambria Math" w:cs="Times New Roman"/>
                    <w:i/>
                  </w:rPr>
                </m:ctrlPr>
              </m:dPr>
              <m:e>
                <m:r>
                  <m:rPr>
                    <m:sty m:val="bi"/>
                  </m:rPr>
                  <w:rPr>
                    <w:rFonts w:ascii="Cambria Math" w:hAnsi="Cambria Math" w:cs="Times New Roman"/>
                  </w:rPr>
                  <m:t>ρ+α-</m:t>
                </m:r>
                <m:sSup>
                  <m:sSupPr>
                    <m:ctrlPr>
                      <w:rPr>
                        <w:rFonts w:ascii="Cambria Math" w:hAnsi="Cambria Math" w:cs="Times New Roman"/>
                        <w:i/>
                      </w:rPr>
                    </m:ctrlPr>
                  </m:sSupPr>
                  <m:e>
                    <m:r>
                      <m:rPr>
                        <m:sty m:val="bi"/>
                      </m:rPr>
                      <w:rPr>
                        <w:rFonts w:ascii="Cambria Math" w:hAnsi="Cambria Math" w:cs="Times New Roman"/>
                      </w:rPr>
                      <m:t>σ</m:t>
                    </m:r>
                  </m:e>
                  <m:sup>
                    <m:r>
                      <m:rPr>
                        <m:sty m:val="bi"/>
                      </m:rPr>
                      <w:rPr>
                        <w:rFonts w:ascii="Cambria Math" w:hAnsi="Cambria Math" w:cs="Times New Roman"/>
                      </w:rPr>
                      <m:t>2</m:t>
                    </m:r>
                  </m:sup>
                </m:sSup>
              </m:e>
            </m:d>
          </m:den>
        </m:f>
      </m:oMath>
      <w:r w:rsidRPr="007F37A0">
        <w:rPr>
          <w:rFonts w:cs="Times New Roman"/>
        </w:rPr>
        <w:t xml:space="preserve"> is a constant given model parameters. When </w:t>
      </w:r>
      <m:oMath>
        <m:r>
          <m:rPr>
            <m:sty m:val="bi"/>
          </m:rPr>
          <w:rPr>
            <w:rFonts w:ascii="Cambria Math" w:hAnsi="Cambria Math" w:cs="Times New Roman"/>
          </w:rPr>
          <m:t>Y</m:t>
        </m:r>
        <m:sSup>
          <m:sSupPr>
            <m:ctrlPr>
              <w:rPr>
                <w:rFonts w:ascii="Cambria Math" w:hAnsi="Cambria Math" w:cs="Times New Roman"/>
                <w:i/>
              </w:rPr>
            </m:ctrlPr>
          </m:sSupPr>
          <m:e>
            <m:r>
              <m:rPr>
                <m:sty m:val="bi"/>
              </m:rPr>
              <w:rPr>
                <w:rFonts w:ascii="Cambria Math" w:hAnsi="Cambria Math" w:cs="Times New Roman"/>
              </w:rPr>
              <m:t>K</m:t>
            </m:r>
          </m:e>
          <m:sup>
            <m:r>
              <m:rPr>
                <m:sty m:val="bi"/>
              </m:rPr>
              <w:rPr>
                <w:rFonts w:ascii="Cambria Math" w:hAnsi="Cambria Math" w:cs="Times New Roman"/>
              </w:rPr>
              <m:t>1-θ</m:t>
            </m:r>
          </m:sup>
        </m:sSup>
        <m:r>
          <m:rPr>
            <m:sty m:val="bi"/>
          </m:rPr>
          <w:rPr>
            <w:rFonts w:ascii="Cambria Math" w:hAnsi="Cambria Math" w:cs="Times New Roman"/>
          </w:rPr>
          <m:t>≤</m:t>
        </m:r>
        <m:acc>
          <m:accPr>
            <m:chr m:val="̅"/>
            <m:ctrlPr>
              <w:rPr>
                <w:rFonts w:ascii="Cambria Math" w:hAnsi="Cambria Math" w:cs="Times New Roman"/>
                <w:i/>
              </w:rPr>
            </m:ctrlPr>
          </m:accPr>
          <m:e>
            <m:r>
              <m:rPr>
                <m:sty m:val="bi"/>
              </m:rPr>
              <w:rPr>
                <w:rFonts w:ascii="Cambria Math" w:hAnsi="Cambria Math" w:cs="Times New Roman"/>
              </w:rPr>
              <m:t>M</m:t>
            </m:r>
          </m:e>
        </m:acc>
      </m:oMath>
      <w:r w:rsidRPr="007F37A0">
        <w:rPr>
          <w:rFonts w:cs="Times New Roman"/>
        </w:rPr>
        <w:t xml:space="preserve"> then the firm increases investment, decreasing </w:t>
      </w:r>
      <m:oMath>
        <m:r>
          <m:rPr>
            <m:sty m:val="bi"/>
          </m:rPr>
          <w:rPr>
            <w:rFonts w:ascii="Cambria Math" w:hAnsi="Cambria Math" w:cs="Times New Roman"/>
          </w:rPr>
          <m:t>Y</m:t>
        </m:r>
        <m:sSup>
          <m:sSupPr>
            <m:ctrlPr>
              <w:rPr>
                <w:rFonts w:ascii="Cambria Math" w:hAnsi="Cambria Math" w:cs="Times New Roman"/>
                <w:i/>
              </w:rPr>
            </m:ctrlPr>
          </m:sSupPr>
          <m:e>
            <m:r>
              <m:rPr>
                <m:sty m:val="bi"/>
              </m:rPr>
              <w:rPr>
                <w:rFonts w:ascii="Cambria Math" w:hAnsi="Cambria Math" w:cs="Times New Roman"/>
              </w:rPr>
              <m:t>K</m:t>
            </m:r>
          </m:e>
          <m:sup>
            <m:r>
              <m:rPr>
                <m:sty m:val="bi"/>
              </m:rPr>
              <w:rPr>
                <w:rFonts w:ascii="Cambria Math" w:hAnsi="Cambria Math" w:cs="Times New Roman"/>
              </w:rPr>
              <m:t>1-θ</m:t>
            </m:r>
          </m:sup>
        </m:sSup>
      </m:oMath>
      <w:r w:rsidRPr="007F37A0">
        <w:rPr>
          <w:rFonts w:cs="Times New Roman"/>
        </w:rPr>
        <w:t xml:space="preserve"> until </w:t>
      </w:r>
      <m:oMath>
        <m:r>
          <m:rPr>
            <m:sty m:val="bi"/>
          </m:rPr>
          <w:rPr>
            <w:rFonts w:ascii="Cambria Math" w:hAnsi="Cambria Math" w:cs="Times New Roman"/>
          </w:rPr>
          <m:t>Y</m:t>
        </m:r>
        <m:sSup>
          <m:sSupPr>
            <m:ctrlPr>
              <w:rPr>
                <w:rFonts w:ascii="Cambria Math" w:hAnsi="Cambria Math" w:cs="Times New Roman"/>
                <w:i/>
              </w:rPr>
            </m:ctrlPr>
          </m:sSupPr>
          <m:e>
            <m:r>
              <m:rPr>
                <m:sty m:val="bi"/>
              </m:rPr>
              <w:rPr>
                <w:rFonts w:ascii="Cambria Math" w:hAnsi="Cambria Math" w:cs="Times New Roman"/>
              </w:rPr>
              <m:t>K</m:t>
            </m:r>
          </m:e>
          <m:sup>
            <m:r>
              <m:rPr>
                <m:sty m:val="bi"/>
              </m:rPr>
              <w:rPr>
                <w:rFonts w:ascii="Cambria Math" w:hAnsi="Cambria Math" w:cs="Times New Roman"/>
              </w:rPr>
              <m:t>1-θ</m:t>
            </m:r>
          </m:sup>
        </m:sSup>
        <m:r>
          <m:rPr>
            <m:sty m:val="bi"/>
          </m:rPr>
          <w:rPr>
            <w:rFonts w:ascii="Cambria Math" w:hAnsi="Cambria Math" w:cs="Times New Roman"/>
          </w:rPr>
          <m:t>=</m:t>
        </m:r>
        <m:acc>
          <m:accPr>
            <m:chr m:val="̅"/>
            <m:ctrlPr>
              <w:rPr>
                <w:rFonts w:ascii="Cambria Math" w:hAnsi="Cambria Math" w:cs="Times New Roman"/>
                <w:i/>
              </w:rPr>
            </m:ctrlPr>
          </m:accPr>
          <m:e>
            <m:r>
              <m:rPr>
                <m:sty m:val="bi"/>
              </m:rPr>
              <w:rPr>
                <w:rFonts w:ascii="Cambria Math" w:hAnsi="Cambria Math" w:cs="Times New Roman"/>
              </w:rPr>
              <m:t>M</m:t>
            </m:r>
          </m:e>
        </m:acc>
      </m:oMath>
      <w:r w:rsidRPr="007F37A0">
        <w:rPr>
          <w:rFonts w:cs="Times New Roman"/>
        </w:rPr>
        <w:t xml:space="preserve">. When </w:t>
      </w:r>
      <m:oMath>
        <m:r>
          <m:rPr>
            <m:sty m:val="bi"/>
          </m:rPr>
          <w:rPr>
            <w:rFonts w:ascii="Cambria Math" w:hAnsi="Cambria Math" w:cs="Times New Roman"/>
          </w:rPr>
          <m:t>Y</m:t>
        </m:r>
        <m:sSup>
          <m:sSupPr>
            <m:ctrlPr>
              <w:rPr>
                <w:rFonts w:ascii="Cambria Math" w:hAnsi="Cambria Math" w:cs="Times New Roman"/>
                <w:i/>
              </w:rPr>
            </m:ctrlPr>
          </m:sSupPr>
          <m:e>
            <m:r>
              <m:rPr>
                <m:sty m:val="bi"/>
              </m:rPr>
              <w:rPr>
                <w:rFonts w:ascii="Cambria Math" w:hAnsi="Cambria Math" w:cs="Times New Roman"/>
              </w:rPr>
              <m:t>K</m:t>
            </m:r>
          </m:e>
          <m:sup>
            <m:r>
              <m:rPr>
                <m:sty m:val="bi"/>
              </m:rPr>
              <w:rPr>
                <w:rFonts w:ascii="Cambria Math" w:hAnsi="Cambria Math" w:cs="Times New Roman"/>
              </w:rPr>
              <m:t>1-θ</m:t>
            </m:r>
          </m:sup>
        </m:sSup>
        <m:r>
          <m:rPr>
            <m:sty m:val="bi"/>
          </m:rPr>
          <w:rPr>
            <w:rFonts w:ascii="Cambria Math" w:hAnsi="Cambria Math" w:cs="Times New Roman"/>
          </w:rPr>
          <m:t>≥</m:t>
        </m:r>
        <m:acc>
          <m:accPr>
            <m:chr m:val="̅"/>
            <m:ctrlPr>
              <w:rPr>
                <w:rFonts w:ascii="Cambria Math" w:hAnsi="Cambria Math" w:cs="Times New Roman"/>
                <w:i/>
              </w:rPr>
            </m:ctrlPr>
          </m:accPr>
          <m:e>
            <m:r>
              <m:rPr>
                <m:sty m:val="bi"/>
              </m:rPr>
              <w:rPr>
                <w:rFonts w:ascii="Cambria Math" w:hAnsi="Cambria Math" w:cs="Times New Roman"/>
              </w:rPr>
              <m:t>M</m:t>
            </m:r>
          </m:e>
        </m:acc>
      </m:oMath>
      <w:r w:rsidRPr="007F37A0">
        <w:rPr>
          <w:rFonts w:cs="Times New Roman"/>
        </w:rPr>
        <w:t xml:space="preserve"> then the firm does not invest in new capital. When the level of capital does not change, then </w:t>
      </w:r>
      <m:oMath>
        <m:r>
          <m:rPr>
            <m:sty m:val="bi"/>
          </m:rPr>
          <w:rPr>
            <w:rFonts w:ascii="Cambria Math" w:hAnsi="Cambria Math" w:cs="Times New Roman"/>
          </w:rPr>
          <m:t>Y</m:t>
        </m:r>
        <m:sSup>
          <m:sSupPr>
            <m:ctrlPr>
              <w:rPr>
                <w:rFonts w:ascii="Cambria Math" w:hAnsi="Cambria Math" w:cs="Times New Roman"/>
                <w:i/>
              </w:rPr>
            </m:ctrlPr>
          </m:sSupPr>
          <m:e>
            <m:r>
              <m:rPr>
                <m:sty m:val="bi"/>
              </m:rPr>
              <w:rPr>
                <w:rFonts w:ascii="Cambria Math" w:hAnsi="Cambria Math" w:cs="Times New Roman"/>
              </w:rPr>
              <m:t>K</m:t>
            </m:r>
          </m:e>
          <m:sup>
            <m:r>
              <m:rPr>
                <m:sty m:val="bi"/>
              </m:rPr>
              <w:rPr>
                <w:rFonts w:ascii="Cambria Math" w:hAnsi="Cambria Math" w:cs="Times New Roman"/>
              </w:rPr>
              <m:t>1-θ</m:t>
            </m:r>
          </m:sup>
        </m:sSup>
      </m:oMath>
      <w:r w:rsidRPr="007F37A0">
        <w:rPr>
          <w:rFonts w:cs="Times New Roman"/>
        </w:rPr>
        <w:t xml:space="preserve"> follows the same Geometric Brownian Motion as </w:t>
      </w:r>
      <m:oMath>
        <m:r>
          <m:rPr>
            <m:sty m:val="bi"/>
          </m:rPr>
          <w:rPr>
            <w:rFonts w:ascii="Cambria Math" w:hAnsi="Cambria Math" w:cs="Times New Roman"/>
          </w:rPr>
          <m:t>Y</m:t>
        </m:r>
      </m:oMath>
      <w:r w:rsidRPr="007F37A0">
        <w:rPr>
          <w:rFonts w:cs="Times New Roman"/>
        </w:rPr>
        <w:t>. Let</w:t>
      </w:r>
      <w:r w:rsidRPr="007F37A0">
        <w:rPr>
          <w:rFonts w:cs="Times New Roman"/>
          <w:i/>
        </w:rPr>
        <w:t xml:space="preserve"> </w:t>
      </w:r>
      <m:oMath>
        <m:r>
          <m:rPr>
            <m:sty m:val="bi"/>
          </m:rPr>
          <w:rPr>
            <w:rFonts w:ascii="Cambria Math" w:hAnsi="Cambria Math" w:cs="Times New Roman"/>
          </w:rPr>
          <m:t>M=Y</m:t>
        </m:r>
        <m:sSup>
          <m:sSupPr>
            <m:ctrlPr>
              <w:rPr>
                <w:rFonts w:ascii="Cambria Math" w:hAnsi="Cambria Math" w:cs="Times New Roman"/>
                <w:i/>
              </w:rPr>
            </m:ctrlPr>
          </m:sSupPr>
          <m:e>
            <m:r>
              <m:rPr>
                <m:sty m:val="bi"/>
              </m:rPr>
              <w:rPr>
                <w:rFonts w:ascii="Cambria Math" w:hAnsi="Cambria Math" w:cs="Times New Roman"/>
              </w:rPr>
              <m:t>K</m:t>
            </m:r>
          </m:e>
          <m:sup>
            <m:r>
              <m:rPr>
                <m:sty m:val="bi"/>
              </m:rPr>
              <w:rPr>
                <w:rFonts w:ascii="Cambria Math" w:hAnsi="Cambria Math" w:cs="Times New Roman"/>
              </w:rPr>
              <m:t>1-θ</m:t>
            </m:r>
          </m:sup>
        </m:sSup>
      </m:oMath>
      <w:r w:rsidRPr="007F37A0">
        <w:rPr>
          <w:rFonts w:cs="Times New Roman"/>
          <w:i/>
        </w:rPr>
        <w:t xml:space="preserve">, </w:t>
      </w:r>
      <w:r w:rsidRPr="007F37A0">
        <w:rPr>
          <w:rFonts w:cs="Times New Roman"/>
        </w:rPr>
        <w:t xml:space="preserve">and </w:t>
      </w:r>
      <m:oMath>
        <m:r>
          <m:rPr>
            <m:sty m:val="bi"/>
          </m:rPr>
          <w:rPr>
            <w:rFonts w:ascii="Cambria Math" w:hAnsi="Cambria Math" w:cs="Times New Roman"/>
          </w:rPr>
          <m:t>m=</m:t>
        </m:r>
        <m:func>
          <m:funcPr>
            <m:ctrlPr>
              <w:rPr>
                <w:rFonts w:ascii="Cambria Math" w:hAnsi="Cambria Math" w:cs="Times New Roman"/>
                <w:i/>
              </w:rPr>
            </m:ctrlPr>
          </m:funcPr>
          <m:fName>
            <m:r>
              <m:rPr>
                <m:sty m:val="b"/>
              </m:rPr>
              <w:rPr>
                <w:rFonts w:ascii="Cambria Math" w:hAnsi="Cambria Math" w:cs="Times New Roman"/>
              </w:rPr>
              <m:t>ln</m:t>
            </m:r>
          </m:fName>
          <m:e>
            <m:d>
              <m:dPr>
                <m:ctrlPr>
                  <w:rPr>
                    <w:rFonts w:ascii="Cambria Math" w:hAnsi="Cambria Math" w:cs="Times New Roman"/>
                    <w:i/>
                  </w:rPr>
                </m:ctrlPr>
              </m:dPr>
              <m:e>
                <m:r>
                  <m:rPr>
                    <m:sty m:val="bi"/>
                  </m:rPr>
                  <w:rPr>
                    <w:rFonts w:ascii="Cambria Math" w:hAnsi="Cambria Math" w:cs="Times New Roman"/>
                  </w:rPr>
                  <m:t>Y</m:t>
                </m:r>
                <m:sSup>
                  <m:sSupPr>
                    <m:ctrlPr>
                      <w:rPr>
                        <w:rFonts w:ascii="Cambria Math" w:hAnsi="Cambria Math" w:cs="Times New Roman"/>
                        <w:i/>
                      </w:rPr>
                    </m:ctrlPr>
                  </m:sSupPr>
                  <m:e>
                    <m:r>
                      <m:rPr>
                        <m:sty m:val="bi"/>
                      </m:rPr>
                      <w:rPr>
                        <w:rFonts w:ascii="Cambria Math" w:hAnsi="Cambria Math" w:cs="Times New Roman"/>
                      </w:rPr>
                      <m:t>K</m:t>
                    </m:r>
                  </m:e>
                  <m:sup>
                    <m:r>
                      <m:rPr>
                        <m:sty m:val="bi"/>
                      </m:rPr>
                      <w:rPr>
                        <w:rFonts w:ascii="Cambria Math" w:hAnsi="Cambria Math" w:cs="Times New Roman"/>
                      </w:rPr>
                      <m:t>1-θ</m:t>
                    </m:r>
                  </m:sup>
                </m:sSup>
              </m:e>
            </m:d>
          </m:e>
        </m:func>
      </m:oMath>
      <w:r w:rsidRPr="007F37A0">
        <w:rPr>
          <w:rFonts w:cs="Times New Roman"/>
        </w:rPr>
        <w:t xml:space="preserve">. Then </w:t>
      </w:r>
      <m:oMath>
        <m:r>
          <m:rPr>
            <m:sty m:val="bi"/>
          </m:rPr>
          <w:rPr>
            <w:rFonts w:ascii="Cambria Math" w:hAnsi="Cambria Math" w:cs="Times New Roman"/>
          </w:rPr>
          <m:t>m</m:t>
        </m:r>
      </m:oMath>
      <w:r w:rsidRPr="007F37A0">
        <w:rPr>
          <w:rFonts w:cs="Times New Roman"/>
        </w:rPr>
        <w:t xml:space="preserve"> follows an Arithmetic Brownian Motion so long as the firm does not invest in new capital. </w:t>
      </w:r>
    </w:p>
    <w:p w14:paraId="1BC4350F"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m=</m:t>
          </m:r>
          <m:d>
            <m:dPr>
              <m:ctrlPr>
                <w:rPr>
                  <w:rFonts w:ascii="Cambria Math" w:hAnsi="Cambria Math" w:cs="Times New Roman"/>
                  <w:i/>
                </w:rPr>
              </m:ctrlPr>
            </m:dPr>
            <m:e>
              <m:r>
                <w:rPr>
                  <w:rFonts w:ascii="Cambria Math" w:hAnsi="Cambria Math" w:cs="Times New Roman"/>
                </w:rPr>
                <m:t>α-</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e>
          </m:d>
          <m:r>
            <w:rPr>
              <w:rFonts w:ascii="Cambria Math" w:hAnsi="Cambria Math" w:cs="Times New Roman"/>
            </w:rPr>
            <m:t>t+σ</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t</m:t>
              </m:r>
            </m:sub>
          </m:sSub>
        </m:oMath>
      </m:oMathPara>
    </w:p>
    <w:p w14:paraId="51344BFA" w14:textId="77777777" w:rsidR="00D526E7" w:rsidRPr="007F37A0" w:rsidRDefault="00D526E7" w:rsidP="007F37A0">
      <w:pPr>
        <w:pStyle w:val="Caption"/>
        <w:rPr>
          <w:rFonts w:cs="Times New Roman"/>
          <w:b/>
        </w:rPr>
      </w:pPr>
      <w:r w:rsidRPr="007F37A0">
        <w:rPr>
          <w:rFonts w:cs="Times New Roman"/>
        </w:rPr>
        <w:lastRenderedPageBreak/>
        <w:t xml:space="preserve">Since </w:t>
      </w:r>
      <m:oMath>
        <m:r>
          <m:rPr>
            <m:sty m:val="bi"/>
          </m:rPr>
          <w:rPr>
            <w:rFonts w:ascii="Cambria Math" w:hAnsi="Cambria Math" w:cs="Times New Roman"/>
          </w:rPr>
          <m:t>m</m:t>
        </m:r>
      </m:oMath>
      <w:r w:rsidRPr="007F37A0">
        <w:rPr>
          <w:rFonts w:cs="Times New Roman"/>
        </w:rPr>
        <w:t xml:space="preserve"> is bounded below, then it has the following density function, </w:t>
      </w:r>
      <m:oMath>
        <m:r>
          <m:rPr>
            <m:sty m:val="b"/>
          </m:rPr>
          <w:rPr>
            <w:rFonts w:ascii="Cambria Math" w:hAnsi="Cambria Math" w:cs="Times New Roman"/>
          </w:rPr>
          <m:t>Π</m:t>
        </m:r>
        <m:d>
          <m:dPr>
            <m:ctrlPr>
              <w:rPr>
                <w:rFonts w:ascii="Cambria Math" w:hAnsi="Cambria Math" w:cs="Times New Roman"/>
                <w:i/>
              </w:rPr>
            </m:ctrlPr>
          </m:dPr>
          <m:e>
            <m:r>
              <m:rPr>
                <m:sty m:val="bi"/>
              </m:rPr>
              <w:rPr>
                <w:rFonts w:ascii="Cambria Math" w:hAnsi="Cambria Math" w:cs="Times New Roman"/>
              </w:rPr>
              <m:t>m</m:t>
            </m:r>
          </m:e>
        </m:d>
        <m:r>
          <m:rPr>
            <m:sty m:val="bi"/>
          </m:rPr>
          <w:rPr>
            <w:rFonts w:ascii="Cambria Math" w:hAnsi="Cambria Math" w:cs="Times New Roman"/>
          </w:rPr>
          <m:t>,</m:t>
        </m:r>
      </m:oMath>
      <w:r w:rsidRPr="007F37A0">
        <w:rPr>
          <w:rFonts w:cs="Times New Roman"/>
        </w:rPr>
        <w:t xml:space="preserve"> assuming </w:t>
      </w:r>
      <m:oMath>
        <m:f>
          <m:fPr>
            <m:ctrlPr>
              <w:rPr>
                <w:rFonts w:ascii="Cambria Math" w:hAnsi="Cambria Math" w:cs="Times New Roman"/>
                <w:i/>
              </w:rPr>
            </m:ctrlPr>
          </m:fPr>
          <m:num>
            <m:r>
              <m:rPr>
                <m:sty m:val="bi"/>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i/>
                  </w:rPr>
                </m:ctrlPr>
              </m:sSupPr>
              <m:e>
                <m:r>
                  <m:rPr>
                    <m:sty m:val="bi"/>
                  </m:rPr>
                  <w:rPr>
                    <w:rFonts w:ascii="Cambria Math" w:hAnsi="Cambria Math" w:cs="Times New Roman"/>
                  </w:rPr>
                  <m:t>σ</m:t>
                </m:r>
              </m:e>
              <m:sup>
                <m:r>
                  <m:rPr>
                    <m:sty m:val="bi"/>
                  </m:rPr>
                  <w:rPr>
                    <w:rFonts w:ascii="Cambria Math" w:hAnsi="Cambria Math" w:cs="Times New Roman"/>
                  </w:rPr>
                  <m:t>2</m:t>
                </m:r>
              </m:sup>
            </m:sSup>
          </m:den>
        </m:f>
        <m:r>
          <m:rPr>
            <m:sty m:val="bi"/>
          </m:rPr>
          <w:rPr>
            <w:rFonts w:ascii="Cambria Math" w:hAnsi="Cambria Math" w:cs="Times New Roman"/>
          </w:rPr>
          <m:t>-1&lt;0</m:t>
        </m:r>
      </m:oMath>
      <w:r w:rsidRPr="007F37A0">
        <w:rPr>
          <w:rFonts w:cs="Times New Roman"/>
        </w:rPr>
        <w:t xml:space="preserve"> or </w:t>
      </w:r>
      <m:oMath>
        <m:r>
          <m:rPr>
            <m:sty m:val="bi"/>
          </m:rPr>
          <w:rPr>
            <w:rFonts w:ascii="Cambria Math" w:hAnsi="Cambria Math" w:cs="Times New Roman"/>
          </w:rPr>
          <m:t>α&lt;</m:t>
        </m:r>
        <m:f>
          <m:fPr>
            <m:ctrlPr>
              <w:rPr>
                <w:rFonts w:ascii="Cambria Math" w:hAnsi="Cambria Math" w:cs="Times New Roman"/>
                <w:i/>
              </w:rPr>
            </m:ctrlPr>
          </m:fPr>
          <m:num>
            <m:sSup>
              <m:sSupPr>
                <m:ctrlPr>
                  <w:rPr>
                    <w:rFonts w:ascii="Cambria Math" w:hAnsi="Cambria Math" w:cs="Times New Roman"/>
                    <w:i/>
                  </w:rPr>
                </m:ctrlPr>
              </m:sSupPr>
              <m:e>
                <m:r>
                  <m:rPr>
                    <m:sty m:val="bi"/>
                  </m:rPr>
                  <w:rPr>
                    <w:rFonts w:ascii="Cambria Math" w:hAnsi="Cambria Math" w:cs="Times New Roman"/>
                  </w:rPr>
                  <m:t>σ</m:t>
                </m:r>
              </m:e>
              <m:sup>
                <m:r>
                  <m:rPr>
                    <m:sty m:val="bi"/>
                  </m:rPr>
                  <w:rPr>
                    <w:rFonts w:ascii="Cambria Math" w:hAnsi="Cambria Math" w:cs="Times New Roman"/>
                  </w:rPr>
                  <m:t>2</m:t>
                </m:r>
              </m:sup>
            </m:sSup>
          </m:num>
          <m:den>
            <m:r>
              <m:rPr>
                <m:sty m:val="bi"/>
              </m:rPr>
              <w:rPr>
                <w:rFonts w:ascii="Cambria Math" w:hAnsi="Cambria Math" w:cs="Times New Roman"/>
              </w:rPr>
              <m:t>2</m:t>
            </m:r>
          </m:den>
        </m:f>
      </m:oMath>
    </w:p>
    <w:p w14:paraId="5E539341" w14:textId="77777777" w:rsidR="00D526E7" w:rsidRPr="007F37A0" w:rsidRDefault="00D526E7" w:rsidP="007F37A0">
      <w:pPr>
        <w:pStyle w:val="Caption"/>
        <w:rPr>
          <w:rFonts w:cs="Times New Roman"/>
        </w:rPr>
      </w:pPr>
      <m:oMathPara>
        <m:oMath>
          <m:r>
            <m:rPr>
              <m:sty m:val="b"/>
            </m:rPr>
            <w:rPr>
              <w:rFonts w:ascii="Cambria Math" w:hAnsi="Cambria Math" w:cs="Times New Roman"/>
            </w:rPr>
            <m:t>Π</m:t>
          </m:r>
          <m:d>
            <m:dPr>
              <m:ctrlPr>
                <w:rPr>
                  <w:rFonts w:ascii="Cambria Math" w:hAnsi="Cambria Math" w:cs="Times New Roman"/>
                </w:rPr>
              </m:ctrlPr>
            </m:dPr>
            <m:e>
              <m:r>
                <m:rPr>
                  <m:sty m:val="bi"/>
                </m:rPr>
                <w:rPr>
                  <w:rFonts w:ascii="Cambria Math" w:hAnsi="Cambria Math" w:cs="Times New Roman"/>
                </w:rPr>
                <m:t>m</m:t>
              </m:r>
            </m:e>
          </m:d>
          <m:r>
            <m:rPr>
              <m:sty m:val="p"/>
            </m:rPr>
            <w:rPr>
              <w:rFonts w:ascii="Cambria Math" w:hAnsi="Cambria Math" w:cs="Times New Roman"/>
            </w:rPr>
            <m:t>= -</m:t>
          </m:r>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r>
                <m:rPr>
                  <m:sty m:val="b"/>
                </m:rPr>
                <w:rPr>
                  <w:rFonts w:ascii="Cambria Math" w:hAnsi="Cambria Math" w:cs="Times New Roman"/>
                </w:rPr>
                <m:t>1</m:t>
              </m:r>
            </m:e>
          </m:d>
          <m:func>
            <m:funcPr>
              <m:ctrlPr>
                <w:rPr>
                  <w:rFonts w:ascii="Cambria Math" w:hAnsi="Cambria Math" w:cs="Times New Roman"/>
                </w:rPr>
              </m:ctrlPr>
            </m:funcPr>
            <m:fName>
              <m:r>
                <m:rPr>
                  <m:sty m:val="b"/>
                </m:rPr>
                <w:rPr>
                  <w:rFonts w:ascii="Cambria Math" w:hAnsi="Cambria Math" w:cs="Times New Roman"/>
                </w:rPr>
                <m:t>exp</m:t>
              </m:r>
            </m:fName>
            <m:e>
              <m:d>
                <m:dPr>
                  <m:ctrlPr>
                    <w:rPr>
                      <w:rFonts w:ascii="Cambria Math" w:hAnsi="Cambria Math" w:cs="Times New Roman"/>
                    </w:rPr>
                  </m:ctrlPr>
                </m:dPr>
                <m:e>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r>
                        <m:rPr>
                          <m:sty m:val="b"/>
                        </m:rPr>
                        <w:rPr>
                          <w:rFonts w:ascii="Cambria Math" w:hAnsi="Cambria Math" w:cs="Times New Roman"/>
                        </w:rPr>
                        <m:t>1</m:t>
                      </m:r>
                    </m:e>
                  </m:d>
                  <m:d>
                    <m:dPr>
                      <m:ctrlPr>
                        <w:rPr>
                          <w:rFonts w:ascii="Cambria Math" w:hAnsi="Cambria Math" w:cs="Times New Roman"/>
                        </w:rPr>
                      </m:ctrlPr>
                    </m:dPr>
                    <m:e>
                      <m:r>
                        <m:rPr>
                          <m:sty m:val="bi"/>
                        </m:rPr>
                        <w:rPr>
                          <w:rFonts w:ascii="Cambria Math" w:hAnsi="Cambria Math" w:cs="Times New Roman"/>
                        </w:rPr>
                        <m:t>m</m:t>
                      </m:r>
                      <m:r>
                        <m:rPr>
                          <m:sty m:val="p"/>
                        </m:rPr>
                        <w:rPr>
                          <w:rFonts w:ascii="Cambria Math" w:hAnsi="Cambria Math" w:cs="Times New Roman"/>
                        </w:rPr>
                        <m:t>-</m:t>
                      </m:r>
                      <m:acc>
                        <m:accPr>
                          <m:chr m:val="̅"/>
                          <m:ctrlPr>
                            <w:rPr>
                              <w:rFonts w:ascii="Cambria Math" w:hAnsi="Cambria Math" w:cs="Times New Roman"/>
                            </w:rPr>
                          </m:ctrlPr>
                        </m:accPr>
                        <m:e>
                          <m:r>
                            <m:rPr>
                              <m:sty m:val="bi"/>
                            </m:rPr>
                            <w:rPr>
                              <w:rFonts w:ascii="Cambria Math" w:hAnsi="Cambria Math" w:cs="Times New Roman"/>
                            </w:rPr>
                            <m:t>m</m:t>
                          </m:r>
                        </m:e>
                      </m:acc>
                    </m:e>
                  </m:d>
                </m:e>
              </m:d>
            </m:e>
          </m:func>
        </m:oMath>
      </m:oMathPara>
    </w:p>
    <w:p w14:paraId="474511DC" w14:textId="77777777" w:rsidR="00D526E7" w:rsidRPr="007F37A0" w:rsidRDefault="00D526E7" w:rsidP="007F37A0">
      <w:pPr>
        <w:pStyle w:val="Caption"/>
        <w:rPr>
          <w:rFonts w:cs="Times New Roman"/>
        </w:rPr>
      </w:pPr>
      <w:r w:rsidRPr="007F37A0">
        <w:rPr>
          <w:rFonts w:cs="Times New Roman"/>
        </w:rPr>
        <w:t xml:space="preserve">for </w:t>
      </w:r>
      <m:oMath>
        <m:acc>
          <m:accPr>
            <m:chr m:val="̅"/>
            <m:ctrlPr>
              <w:rPr>
                <w:rFonts w:ascii="Cambria Math" w:hAnsi="Cambria Math" w:cs="Times New Roman"/>
              </w:rPr>
            </m:ctrlPr>
          </m:accPr>
          <m:e>
            <m:r>
              <m:rPr>
                <m:sty m:val="bi"/>
              </m:rPr>
              <w:rPr>
                <w:rFonts w:ascii="Cambria Math" w:hAnsi="Cambria Math" w:cs="Times New Roman"/>
              </w:rPr>
              <m:t>m</m:t>
            </m:r>
          </m:e>
        </m:acc>
        <m:r>
          <m:rPr>
            <m:sty m:val="p"/>
          </m:rPr>
          <w:rPr>
            <w:rFonts w:ascii="Cambria Math" w:hAnsi="Cambria Math" w:cs="Times New Roman"/>
          </w:rPr>
          <m:t>&lt;</m:t>
        </m:r>
        <m:r>
          <m:rPr>
            <m:sty m:val="bi"/>
          </m:rPr>
          <w:rPr>
            <w:rFonts w:ascii="Cambria Math" w:hAnsi="Cambria Math" w:cs="Times New Roman"/>
          </w:rPr>
          <m:t>m</m:t>
        </m:r>
        <m:r>
          <m:rPr>
            <m:sty m:val="p"/>
          </m:rPr>
          <w:rPr>
            <w:rFonts w:ascii="Cambria Math" w:hAnsi="Cambria Math" w:cs="Times New Roman"/>
          </w:rPr>
          <m:t>&lt;∞</m:t>
        </m:r>
      </m:oMath>
      <w:r w:rsidRPr="007F37A0">
        <w:rPr>
          <w:rFonts w:cs="Times New Roman"/>
        </w:rPr>
        <w:t xml:space="preserve">. </w:t>
      </w:r>
    </w:p>
    <w:p w14:paraId="3FCAF851" w14:textId="77777777" w:rsidR="00D526E7" w:rsidRPr="007F37A0" w:rsidRDefault="00D526E7" w:rsidP="007F37A0">
      <w:pPr>
        <w:pStyle w:val="Caption"/>
        <w:rPr>
          <w:rFonts w:cs="Times New Roman"/>
          <w:b/>
        </w:rPr>
      </w:pPr>
      <w:r w:rsidRPr="007F37A0">
        <w:rPr>
          <w:rFonts w:cs="Times New Roman"/>
        </w:rPr>
        <w:t xml:space="preserve">To derive the investment rate, consider the scenario where a firm will invest in new capital. A firm invests in new capital when </w:t>
      </w:r>
      <m:oMath>
        <m:r>
          <m:rPr>
            <m:sty m:val="bi"/>
          </m:rPr>
          <w:rPr>
            <w:rFonts w:ascii="Cambria Math" w:hAnsi="Cambria Math" w:cs="Times New Roman"/>
          </w:rPr>
          <m:t>m</m:t>
        </m:r>
      </m:oMath>
      <w:r w:rsidRPr="007F37A0">
        <w:rPr>
          <w:rFonts w:cs="Times New Roman"/>
        </w:rPr>
        <w:t xml:space="preserve"> falls to hit the boundary condition. The probability that </w:t>
      </w:r>
      <m:oMath>
        <m:r>
          <m:rPr>
            <m:sty m:val="bi"/>
          </m:rPr>
          <w:rPr>
            <w:rFonts w:ascii="Cambria Math" w:hAnsi="Cambria Math" w:cs="Times New Roman"/>
          </w:rPr>
          <m:t>m</m:t>
        </m:r>
      </m:oMath>
      <w:r w:rsidRPr="007F37A0">
        <w:rPr>
          <w:rFonts w:cs="Times New Roman"/>
        </w:rPr>
        <w:t xml:space="preserve"> hits the boundary condition is equal to the probability that </w:t>
      </w:r>
      <m:oMath>
        <m:r>
          <m:rPr>
            <m:sty m:val="bi"/>
          </m:rPr>
          <w:rPr>
            <w:rFonts w:ascii="Cambria Math" w:hAnsi="Cambria Math" w:cs="Times New Roman"/>
          </w:rPr>
          <m:t>m</m:t>
        </m:r>
      </m:oMath>
      <w:r w:rsidRPr="007F37A0">
        <w:rPr>
          <w:rFonts w:cs="Times New Roman"/>
        </w:rPr>
        <w:t xml:space="preserve"> is sufficiently close to the boundary times the probability that </w:t>
      </w:r>
      <m:oMath>
        <m:r>
          <m:rPr>
            <m:sty m:val="bi"/>
          </m:rPr>
          <w:rPr>
            <w:rFonts w:ascii="Cambria Math" w:hAnsi="Cambria Math" w:cs="Times New Roman"/>
          </w:rPr>
          <m:t>m</m:t>
        </m:r>
      </m:oMath>
      <w:r w:rsidRPr="007F37A0">
        <w:rPr>
          <w:rFonts w:cs="Times New Roman"/>
        </w:rPr>
        <w:t xml:space="preserve"> decreases causing it to hit the boundary condition. The probability that </w:t>
      </w:r>
      <m:oMath>
        <m:r>
          <m:rPr>
            <m:sty m:val="bi"/>
          </m:rPr>
          <w:rPr>
            <w:rFonts w:ascii="Cambria Math" w:hAnsi="Cambria Math" w:cs="Times New Roman"/>
          </w:rPr>
          <m:t>m</m:t>
        </m:r>
      </m:oMath>
      <w:r w:rsidRPr="007F37A0">
        <w:rPr>
          <w:rFonts w:cs="Times New Roman"/>
        </w:rPr>
        <w:t xml:space="preserve"> is sufficiently close to the barrier times is </w:t>
      </w:r>
      <m:oMath>
        <m:r>
          <m:rPr>
            <m:sty m:val="bi"/>
          </m:rPr>
          <w:rPr>
            <w:rFonts w:ascii="Cambria Math" w:hAnsi="Cambria Math" w:cs="Times New Roman"/>
          </w:rPr>
          <m:t>-dh</m:t>
        </m:r>
        <m:d>
          <m:dPr>
            <m:ctrlPr>
              <w:rPr>
                <w:rFonts w:ascii="Cambria Math" w:hAnsi="Cambria Math" w:cs="Times New Roman"/>
                <w:i/>
              </w:rPr>
            </m:ctrlPr>
          </m:dPr>
          <m:e>
            <m:f>
              <m:fPr>
                <m:ctrlPr>
                  <w:rPr>
                    <w:rFonts w:ascii="Cambria Math" w:hAnsi="Cambria Math" w:cs="Times New Roman"/>
                    <w:i/>
                  </w:rPr>
                </m:ctrlPr>
              </m:fPr>
              <m:num>
                <m:r>
                  <m:rPr>
                    <m:sty m:val="bi"/>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i/>
                      </w:rPr>
                    </m:ctrlPr>
                  </m:sSupPr>
                  <m:e>
                    <m:r>
                      <m:rPr>
                        <m:sty m:val="bi"/>
                      </m:rPr>
                      <w:rPr>
                        <w:rFonts w:ascii="Cambria Math" w:hAnsi="Cambria Math" w:cs="Times New Roman"/>
                      </w:rPr>
                      <m:t>σ</m:t>
                    </m:r>
                  </m:e>
                  <m:sup>
                    <m:r>
                      <m:rPr>
                        <m:sty m:val="bi"/>
                      </m:rPr>
                      <w:rPr>
                        <w:rFonts w:ascii="Cambria Math" w:hAnsi="Cambria Math" w:cs="Times New Roman"/>
                      </w:rPr>
                      <m:t>2</m:t>
                    </m:r>
                  </m:sup>
                </m:sSup>
              </m:den>
            </m:f>
            <m:r>
              <m:rPr>
                <m:sty m:val="bi"/>
              </m:rPr>
              <w:rPr>
                <w:rFonts w:ascii="Cambria Math" w:hAnsi="Cambria Math" w:cs="Times New Roman"/>
              </w:rPr>
              <m:t>-1</m:t>
            </m:r>
          </m:e>
        </m:d>
      </m:oMath>
      <w:r w:rsidRPr="007F37A0">
        <w:rPr>
          <w:rFonts w:cs="Times New Roman"/>
        </w:rPr>
        <w:t xml:space="preserve"> where </w:t>
      </w:r>
      <m:oMath>
        <m:r>
          <m:rPr>
            <m:sty m:val="bi"/>
          </m:rPr>
          <w:rPr>
            <w:rFonts w:ascii="Cambria Math" w:hAnsi="Cambria Math" w:cs="Times New Roman"/>
          </w:rPr>
          <m:t>dh=σ</m:t>
        </m:r>
        <m:rad>
          <m:radPr>
            <m:degHide m:val="1"/>
            <m:ctrlPr>
              <w:rPr>
                <w:rFonts w:ascii="Cambria Math" w:hAnsi="Cambria Math" w:cs="Times New Roman"/>
                <w:i/>
              </w:rPr>
            </m:ctrlPr>
          </m:radPr>
          <m:deg/>
          <m:e>
            <m:r>
              <m:rPr>
                <m:sty m:val="bi"/>
              </m:rPr>
              <w:rPr>
                <w:rFonts w:ascii="Cambria Math" w:hAnsi="Cambria Math" w:cs="Times New Roman"/>
              </w:rPr>
              <m:t>dt</m:t>
            </m:r>
          </m:e>
        </m:rad>
      </m:oMath>
      <w:r w:rsidRPr="007F37A0">
        <w:rPr>
          <w:rFonts w:cs="Times New Roman"/>
        </w:rPr>
        <w:t xml:space="preserve"> is a small partition of </w:t>
      </w:r>
      <m:oMath>
        <m:r>
          <m:rPr>
            <m:sty m:val="bi"/>
          </m:rPr>
          <w:rPr>
            <w:rFonts w:ascii="Cambria Math" w:hAnsi="Cambria Math" w:cs="Times New Roman"/>
          </w:rPr>
          <m:t>m</m:t>
        </m:r>
      </m:oMath>
      <w:r w:rsidRPr="007F37A0">
        <w:rPr>
          <w:rFonts w:cs="Times New Roman"/>
        </w:rPr>
        <w:t xml:space="preserve">. The probability that </w:t>
      </w:r>
      <m:oMath>
        <m:r>
          <m:rPr>
            <m:sty m:val="bi"/>
          </m:rPr>
          <w:rPr>
            <w:rFonts w:ascii="Cambria Math" w:hAnsi="Cambria Math" w:cs="Times New Roman"/>
          </w:rPr>
          <m:t>m</m:t>
        </m:r>
      </m:oMath>
      <w:r w:rsidRPr="007F37A0">
        <w:rPr>
          <w:rFonts w:cs="Times New Roman"/>
        </w:rPr>
        <w:t xml:space="preserve"> decreases is </w:t>
      </w:r>
      <m:oMath>
        <m:f>
          <m:fPr>
            <m:ctrlPr>
              <w:rPr>
                <w:rFonts w:ascii="Cambria Math" w:hAnsi="Cambria Math" w:cs="Times New Roman"/>
                <w:i/>
              </w:rPr>
            </m:ctrlPr>
          </m:fPr>
          <m:num>
            <m:r>
              <m:rPr>
                <m:sty m:val="bi"/>
              </m:rPr>
              <w:rPr>
                <w:rFonts w:ascii="Cambria Math" w:hAnsi="Cambria Math" w:cs="Times New Roman"/>
              </w:rPr>
              <m:t>1</m:t>
            </m:r>
          </m:num>
          <m:den>
            <m:r>
              <m:rPr>
                <m:sty m:val="bi"/>
              </m:rPr>
              <w:rPr>
                <w:rFonts w:ascii="Cambria Math" w:hAnsi="Cambria Math" w:cs="Times New Roman"/>
              </w:rPr>
              <m:t>2</m:t>
            </m:r>
          </m:den>
        </m:f>
        <m:d>
          <m:dPr>
            <m:begChr m:val="["/>
            <m:endChr m:val="]"/>
            <m:ctrlPr>
              <w:rPr>
                <w:rFonts w:ascii="Cambria Math" w:hAnsi="Cambria Math" w:cs="Times New Roman"/>
                <w:i/>
              </w:rPr>
            </m:ctrlPr>
          </m:dPr>
          <m:e>
            <m:r>
              <m:rPr>
                <m:sty m:val="bi"/>
              </m:rPr>
              <w:rPr>
                <w:rFonts w:ascii="Cambria Math" w:hAnsi="Cambria Math" w:cs="Times New Roman"/>
              </w:rPr>
              <m:t>1-</m:t>
            </m:r>
            <m:f>
              <m:fPr>
                <m:ctrlPr>
                  <w:rPr>
                    <w:rFonts w:ascii="Cambria Math" w:hAnsi="Cambria Math" w:cs="Times New Roman"/>
                    <w:i/>
                  </w:rPr>
                </m:ctrlPr>
              </m:fPr>
              <m:num>
                <m:r>
                  <m:rPr>
                    <m:sty m:val="bi"/>
                  </m:rP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r>
                          <m:rPr>
                            <m:sty m:val="bi"/>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i/>
                              </w:rPr>
                            </m:ctrlPr>
                          </m:sSupPr>
                          <m:e>
                            <m:r>
                              <m:rPr>
                                <m:sty m:val="bi"/>
                              </m:rPr>
                              <w:rPr>
                                <w:rFonts w:ascii="Cambria Math" w:hAnsi="Cambria Math" w:cs="Times New Roman"/>
                              </w:rPr>
                              <m:t>σ</m:t>
                            </m:r>
                          </m:e>
                          <m:sup>
                            <m:r>
                              <m:rPr>
                                <m:sty m:val="bi"/>
                              </m:rPr>
                              <w:rPr>
                                <w:rFonts w:ascii="Cambria Math" w:hAnsi="Cambria Math" w:cs="Times New Roman"/>
                              </w:rPr>
                              <m:t>2</m:t>
                            </m:r>
                          </m:sup>
                        </m:sSup>
                      </m:den>
                    </m:f>
                    <m:r>
                      <m:rPr>
                        <m:sty m:val="bi"/>
                      </m:rPr>
                      <w:rPr>
                        <w:rFonts w:ascii="Cambria Math" w:hAnsi="Cambria Math" w:cs="Times New Roman"/>
                      </w:rPr>
                      <m:t>-1</m:t>
                    </m:r>
                  </m:e>
                </m:d>
                <m:rad>
                  <m:radPr>
                    <m:degHide m:val="1"/>
                    <m:ctrlPr>
                      <w:rPr>
                        <w:rFonts w:ascii="Cambria Math" w:hAnsi="Cambria Math" w:cs="Times New Roman"/>
                        <w:i/>
                      </w:rPr>
                    </m:ctrlPr>
                  </m:radPr>
                  <m:deg/>
                  <m:e>
                    <m:r>
                      <m:rPr>
                        <m:sty m:val="bi"/>
                      </m:rPr>
                      <w:rPr>
                        <w:rFonts w:ascii="Cambria Math" w:hAnsi="Cambria Math" w:cs="Times New Roman"/>
                      </w:rPr>
                      <m:t>dt</m:t>
                    </m:r>
                  </m:e>
                </m:rad>
              </m:num>
              <m:den>
                <m:r>
                  <m:rPr>
                    <m:sty m:val="bi"/>
                  </m:rPr>
                  <w:rPr>
                    <w:rFonts w:ascii="Cambria Math" w:hAnsi="Cambria Math" w:cs="Times New Roman"/>
                  </w:rPr>
                  <m:t>σ</m:t>
                </m:r>
              </m:den>
            </m:f>
          </m:e>
        </m:d>
      </m:oMath>
      <w:r w:rsidRPr="007F37A0">
        <w:rPr>
          <w:rFonts w:cs="Times New Roman"/>
        </w:rPr>
        <w:t xml:space="preserve">. So, the probability that a firm will invest in new capital is equal to </w:t>
      </w:r>
      <m:oMath>
        <m:r>
          <m:rPr>
            <m:sty m:val="bi"/>
          </m:rPr>
          <w:rPr>
            <w:rFonts w:ascii="Cambria Math" w:hAnsi="Cambria Math" w:cs="Times New Roman"/>
          </w:rPr>
          <m:t>-dh</m:t>
        </m:r>
        <m:d>
          <m:dPr>
            <m:ctrlPr>
              <w:rPr>
                <w:rFonts w:ascii="Cambria Math" w:hAnsi="Cambria Math" w:cs="Times New Roman"/>
                <w:i/>
              </w:rPr>
            </m:ctrlPr>
          </m:dPr>
          <m:e>
            <m:f>
              <m:fPr>
                <m:ctrlPr>
                  <w:rPr>
                    <w:rFonts w:ascii="Cambria Math" w:hAnsi="Cambria Math" w:cs="Times New Roman"/>
                    <w:i/>
                  </w:rPr>
                </m:ctrlPr>
              </m:fPr>
              <m:num>
                <m:r>
                  <m:rPr>
                    <m:sty m:val="bi"/>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i/>
                      </w:rPr>
                    </m:ctrlPr>
                  </m:sSupPr>
                  <m:e>
                    <m:r>
                      <m:rPr>
                        <m:sty m:val="bi"/>
                      </m:rPr>
                      <w:rPr>
                        <w:rFonts w:ascii="Cambria Math" w:hAnsi="Cambria Math" w:cs="Times New Roman"/>
                      </w:rPr>
                      <m:t>σ</m:t>
                    </m:r>
                  </m:e>
                  <m:sup>
                    <m:r>
                      <m:rPr>
                        <m:sty m:val="bi"/>
                      </m:rPr>
                      <w:rPr>
                        <w:rFonts w:ascii="Cambria Math" w:hAnsi="Cambria Math" w:cs="Times New Roman"/>
                      </w:rPr>
                      <m:t>2</m:t>
                    </m:r>
                  </m:sup>
                </m:sSup>
              </m:den>
            </m:f>
            <m:r>
              <m:rPr>
                <m:sty m:val="bi"/>
              </m:rPr>
              <w:rPr>
                <w:rFonts w:ascii="Cambria Math" w:hAnsi="Cambria Math" w:cs="Times New Roman"/>
              </w:rPr>
              <m:t>-1</m:t>
            </m:r>
          </m:e>
        </m:d>
        <m:f>
          <m:fPr>
            <m:ctrlPr>
              <w:rPr>
                <w:rFonts w:ascii="Cambria Math" w:hAnsi="Cambria Math" w:cs="Times New Roman"/>
                <w:i/>
              </w:rPr>
            </m:ctrlPr>
          </m:fPr>
          <m:num>
            <m:r>
              <m:rPr>
                <m:sty m:val="bi"/>
              </m:rPr>
              <w:rPr>
                <w:rFonts w:ascii="Cambria Math" w:hAnsi="Cambria Math" w:cs="Times New Roman"/>
              </w:rPr>
              <m:t>1</m:t>
            </m:r>
          </m:num>
          <m:den>
            <m:r>
              <m:rPr>
                <m:sty m:val="bi"/>
              </m:rPr>
              <w:rPr>
                <w:rFonts w:ascii="Cambria Math" w:hAnsi="Cambria Math" w:cs="Times New Roman"/>
              </w:rPr>
              <m:t>2</m:t>
            </m:r>
          </m:den>
        </m:f>
        <m:d>
          <m:dPr>
            <m:begChr m:val="["/>
            <m:endChr m:val="]"/>
            <m:ctrlPr>
              <w:rPr>
                <w:rFonts w:ascii="Cambria Math" w:hAnsi="Cambria Math" w:cs="Times New Roman"/>
                <w:i/>
              </w:rPr>
            </m:ctrlPr>
          </m:dPr>
          <m:e>
            <m:r>
              <m:rPr>
                <m:sty m:val="bi"/>
              </m:rPr>
              <w:rPr>
                <w:rFonts w:ascii="Cambria Math" w:hAnsi="Cambria Math" w:cs="Times New Roman"/>
              </w:rPr>
              <m:t>1-</m:t>
            </m:r>
            <m:f>
              <m:fPr>
                <m:ctrlPr>
                  <w:rPr>
                    <w:rFonts w:ascii="Cambria Math" w:hAnsi="Cambria Math" w:cs="Times New Roman"/>
                    <w:i/>
                  </w:rPr>
                </m:ctrlPr>
              </m:fPr>
              <m:num>
                <m:r>
                  <m:rPr>
                    <m:sty m:val="bi"/>
                  </m:rP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r>
                          <m:rPr>
                            <m:sty m:val="bi"/>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i/>
                              </w:rPr>
                            </m:ctrlPr>
                          </m:sSupPr>
                          <m:e>
                            <m:r>
                              <m:rPr>
                                <m:sty m:val="bi"/>
                              </m:rPr>
                              <w:rPr>
                                <w:rFonts w:ascii="Cambria Math" w:hAnsi="Cambria Math" w:cs="Times New Roman"/>
                              </w:rPr>
                              <m:t>σ</m:t>
                            </m:r>
                          </m:e>
                          <m:sup>
                            <m:r>
                              <m:rPr>
                                <m:sty m:val="bi"/>
                              </m:rPr>
                              <w:rPr>
                                <w:rFonts w:ascii="Cambria Math" w:hAnsi="Cambria Math" w:cs="Times New Roman"/>
                              </w:rPr>
                              <m:t>2</m:t>
                            </m:r>
                          </m:sup>
                        </m:sSup>
                      </m:den>
                    </m:f>
                    <m:r>
                      <m:rPr>
                        <m:sty m:val="bi"/>
                      </m:rPr>
                      <w:rPr>
                        <w:rFonts w:ascii="Cambria Math" w:hAnsi="Cambria Math" w:cs="Times New Roman"/>
                      </w:rPr>
                      <m:t>-1</m:t>
                    </m:r>
                  </m:e>
                </m:d>
                <m:rad>
                  <m:radPr>
                    <m:degHide m:val="1"/>
                    <m:ctrlPr>
                      <w:rPr>
                        <w:rFonts w:ascii="Cambria Math" w:hAnsi="Cambria Math" w:cs="Times New Roman"/>
                        <w:i/>
                      </w:rPr>
                    </m:ctrlPr>
                  </m:radPr>
                  <m:deg/>
                  <m:e>
                    <m:r>
                      <m:rPr>
                        <m:sty m:val="bi"/>
                      </m:rPr>
                      <w:rPr>
                        <w:rFonts w:ascii="Cambria Math" w:hAnsi="Cambria Math" w:cs="Times New Roman"/>
                      </w:rPr>
                      <m:t>dt</m:t>
                    </m:r>
                  </m:e>
                </m:rad>
              </m:num>
              <m:den>
                <m:r>
                  <m:rPr>
                    <m:sty m:val="bi"/>
                  </m:rPr>
                  <w:rPr>
                    <w:rFonts w:ascii="Cambria Math" w:hAnsi="Cambria Math" w:cs="Times New Roman"/>
                  </w:rPr>
                  <m:t>σ</m:t>
                </m:r>
              </m:den>
            </m:f>
          </m:e>
        </m:d>
      </m:oMath>
      <w:r w:rsidRPr="007F37A0">
        <w:rPr>
          <w:rFonts w:cs="Times New Roman"/>
        </w:rPr>
        <w:t xml:space="preserve">. </w:t>
      </w:r>
    </w:p>
    <w:p w14:paraId="68A51BA2" w14:textId="77777777" w:rsidR="00D526E7" w:rsidRPr="007F37A0" w:rsidRDefault="00D526E7" w:rsidP="007F37A0">
      <w:pPr>
        <w:pStyle w:val="Caption"/>
        <w:rPr>
          <w:rFonts w:cs="Times New Roman"/>
          <w:b/>
        </w:rPr>
      </w:pPr>
      <w:r w:rsidRPr="007F37A0">
        <w:rPr>
          <w:rFonts w:cs="Times New Roman"/>
        </w:rPr>
        <w:tab/>
        <w:t>Next, consider the size of the investment when a firm does invest in new capital. Taking the natural logs of the boundary condition</w:t>
      </w:r>
    </w:p>
    <w:p w14:paraId="2121F862" w14:textId="77777777" w:rsidR="00D526E7" w:rsidRPr="007F37A0" w:rsidRDefault="00000000" w:rsidP="00D526E7">
      <w:pPr>
        <w:spacing w:line="480" w:lineRule="auto"/>
        <w:rPr>
          <w:rFonts w:ascii="Times New Roman" w:eastAsiaTheme="minorEastAsia" w:hAnsi="Times New Roman" w:cs="Times New Roman"/>
        </w:rPr>
      </w:pPr>
      <m:oMathPara>
        <m:oMath>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Y</m:t>
                  </m:r>
                </m:e>
              </m:d>
            </m:e>
          </m:func>
          <m:r>
            <w:rPr>
              <w:rFonts w:ascii="Cambria Math" w:hAnsi="Cambria Math" w:cs="Times New Roman"/>
            </w:rPr>
            <m:t>+</m:t>
          </m:r>
          <m:d>
            <m:dPr>
              <m:ctrlPr>
                <w:rPr>
                  <w:rFonts w:ascii="Cambria Math" w:hAnsi="Cambria Math" w:cs="Times New Roman"/>
                  <w:i/>
                </w:rPr>
              </m:ctrlPr>
            </m:dPr>
            <m:e>
              <m:r>
                <w:rPr>
                  <w:rFonts w:ascii="Cambria Math" w:hAnsi="Cambria Math" w:cs="Times New Roman"/>
                </w:rPr>
                <m:t>1-θ</m:t>
              </m:r>
            </m:e>
          </m:d>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K</m:t>
                  </m:r>
                </m:e>
              </m:d>
            </m:e>
          </m:func>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ln</m:t>
              </m:r>
            </m:fName>
            <m:e>
              <m:d>
                <m:dPr>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M</m:t>
                      </m:r>
                    </m:e>
                  </m:acc>
                </m:e>
              </m:d>
            </m:e>
          </m:func>
        </m:oMath>
      </m:oMathPara>
    </w:p>
    <w:p w14:paraId="2F429BF9" w14:textId="77777777" w:rsidR="00D526E7" w:rsidRPr="007F37A0" w:rsidRDefault="00D526E7" w:rsidP="007F37A0">
      <w:pPr>
        <w:pStyle w:val="Caption"/>
        <w:rPr>
          <w:rFonts w:cs="Times New Roman"/>
          <w:b/>
        </w:rPr>
      </w:pPr>
      <w:r w:rsidRPr="007F37A0">
        <w:rPr>
          <w:rFonts w:cs="Times New Roman"/>
        </w:rPr>
        <w:t xml:space="preserve">If </w:t>
      </w:r>
      <m:oMath>
        <m:r>
          <m:rPr>
            <m:sty m:val="bi"/>
          </m:rPr>
          <w:rPr>
            <w:rFonts w:ascii="Cambria Math" w:hAnsi="Cambria Math" w:cs="Times New Roman"/>
          </w:rPr>
          <m:t>Y</m:t>
        </m:r>
      </m:oMath>
      <w:r w:rsidRPr="007F37A0">
        <w:rPr>
          <w:rFonts w:cs="Times New Roman"/>
        </w:rPr>
        <w:t xml:space="preserve"> decreases, then it must be the case that the firm invests to keep </w:t>
      </w:r>
      <m:oMath>
        <m:r>
          <m:rPr>
            <m:sty m:val="bi"/>
          </m:rPr>
          <w:rPr>
            <w:rFonts w:ascii="Cambria Math" w:hAnsi="Cambria Math" w:cs="Times New Roman"/>
          </w:rPr>
          <m:t>m=</m:t>
        </m:r>
        <m:acc>
          <m:accPr>
            <m:chr m:val="̅"/>
            <m:ctrlPr>
              <w:rPr>
                <w:rFonts w:ascii="Cambria Math" w:hAnsi="Cambria Math" w:cs="Times New Roman"/>
                <w:i/>
              </w:rPr>
            </m:ctrlPr>
          </m:accPr>
          <m:e>
            <m:r>
              <m:rPr>
                <m:sty m:val="bi"/>
              </m:rPr>
              <w:rPr>
                <w:rFonts w:ascii="Cambria Math" w:hAnsi="Cambria Math" w:cs="Times New Roman"/>
              </w:rPr>
              <m:t>m</m:t>
            </m:r>
          </m:e>
        </m:acc>
      </m:oMath>
      <w:r w:rsidRPr="007F37A0">
        <w:rPr>
          <w:rFonts w:cs="Times New Roman"/>
        </w:rPr>
        <w:t>. In this case</w:t>
      </w:r>
    </w:p>
    <w:p w14:paraId="2966672A" w14:textId="77777777" w:rsidR="00D526E7" w:rsidRPr="007F37A0" w:rsidRDefault="00D526E7" w:rsidP="00D526E7">
      <w:pPr>
        <w:spacing w:line="480" w:lineRule="auto"/>
        <w:rPr>
          <w:rFonts w:ascii="Times New Roman" w:eastAsiaTheme="minorEastAsia" w:hAnsi="Times New Roman" w:cs="Times New Roman"/>
        </w:rPr>
      </w:pPr>
      <m:oMathPara>
        <m:oMath>
          <m:r>
            <w:rPr>
              <w:rFonts w:ascii="Cambria Math" w:hAnsi="Cambria Math" w:cs="Times New Roman"/>
            </w:rPr>
            <m:t>dm=0</m:t>
          </m:r>
        </m:oMath>
      </m:oMathPara>
    </w:p>
    <w:p w14:paraId="58908994" w14:textId="77777777" w:rsidR="00D526E7" w:rsidRPr="007F37A0" w:rsidRDefault="00D526E7" w:rsidP="007F37A0">
      <w:pPr>
        <w:pStyle w:val="Caption"/>
        <w:rPr>
          <w:rFonts w:cs="Times New Roman"/>
        </w:rPr>
      </w:pPr>
      <m:oMathPara>
        <m:oMath>
          <m:r>
            <m:rPr>
              <m:sty m:val="bi"/>
            </m:rPr>
            <w:rPr>
              <w:rFonts w:ascii="Cambria Math" w:hAnsi="Cambria Math" w:cs="Times New Roman"/>
            </w:rPr>
            <w:lastRenderedPageBreak/>
            <m:t>lnY</m:t>
          </m:r>
          <m:r>
            <m:rPr>
              <m:sty m:val="p"/>
            </m:rPr>
            <w:rPr>
              <w:rFonts w:ascii="Cambria Math" w:hAnsi="Cambria Math" w:cs="Times New Roman"/>
            </w:rPr>
            <m:t>+</m:t>
          </m:r>
          <m:d>
            <m:dPr>
              <m:ctrlPr>
                <w:rPr>
                  <w:rFonts w:ascii="Cambria Math" w:hAnsi="Cambria Math" w:cs="Times New Roman"/>
                </w:rPr>
              </m:ctrlPr>
            </m:dPr>
            <m:e>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θ</m:t>
              </m:r>
            </m:e>
          </m:d>
          <m:r>
            <m:rPr>
              <m:sty m:val="bi"/>
            </m:rPr>
            <w:rPr>
              <w:rFonts w:ascii="Cambria Math" w:hAnsi="Cambria Math" w:cs="Times New Roman"/>
            </w:rPr>
            <m:t>lnK</m:t>
          </m:r>
          <m:r>
            <m:rPr>
              <m:sty m:val="p"/>
            </m:rPr>
            <w:rPr>
              <w:rFonts w:ascii="Cambria Math" w:hAnsi="Cambria Math" w:cs="Times New Roman"/>
            </w:rPr>
            <m:t>=</m:t>
          </m:r>
          <m:r>
            <m:rPr>
              <m:sty m:val="b"/>
            </m:rPr>
            <w:rPr>
              <w:rFonts w:ascii="Cambria Math" w:hAnsi="Cambria Math" w:cs="Times New Roman"/>
            </w:rPr>
            <m:t>0</m:t>
          </m:r>
        </m:oMath>
      </m:oMathPara>
    </w:p>
    <w:p w14:paraId="3BFACC01" w14:textId="77777777" w:rsidR="00D526E7" w:rsidRPr="007F37A0" w:rsidRDefault="00D526E7" w:rsidP="007F37A0">
      <w:pPr>
        <w:pStyle w:val="Caption"/>
        <w:rPr>
          <w:rFonts w:cs="Times New Roman"/>
        </w:rPr>
      </w:pPr>
      <m:oMathPara>
        <m:oMath>
          <m:r>
            <m:rPr>
              <m:sty m:val="p"/>
            </m:rPr>
            <w:rPr>
              <w:rFonts w:ascii="Cambria Math" w:hAnsi="Cambria Math" w:cs="Times New Roman"/>
            </w:rPr>
            <m:t>-</m:t>
          </m:r>
          <m:r>
            <m:rPr>
              <m:sty m:val="bi"/>
            </m:rPr>
            <w:rPr>
              <w:rFonts w:ascii="Cambria Math" w:hAnsi="Cambria Math" w:cs="Times New Roman"/>
            </w:rPr>
            <m:t>dh</m:t>
          </m:r>
          <m:r>
            <m:rPr>
              <m:sty m:val="p"/>
            </m:rPr>
            <w:rPr>
              <w:rFonts w:ascii="Cambria Math" w:hAnsi="Cambria Math" w:cs="Times New Roman"/>
            </w:rPr>
            <m:t>+</m:t>
          </m:r>
          <m:d>
            <m:dPr>
              <m:ctrlPr>
                <w:rPr>
                  <w:rFonts w:ascii="Cambria Math" w:hAnsi="Cambria Math" w:cs="Times New Roman"/>
                </w:rPr>
              </m:ctrlPr>
            </m:dPr>
            <m:e>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θ</m:t>
              </m:r>
            </m:e>
          </m:d>
          <m:r>
            <m:rPr>
              <m:sty m:val="bi"/>
            </m:rPr>
            <w:rPr>
              <w:rFonts w:ascii="Cambria Math" w:hAnsi="Cambria Math" w:cs="Times New Roman"/>
            </w:rPr>
            <m:t>dk</m:t>
          </m:r>
          <m:r>
            <m:rPr>
              <m:sty m:val="p"/>
            </m:rPr>
            <w:rPr>
              <w:rFonts w:ascii="Cambria Math" w:hAnsi="Cambria Math" w:cs="Times New Roman"/>
            </w:rPr>
            <m:t>=</m:t>
          </m:r>
          <m:r>
            <m:rPr>
              <m:sty m:val="b"/>
            </m:rPr>
            <w:rPr>
              <w:rFonts w:ascii="Cambria Math" w:hAnsi="Cambria Math" w:cs="Times New Roman"/>
            </w:rPr>
            <m:t>0</m:t>
          </m:r>
        </m:oMath>
      </m:oMathPara>
    </w:p>
    <w:p w14:paraId="1F712904" w14:textId="77777777" w:rsidR="00D526E7" w:rsidRPr="007F37A0" w:rsidRDefault="00000000" w:rsidP="007F37A0">
      <w:pPr>
        <w:pStyle w:val="Caption"/>
        <w:rPr>
          <w:rFonts w:cs="Times New Roman"/>
        </w:rPr>
      </w:pPr>
      <m:oMathPara>
        <m:oMath>
          <m:f>
            <m:fPr>
              <m:ctrlPr>
                <w:rPr>
                  <w:rFonts w:ascii="Cambria Math" w:hAnsi="Cambria Math" w:cs="Times New Roman"/>
                </w:rPr>
              </m:ctrlPr>
            </m:fPr>
            <m:num>
              <m:r>
                <m:rPr>
                  <m:sty m:val="bi"/>
                </m:rPr>
                <w:rPr>
                  <w:rFonts w:ascii="Cambria Math" w:hAnsi="Cambria Math" w:cs="Times New Roman"/>
                </w:rPr>
                <m:t>dK</m:t>
              </m:r>
            </m:num>
            <m:den>
              <m:r>
                <m:rPr>
                  <m:sty m:val="bi"/>
                </m:rPr>
                <w:rPr>
                  <w:rFonts w:ascii="Cambria Math" w:hAnsi="Cambria Math" w:cs="Times New Roman"/>
                </w:rPr>
                <m:t>K</m:t>
              </m:r>
            </m:den>
          </m:f>
          <m:r>
            <m:rPr>
              <m:sty m:val="p"/>
            </m:rPr>
            <w:rPr>
              <w:rFonts w:ascii="Cambria Math" w:hAnsi="Cambria Math" w:cs="Times New Roman"/>
            </w:rPr>
            <m:t>=</m:t>
          </m:r>
          <m:r>
            <m:rPr>
              <m:sty m:val="bi"/>
            </m:rPr>
            <w:rPr>
              <w:rFonts w:ascii="Cambria Math" w:hAnsi="Cambria Math" w:cs="Times New Roman"/>
            </w:rPr>
            <m:t>dk</m:t>
          </m:r>
          <m:r>
            <m:rPr>
              <m:sty m:val="p"/>
            </m:rPr>
            <w:rPr>
              <w:rFonts w:ascii="Cambria Math" w:hAnsi="Cambria Math" w:cs="Times New Roman"/>
            </w:rPr>
            <m:t>=</m:t>
          </m:r>
          <m:f>
            <m:fPr>
              <m:ctrlPr>
                <w:rPr>
                  <w:rFonts w:ascii="Cambria Math" w:hAnsi="Cambria Math" w:cs="Times New Roman"/>
                </w:rPr>
              </m:ctrlPr>
            </m:fPr>
            <m:num>
              <m:r>
                <m:rPr>
                  <m:sty m:val="bi"/>
                </m:rPr>
                <w:rPr>
                  <w:rFonts w:ascii="Cambria Math" w:hAnsi="Cambria Math" w:cs="Times New Roman"/>
                </w:rPr>
                <m:t>dh</m:t>
              </m:r>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θ</m:t>
              </m:r>
            </m:den>
          </m:f>
        </m:oMath>
      </m:oMathPara>
    </w:p>
    <w:p w14:paraId="533F5272" w14:textId="77777777" w:rsidR="00D526E7" w:rsidRPr="007F37A0" w:rsidRDefault="00D526E7" w:rsidP="007F37A0">
      <w:pPr>
        <w:pStyle w:val="Caption"/>
        <w:rPr>
          <w:rFonts w:cs="Times New Roman"/>
          <w:b/>
        </w:rPr>
      </w:pPr>
      <w:r w:rsidRPr="007F37A0">
        <w:rPr>
          <w:rFonts w:cs="Times New Roman"/>
        </w:rPr>
        <w:t xml:space="preserve">so the change in capital when </w:t>
      </w:r>
      <m:oMath>
        <m:r>
          <m:rPr>
            <m:sty m:val="bi"/>
          </m:rPr>
          <w:rPr>
            <w:rFonts w:ascii="Cambria Math" w:hAnsi="Cambria Math" w:cs="Times New Roman"/>
          </w:rPr>
          <m:t>m</m:t>
        </m:r>
      </m:oMath>
      <w:r w:rsidRPr="007F37A0">
        <w:rPr>
          <w:rFonts w:cs="Times New Roman"/>
        </w:rPr>
        <w:t xml:space="preserve"> hits the lower barrier is </w:t>
      </w:r>
      <m:oMath>
        <m:f>
          <m:fPr>
            <m:ctrlPr>
              <w:rPr>
                <w:rFonts w:ascii="Cambria Math" w:hAnsi="Cambria Math" w:cs="Times New Roman"/>
                <w:i/>
              </w:rPr>
            </m:ctrlPr>
          </m:fPr>
          <m:num>
            <m:r>
              <m:rPr>
                <m:sty m:val="bi"/>
              </m:rPr>
              <w:rPr>
                <w:rFonts w:ascii="Cambria Math" w:hAnsi="Cambria Math" w:cs="Times New Roman"/>
              </w:rPr>
              <m:t>dh</m:t>
            </m:r>
          </m:num>
          <m:den>
            <m:r>
              <m:rPr>
                <m:sty m:val="bi"/>
              </m:rPr>
              <w:rPr>
                <w:rFonts w:ascii="Cambria Math" w:hAnsi="Cambria Math" w:cs="Times New Roman"/>
              </w:rPr>
              <m:t>1-θ</m:t>
            </m:r>
          </m:den>
        </m:f>
      </m:oMath>
      <w:r w:rsidRPr="007F37A0">
        <w:rPr>
          <w:rFonts w:cs="Times New Roman"/>
        </w:rPr>
        <w:t xml:space="preserve">. </w:t>
      </w:r>
    </w:p>
    <w:p w14:paraId="3F4AD101" w14:textId="77777777" w:rsidR="00D526E7" w:rsidRPr="007F37A0" w:rsidRDefault="00D526E7" w:rsidP="007F37A0">
      <w:pPr>
        <w:pStyle w:val="Caption"/>
        <w:rPr>
          <w:rFonts w:cs="Times New Roman"/>
          <w:b/>
        </w:rPr>
      </w:pPr>
      <w:r w:rsidRPr="007F37A0">
        <w:rPr>
          <w:rFonts w:cs="Times New Roman"/>
        </w:rPr>
        <w:t xml:space="preserve">Finally, the investment rate is the product of the probability that </w:t>
      </w:r>
      <m:oMath>
        <m:r>
          <m:rPr>
            <m:sty m:val="bi"/>
          </m:rPr>
          <w:rPr>
            <w:rFonts w:ascii="Cambria Math" w:hAnsi="Cambria Math" w:cs="Times New Roman"/>
          </w:rPr>
          <m:t>m</m:t>
        </m:r>
      </m:oMath>
      <w:r w:rsidRPr="007F37A0">
        <w:rPr>
          <w:rFonts w:cs="Times New Roman"/>
        </w:rPr>
        <w:t xml:space="preserve"> is sufficiently close to the barrier, the probability that </w:t>
      </w:r>
      <m:oMath>
        <m:r>
          <m:rPr>
            <m:sty m:val="bi"/>
          </m:rPr>
          <w:rPr>
            <w:rFonts w:ascii="Cambria Math" w:hAnsi="Cambria Math" w:cs="Times New Roman"/>
          </w:rPr>
          <m:t>m</m:t>
        </m:r>
      </m:oMath>
      <w:r w:rsidRPr="007F37A0">
        <w:rPr>
          <w:rFonts w:cs="Times New Roman"/>
        </w:rPr>
        <w:t xml:space="preserve"> decreases and hits the barrier, and the magnitude of investment. Divide this product by </w:t>
      </w:r>
      <m:oMath>
        <m:r>
          <m:rPr>
            <m:sty m:val="bi"/>
          </m:rPr>
          <w:rPr>
            <w:rFonts w:ascii="Cambria Math" w:hAnsi="Cambria Math" w:cs="Times New Roman"/>
          </w:rPr>
          <m:t>dt</m:t>
        </m:r>
      </m:oMath>
      <w:r w:rsidRPr="007F37A0">
        <w:rPr>
          <w:rFonts w:cs="Times New Roman"/>
        </w:rPr>
        <w:t xml:space="preserve"> to convert it into a rate. As we evaluate this investment rate, </w:t>
      </w:r>
      <m:oMath>
        <m:rad>
          <m:radPr>
            <m:degHide m:val="1"/>
            <m:ctrlPr>
              <w:rPr>
                <w:rFonts w:ascii="Cambria Math" w:hAnsi="Cambria Math" w:cs="Times New Roman"/>
                <w:i/>
              </w:rPr>
            </m:ctrlPr>
          </m:radPr>
          <m:deg/>
          <m:e>
            <m:r>
              <m:rPr>
                <m:sty m:val="bi"/>
              </m:rPr>
              <w:rPr>
                <w:rFonts w:ascii="Cambria Math" w:hAnsi="Cambria Math" w:cs="Times New Roman"/>
              </w:rPr>
              <m:t>dt</m:t>
            </m:r>
          </m:e>
        </m:rad>
      </m:oMath>
      <w:r w:rsidRPr="007F37A0">
        <w:rPr>
          <w:rFonts w:cs="Times New Roman"/>
        </w:rPr>
        <w:t xml:space="preserve"> terms drop out since in the limit they go to zero faster than </w:t>
      </w:r>
      <m:oMath>
        <m:r>
          <m:rPr>
            <m:sty m:val="bi"/>
          </m:rPr>
          <w:rPr>
            <w:rFonts w:ascii="Cambria Math" w:hAnsi="Cambria Math" w:cs="Times New Roman"/>
          </w:rPr>
          <m:t>dt</m:t>
        </m:r>
      </m:oMath>
      <w:r w:rsidRPr="007F37A0">
        <w:rPr>
          <w:rFonts w:cs="Times New Roman"/>
        </w:rPr>
        <w:t xml:space="preserve"> terms. </w:t>
      </w:r>
    </w:p>
    <w:p w14:paraId="3440FB4A" w14:textId="77777777" w:rsidR="00D526E7" w:rsidRPr="007F37A0" w:rsidRDefault="00000000" w:rsidP="007F37A0">
      <w:pPr>
        <w:pStyle w:val="Caption"/>
        <w:rPr>
          <w:rFonts w:cs="Times New Roman"/>
        </w:rPr>
      </w:pPr>
      <m:oMathPara>
        <m:oMathParaPr>
          <m:jc m:val="center"/>
        </m:oMathParaPr>
        <m:oMath>
          <m:f>
            <m:fPr>
              <m:ctrlPr>
                <w:rPr>
                  <w:rFonts w:ascii="Cambria Math" w:hAnsi="Cambria Math" w:cs="Times New Roman"/>
                </w:rPr>
              </m:ctrlPr>
            </m:fPr>
            <m:num>
              <m:acc>
                <m:accPr>
                  <m:chr m:val="̇"/>
                  <m:ctrlPr>
                    <w:rPr>
                      <w:rFonts w:ascii="Cambria Math" w:hAnsi="Cambria Math" w:cs="Times New Roman"/>
                    </w:rPr>
                  </m:ctrlPr>
                </m:accPr>
                <m:e>
                  <m:r>
                    <m:rPr>
                      <m:sty m:val="bi"/>
                    </m:rPr>
                    <w:rPr>
                      <w:rFonts w:ascii="Cambria Math" w:hAnsi="Cambria Math" w:cs="Times New Roman"/>
                    </w:rPr>
                    <m:t>K</m:t>
                  </m:r>
                </m:e>
              </m:acc>
            </m:num>
            <m:den>
              <m:r>
                <m:rPr>
                  <m:sty m:val="bi"/>
                </m:rPr>
                <w:rPr>
                  <w:rFonts w:ascii="Cambria Math" w:hAnsi="Cambria Math" w:cs="Times New Roman"/>
                </w:rPr>
                <m:t>K</m:t>
              </m:r>
            </m:den>
          </m:f>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m:t>
              </m:r>
              <m:r>
                <m:rPr>
                  <m:sty m:val="bi"/>
                </m:rPr>
                <w:rPr>
                  <w:rFonts w:ascii="Cambria Math" w:hAnsi="Cambria Math" w:cs="Times New Roman"/>
                </w:rPr>
                <m:t>dh</m:t>
              </m:r>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r>
                    <m:rPr>
                      <m:sty m:val="b"/>
                    </m:rPr>
                    <w:rPr>
                      <w:rFonts w:ascii="Cambria Math" w:hAnsi="Cambria Math" w:cs="Times New Roman"/>
                    </w:rPr>
                    <m:t>1</m:t>
                  </m:r>
                </m:e>
              </m:d>
            </m:e>
          </m:d>
          <m:r>
            <m:rPr>
              <m:sty m:val="p"/>
            </m:rPr>
            <w:rPr>
              <w:rFonts w:ascii="Cambria Math" w:hAnsi="Cambria Math" w:cs="Times New Roman"/>
            </w:rPr>
            <m:t xml:space="preserve"> </m:t>
          </m:r>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d>
            <m:dPr>
              <m:begChr m:val="["/>
              <m:endChr m:val="]"/>
              <m:ctrlPr>
                <w:rPr>
                  <w:rFonts w:ascii="Cambria Math" w:hAnsi="Cambria Math" w:cs="Times New Roman"/>
                </w:rPr>
              </m:ctrlPr>
            </m:dPr>
            <m:e>
              <m:r>
                <m:rPr>
                  <m:sty m:val="b"/>
                </m:rPr>
                <w:rPr>
                  <w:rFonts w:ascii="Cambria Math" w:hAnsi="Cambria Math" w:cs="Times New Roman"/>
                </w:rPr>
                <m:t>1</m:t>
              </m:r>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r>
                        <m:rPr>
                          <m:sty m:val="b"/>
                        </m:rPr>
                        <w:rPr>
                          <w:rFonts w:ascii="Cambria Math" w:hAnsi="Cambria Math" w:cs="Times New Roman"/>
                        </w:rPr>
                        <m:t>1</m:t>
                      </m:r>
                    </m:e>
                  </m:d>
                  <m:rad>
                    <m:radPr>
                      <m:degHide m:val="1"/>
                      <m:ctrlPr>
                        <w:rPr>
                          <w:rFonts w:ascii="Cambria Math" w:hAnsi="Cambria Math" w:cs="Times New Roman"/>
                        </w:rPr>
                      </m:ctrlPr>
                    </m:radPr>
                    <m:deg/>
                    <m:e>
                      <m:r>
                        <m:rPr>
                          <m:sty m:val="bi"/>
                        </m:rPr>
                        <w:rPr>
                          <w:rFonts w:ascii="Cambria Math" w:hAnsi="Cambria Math" w:cs="Times New Roman"/>
                        </w:rPr>
                        <m:t>dt</m:t>
                      </m:r>
                    </m:e>
                  </m:rad>
                </m:num>
                <m:den>
                  <m:r>
                    <m:rPr>
                      <m:sty m:val="bi"/>
                    </m:rPr>
                    <w:rPr>
                      <w:rFonts w:ascii="Cambria Math" w:hAnsi="Cambria Math" w:cs="Times New Roman"/>
                    </w:rPr>
                    <m:t>σ</m:t>
                  </m:r>
                </m:den>
              </m:f>
            </m:e>
          </m:d>
          <m:d>
            <m:dPr>
              <m:ctrlPr>
                <w:rPr>
                  <w:rFonts w:ascii="Cambria Math" w:hAnsi="Cambria Math" w:cs="Times New Roman"/>
                </w:rPr>
              </m:ctrlPr>
            </m:dPr>
            <m:e>
              <m:f>
                <m:fPr>
                  <m:ctrlPr>
                    <w:rPr>
                      <w:rFonts w:ascii="Cambria Math" w:hAnsi="Cambria Math" w:cs="Times New Roman"/>
                    </w:rPr>
                  </m:ctrlPr>
                </m:fPr>
                <m:num>
                  <m:r>
                    <m:rPr>
                      <m:sty m:val="bi"/>
                    </m:rPr>
                    <w:rPr>
                      <w:rFonts w:ascii="Cambria Math" w:hAnsi="Cambria Math" w:cs="Times New Roman"/>
                    </w:rPr>
                    <m:t>dh</m:t>
                  </m:r>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θ</m:t>
                  </m:r>
                </m:den>
              </m:f>
            </m:e>
          </m:d>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1</m:t>
                  </m:r>
                </m:num>
                <m:den>
                  <m:r>
                    <m:rPr>
                      <m:sty m:val="bi"/>
                    </m:rPr>
                    <w:rPr>
                      <w:rFonts w:ascii="Cambria Math" w:hAnsi="Cambria Math" w:cs="Times New Roman"/>
                    </w:rPr>
                    <m:t>dt</m:t>
                  </m:r>
                </m:den>
              </m:f>
            </m:e>
          </m:d>
          <m:r>
            <m:rPr>
              <m:sty m:val="p"/>
            </m:rPr>
            <w:rPr>
              <w:rFonts w:ascii="Cambria Math" w:hAnsi="Cambria Math" w:cs="Times New Roman"/>
            </w:rPr>
            <w:br/>
          </m:r>
        </m:oMath>
        <m:oMath>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r>
                <m:rPr>
                  <m:sty m:val="b"/>
                </m:rPr>
                <w:rPr>
                  <w:rFonts w:ascii="Cambria Math" w:hAnsi="Cambria Math" w:cs="Times New Roman"/>
                </w:rPr>
                <m:t>1</m:t>
              </m:r>
            </m:e>
          </m:d>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e>
          </m:d>
          <m:d>
            <m:dPr>
              <m:ctrlPr>
                <w:rPr>
                  <w:rFonts w:ascii="Cambria Math" w:hAnsi="Cambria Math" w:cs="Times New Roman"/>
                </w:rPr>
              </m:ctrlPr>
            </m:dPr>
            <m:e>
              <m:f>
                <m:fPr>
                  <m:ctrlPr>
                    <w:rPr>
                      <w:rFonts w:ascii="Cambria Math" w:hAnsi="Cambria Math" w:cs="Times New Roman"/>
                    </w:rPr>
                  </m:ctrlPr>
                </m:fPr>
                <m:num>
                  <m:r>
                    <m:rPr>
                      <m:sty m:val="bi"/>
                    </m:rPr>
                    <w:rPr>
                      <w:rFonts w:ascii="Cambria Math" w:hAnsi="Cambria Math" w:cs="Times New Roman"/>
                    </w:rPr>
                    <m:t>d</m:t>
                  </m:r>
                  <m:sSup>
                    <m:sSupPr>
                      <m:ctrlPr>
                        <w:rPr>
                          <w:rFonts w:ascii="Cambria Math" w:hAnsi="Cambria Math" w:cs="Times New Roman"/>
                        </w:rPr>
                      </m:ctrlPr>
                    </m:sSupPr>
                    <m:e>
                      <m:r>
                        <m:rPr>
                          <m:sty m:val="bi"/>
                        </m:rPr>
                        <w:rPr>
                          <w:rFonts w:ascii="Cambria Math" w:hAnsi="Cambria Math" w:cs="Times New Roman"/>
                        </w:rPr>
                        <m:t>h</m:t>
                      </m:r>
                    </m:e>
                    <m:sup>
                      <m:r>
                        <m:rPr>
                          <m:sty m:val="b"/>
                        </m:rPr>
                        <w:rPr>
                          <w:rFonts w:ascii="Cambria Math" w:hAnsi="Cambria Math" w:cs="Times New Roman"/>
                        </w:rPr>
                        <m:t>2</m:t>
                      </m:r>
                    </m:sup>
                  </m:sSup>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θ</m:t>
                  </m:r>
                </m:den>
              </m:f>
            </m:e>
          </m:d>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1</m:t>
                  </m:r>
                </m:num>
                <m:den>
                  <m:r>
                    <m:rPr>
                      <m:sty m:val="bi"/>
                    </m:rPr>
                    <w:rPr>
                      <w:rFonts w:ascii="Cambria Math" w:hAnsi="Cambria Math" w:cs="Times New Roman"/>
                    </w:rPr>
                    <m:t>dt</m:t>
                  </m:r>
                </m:den>
              </m:f>
            </m:e>
          </m:d>
          <m:r>
            <m:rPr>
              <m:sty m:val="p"/>
            </m:rPr>
            <w:rPr>
              <w:rFonts w:ascii="Cambria Math" w:hAnsi="Cambria Math" w:cs="Times New Roman"/>
            </w:rPr>
            <w:br/>
          </m:r>
        </m:oMath>
        <m:oMath>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r>
                <m:rPr>
                  <m:sty m:val="b"/>
                </m:rPr>
                <w:rPr>
                  <w:rFonts w:ascii="Cambria Math" w:hAnsi="Cambria Math" w:cs="Times New Roman"/>
                </w:rPr>
                <m:t>1</m:t>
              </m:r>
            </m:e>
          </m:d>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e>
          </m:d>
          <m:d>
            <m:dPr>
              <m:ctrlPr>
                <w:rPr>
                  <w:rFonts w:ascii="Cambria Math" w:hAnsi="Cambria Math" w:cs="Times New Roman"/>
                </w:rPr>
              </m:ctrlPr>
            </m:dPr>
            <m:e>
              <m:f>
                <m:fPr>
                  <m:ctrlPr>
                    <w:rPr>
                      <w:rFonts w:ascii="Cambria Math" w:hAnsi="Cambria Math" w:cs="Times New Roman"/>
                    </w:rPr>
                  </m:ctrlPr>
                </m:fPr>
                <m:num>
                  <m:d>
                    <m:dPr>
                      <m:ctrlPr>
                        <w:rPr>
                          <w:rFonts w:ascii="Cambria Math" w:hAnsi="Cambria Math" w:cs="Times New Roman"/>
                        </w:rPr>
                      </m:ctrlPr>
                    </m:dPr>
                    <m:e>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r>
                        <m:rPr>
                          <m:sty m:val="bi"/>
                        </m:rPr>
                        <w:rPr>
                          <w:rFonts w:ascii="Cambria Math" w:hAnsi="Cambria Math" w:cs="Times New Roman"/>
                        </w:rPr>
                        <m:t>dt</m:t>
                      </m:r>
                    </m:e>
                  </m:d>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θ</m:t>
                  </m:r>
                </m:den>
              </m:f>
            </m:e>
          </m:d>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1</m:t>
                  </m:r>
                </m:num>
                <m:den>
                  <m:r>
                    <m:rPr>
                      <m:sty m:val="bi"/>
                    </m:rPr>
                    <w:rPr>
                      <w:rFonts w:ascii="Cambria Math" w:hAnsi="Cambria Math" w:cs="Times New Roman"/>
                    </w:rPr>
                    <m:t>dt</m:t>
                  </m:r>
                </m:den>
              </m:f>
            </m:e>
          </m:d>
          <m:r>
            <m:rPr>
              <m:sty m:val="p"/>
            </m:rPr>
            <w:rPr>
              <w:rFonts w:ascii="Cambria Math" w:hAnsi="Cambria Math" w:cs="Times New Roman"/>
            </w:rPr>
            <w:br/>
          </m:r>
        </m:oMath>
        <m:oMath>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2</m:t>
                  </m:r>
                  <m:r>
                    <m:rPr>
                      <m:sty m:val="bi"/>
                    </m:rPr>
                    <w:rPr>
                      <w:rFonts w:ascii="Cambria Math" w:hAnsi="Cambria Math" w:cs="Times New Roman"/>
                    </w:rPr>
                    <m:t>α</m:t>
                  </m:r>
                </m:num>
                <m:den>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den>
              </m:f>
              <m:r>
                <m:rPr>
                  <m:sty m:val="p"/>
                </m:rPr>
                <w:rPr>
                  <w:rFonts w:ascii="Cambria Math" w:hAnsi="Cambria Math" w:cs="Times New Roman"/>
                </w:rPr>
                <m:t>-</m:t>
              </m:r>
              <m:r>
                <m:rPr>
                  <m:sty m:val="b"/>
                </m:rPr>
                <w:rPr>
                  <w:rFonts w:ascii="Cambria Math" w:hAnsi="Cambria Math" w:cs="Times New Roman"/>
                </w:rPr>
                <m:t>1</m:t>
              </m:r>
            </m:e>
          </m:d>
          <m:d>
            <m:dPr>
              <m:ctrlPr>
                <w:rPr>
                  <w:rFonts w:ascii="Cambria Math" w:hAnsi="Cambria Math" w:cs="Times New Roman"/>
                </w:rPr>
              </m:ctrlPr>
            </m:dPr>
            <m:e>
              <m:f>
                <m:fPr>
                  <m:ctrlPr>
                    <w:rPr>
                      <w:rFonts w:ascii="Cambria Math" w:hAnsi="Cambria Math" w:cs="Times New Roman"/>
                    </w:rPr>
                  </m:ctrlPr>
                </m:fPr>
                <m:num>
                  <m:r>
                    <m:rPr>
                      <m:sty m:val="b"/>
                    </m:rPr>
                    <w:rPr>
                      <w:rFonts w:ascii="Cambria Math" w:hAnsi="Cambria Math" w:cs="Times New Roman"/>
                    </w:rPr>
                    <m:t>1</m:t>
                  </m:r>
                </m:num>
                <m:den>
                  <m:r>
                    <m:rPr>
                      <m:sty m:val="b"/>
                    </m:rPr>
                    <w:rPr>
                      <w:rFonts w:ascii="Cambria Math" w:hAnsi="Cambria Math" w:cs="Times New Roman"/>
                    </w:rPr>
                    <m:t>2</m:t>
                  </m:r>
                </m:den>
              </m:f>
            </m:e>
          </m:d>
          <m:d>
            <m:dPr>
              <m:ctrlPr>
                <w:rPr>
                  <w:rFonts w:ascii="Cambria Math" w:hAnsi="Cambria Math" w:cs="Times New Roman"/>
                </w:rPr>
              </m:ctrlPr>
            </m:dPr>
            <m:e>
              <m:f>
                <m:fPr>
                  <m:ctrlPr>
                    <w:rPr>
                      <w:rFonts w:ascii="Cambria Math" w:hAnsi="Cambria Math" w:cs="Times New Roman"/>
                    </w:rPr>
                  </m:ctrlPr>
                </m:fPr>
                <m:num>
                  <m:d>
                    <m:dPr>
                      <m:ctrlPr>
                        <w:rPr>
                          <w:rFonts w:ascii="Cambria Math" w:hAnsi="Cambria Math" w:cs="Times New Roman"/>
                        </w:rPr>
                      </m:ctrlPr>
                    </m:dPr>
                    <m:e>
                      <m:sSup>
                        <m:sSupPr>
                          <m:ctrlPr>
                            <w:rPr>
                              <w:rFonts w:ascii="Cambria Math" w:hAnsi="Cambria Math" w:cs="Times New Roman"/>
                            </w:rPr>
                          </m:ctrlPr>
                        </m:sSupPr>
                        <m:e>
                          <m:r>
                            <m:rPr>
                              <m:sty m:val="bi"/>
                            </m:rPr>
                            <w:rPr>
                              <w:rFonts w:ascii="Cambria Math" w:hAnsi="Cambria Math" w:cs="Times New Roman"/>
                            </w:rPr>
                            <m:t>σ</m:t>
                          </m:r>
                        </m:e>
                        <m:sup>
                          <m:r>
                            <m:rPr>
                              <m:sty m:val="b"/>
                            </m:rPr>
                            <w:rPr>
                              <w:rFonts w:ascii="Cambria Math" w:hAnsi="Cambria Math" w:cs="Times New Roman"/>
                            </w:rPr>
                            <m:t>2</m:t>
                          </m:r>
                        </m:sup>
                      </m:sSup>
                    </m:e>
                  </m:d>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θ</m:t>
                  </m:r>
                </m:den>
              </m:f>
            </m:e>
          </m:d>
        </m:oMath>
      </m:oMathPara>
    </w:p>
    <w:p w14:paraId="3BF51D40" w14:textId="77777777" w:rsidR="00D526E7" w:rsidRPr="007F37A0" w:rsidRDefault="00000000" w:rsidP="00D526E7">
      <w:pPr>
        <w:spacing w:line="480" w:lineRule="auto"/>
        <w:rPr>
          <w:rFonts w:ascii="Times New Roman" w:eastAsiaTheme="minorEastAsia" w:hAnsi="Times New Roman" w:cs="Times New Roman"/>
        </w:rPr>
      </w:pPr>
      <m:oMathPara>
        <m:oMath>
          <m:f>
            <m:fPr>
              <m:ctrlPr>
                <w:rPr>
                  <w:rFonts w:ascii="Cambria Math" w:hAnsi="Cambria Math" w:cs="Times New Roman"/>
                  <w:i/>
                </w:rPr>
              </m:ctrlPr>
            </m:fPr>
            <m:num>
              <m:acc>
                <m:accPr>
                  <m:chr m:val="̇"/>
                  <m:ctrlPr>
                    <w:rPr>
                      <w:rFonts w:ascii="Cambria Math" w:hAnsi="Cambria Math" w:cs="Times New Roman"/>
                      <w:i/>
                    </w:rPr>
                  </m:ctrlPr>
                </m:accPr>
                <m:e>
                  <m:r>
                    <w:rPr>
                      <w:rFonts w:ascii="Cambria Math" w:hAnsi="Cambria Math" w:cs="Times New Roman"/>
                    </w:rPr>
                    <m:t>K</m:t>
                  </m:r>
                </m:e>
              </m:acc>
            </m:num>
            <m:den>
              <m:r>
                <w:rPr>
                  <w:rFonts w:ascii="Cambria Math" w:hAnsi="Cambria Math" w:cs="Times New Roman"/>
                </w:rPr>
                <m:t>K</m:t>
              </m:r>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-α+</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num>
                <m:den>
                  <m:r>
                    <w:rPr>
                      <w:rFonts w:ascii="Cambria Math" w:hAnsi="Cambria Math" w:cs="Times New Roman"/>
                    </w:rPr>
                    <m:t>2</m:t>
                  </m:r>
                </m:den>
              </m:f>
            </m:e>
          </m:d>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1-θ</m:t>
                  </m:r>
                </m:den>
              </m:f>
            </m:e>
          </m:d>
          <m:r>
            <w:rPr>
              <w:rFonts w:ascii="Cambria Math" w:hAnsi="Cambria Math" w:cs="Times New Roman"/>
            </w:rPr>
            <m:t>&gt;0</m:t>
          </m:r>
        </m:oMath>
      </m:oMathPara>
    </w:p>
    <w:p w14:paraId="456FF226" w14:textId="77777777" w:rsidR="00D526E7" w:rsidRPr="007F37A0" w:rsidRDefault="00D526E7" w:rsidP="00D526E7">
      <w:pPr>
        <w:rPr>
          <w:rFonts w:ascii="Times New Roman" w:hAnsi="Times New Roman" w:cs="Times New Roman"/>
        </w:rPr>
      </w:pPr>
    </w:p>
    <w:p w14:paraId="72A963BC" w14:textId="77777777" w:rsidR="00D526E7" w:rsidRPr="007F37A0" w:rsidRDefault="00D526E7" w:rsidP="00D526E7">
      <w:pPr>
        <w:rPr>
          <w:rFonts w:ascii="Times New Roman" w:hAnsi="Times New Roman" w:cs="Times New Roman"/>
        </w:rPr>
      </w:pPr>
      <w:r w:rsidRPr="007F37A0">
        <w:rPr>
          <w:rFonts w:ascii="Times New Roman" w:hAnsi="Times New Roman" w:cs="Times New Roman"/>
        </w:rPr>
        <w:t xml:space="preserve"> </w:t>
      </w:r>
    </w:p>
    <w:p w14:paraId="67640B85" w14:textId="77777777" w:rsidR="00D526E7" w:rsidRPr="007F37A0" w:rsidRDefault="00D526E7" w:rsidP="00D526E7">
      <w:pPr>
        <w:rPr>
          <w:rFonts w:ascii="Times New Roman" w:hAnsi="Times New Roman" w:cs="Times New Roman"/>
        </w:rPr>
      </w:pPr>
    </w:p>
    <w:p w14:paraId="6A1DB611" w14:textId="2E914B9E" w:rsidR="00236E6D" w:rsidRPr="007F37A0" w:rsidRDefault="00236E6D" w:rsidP="00D526E7">
      <w:pPr>
        <w:pStyle w:val="Heading1"/>
        <w:rPr>
          <w:rFonts w:ascii="Times New Roman" w:hAnsi="Times New Roman" w:cs="Times New Roman"/>
          <w:szCs w:val="28"/>
        </w:rPr>
      </w:pPr>
    </w:p>
    <w:p w14:paraId="55CB6298" w14:textId="21D34293" w:rsidR="00593131" w:rsidRPr="007F37A0" w:rsidRDefault="00593131">
      <w:pPr>
        <w:rPr>
          <w:rFonts w:ascii="Times New Roman" w:hAnsi="Times New Roman" w:cs="Times New Roman"/>
        </w:rPr>
      </w:pPr>
      <w:r w:rsidRPr="007F37A0">
        <w:rPr>
          <w:rFonts w:ascii="Times New Roman" w:hAnsi="Times New Roman" w:cs="Times New Roman"/>
        </w:rPr>
        <w:br w:type="page"/>
      </w:r>
    </w:p>
    <w:p w14:paraId="252F0E3D" w14:textId="77777777" w:rsidR="00C565FD" w:rsidRPr="00163E69" w:rsidRDefault="00C565FD" w:rsidP="00C565FD">
      <w:pPr>
        <w:autoSpaceDE w:val="0"/>
        <w:autoSpaceDN w:val="0"/>
        <w:adjustRightInd w:val="0"/>
        <w:jc w:val="center"/>
        <w:outlineLvl w:val="0"/>
        <w:rPr>
          <w:rFonts w:ascii="Times New Roman" w:hAnsi="Times New Roman" w:cs="Times New Roman"/>
          <w:b/>
          <w:bCs/>
          <w:caps/>
          <w:sz w:val="28"/>
          <w:szCs w:val="28"/>
        </w:rPr>
      </w:pPr>
      <w:bookmarkStart w:id="49" w:name="_Toc160720139"/>
      <w:bookmarkStart w:id="50" w:name="_Toc160879121"/>
      <w:bookmarkStart w:id="51" w:name="_Toc164862506"/>
      <w:r w:rsidRPr="00163E69">
        <w:rPr>
          <w:rFonts w:ascii="Times New Roman" w:hAnsi="Times New Roman" w:cs="Times New Roman"/>
          <w:b/>
          <w:bCs/>
          <w:sz w:val="28"/>
          <w:szCs w:val="28"/>
        </w:rPr>
        <w:lastRenderedPageBreak/>
        <w:t>CHAPTER II</w:t>
      </w:r>
      <w:r w:rsidRPr="00163E69">
        <w:rPr>
          <w:rFonts w:ascii="Times New Roman" w:hAnsi="Times New Roman" w:cs="Times New Roman"/>
          <w:b/>
          <w:bCs/>
          <w:sz w:val="28"/>
          <w:szCs w:val="28"/>
        </w:rPr>
        <w:br/>
        <w:t>REAL OPTIONS AND LOW-PROBABILITY HIGH-SEVERITY EVENTS: EXPERIMENTAL EVIDENCE</w:t>
      </w:r>
      <w:bookmarkEnd w:id="49"/>
      <w:bookmarkEnd w:id="51"/>
    </w:p>
    <w:p w14:paraId="19420C36" w14:textId="77777777" w:rsidR="00C565FD" w:rsidRPr="00163E69" w:rsidRDefault="00C565FD" w:rsidP="00C565FD">
      <w:pPr>
        <w:rPr>
          <w:rFonts w:ascii="Times New Roman" w:hAnsi="Times New Roman" w:cs="Times New Roman"/>
        </w:rPr>
      </w:pPr>
    </w:p>
    <w:p w14:paraId="15DB2320" w14:textId="77777777" w:rsidR="00C565FD" w:rsidRPr="00163E69" w:rsidRDefault="00C565FD" w:rsidP="00C565FD">
      <w:pPr>
        <w:keepNext/>
        <w:spacing w:before="240" w:after="60"/>
        <w:outlineLvl w:val="2"/>
        <w:rPr>
          <w:rFonts w:ascii="Times New Roman" w:hAnsi="Times New Roman" w:cs="Times New Roman"/>
          <w:b/>
          <w:bCs/>
          <w:i/>
        </w:rPr>
      </w:pPr>
      <w:r w:rsidRPr="00163E69">
        <w:rPr>
          <w:rFonts w:ascii="Times New Roman" w:hAnsi="Times New Roman" w:cs="Times New Roman"/>
          <w:b/>
          <w:bCs/>
          <w:i/>
        </w:rPr>
        <w:br w:type="page"/>
      </w:r>
    </w:p>
    <w:p w14:paraId="12DF3C3F" w14:textId="77777777" w:rsidR="00C565FD" w:rsidRPr="00163E69" w:rsidRDefault="00C565FD" w:rsidP="00C565FD">
      <w:pPr>
        <w:keepNext/>
        <w:spacing w:before="240" w:after="60"/>
        <w:jc w:val="center"/>
        <w:outlineLvl w:val="1"/>
        <w:rPr>
          <w:rFonts w:ascii="Times New Roman" w:hAnsi="Times New Roman" w:cs="Times New Roman"/>
          <w:b/>
          <w:bCs/>
          <w:iCs/>
        </w:rPr>
      </w:pPr>
      <w:r w:rsidRPr="00163E69">
        <w:rPr>
          <w:rFonts w:ascii="Times New Roman" w:hAnsi="Times New Roman" w:cs="Times New Roman"/>
          <w:b/>
          <w:bCs/>
          <w:iCs/>
        </w:rPr>
        <w:lastRenderedPageBreak/>
        <w:t xml:space="preserve">    </w:t>
      </w:r>
      <w:bookmarkStart w:id="52" w:name="_Toc160720140"/>
      <w:bookmarkStart w:id="53" w:name="_Toc164862507"/>
      <w:r w:rsidRPr="00163E69">
        <w:rPr>
          <w:rFonts w:ascii="Times New Roman" w:hAnsi="Times New Roman" w:cs="Times New Roman"/>
          <w:b/>
          <w:bCs/>
          <w:iCs/>
        </w:rPr>
        <w:t>ABSTRACT</w:t>
      </w:r>
      <w:bookmarkEnd w:id="52"/>
      <w:bookmarkEnd w:id="53"/>
      <w:r w:rsidRPr="00163E69">
        <w:rPr>
          <w:rFonts w:ascii="Times New Roman" w:hAnsi="Times New Roman" w:cs="Times New Roman"/>
          <w:b/>
          <w:bCs/>
          <w:iCs/>
        </w:rPr>
        <w:tab/>
      </w:r>
    </w:p>
    <w:p w14:paraId="19170A84" w14:textId="77777777" w:rsidR="00C565FD" w:rsidRPr="00163E69" w:rsidRDefault="00C565FD" w:rsidP="00C565FD">
      <w:pPr>
        <w:rPr>
          <w:rFonts w:ascii="Times New Roman" w:hAnsi="Times New Roman" w:cs="Times New Roman"/>
        </w:rPr>
      </w:pPr>
      <w:r w:rsidRPr="00163E69">
        <w:rPr>
          <w:rFonts w:ascii="Times New Roman" w:hAnsi="Times New Roman" w:cs="Times New Roman"/>
        </w:rPr>
        <w:tab/>
      </w:r>
    </w:p>
    <w:p w14:paraId="23FB2453"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I experimentally test whether real option theory describes how individuals value information, or equivalently option value, under low-probability, high-severity outcomes. I show how behavioral deviations resulting from probability weighting and risk aversion could cause deviations from real option theory. However, theoretically these behavioral deviations from real option theory have largely ambiguous effects on willingness to pay for information. I turn to an experimental context to estimate how low probabilities, high spreads, and loss aversion affect individuals’ willingness to pay for information. I find that participants behave consistently with directional predictions from real option theory from changes in probability and spread. However, in contexts with low-probability, high-severity outcomes, participants’ behavior systematically deviates from real option theory point predictions. In contexts such as a low probability lifesaving medical procedure, individuals would wait too long or gather too much information than would be optimal according to real option theory. In the context of public policy, low-probabilty high-severity outcomes would cause voter preferences to deviate from the optimal timing of policy as described by real option theory. Policy makers might need to conduct excess research about potential outcomes compared to what real option theory would suggest.</w:t>
      </w:r>
      <w:r w:rsidRPr="00163E69">
        <w:rPr>
          <w:rFonts w:ascii="Times New Roman" w:hAnsi="Times New Roman" w:cs="Times New Roman"/>
        </w:rPr>
        <w:br w:type="page"/>
      </w:r>
    </w:p>
    <w:p w14:paraId="74AD4ABB" w14:textId="77777777" w:rsidR="00C565FD" w:rsidRPr="00163E69" w:rsidRDefault="00C565FD" w:rsidP="00C565FD">
      <w:pPr>
        <w:keepNext/>
        <w:spacing w:before="240" w:after="60"/>
        <w:jc w:val="center"/>
        <w:outlineLvl w:val="1"/>
        <w:rPr>
          <w:rFonts w:ascii="Times New Roman" w:hAnsi="Times New Roman" w:cs="Times New Roman"/>
          <w:b/>
          <w:bCs/>
          <w:iCs/>
        </w:rPr>
      </w:pPr>
      <w:bookmarkStart w:id="54" w:name="_Toc160720141"/>
      <w:bookmarkStart w:id="55" w:name="_Toc164862508"/>
      <w:r w:rsidRPr="00163E69">
        <w:rPr>
          <w:rFonts w:ascii="Times New Roman" w:hAnsi="Times New Roman" w:cs="Times New Roman"/>
          <w:b/>
          <w:bCs/>
          <w:iCs/>
        </w:rPr>
        <w:lastRenderedPageBreak/>
        <w:t>2.1 INTRODUCTION</w:t>
      </w:r>
      <w:bookmarkEnd w:id="54"/>
      <w:bookmarkEnd w:id="55"/>
    </w:p>
    <w:p w14:paraId="3718EC2F" w14:textId="77777777" w:rsidR="00C565FD" w:rsidRPr="00163E69" w:rsidRDefault="00C565FD" w:rsidP="00C565FD">
      <w:pPr>
        <w:rPr>
          <w:rFonts w:ascii="Times New Roman" w:hAnsi="Times New Roman" w:cs="Times New Roman"/>
        </w:rPr>
      </w:pPr>
    </w:p>
    <w:p w14:paraId="5229917A"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Economic agents often make decisions under uncertainty with low-probability, high-severity outcomes. These contexts include investing in risky assets, choosing climate change policy, or choosing among healthcare treatments. Real option theory describes how agents should behave when choices are irreversible and agents can delay their choice to gain more information. However, </w:t>
      </w:r>
      <w:r>
        <w:rPr>
          <w:rFonts w:ascii="Times New Roman" w:hAnsi="Times New Roman" w:cs="Times New Roman"/>
        </w:rPr>
        <w:t>I</w:t>
      </w:r>
      <w:r w:rsidRPr="00163E69">
        <w:rPr>
          <w:rFonts w:ascii="Times New Roman" w:hAnsi="Times New Roman" w:cs="Times New Roman"/>
        </w:rPr>
        <w:t xml:space="preserve"> might expect to observe behavioral deviations from optimal choices for decisions with low-probability high-severity outcomes. Individuals may exhibit behavior consistent with probability weighting with low-probability outcomes (e.g. Tversky &amp; Kahneman, 1992; Gonzalez &amp; Wu, 1999) or increased risk aversion with high-severity events (Pratt, 1964). Ex-ante, it is not clear how these observed phenomena will change how agents value the option to wait or equivalently the value of information. By understanding how individuals value information in a real option context, policy makers can identify areas where public opinion might deviate from optimal policy implementation. </w:t>
      </w:r>
    </w:p>
    <w:p w14:paraId="1FBEDD53"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In this paper, I experimentally test whether individuals act consistently with real option theory with low-probability, high-severity outcomes. For individuals who recognize option value, I theoretically show how probability weighting and high-severity outcomes might change their valuation of the option to wait or equivalently their willingness to pay for new information relative to real option theory. Probability weighting has differential effects on willingness to pay for information conditional on characteristics of the outcomes relative to a certain outside option. Risk aversion has an ambiguous effect on the willingness to pay for information, since there are two potential </w:t>
      </w:r>
      <w:r w:rsidRPr="00163E69">
        <w:rPr>
          <w:rFonts w:ascii="Times New Roman" w:hAnsi="Times New Roman" w:cs="Times New Roman"/>
        </w:rPr>
        <w:lastRenderedPageBreak/>
        <w:t>mechanisms that would affect willingness to pay. While these two behavioral phenomena give insight into how individuals might deviate from real option theory, ultimately there are few clear theoretical predictions. This motives experimentally testing how participants value information under low-probability high-severity outcomes. Further, I test low-probability high-severity outcomes in both gains and loss space, as loss aversion might interact uniquely with these behavioral deviations. I experimentally test whether individuals adhere to real option theory, their sensitivity to gains versus losses, their tendency toward probability weighting, and if their responsiveness to increases in the spread of outcomes in a real option context.</w:t>
      </w:r>
    </w:p>
    <w:p w14:paraId="783D711F"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 I design an experiment to test these theoretical predictions in a controlled laboratory setting. Similar to List and Haigh (2010), I utilize a simplified real option context where individuals choose between playing a lottery immediately, choosing a certain outside option, or paying a cost to learn new information about the lottery outcome. This setup abstracts from familiar continuous-time real option settings, which have been examined in Oprea et al. (2009). However, abstracting from a realistic dynamic setting allows for a simplified participant experience. The experimental setting also allows us to isolate the effect of changes in probabilities, outcome spreads, and gains versus losses. By independently changing the probability and spread of outcomes, I identify potential deviations from real option theory due to probability weighting and risk aversion separately. </w:t>
      </w:r>
    </w:p>
    <w:p w14:paraId="6829A666"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This work contributes to the growing experimental literature finding evidence for real option theory. Prior work indiciates that individuals behave consistently with real </w:t>
      </w:r>
      <w:r w:rsidRPr="00163E69">
        <w:rPr>
          <w:rFonts w:ascii="Times New Roman" w:hAnsi="Times New Roman" w:cs="Times New Roman"/>
        </w:rPr>
        <w:lastRenderedPageBreak/>
        <w:t xml:space="preserve">option theory in both a simplified lottery setting (List and Haigh, 2010) and complex continuous-time settings (Oprea et al., 2009; Descamps et al., 2022). Some deviations from optimal behavior have been attributed to risk aversion (Miller and Shapira, 2004; Della Seta et al., 2014). Outside of real option contexts, low-probability outcomes have been studied theoretically and empirically (e.g. Barberis, 2013). However, real option theory has never been tested in settings with low-probability high-severity outcomes. </w:t>
      </w:r>
    </w:p>
    <w:p w14:paraId="20E185E0"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This paper also contributes to the literature on the willingness to pay for information or the reduction of uncertainty. The tests of real option theory are framed as paying for information which eliminates the uncertainty of a lottery. Empirical research shows that uncertainty over a good or policy decreases its value relative to a certain outcome (e.g. Cameron, 2005; Riddel &amp; Shaw, 2006; Roberts et al., 2008). In some applications, there is mixed evidence that individuals value certainty independently from the primary good of interest (e.g. Akter et al., 2012; Rolfe &amp; Windle, 2015; Torres, et al., 2017). The related literature on the Contingent Valuation Method has acknowledged the importance of carefully considering how uncertainty might affect willingness to pay estimates (e.g. Johnston et al., 2017). This paper sheds light on how individuals might value information under ideal circumstances of known probabilities without preferences or beliefs regarding a specific context. If individuals do not behave according to real option theory in a laboratory setting with low-probability high-severity events, then real option theory likely does not apply in more complicated settings such as climate change policy or valuing environmental goods.</w:t>
      </w:r>
    </w:p>
    <w:p w14:paraId="06D9AEA8"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lastRenderedPageBreak/>
        <w:t>The results of this paper give valuable insight into policy-making decisions. For example, Conrad (1997) argues that option value should be included in climate change policy decisions due to scientific uncertainty. I find that participants behaved according to directional predictions from real option theory for changes in probabilities and spread. This suggests that real option theory reasonably describes individual behavior, meaning most voters would support the optimal timing of policies with irreversible outcomes as described by real option theory such as climate change policies. Second, I found that participants deviate from point predictions from real option theory under low-probability high-severity outcomes consistent with probability weighting. Under different circumstances, participants overvalued and undervalued the option to wait relative to real option theory. In general, I find that participants undervalued information relative to real option theory when considering low-probability high-severity undesirable events. When considering low-probability high-severity desirable events, participants overvalued information relative to real option theory. This highlights scenarios where policy makers would need to deviate from voters’ preferences to implement an optimal policy according to real option theory. Alternatively, policy makers might need to provide additional information on policy outcomes in these contexts to garner voter support.</w:t>
      </w:r>
    </w:p>
    <w:p w14:paraId="680E130F" w14:textId="77777777" w:rsidR="00C565FD" w:rsidRPr="00163E69" w:rsidRDefault="00C565FD" w:rsidP="00C565FD">
      <w:pPr>
        <w:keepNext/>
        <w:spacing w:before="240" w:after="60" w:line="480" w:lineRule="auto"/>
        <w:jc w:val="center"/>
        <w:outlineLvl w:val="1"/>
        <w:rPr>
          <w:rFonts w:ascii="Times New Roman" w:hAnsi="Times New Roman" w:cs="Times New Roman"/>
          <w:b/>
          <w:bCs/>
          <w:iCs/>
        </w:rPr>
      </w:pPr>
      <w:bookmarkStart w:id="56" w:name="_Toc160720142"/>
      <w:bookmarkStart w:id="57" w:name="_Toc164862509"/>
      <w:r w:rsidRPr="00163E69">
        <w:rPr>
          <w:rFonts w:ascii="Times New Roman" w:hAnsi="Times New Roman" w:cs="Times New Roman"/>
          <w:b/>
          <w:bCs/>
          <w:iCs/>
        </w:rPr>
        <w:t>2.2 THEORETICAL FRAMEWORK</w:t>
      </w:r>
      <w:bookmarkEnd w:id="56"/>
      <w:bookmarkEnd w:id="57"/>
    </w:p>
    <w:p w14:paraId="7EFE10D8"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I modify List and Haigh’s (2010) simplified two-period real option theoretical framework, originally derived from the simple case presented in Dixit and Pindyck (1994). Suppose an economic agent ispresented with the opportunity to invest in a project with uncertain outcomes. </w:t>
      </w:r>
      <w:r>
        <w:rPr>
          <w:rFonts w:ascii="Times New Roman" w:hAnsi="Times New Roman" w:cs="Times New Roman"/>
        </w:rPr>
        <w:t>I</w:t>
      </w:r>
      <w:r w:rsidRPr="00163E69">
        <w:rPr>
          <w:rFonts w:ascii="Times New Roman" w:hAnsi="Times New Roman" w:cs="Times New Roman"/>
        </w:rPr>
        <w:t xml:space="preserve"> can simplify this to a lottery that gives a high payoff </w:t>
      </w:r>
      <m:oMath>
        <m:r>
          <w:rPr>
            <w:rFonts w:ascii="Cambria Math" w:hAnsi="Cambria Math" w:cs="Times New Roman"/>
          </w:rPr>
          <m:t>H&gt;</m:t>
        </m:r>
        <m:r>
          <w:rPr>
            <w:rFonts w:ascii="Cambria Math" w:hAnsi="Cambria Math" w:cs="Times New Roman"/>
          </w:rPr>
          <w:lastRenderedPageBreak/>
          <m:t>OUT</m:t>
        </m:r>
      </m:oMath>
      <w:r w:rsidRPr="00163E69">
        <w:rPr>
          <w:rFonts w:ascii="Times New Roman" w:hAnsi="Times New Roman" w:cs="Times New Roman"/>
        </w:rPr>
        <w:t xml:space="preserve"> with probability </w:t>
      </w:r>
      <m:oMath>
        <m:r>
          <w:rPr>
            <w:rFonts w:ascii="Cambria Math" w:hAnsi="Cambria Math" w:cs="Times New Roman"/>
          </w:rPr>
          <m:t>p</m:t>
        </m:r>
      </m:oMath>
      <w:r w:rsidRPr="00163E69">
        <w:rPr>
          <w:rFonts w:ascii="Times New Roman" w:hAnsi="Times New Roman" w:cs="Times New Roman"/>
        </w:rPr>
        <w:t xml:space="preserve"> and a low payoff </w:t>
      </w:r>
      <m:oMath>
        <m:r>
          <w:rPr>
            <w:rFonts w:ascii="Cambria Math" w:hAnsi="Cambria Math" w:cs="Times New Roman"/>
          </w:rPr>
          <m:t>L&lt;OUT</m:t>
        </m:r>
      </m:oMath>
      <w:r w:rsidRPr="00163E69">
        <w:rPr>
          <w:rFonts w:ascii="Times New Roman" w:hAnsi="Times New Roman" w:cs="Times New Roman"/>
        </w:rPr>
        <w:t xml:space="preserve"> with probability </w:t>
      </w:r>
      <m:oMath>
        <m:r>
          <w:rPr>
            <w:rFonts w:ascii="Cambria Math" w:hAnsi="Cambria Math" w:cs="Times New Roman"/>
          </w:rPr>
          <m:t>1-p</m:t>
        </m:r>
      </m:oMath>
      <w:r w:rsidRPr="00163E69">
        <w:rPr>
          <w:rFonts w:ascii="Times New Roman" w:hAnsi="Times New Roman" w:cs="Times New Roman"/>
        </w:rPr>
        <w:t xml:space="preserve">, where </w:t>
      </w:r>
      <m:oMath>
        <m:r>
          <w:rPr>
            <w:rFonts w:ascii="Cambria Math" w:hAnsi="Cambria Math" w:cs="Times New Roman"/>
          </w:rPr>
          <m:t>OUT</m:t>
        </m:r>
      </m:oMath>
      <w:r w:rsidRPr="00163E69">
        <w:rPr>
          <w:rFonts w:ascii="Times New Roman" w:hAnsi="Times New Roman" w:cs="Times New Roman"/>
        </w:rPr>
        <w:t xml:space="preserve"> is the certain outside option instead of playing the lottery. In period 1, the economic agent has three options. They can play the lottery without knowing the realization of payoffs, they can choose the certain outside option </w:t>
      </w:r>
      <m:oMath>
        <m:r>
          <w:rPr>
            <w:rFonts w:ascii="Cambria Math" w:hAnsi="Cambria Math" w:cs="Times New Roman"/>
          </w:rPr>
          <m:t>OUT</m:t>
        </m:r>
      </m:oMath>
      <w:r w:rsidRPr="00163E69">
        <w:rPr>
          <w:rFonts w:ascii="Times New Roman" w:hAnsi="Times New Roman" w:cs="Times New Roman"/>
        </w:rPr>
        <w:t xml:space="preserve">, or they can pay a cost, </w:t>
      </w:r>
      <m:oMath>
        <m:r>
          <w:rPr>
            <w:rFonts w:ascii="Cambria Math" w:hAnsi="Cambria Math" w:cs="Times New Roman"/>
          </w:rPr>
          <m:t>C≥0</m:t>
        </m:r>
      </m:oMath>
      <w:r w:rsidRPr="00163E69">
        <w:rPr>
          <w:rFonts w:ascii="Times New Roman" w:hAnsi="Times New Roman" w:cs="Times New Roman"/>
        </w:rPr>
        <w:t xml:space="preserve">, to observe the realization of the lottery outcome before they decide to play the lottery or not. This can be thought of as a simplified version of real option theory where paying the cost is like “waiting” for all uncertainty to be resolved. In contrast to Dixit and Pindyck (1994) and List and Haigh (2010), the cost, </w:t>
      </w:r>
      <m:oMath>
        <m:r>
          <w:rPr>
            <w:rFonts w:ascii="Cambria Math" w:hAnsi="Cambria Math" w:cs="Times New Roman"/>
          </w:rPr>
          <m:t>C</m:t>
        </m:r>
      </m:oMath>
      <w:r w:rsidRPr="00163E69">
        <w:rPr>
          <w:rFonts w:ascii="Times New Roman" w:hAnsi="Times New Roman" w:cs="Times New Roman"/>
        </w:rPr>
        <w:t xml:space="preserve">, is the cost of observing the realization of the lottery outcomes rather than the cost of the playing the lottery. </w:t>
      </w:r>
    </w:p>
    <w:p w14:paraId="73D92BF9"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To analyze this scenario under real option theory, I make a few simplifying assumptions. Under real option theory, </w:t>
      </w:r>
      <w:r>
        <w:rPr>
          <w:rFonts w:ascii="Times New Roman" w:hAnsi="Times New Roman" w:cs="Times New Roman"/>
        </w:rPr>
        <w:t>I</w:t>
      </w:r>
      <w:r w:rsidRPr="00163E69">
        <w:rPr>
          <w:rFonts w:ascii="Times New Roman" w:hAnsi="Times New Roman" w:cs="Times New Roman"/>
        </w:rPr>
        <w:t xml:space="preserve"> assume the economic agent is a risk-neutral expected utility maximizer. I consider two scenarios where lotteries are considered over gains space and loss space. In this context, I define a lottery to be in gains space when </w:t>
      </w:r>
      <m:oMath>
        <m:r>
          <w:rPr>
            <w:rFonts w:ascii="Cambria Math" w:hAnsi="Cambria Math" w:cs="Times New Roman"/>
          </w:rPr>
          <m:t>H&gt;OUT&gt;L&gt;0</m:t>
        </m:r>
      </m:oMath>
      <w:r w:rsidRPr="00163E69">
        <w:rPr>
          <w:rFonts w:ascii="Times New Roman" w:hAnsi="Times New Roman" w:cs="Times New Roman"/>
        </w:rPr>
        <w:t xml:space="preserve">. The corresponding definition for loss space is </w:t>
      </w:r>
      <m:oMath>
        <m:r>
          <w:rPr>
            <w:rFonts w:ascii="Cambria Math" w:hAnsi="Cambria Math" w:cs="Times New Roman"/>
          </w:rPr>
          <m:t>0&gt;H&gt;OUT&gt;L</m:t>
        </m:r>
      </m:oMath>
      <w:r w:rsidRPr="00163E69">
        <w:rPr>
          <w:rFonts w:ascii="Times New Roman" w:hAnsi="Times New Roman" w:cs="Times New Roman"/>
        </w:rPr>
        <w:t xml:space="preserve">. While the original Dixit and Pindyck (1994) model does not include lotteries, I show how this setup is mathematically equivalent in the Appendix. </w:t>
      </w:r>
    </w:p>
    <w:p w14:paraId="6D78D2E2"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Consider the expected value of playing the lottery with the information available in period 1. This relates to the termination value in Dixit and Pindyck (1994), which is the value of playing the lottery if there is no option to wait. The termination value is then defined as </w:t>
      </w:r>
      <m:oMath>
        <m:r>
          <w:rPr>
            <w:rFonts w:ascii="Cambria Math" w:hAnsi="Cambria Math" w:cs="Times New Roman"/>
          </w:rPr>
          <m:t>max</m:t>
        </m:r>
        <m:d>
          <m:dPr>
            <m:ctrlPr>
              <w:rPr>
                <w:rFonts w:ascii="Cambria Math" w:hAnsi="Cambria Math" w:cs="Times New Roman"/>
              </w:rPr>
            </m:ctrlPr>
          </m:dPr>
          <m:e>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m:t>
            </m:r>
          </m:e>
        </m:d>
        <m:r>
          <w:rPr>
            <w:rFonts w:ascii="Cambria Math" w:hAnsi="Cambria Math" w:cs="Times New Roman"/>
          </w:rPr>
          <m:t xml:space="preserve"> </m:t>
        </m:r>
      </m:oMath>
      <w:r w:rsidRPr="00163E69">
        <w:rPr>
          <w:rFonts w:ascii="Times New Roman" w:hAnsi="Times New Roman" w:cs="Times New Roman"/>
        </w:rPr>
        <w:t xml:space="preserve"> where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w:r w:rsidRPr="00163E69">
        <w:rPr>
          <w:rFonts w:ascii="Times New Roman" w:hAnsi="Times New Roman" w:cs="Times New Roman"/>
        </w:rPr>
        <w:t xml:space="preserve"> is the expected value of the lottery.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64E1EDCC" w14:textId="77777777" w:rsidTr="002A2C90">
        <w:tc>
          <w:tcPr>
            <w:tcW w:w="7225" w:type="dxa"/>
          </w:tcPr>
          <w:p w14:paraId="4F3F29CD"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=pH+</m:t>
                </m:r>
                <m:d>
                  <m:dPr>
                    <m:ctrlPr>
                      <w:rPr>
                        <w:rFonts w:ascii="Cambria Math" w:hAnsi="Cambria Math" w:cs="Times New Roman"/>
                      </w:rPr>
                    </m:ctrlPr>
                  </m:dPr>
                  <m:e>
                    <m:r>
                      <w:rPr>
                        <w:rFonts w:ascii="Cambria Math" w:hAnsi="Cambria Math" w:cs="Times New Roman"/>
                      </w:rPr>
                      <m:t>1-p</m:t>
                    </m:r>
                  </m:e>
                </m:d>
              </m:oMath>
            </m:oMathPara>
          </w:p>
        </w:tc>
        <w:tc>
          <w:tcPr>
            <w:tcW w:w="810" w:type="dxa"/>
          </w:tcPr>
          <w:p w14:paraId="4533877F" w14:textId="2D7581B3"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23</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4A6CA312"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lastRenderedPageBreak/>
        <w:t xml:space="preserve">Consider the decision in period 2 after they see the realization of the lottery. Since </w:t>
      </w:r>
      <m:oMath>
        <m:r>
          <w:rPr>
            <w:rFonts w:ascii="Cambria Math" w:hAnsi="Cambria Math" w:cs="Times New Roman"/>
          </w:rPr>
          <m:t>L&lt;0</m:t>
        </m:r>
      </m:oMath>
      <w:r w:rsidRPr="00163E69">
        <w:rPr>
          <w:rFonts w:ascii="Times New Roman" w:hAnsi="Times New Roman" w:cs="Times New Roman"/>
        </w:rPr>
        <w:t xml:space="preserve">, then they will not play the lottery if the low outcome occurs. In the context of Dixit and Pindyck (1994), the continuation value is defined as </w:t>
      </w:r>
      <m:oMath>
        <m:r>
          <w:rPr>
            <w:rFonts w:ascii="Cambria Math" w:hAnsi="Cambria Math" w:cs="Times New Roman"/>
          </w:rPr>
          <m:t>max</m:t>
        </m:r>
        <m:d>
          <m:dPr>
            <m:ctrlPr>
              <w:rPr>
                <w:rFonts w:ascii="Cambria Math" w:hAnsi="Cambria Math" w:cs="Times New Roman"/>
              </w:rPr>
            </m:ctrlPr>
          </m:dPr>
          <m:e>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 OUT</m:t>
            </m:r>
          </m:e>
        </m:d>
        <m:r>
          <w:rPr>
            <w:rFonts w:ascii="Cambria Math" w:hAnsi="Cambria Math" w:cs="Times New Roman"/>
          </w:rPr>
          <m:t xml:space="preserve"> </m:t>
        </m:r>
      </m:oMath>
      <w:r w:rsidRPr="00163E69">
        <w:rPr>
          <w:rFonts w:ascii="Times New Roman" w:hAnsi="Times New Roman" w:cs="Times New Roman"/>
        </w:rPr>
        <w:t xml:space="preserve">, where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 xml:space="preserve"> </m:t>
        </m:r>
      </m:oMath>
      <w:r w:rsidRPr="00163E69">
        <w:rPr>
          <w:rFonts w:ascii="Times New Roman" w:hAnsi="Times New Roman" w:cs="Times New Roman"/>
        </w:rPr>
        <w:t>is the value of the decision in period 2 with information in period 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38489DDC" w14:textId="77777777" w:rsidTr="002A2C90">
        <w:tc>
          <w:tcPr>
            <w:tcW w:w="7225" w:type="dxa"/>
          </w:tcPr>
          <w:p w14:paraId="44B8BBF6"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=pH+</m:t>
                </m:r>
                <m:d>
                  <m:dPr>
                    <m:ctrlPr>
                      <w:rPr>
                        <w:rFonts w:ascii="Cambria Math" w:hAnsi="Cambria Math" w:cs="Times New Roman"/>
                      </w:rPr>
                    </m:ctrlPr>
                  </m:dPr>
                  <m:e>
                    <m:r>
                      <w:rPr>
                        <w:rFonts w:ascii="Cambria Math" w:hAnsi="Cambria Math" w:cs="Times New Roman"/>
                      </w:rPr>
                      <m:t>1-p</m:t>
                    </m:r>
                  </m:e>
                </m:d>
                <m:d>
                  <m:dPr>
                    <m:ctrlPr>
                      <w:rPr>
                        <w:rFonts w:ascii="Cambria Math" w:hAnsi="Cambria Math" w:cs="Times New Roman"/>
                      </w:rPr>
                    </m:ctrlPr>
                  </m:dPr>
                  <m:e>
                    <m:r>
                      <w:rPr>
                        <w:rFonts w:ascii="Cambria Math" w:hAnsi="Cambria Math" w:cs="Times New Roman"/>
                      </w:rPr>
                      <m:t>OUT</m:t>
                    </m:r>
                  </m:e>
                </m:d>
                <m:r>
                  <w:rPr>
                    <w:rFonts w:ascii="Cambria Math" w:hAnsi="Cambria Math" w:cs="Times New Roman"/>
                  </w:rPr>
                  <m:t>-C=p</m:t>
                </m:r>
                <m:d>
                  <m:dPr>
                    <m:ctrlPr>
                      <w:rPr>
                        <w:rFonts w:ascii="Cambria Math" w:hAnsi="Cambria Math" w:cs="Times New Roman"/>
                        <w:i/>
                      </w:rPr>
                    </m:ctrlPr>
                  </m:dPr>
                  <m:e>
                    <m:r>
                      <w:rPr>
                        <w:rFonts w:ascii="Cambria Math" w:hAnsi="Cambria Math" w:cs="Times New Roman"/>
                      </w:rPr>
                      <m:t>H-OUT</m:t>
                    </m:r>
                  </m:e>
                </m:d>
                <m:r>
                  <w:rPr>
                    <w:rFonts w:ascii="Cambria Math" w:hAnsi="Cambria Math" w:cs="Times New Roman"/>
                  </w:rPr>
                  <m:t>+OUT-C</m:t>
                </m:r>
              </m:oMath>
            </m:oMathPara>
          </w:p>
        </w:tc>
        <w:tc>
          <w:tcPr>
            <w:tcW w:w="810" w:type="dxa"/>
          </w:tcPr>
          <w:p w14:paraId="7E0F9EB6" w14:textId="0A7E99AD"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24</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54DCD092"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If the lottery resolves in the high outcome, they play the lottery. Otherwise, playing the lottery with the low outcome will result in a loss, so they forego the option to play the lottery. Note that they pay a cost of</w:t>
      </w:r>
      <w:r w:rsidRPr="00163E69">
        <w:rPr>
          <w:rFonts w:ascii="Times New Roman" w:hAnsi="Times New Roman" w:cs="Times New Roman"/>
          <w:i/>
        </w:rPr>
        <w:t xml:space="preserve"> </w:t>
      </w:r>
      <m:oMath>
        <m:r>
          <w:rPr>
            <w:rFonts w:ascii="Cambria Math" w:hAnsi="Cambria Math" w:cs="Times New Roman"/>
          </w:rPr>
          <m:t>C</m:t>
        </m:r>
      </m:oMath>
      <w:r w:rsidRPr="00163E69">
        <w:rPr>
          <w:rFonts w:ascii="Times New Roman" w:hAnsi="Times New Roman" w:cs="Times New Roman"/>
          <w:i/>
        </w:rPr>
        <w:t xml:space="preserve"> </w:t>
      </w:r>
      <w:r w:rsidRPr="00163E69">
        <w:rPr>
          <w:rFonts w:ascii="Times New Roman" w:hAnsi="Times New Roman" w:cs="Times New Roman"/>
        </w:rPr>
        <w:t xml:space="preserve">regardless of the lottery outcome since they wait until period 2 to see the resolution of the uncertain payoffs. </w:t>
      </w:r>
    </w:p>
    <w:p w14:paraId="363A4E1A"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Finally, the value of the option to play the lottery as defined by Dixit and Pindyck (1994) is calculated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4114F2B7" w14:textId="77777777" w:rsidTr="002A2C90">
        <w:tc>
          <w:tcPr>
            <w:tcW w:w="7225" w:type="dxa"/>
          </w:tcPr>
          <w:p w14:paraId="75D305D9"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max</m:t>
                </m:r>
                <m:d>
                  <m:dPr>
                    <m:ctrlPr>
                      <w:rPr>
                        <w:rFonts w:ascii="Cambria Math" w:hAnsi="Cambria Math" w:cs="Times New Roman"/>
                      </w:rPr>
                    </m:ctrlPr>
                  </m:dPr>
                  <m:e>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m:t>
                    </m:r>
                  </m:e>
                </m:d>
                <m:r>
                  <w:rPr>
                    <w:rFonts w:ascii="Cambria Math" w:hAnsi="Cambria Math" w:cs="Times New Roman"/>
                  </w:rPr>
                  <m:t xml:space="preserve"> </m:t>
                </m:r>
              </m:oMath>
            </m:oMathPara>
          </w:p>
        </w:tc>
        <w:tc>
          <w:tcPr>
            <w:tcW w:w="810" w:type="dxa"/>
          </w:tcPr>
          <w:p w14:paraId="3B943DD5" w14:textId="0976D2ED"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25</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5BB02441"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and option value is defined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5EF5CC8E" w14:textId="77777777" w:rsidTr="002A2C90">
        <w:tc>
          <w:tcPr>
            <w:tcW w:w="7225" w:type="dxa"/>
          </w:tcPr>
          <w:p w14:paraId="0F6BC049"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OV=max</m:t>
                </m:r>
                <m:d>
                  <m:dPr>
                    <m:ctrlPr>
                      <w:rPr>
                        <w:rFonts w:ascii="Cambria Math" w:hAnsi="Cambria Math" w:cs="Times New Roman"/>
                      </w:rPr>
                    </m:ctrlPr>
                  </m:dPr>
                  <m:e>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m:t>
                    </m:r>
                  </m:e>
                </m:d>
                <m:r>
                  <w:rPr>
                    <w:rFonts w:ascii="Cambria Math" w:hAnsi="Cambria Math" w:cs="Times New Roman"/>
                  </w:rPr>
                  <m:t xml:space="preserve"> -max</m:t>
                </m:r>
                <m:d>
                  <m:dPr>
                    <m:ctrlPr>
                      <w:rPr>
                        <w:rFonts w:ascii="Cambria Math" w:hAnsi="Cambria Math" w:cs="Times New Roman"/>
                      </w:rPr>
                    </m:ctrlPr>
                  </m:dPr>
                  <m:e>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 OUT</m:t>
                    </m:r>
                  </m:e>
                </m:d>
                <m:r>
                  <w:rPr>
                    <w:rFonts w:ascii="Cambria Math" w:hAnsi="Cambria Math" w:cs="Times New Roman"/>
                  </w:rPr>
                  <m:t xml:space="preserve"> </m:t>
                </m:r>
              </m:oMath>
            </m:oMathPara>
          </w:p>
        </w:tc>
        <w:tc>
          <w:tcPr>
            <w:tcW w:w="810" w:type="dxa"/>
          </w:tcPr>
          <w:p w14:paraId="33BC6EDC" w14:textId="21E06D73"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26</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16B54D3D" w14:textId="291EABDF"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Three relevant conditions classify individuals’ behaviors. First, when </w:t>
      </w:r>
      <m:oMath>
        <m:r>
          <w:rPr>
            <w:rFonts w:ascii="Cambria Math" w:hAnsi="Cambria Math" w:cs="Times New Roman"/>
          </w:rPr>
          <m:t>OV&gt;0</m:t>
        </m:r>
      </m:oMath>
      <w:r w:rsidRPr="00163E69">
        <w:rPr>
          <w:rFonts w:ascii="Times New Roman" w:hAnsi="Times New Roman" w:cs="Times New Roman"/>
        </w:rPr>
        <w:t xml:space="preserve">, then there is value in the information and they should pay the cost to see the outcome of the lottery before making the decision. Second, when </w:t>
      </w:r>
      <m:oMath>
        <m:r>
          <w:rPr>
            <w:rFonts w:ascii="Cambria Math" w:hAnsi="Cambria Math" w:cs="Times New Roman"/>
          </w:rPr>
          <m:t>OV=0</m:t>
        </m:r>
      </m:oMath>
      <w:r w:rsidRPr="00163E69">
        <w:rPr>
          <w:rFonts w:ascii="Times New Roman" w:hAnsi="Times New Roman" w:cs="Times New Roman"/>
        </w:rPr>
        <w:t xml:space="preserve"> and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&gt;OUT</m:t>
        </m:r>
      </m:oMath>
      <w:r w:rsidRPr="00163E69">
        <w:rPr>
          <w:rFonts w:ascii="Times New Roman" w:hAnsi="Times New Roman" w:cs="Times New Roman"/>
        </w:rPr>
        <w:t xml:space="preserve">, then they should play the lottery immediately. Third, when </w:t>
      </w:r>
      <m:oMath>
        <m:r>
          <w:rPr>
            <w:rFonts w:ascii="Cambria Math" w:hAnsi="Cambria Math" w:cs="Times New Roman"/>
          </w:rPr>
          <m:t>OV=0</m:t>
        </m:r>
      </m:oMath>
      <w:r w:rsidRPr="00163E69">
        <w:rPr>
          <w:rFonts w:ascii="Times New Roman" w:hAnsi="Times New Roman" w:cs="Times New Roman"/>
        </w:rPr>
        <w:t xml:space="preserve"> and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&lt;OUT</m:t>
        </m:r>
      </m:oMath>
      <w:r w:rsidRPr="00163E69">
        <w:rPr>
          <w:rFonts w:ascii="Times New Roman" w:hAnsi="Times New Roman" w:cs="Times New Roman"/>
        </w:rPr>
        <w:t xml:space="preserve">, then they should take the certain outside option. </w:t>
      </w:r>
      <w:r w:rsidRPr="00163E69">
        <w:rPr>
          <w:rFonts w:ascii="Times New Roman" w:hAnsi="Times New Roman" w:cs="Times New Roman"/>
        </w:rPr>
        <w:fldChar w:fldCharType="begin"/>
      </w:r>
      <w:r w:rsidRPr="00163E69">
        <w:rPr>
          <w:rFonts w:ascii="Times New Roman" w:hAnsi="Times New Roman" w:cs="Times New Roman"/>
        </w:rPr>
        <w:instrText xml:space="preserve"> REF _Ref160542045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Table </w:t>
      </w:r>
      <w:r w:rsidR="00142A7E">
        <w:rPr>
          <w:rFonts w:ascii="Times New Roman" w:hAnsi="Times New Roman" w:cs="Times New Roman"/>
        </w:rPr>
        <w:t>7</w:t>
      </w:r>
      <w:r w:rsidRPr="00163E69">
        <w:rPr>
          <w:rFonts w:ascii="Times New Roman" w:hAnsi="Times New Roman" w:cs="Times New Roman"/>
        </w:rPr>
        <w:fldChar w:fldCharType="end"/>
      </w:r>
      <w:r w:rsidRPr="00163E69">
        <w:rPr>
          <w:rFonts w:ascii="Times New Roman" w:hAnsi="Times New Roman" w:cs="Times New Roman"/>
        </w:rPr>
        <w:t xml:space="preserve"> summarizes the optimal choice under each condition using List and Haigh’s (2010) notation. </w:t>
      </w:r>
    </w:p>
    <w:p w14:paraId="4460D4FB"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In this setup, the cost, C, can also be interpreted as the individuals’ willingness to pay for new information. As the analysis relies on estimating willingness to pay for </w:t>
      </w:r>
      <w:r w:rsidRPr="00163E69">
        <w:rPr>
          <w:rFonts w:ascii="Times New Roman" w:hAnsi="Times New Roman" w:cs="Times New Roman"/>
        </w:rPr>
        <w:lastRenderedPageBreak/>
        <w:t xml:space="preserve">information, it is worth considering the willingness to pay function from the real option framework. Simply put, the economic agents’ willingness to pay should be exactly equal to </w:t>
      </w:r>
      <m:oMath>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oMath>
      <w:r w:rsidRPr="00163E69">
        <w:rPr>
          <w:rFonts w:ascii="Times New Roman" w:hAnsi="Times New Roman" w:cs="Times New Roman"/>
        </w:rPr>
        <w:t xml:space="preserve">, which is the critical value where option value is equal to 0 in the theoretical framework. </w:t>
      </w:r>
      <w:r>
        <w:rPr>
          <w:rFonts w:ascii="Times New Roman" w:hAnsi="Times New Roman" w:cs="Times New Roman"/>
        </w:rPr>
        <w:t>I</w:t>
      </w:r>
      <w:r w:rsidRPr="00163E69">
        <w:rPr>
          <w:rFonts w:ascii="Times New Roman" w:hAnsi="Times New Roman" w:cs="Times New Roman"/>
        </w:rPr>
        <w:t xml:space="preserve"> can write </w:t>
      </w:r>
      <m:oMath>
        <m:r>
          <w:rPr>
            <w:rFonts w:ascii="Cambria Math" w:hAnsi="Cambria Math" w:cs="Times New Roman"/>
          </w:rPr>
          <m:t>WTP</m:t>
        </m:r>
      </m:oMath>
      <w:r w:rsidRPr="00163E69">
        <w:rPr>
          <w:rFonts w:ascii="Times New Roman" w:hAnsi="Times New Roman" w:cs="Times New Roman"/>
        </w:rPr>
        <w:t xml:space="preserve">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28B3D28C" w14:textId="77777777" w:rsidTr="002A2C90">
        <w:tc>
          <w:tcPr>
            <w:tcW w:w="7225" w:type="dxa"/>
          </w:tcPr>
          <w:p w14:paraId="51D78763"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WTP=</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(OUT-L)</m:t>
                        </m:r>
                      </m:e>
                      <m:e>
                        <m:r>
                          <w:rPr>
                            <w:rFonts w:ascii="Cambria Math" w:hAnsi="Cambria Math" w:cs="Times New Roman"/>
                          </w:rPr>
                          <m:t>p(H-OUT)</m:t>
                        </m:r>
                      </m:e>
                    </m:eqArr>
                  </m:e>
                </m:d>
                <m:m>
                  <m:mPr>
                    <m:mcs>
                      <m:mc>
                        <m:mcPr>
                          <m:count m:val="1"/>
                          <m:mcJc m:val="center"/>
                        </m:mcPr>
                      </m:mc>
                    </m:mcs>
                    <m:ctrlPr>
                      <w:rPr>
                        <w:rFonts w:ascii="Cambria Math" w:hAnsi="Cambria Math" w:cs="Times New Roman"/>
                        <w:i/>
                      </w:rPr>
                    </m:ctrlPr>
                  </m:mPr>
                  <m:mr>
                    <m:e>
                      <m:r>
                        <w:rPr>
                          <w:rFonts w:ascii="Cambria Math" w:hAnsi="Cambria Math" w:cs="Times New Roman"/>
                        </w:rPr>
                        <m:t xml:space="preserve"> if 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L≥OUT</m:t>
                      </m:r>
                    </m:e>
                  </m:mr>
                  <m:mr>
                    <m:e>
                      <m:r>
                        <w:rPr>
                          <w:rFonts w:ascii="Cambria Math" w:hAnsi="Cambria Math" w:cs="Times New Roman"/>
                        </w:rPr>
                        <m:t xml:space="preserve"> if 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L&lt;OUT</m:t>
                      </m:r>
                    </m:e>
                  </m:mr>
                </m:m>
              </m:oMath>
            </m:oMathPara>
          </w:p>
        </w:tc>
        <w:tc>
          <w:tcPr>
            <w:tcW w:w="810" w:type="dxa"/>
          </w:tcPr>
          <w:p w14:paraId="5471B183" w14:textId="6901626A" w:rsidR="00C565FD" w:rsidRPr="00163E69" w:rsidRDefault="00C565FD" w:rsidP="002A2C90">
            <w:pPr>
              <w:spacing w:line="480" w:lineRule="auto"/>
              <w:rPr>
                <w:rFonts w:ascii="Times New Roman" w:hAnsi="Times New Roman" w:cs="Times New Roman"/>
              </w:rPr>
            </w:pPr>
            <w:bookmarkStart w:id="58" w:name="_Ref160711665"/>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27</w:t>
            </w:r>
            <w:r w:rsidRPr="00163E69">
              <w:rPr>
                <w:rFonts w:ascii="Times New Roman" w:hAnsi="Times New Roman" w:cs="Times New Roman"/>
              </w:rPr>
              <w:fldChar w:fldCharType="end"/>
            </w:r>
            <w:r w:rsidRPr="00163E69">
              <w:rPr>
                <w:rFonts w:ascii="Times New Roman" w:hAnsi="Times New Roman" w:cs="Times New Roman"/>
              </w:rPr>
              <w:t xml:space="preserve"> )</w:t>
            </w:r>
            <w:bookmarkEnd w:id="58"/>
          </w:p>
        </w:tc>
      </w:tr>
    </w:tbl>
    <w:p w14:paraId="15A1042D"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As </w:t>
      </w:r>
      <w:r>
        <w:rPr>
          <w:rFonts w:ascii="Times New Roman" w:hAnsi="Times New Roman" w:cs="Times New Roman"/>
        </w:rPr>
        <w:t>I</w:t>
      </w:r>
      <w:r w:rsidRPr="00163E69">
        <w:rPr>
          <w:rFonts w:ascii="Times New Roman" w:hAnsi="Times New Roman" w:cs="Times New Roman"/>
        </w:rPr>
        <w:t xml:space="preserve"> can see, </w:t>
      </w:r>
      <m:oMath>
        <m:r>
          <w:rPr>
            <w:rFonts w:ascii="Cambria Math" w:hAnsi="Cambria Math" w:cs="Times New Roman"/>
          </w:rPr>
          <m:t>WTP</m:t>
        </m:r>
      </m:oMath>
      <w:r w:rsidRPr="00163E69">
        <w:rPr>
          <w:rFonts w:ascii="Times New Roman" w:hAnsi="Times New Roman" w:cs="Times New Roman"/>
        </w:rPr>
        <w:t xml:space="preserve"> is a function of both the probability of outcomes and the difference between the outside option and lottery outcomes. This means that as </w:t>
      </w:r>
      <w:r>
        <w:rPr>
          <w:rFonts w:ascii="Times New Roman" w:hAnsi="Times New Roman" w:cs="Times New Roman"/>
        </w:rPr>
        <w:t>I</w:t>
      </w:r>
      <w:r w:rsidRPr="00163E69">
        <w:rPr>
          <w:rFonts w:ascii="Times New Roman" w:hAnsi="Times New Roman" w:cs="Times New Roman"/>
        </w:rPr>
        <w:t xml:space="preserve"> change the probabilities and spread of outcomes, </w:t>
      </w:r>
      <w:r>
        <w:rPr>
          <w:rFonts w:ascii="Times New Roman" w:hAnsi="Times New Roman" w:cs="Times New Roman"/>
        </w:rPr>
        <w:t>I</w:t>
      </w:r>
      <w:r w:rsidRPr="00163E69">
        <w:rPr>
          <w:rFonts w:ascii="Times New Roman" w:hAnsi="Times New Roman" w:cs="Times New Roman"/>
        </w:rPr>
        <w:t xml:space="preserve"> would expect to see changes in </w:t>
      </w:r>
      <m:oMath>
        <m:r>
          <w:rPr>
            <w:rFonts w:ascii="Cambria Math" w:hAnsi="Cambria Math" w:cs="Times New Roman"/>
          </w:rPr>
          <m:t>WTP</m:t>
        </m:r>
      </m:oMath>
      <w:r w:rsidRPr="00163E69">
        <w:rPr>
          <w:rFonts w:ascii="Times New Roman" w:hAnsi="Times New Roman" w:cs="Times New Roman"/>
        </w:rPr>
        <w:t xml:space="preserve"> accordingly. </w:t>
      </w:r>
    </w:p>
    <w:p w14:paraId="5D29F87B"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First, consider how changing the probability changes </w:t>
      </w:r>
      <m:oMath>
        <m:r>
          <w:rPr>
            <w:rFonts w:ascii="Cambria Math" w:hAnsi="Cambria Math" w:cs="Times New Roman"/>
          </w:rPr>
          <m:t>WTP.</m:t>
        </m:r>
      </m:oMath>
      <w:r w:rsidRPr="00163E69">
        <w:rPr>
          <w:rFonts w:ascii="Times New Roman" w:hAnsi="Times New Roman" w:cs="Times New Roman"/>
        </w:rPr>
        <w:t xml:space="preserve"> Formally, </w:t>
      </w:r>
      <w:r>
        <w:rPr>
          <w:rFonts w:ascii="Times New Roman" w:hAnsi="Times New Roman" w:cs="Times New Roman"/>
        </w:rPr>
        <w:t>I</w:t>
      </w:r>
      <w:r w:rsidRPr="00163E69">
        <w:rPr>
          <w:rFonts w:ascii="Times New Roman" w:hAnsi="Times New Roman" w:cs="Times New Roman"/>
        </w:rPr>
        <w:t xml:space="preserve"> take the partial of the willingness to pay function with respect to the probability, </w:t>
      </w:r>
      <m:oMath>
        <m:r>
          <w:rPr>
            <w:rFonts w:ascii="Cambria Math" w:hAnsi="Cambria Math" w:cs="Times New Roman"/>
          </w:rPr>
          <m:t>p</m:t>
        </m:r>
      </m:oMath>
      <w:r w:rsidRPr="00163E69">
        <w:rPr>
          <w:rFonts w:ascii="Times New Roman" w:hAnsi="Times New Roman"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69AE9335" w14:textId="77777777" w:rsidTr="002A2C90">
        <w:tc>
          <w:tcPr>
            <w:tcW w:w="7225" w:type="dxa"/>
          </w:tcPr>
          <w:p w14:paraId="2E2E6120" w14:textId="77777777" w:rsidR="00C565FD" w:rsidRPr="00163E69" w:rsidRDefault="00000000" w:rsidP="002A2C90">
            <w:pPr>
              <w:spacing w:line="480" w:lineRule="auto"/>
              <w:ind w:firstLine="720"/>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∂WTP</m:t>
                    </m:r>
                  </m:num>
                  <m:den>
                    <m:r>
                      <w:rPr>
                        <w:rFonts w:ascii="Cambria Math" w:hAnsi="Cambria Math" w:cs="Times New Roman"/>
                      </w:rPr>
                      <m:t>∂p</m:t>
                    </m:r>
                  </m:den>
                </m:f>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r>
                          <w:rPr>
                            <w:rFonts w:ascii="Cambria Math" w:hAnsi="Cambria Math" w:cs="Times New Roman"/>
                          </w:rPr>
                          <m:t>-</m:t>
                        </m:r>
                        <m:d>
                          <m:dPr>
                            <m:ctrlPr>
                              <w:rPr>
                                <w:rFonts w:ascii="Cambria Math" w:hAnsi="Cambria Math" w:cs="Times New Roman"/>
                                <w:i/>
                              </w:rPr>
                            </m:ctrlPr>
                          </m:dPr>
                          <m:e>
                            <m:r>
                              <w:rPr>
                                <w:rFonts w:ascii="Cambria Math" w:hAnsi="Cambria Math" w:cs="Times New Roman"/>
                              </w:rPr>
                              <m:t>OUT-L</m:t>
                            </m:r>
                          </m:e>
                        </m:d>
                        <m:r>
                          <w:rPr>
                            <w:rFonts w:ascii="Cambria Math" w:hAnsi="Cambria Math" w:cs="Times New Roman"/>
                          </w:rPr>
                          <m:t>&lt;0</m:t>
                        </m:r>
                      </m:e>
                      <m:e>
                        <m:d>
                          <m:dPr>
                            <m:ctrlPr>
                              <w:rPr>
                                <w:rFonts w:ascii="Cambria Math" w:hAnsi="Cambria Math" w:cs="Times New Roman"/>
                                <w:i/>
                              </w:rPr>
                            </m:ctrlPr>
                          </m:dPr>
                          <m:e>
                            <m:r>
                              <w:rPr>
                                <w:rFonts w:ascii="Cambria Math" w:hAnsi="Cambria Math" w:cs="Times New Roman"/>
                              </w:rPr>
                              <m:t>H-OUT</m:t>
                            </m:r>
                          </m:e>
                        </m:d>
                        <m:r>
                          <w:rPr>
                            <w:rFonts w:ascii="Cambria Math" w:hAnsi="Cambria Math" w:cs="Times New Roman"/>
                          </w:rPr>
                          <m:t>&gt;0</m:t>
                        </m:r>
                      </m:e>
                    </m:eqArr>
                  </m:e>
                </m:d>
                <m:m>
                  <m:mPr>
                    <m:mcs>
                      <m:mc>
                        <m:mcPr>
                          <m:count m:val="1"/>
                          <m:mcJc m:val="center"/>
                        </m:mcPr>
                      </m:mc>
                    </m:mcs>
                    <m:ctrlPr>
                      <w:rPr>
                        <w:rFonts w:ascii="Cambria Math" w:hAnsi="Cambria Math" w:cs="Times New Roman"/>
                        <w:i/>
                      </w:rPr>
                    </m:ctrlPr>
                  </m:mPr>
                  <m:mr>
                    <m:e>
                      <m:r>
                        <w:rPr>
                          <w:rFonts w:ascii="Cambria Math" w:hAnsi="Cambria Math" w:cs="Times New Roman"/>
                        </w:rPr>
                        <m:t xml:space="preserve"> if 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L≥OUT</m:t>
                      </m:r>
                    </m:e>
                  </m:mr>
                  <m:mr>
                    <m:e>
                      <m:r>
                        <w:rPr>
                          <w:rFonts w:ascii="Cambria Math" w:hAnsi="Cambria Math" w:cs="Times New Roman"/>
                        </w:rPr>
                        <m:t xml:space="preserve"> if 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L&lt;OUT</m:t>
                      </m:r>
                    </m:e>
                  </m:mr>
                </m:m>
              </m:oMath>
            </m:oMathPara>
          </w:p>
        </w:tc>
        <w:tc>
          <w:tcPr>
            <w:tcW w:w="810" w:type="dxa"/>
          </w:tcPr>
          <w:p w14:paraId="4450C551" w14:textId="5879DC26"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28</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69524FD6"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In other words, when the expected value of the lottery is greater than the outside option, increasing the probability of the high outcome decreases willingness to pay. Note that increasing the probability of the high outcome also increases the expected value of the lottery. This means that when </w:t>
      </w:r>
      <m:oMath>
        <m:r>
          <w:rPr>
            <w:rFonts w:ascii="Cambria Math" w:hAnsi="Cambria Math" w:cs="Times New Roman"/>
          </w:rPr>
          <m:t>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L=OUT</m:t>
        </m:r>
      </m:oMath>
      <w:r w:rsidRPr="00163E69">
        <w:rPr>
          <w:rFonts w:ascii="Times New Roman" w:hAnsi="Times New Roman" w:cs="Times New Roman"/>
        </w:rPr>
        <w:t xml:space="preserve"> an increase in </w:t>
      </w:r>
      <m:oMath>
        <m:r>
          <w:rPr>
            <w:rFonts w:ascii="Cambria Math" w:hAnsi="Cambria Math" w:cs="Times New Roman"/>
          </w:rPr>
          <m:t>p</m:t>
        </m:r>
      </m:oMath>
      <w:r w:rsidRPr="00163E69">
        <w:rPr>
          <w:rFonts w:ascii="Times New Roman" w:hAnsi="Times New Roman" w:cs="Times New Roman"/>
        </w:rPr>
        <w:t xml:space="preserve"> increases the expected value of the lottery such that </w:t>
      </w:r>
      <m:oMath>
        <m:r>
          <w:rPr>
            <w:rFonts w:ascii="Cambria Math" w:hAnsi="Cambria Math" w:cs="Times New Roman"/>
          </w:rPr>
          <m:t>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L&gt;OUT</m:t>
        </m:r>
      </m:oMath>
      <w:r w:rsidRPr="00163E69">
        <w:rPr>
          <w:rFonts w:ascii="Times New Roman" w:hAnsi="Times New Roman" w:cs="Times New Roman"/>
        </w:rPr>
        <w:t xml:space="preserve">. This causes a discrete change in </w:t>
      </w:r>
      <m:oMath>
        <m:r>
          <w:rPr>
            <w:rFonts w:ascii="Cambria Math" w:hAnsi="Cambria Math" w:cs="Times New Roman"/>
          </w:rPr>
          <m:t xml:space="preserve">WTP </m:t>
        </m:r>
      </m:oMath>
      <w:r w:rsidRPr="00163E69">
        <w:rPr>
          <w:rFonts w:ascii="Times New Roman" w:hAnsi="Times New Roman" w:cs="Times New Roman"/>
        </w:rPr>
        <w:t xml:space="preserve">from </w:t>
      </w:r>
      <m:oMath>
        <m:r>
          <w:rPr>
            <w:rFonts w:ascii="Cambria Math" w:hAnsi="Cambria Math" w:cs="Times New Roman"/>
          </w:rPr>
          <m:t>p(H-OUT)</m:t>
        </m:r>
      </m:oMath>
      <w:r w:rsidRPr="00163E69">
        <w:rPr>
          <w:rFonts w:ascii="Times New Roman" w:hAnsi="Times New Roman" w:cs="Times New Roman"/>
        </w:rPr>
        <w:t xml:space="preserve"> to </w:t>
      </w:r>
      <m:oMath>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(OUT-L)</m:t>
        </m:r>
      </m:oMath>
      <w:r w:rsidRPr="00163E69">
        <w:rPr>
          <w:rFonts w:ascii="Times New Roman" w:hAnsi="Times New Roman" w:cs="Times New Roman"/>
        </w:rPr>
        <w:t xml:space="preserve">. Since </w:t>
      </w:r>
      <m:oMath>
        <m:r>
          <w:rPr>
            <w:rFonts w:ascii="Cambria Math" w:hAnsi="Cambria Math" w:cs="Times New Roman"/>
          </w:rPr>
          <m:t>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L&gt;OUT</m:t>
        </m:r>
      </m:oMath>
      <w:r w:rsidRPr="00163E69">
        <w:rPr>
          <w:rFonts w:ascii="Times New Roman" w:hAnsi="Times New Roman" w:cs="Times New Roman"/>
        </w:rPr>
        <w:t xml:space="preserve">, then </w:t>
      </w:r>
      <m:oMath>
        <m:r>
          <w:rPr>
            <w:rFonts w:ascii="Cambria Math" w:hAnsi="Cambria Math" w:cs="Times New Roman"/>
          </w:rPr>
          <m:t>p(H-OUT)&gt;</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(OUT-L)</m:t>
        </m:r>
      </m:oMath>
      <w:r w:rsidRPr="00163E69">
        <w:rPr>
          <w:rFonts w:ascii="Times New Roman" w:hAnsi="Times New Roman" w:cs="Times New Roman"/>
        </w:rPr>
        <w:t xml:space="preserve">, meaning this discrete change decreases </w:t>
      </w:r>
      <m:oMath>
        <m:r>
          <w:rPr>
            <w:rFonts w:ascii="Cambria Math" w:hAnsi="Cambria Math" w:cs="Times New Roman"/>
          </w:rPr>
          <m:t>WTP.</m:t>
        </m:r>
      </m:oMath>
      <w:r w:rsidRPr="00163E69">
        <w:rPr>
          <w:rFonts w:ascii="Times New Roman" w:hAnsi="Times New Roman" w:cs="Times New Roman"/>
        </w:rPr>
        <w:t xml:space="preserve"> When the expected value of the lottery is less than the outside option, an increase in </w:t>
      </w:r>
      <m:oMath>
        <m:r>
          <w:rPr>
            <w:rFonts w:ascii="Cambria Math" w:hAnsi="Cambria Math" w:cs="Times New Roman"/>
          </w:rPr>
          <m:t xml:space="preserve">p </m:t>
        </m:r>
      </m:oMath>
      <w:r w:rsidRPr="00163E69">
        <w:rPr>
          <w:rFonts w:ascii="Times New Roman" w:hAnsi="Times New Roman" w:cs="Times New Roman"/>
        </w:rPr>
        <w:t xml:space="preserve">increases </w:t>
      </w:r>
      <m:oMath>
        <m:r>
          <w:rPr>
            <w:rFonts w:ascii="Cambria Math" w:hAnsi="Cambria Math" w:cs="Times New Roman"/>
          </w:rPr>
          <m:t xml:space="preserve">WTP. </m:t>
        </m:r>
      </m:oMath>
      <w:r w:rsidRPr="00163E69">
        <w:rPr>
          <w:rFonts w:ascii="Times New Roman" w:hAnsi="Times New Roman" w:cs="Times New Roman"/>
        </w:rPr>
        <w:t xml:space="preserve">While there are clear directional predications in changes of </w:t>
      </w:r>
      <w:r w:rsidRPr="00163E69">
        <w:rPr>
          <w:rFonts w:ascii="Times New Roman" w:hAnsi="Times New Roman" w:cs="Times New Roman"/>
        </w:rPr>
        <w:lastRenderedPageBreak/>
        <w:t>probabilities, they are conditional on the expected value of the lottery relative to the outside option.</w:t>
      </w:r>
    </w:p>
    <w:p w14:paraId="15CDC10D"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Second, increasing the spread of outcomes increases </w:t>
      </w:r>
      <m:oMath>
        <m:r>
          <w:rPr>
            <w:rFonts w:ascii="Cambria Math" w:hAnsi="Cambria Math" w:cs="Times New Roman"/>
          </w:rPr>
          <m:t>WTP</m:t>
        </m:r>
      </m:oMath>
      <w:r w:rsidRPr="00163E69">
        <w:rPr>
          <w:rFonts w:ascii="Times New Roman" w:hAnsi="Times New Roman" w:cs="Times New Roman"/>
        </w:rPr>
        <w:t>, assuming the distance from the outside option to both the high and low outcome increases. In other words, consider the comparative static assuming no change in the expected value of the lottery.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0504D9C9" w14:textId="77777777" w:rsidTr="002A2C90">
        <w:tc>
          <w:tcPr>
            <w:tcW w:w="7225" w:type="dxa"/>
          </w:tcPr>
          <w:p w14:paraId="1173D050" w14:textId="77777777" w:rsidR="00C565FD" w:rsidRPr="00163E69" w:rsidRDefault="00000000" w:rsidP="002A2C90">
            <w:pPr>
              <w:spacing w:line="480" w:lineRule="auto"/>
              <w:ind w:firstLine="720"/>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∂WTP</m:t>
                    </m:r>
                  </m:num>
                  <m:den>
                    <m:r>
                      <w:rPr>
                        <w:rFonts w:ascii="Cambria Math" w:hAnsi="Cambria Math" w:cs="Times New Roman"/>
                      </w:rPr>
                      <m:t>∂(H-L)</m:t>
                    </m:r>
                  </m:den>
                </m:f>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&gt;0</m:t>
                        </m:r>
                      </m:e>
                      <m:e>
                        <m:r>
                          <w:rPr>
                            <w:rFonts w:ascii="Cambria Math" w:hAnsi="Cambria Math" w:cs="Times New Roman"/>
                          </w:rPr>
                          <m:t>p&gt;0</m:t>
                        </m:r>
                      </m:e>
                    </m:eqArr>
                  </m:e>
                </m:d>
                <m:m>
                  <m:mPr>
                    <m:mcs>
                      <m:mc>
                        <m:mcPr>
                          <m:count m:val="1"/>
                          <m:mcJc m:val="center"/>
                        </m:mcPr>
                      </m:mc>
                    </m:mcs>
                    <m:ctrlPr>
                      <w:rPr>
                        <w:rFonts w:ascii="Cambria Math" w:hAnsi="Cambria Math" w:cs="Times New Roman"/>
                        <w:i/>
                      </w:rPr>
                    </m:ctrlPr>
                  </m:mPr>
                  <m:mr>
                    <m:e>
                      <m:r>
                        <w:rPr>
                          <w:rFonts w:ascii="Cambria Math" w:hAnsi="Cambria Math" w:cs="Times New Roman"/>
                        </w:rPr>
                        <m:t xml:space="preserve"> if 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L≥OUT</m:t>
                      </m:r>
                    </m:e>
                  </m:mr>
                  <m:mr>
                    <m:e>
                      <m:r>
                        <w:rPr>
                          <w:rFonts w:ascii="Cambria Math" w:hAnsi="Cambria Math" w:cs="Times New Roman"/>
                        </w:rPr>
                        <m:t xml:space="preserve"> if 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L&lt;OUT</m:t>
                      </m:r>
                    </m:e>
                  </m:mr>
                </m:m>
              </m:oMath>
            </m:oMathPara>
          </w:p>
        </w:tc>
        <w:tc>
          <w:tcPr>
            <w:tcW w:w="810" w:type="dxa"/>
          </w:tcPr>
          <w:p w14:paraId="230B5692" w14:textId="7E681227"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29</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2623B715"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Note that there are scenarios where only the high outcome or low outcome change and </w:t>
      </w:r>
      <m:oMath>
        <m:r>
          <w:rPr>
            <w:rFonts w:ascii="Cambria Math" w:hAnsi="Cambria Math" w:cs="Times New Roman"/>
          </w:rPr>
          <m:t xml:space="preserve">WTP </m:t>
        </m:r>
      </m:oMath>
      <w:r w:rsidRPr="00163E69">
        <w:rPr>
          <w:rFonts w:ascii="Times New Roman" w:hAnsi="Times New Roman" w:cs="Times New Roman"/>
        </w:rPr>
        <w:t xml:space="preserve"> would still increase. There are also scenarios where changing the spread changes the expected value of the lottery which could cause in increase or decrease in </w:t>
      </w:r>
      <m:oMath>
        <m:r>
          <w:rPr>
            <w:rFonts w:ascii="Cambria Math" w:hAnsi="Cambria Math" w:cs="Times New Roman"/>
          </w:rPr>
          <m:t>WTP</m:t>
        </m:r>
      </m:oMath>
      <w:r w:rsidRPr="00163E69">
        <w:rPr>
          <w:rFonts w:ascii="Times New Roman" w:hAnsi="Times New Roman" w:cs="Times New Roman"/>
        </w:rPr>
        <w:t xml:space="preserve">. Holding the expected value of the lottery relative to the outside option constant, </w:t>
      </w:r>
      <w:r>
        <w:rPr>
          <w:rFonts w:ascii="Times New Roman" w:hAnsi="Times New Roman" w:cs="Times New Roman"/>
        </w:rPr>
        <w:t>I</w:t>
      </w:r>
      <w:r w:rsidRPr="00163E69">
        <w:rPr>
          <w:rFonts w:ascii="Times New Roman" w:hAnsi="Times New Roman" w:cs="Times New Roman"/>
        </w:rPr>
        <w:t xml:space="preserve"> would expect an increase in </w:t>
      </w:r>
      <m:oMath>
        <m:r>
          <w:rPr>
            <w:rFonts w:ascii="Cambria Math" w:hAnsi="Cambria Math" w:cs="Times New Roman"/>
          </w:rPr>
          <m:t>WTP.</m:t>
        </m:r>
      </m:oMath>
    </w:p>
    <w:p w14:paraId="433369E9"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There are potential behavioral deviations from real option theory assumptions that would change </w:t>
      </w:r>
      <m:oMath>
        <m:r>
          <w:rPr>
            <w:rFonts w:ascii="Cambria Math" w:hAnsi="Cambria Math" w:cs="Times New Roman"/>
          </w:rPr>
          <m:t>WTP</m:t>
        </m:r>
      </m:oMath>
      <w:r w:rsidRPr="00163E69">
        <w:rPr>
          <w:rFonts w:ascii="Times New Roman" w:hAnsi="Times New Roman" w:cs="Times New Roman"/>
        </w:rPr>
        <w:t xml:space="preserve"> beyond what </w:t>
      </w:r>
      <w:r>
        <w:rPr>
          <w:rFonts w:ascii="Times New Roman" w:hAnsi="Times New Roman" w:cs="Times New Roman"/>
        </w:rPr>
        <w:t>I</w:t>
      </w:r>
      <w:r w:rsidRPr="00163E69">
        <w:rPr>
          <w:rFonts w:ascii="Times New Roman" w:hAnsi="Times New Roman" w:cs="Times New Roman"/>
        </w:rPr>
        <w:t xml:space="preserve"> would expect from real option theory predictions. Since I am interested in low-probability high-severity outcomes, I consider two sources of behavioral deviations from real option theory. First, individuals could behave differently with low-probability outcomes, keeping the severity of outcomes constant. I consider the theoretical explanation of probability weighting (e.g. Tversky &amp; Kahneman, 1992; Gonzalez &amp; Wu, 1999). Individuals overestimate the likelihood of low-probability events and underestimate the likelihood of high-probability events. Second, in the presence of uncertainty individuals could be risk-averse.</w:t>
      </w:r>
    </w:p>
    <w:p w14:paraId="2672DBD9" w14:textId="77777777" w:rsidR="00C565FD" w:rsidRPr="00163E69" w:rsidRDefault="00C565FD" w:rsidP="00C565FD">
      <w:pPr>
        <w:keepNext/>
        <w:spacing w:before="240" w:after="60" w:line="480" w:lineRule="auto"/>
        <w:outlineLvl w:val="2"/>
        <w:rPr>
          <w:rFonts w:ascii="Times New Roman" w:hAnsi="Times New Roman" w:cs="Times New Roman"/>
          <w:b/>
          <w:bCs/>
          <w:i/>
        </w:rPr>
      </w:pPr>
      <w:bookmarkStart w:id="59" w:name="_Toc160720143"/>
      <w:bookmarkStart w:id="60" w:name="_Toc164862510"/>
      <w:r w:rsidRPr="00163E69">
        <w:rPr>
          <w:rFonts w:ascii="Times New Roman" w:hAnsi="Times New Roman" w:cs="Times New Roman"/>
          <w:b/>
          <w:bCs/>
          <w:i/>
        </w:rPr>
        <w:lastRenderedPageBreak/>
        <w:t>2.2.1 PROBABILITY WEIGHTING</w:t>
      </w:r>
      <w:bookmarkEnd w:id="59"/>
      <w:bookmarkEnd w:id="60"/>
    </w:p>
    <w:p w14:paraId="1F68E342"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First, consider how probability weighting changes the willingness to pay function. Let the true probability of the high outcome be </w:t>
      </w:r>
      <m:oMath>
        <m:r>
          <w:rPr>
            <w:rFonts w:ascii="Cambria Math" w:hAnsi="Cambria Math" w:cs="Times New Roman"/>
          </w:rPr>
          <m:t>p</m:t>
        </m:r>
      </m:oMath>
      <w:r w:rsidRPr="00163E69">
        <w:rPr>
          <w:rFonts w:ascii="Times New Roman" w:hAnsi="Times New Roman" w:cs="Times New Roman"/>
        </w:rPr>
        <w:t xml:space="preserve">, and let </w:t>
      </w:r>
      <m:oMath>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m:t>
            </m:r>
          </m:sup>
        </m:sSup>
        <m:r>
          <w:rPr>
            <w:rFonts w:ascii="Cambria Math" w:hAnsi="Cambria Math" w:cs="Times New Roman"/>
          </w:rPr>
          <m:t>&lt;p</m:t>
        </m:r>
      </m:oMath>
      <w:r w:rsidRPr="00163E69">
        <w:rPr>
          <w:rFonts w:ascii="Times New Roman" w:hAnsi="Times New Roman" w:cs="Times New Roman"/>
        </w:rPr>
        <w:t xml:space="preserve"> if </w:t>
      </w:r>
      <m:oMath>
        <m:r>
          <w:rPr>
            <w:rFonts w:ascii="Cambria Math" w:hAnsi="Cambria Math" w:cs="Times New Roman"/>
          </w:rPr>
          <m:t>p&gt;0.5</m:t>
        </m:r>
      </m:oMath>
      <w:r w:rsidRPr="00163E69">
        <w:rPr>
          <w:rFonts w:ascii="Times New Roman" w:hAnsi="Times New Roman" w:cs="Times New Roman"/>
        </w:rPr>
        <w:t xml:space="preserve"> and </w:t>
      </w:r>
      <m:oMath>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m:t>
            </m:r>
          </m:sup>
        </m:sSup>
        <m:r>
          <w:rPr>
            <w:rFonts w:ascii="Cambria Math" w:hAnsi="Cambria Math" w:cs="Times New Roman"/>
          </w:rPr>
          <m:t>&gt;p</m:t>
        </m:r>
      </m:oMath>
      <w:r w:rsidRPr="00163E69">
        <w:rPr>
          <w:rFonts w:ascii="Times New Roman" w:hAnsi="Times New Roman" w:cs="Times New Roman"/>
        </w:rPr>
        <w:t xml:space="preserve"> if </w:t>
      </w:r>
      <m:oMath>
        <m:r>
          <w:rPr>
            <w:rFonts w:ascii="Cambria Math" w:hAnsi="Cambria Math" w:cs="Times New Roman"/>
          </w:rPr>
          <m:t>p&lt;0.5.</m:t>
        </m:r>
      </m:oMath>
      <w:r w:rsidRPr="00163E69">
        <w:rPr>
          <w:rFonts w:ascii="Times New Roman" w:hAnsi="Times New Roman" w:cs="Times New Roman"/>
        </w:rPr>
        <w:t xml:space="preserve">   Similarly, let </w:t>
      </w:r>
      <m:oMath>
        <m:r>
          <w:rPr>
            <w:rFonts w:ascii="Cambria Math" w:hAnsi="Cambria Math" w:cs="Times New Roman"/>
          </w:rPr>
          <m:t>q=1-p</m:t>
        </m:r>
      </m:oMath>
      <w:r w:rsidRPr="00163E69">
        <w:rPr>
          <w:rFonts w:ascii="Times New Roman" w:hAnsi="Times New Roman" w:cs="Times New Roman"/>
        </w:rPr>
        <w:t xml:space="preserve">, and let </w:t>
      </w:r>
      <m:oMath>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m:t>
            </m:r>
          </m:sup>
        </m:sSup>
        <m:r>
          <w:rPr>
            <w:rFonts w:ascii="Cambria Math" w:hAnsi="Cambria Math" w:cs="Times New Roman"/>
          </w:rPr>
          <m:t>&lt;q</m:t>
        </m:r>
      </m:oMath>
      <w:r w:rsidRPr="00163E69">
        <w:rPr>
          <w:rFonts w:ascii="Times New Roman" w:hAnsi="Times New Roman" w:cs="Times New Roman"/>
        </w:rPr>
        <w:t xml:space="preserve"> if </w:t>
      </w:r>
      <m:oMath>
        <m:r>
          <w:rPr>
            <w:rFonts w:ascii="Cambria Math" w:hAnsi="Cambria Math" w:cs="Times New Roman"/>
          </w:rPr>
          <m:t>q&gt;0.5</m:t>
        </m:r>
      </m:oMath>
      <w:r w:rsidRPr="00163E69">
        <w:rPr>
          <w:rFonts w:ascii="Times New Roman" w:hAnsi="Times New Roman" w:cs="Times New Roman"/>
        </w:rPr>
        <w:t xml:space="preserve"> and </w:t>
      </w:r>
      <m:oMath>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m:t>
            </m:r>
          </m:sup>
        </m:sSup>
        <m:r>
          <w:rPr>
            <w:rFonts w:ascii="Cambria Math" w:hAnsi="Cambria Math" w:cs="Times New Roman"/>
          </w:rPr>
          <m:t>&gt;q</m:t>
        </m:r>
      </m:oMath>
      <w:r w:rsidRPr="00163E69">
        <w:rPr>
          <w:rFonts w:ascii="Times New Roman" w:hAnsi="Times New Roman" w:cs="Times New Roman"/>
        </w:rPr>
        <w:t xml:space="preserve"> if </w:t>
      </w:r>
      <m:oMath>
        <m:r>
          <w:rPr>
            <w:rFonts w:ascii="Cambria Math" w:hAnsi="Cambria Math" w:cs="Times New Roman"/>
          </w:rPr>
          <m:t>q&lt;0.5.</m:t>
        </m:r>
      </m:oMath>
      <w:r w:rsidRPr="00163E69">
        <w:rPr>
          <w:rFonts w:ascii="Times New Roman" w:hAnsi="Times New Roman" w:cs="Times New Roman"/>
        </w:rPr>
        <w:t xml:space="preserve">  That is, the decision maker in the model overweights the probability of low probability events occurring and underweights the probability of high probability events occurring. Now </w:t>
      </w:r>
      <w:r>
        <w:rPr>
          <w:rFonts w:ascii="Times New Roman" w:hAnsi="Times New Roman" w:cs="Times New Roman"/>
        </w:rPr>
        <w:t>I</w:t>
      </w:r>
      <w:r w:rsidRPr="00163E69">
        <w:rPr>
          <w:rFonts w:ascii="Times New Roman" w:hAnsi="Times New Roman" w:cs="Times New Roman"/>
        </w:rPr>
        <w:t xml:space="preserve"> can write </w:t>
      </w:r>
      <w:r>
        <w:rPr>
          <w:rFonts w:ascii="Times New Roman" w:hAnsi="Times New Roman" w:cs="Times New Roman"/>
        </w:rPr>
        <w:t>the</w:t>
      </w:r>
      <w:r w:rsidRPr="00163E69">
        <w:rPr>
          <w:rFonts w:ascii="Times New Roman" w:hAnsi="Times New Roman" w:cs="Times New Roman"/>
        </w:rPr>
        <w:t xml:space="preserve"> </w:t>
      </w:r>
      <m:oMath>
        <m:r>
          <w:rPr>
            <w:rFonts w:ascii="Cambria Math" w:hAnsi="Cambria Math" w:cs="Times New Roman"/>
          </w:rPr>
          <m:t>WTP</m:t>
        </m:r>
      </m:oMath>
      <w:r w:rsidRPr="00163E69">
        <w:rPr>
          <w:rFonts w:ascii="Times New Roman" w:hAnsi="Times New Roman" w:cs="Times New Roman"/>
        </w:rPr>
        <w:t xml:space="preserve"> function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173CB3C7" w14:textId="77777777" w:rsidTr="002A2C90">
        <w:tc>
          <w:tcPr>
            <w:tcW w:w="7225" w:type="dxa"/>
          </w:tcPr>
          <w:p w14:paraId="15E32323"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WT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weight</m:t>
                    </m:r>
                  </m:sub>
                </m:sSub>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d>
                          <m:dPr>
                            <m:ctrlPr>
                              <w:rPr>
                                <w:rFonts w:ascii="Cambria Math" w:hAnsi="Cambria Math" w:cs="Times New Roman"/>
                                <w:i/>
                              </w:rPr>
                            </m:ctrlPr>
                          </m:dPr>
                          <m:e>
                            <m:r>
                              <w:rPr>
                                <w:rFonts w:ascii="Cambria Math" w:hAnsi="Cambria Math" w:cs="Times New Roman"/>
                              </w:rPr>
                              <m:t>q'</m:t>
                            </m:r>
                          </m:e>
                        </m:d>
                        <m:r>
                          <w:rPr>
                            <w:rFonts w:ascii="Cambria Math" w:hAnsi="Cambria Math" w:cs="Times New Roman"/>
                          </w:rPr>
                          <m:t>(OUT-L)</m:t>
                        </m:r>
                      </m:e>
                      <m:e>
                        <m:r>
                          <w:rPr>
                            <w:rFonts w:ascii="Cambria Math" w:hAnsi="Cambria Math" w:cs="Times New Roman"/>
                          </w:rPr>
                          <m:t>(p')(H-OUT)</m:t>
                        </m:r>
                      </m:e>
                    </m:eqArr>
                  </m:e>
                </m:d>
                <m:m>
                  <m:mPr>
                    <m:mcs>
                      <m:mc>
                        <m:mcPr>
                          <m:count m:val="1"/>
                          <m:mcJc m:val="center"/>
                        </m:mcPr>
                      </m:mc>
                    </m:mcs>
                    <m:ctrlPr>
                      <w:rPr>
                        <w:rFonts w:ascii="Cambria Math" w:hAnsi="Cambria Math" w:cs="Times New Roman"/>
                        <w:i/>
                      </w:rPr>
                    </m:ctrlPr>
                  </m:mPr>
                  <m:mr>
                    <m:e>
                      <m:r>
                        <w:rPr>
                          <w:rFonts w:ascii="Cambria Math" w:hAnsi="Cambria Math" w:cs="Times New Roman"/>
                        </w:rPr>
                        <m:t xml:space="preserve"> if (p')H+</m:t>
                      </m:r>
                      <m:d>
                        <m:dPr>
                          <m:ctrlPr>
                            <w:rPr>
                              <w:rFonts w:ascii="Cambria Math" w:hAnsi="Cambria Math" w:cs="Times New Roman"/>
                              <w:i/>
                            </w:rPr>
                          </m:ctrlPr>
                        </m:dPr>
                        <m:e>
                          <m:r>
                            <w:rPr>
                              <w:rFonts w:ascii="Cambria Math" w:hAnsi="Cambria Math" w:cs="Times New Roman"/>
                            </w:rPr>
                            <m:t>q'</m:t>
                          </m:r>
                        </m:e>
                      </m:d>
                      <m:r>
                        <w:rPr>
                          <w:rFonts w:ascii="Cambria Math" w:hAnsi="Cambria Math" w:cs="Times New Roman"/>
                        </w:rPr>
                        <m:t>L&gt;OUT</m:t>
                      </m:r>
                    </m:e>
                  </m:mr>
                  <m:mr>
                    <m:e>
                      <m:r>
                        <w:rPr>
                          <w:rFonts w:ascii="Cambria Math" w:hAnsi="Cambria Math" w:cs="Times New Roman"/>
                        </w:rPr>
                        <m:t xml:space="preserve"> if (p')H+</m:t>
                      </m:r>
                      <m:d>
                        <m:dPr>
                          <m:ctrlPr>
                            <w:rPr>
                              <w:rFonts w:ascii="Cambria Math" w:hAnsi="Cambria Math" w:cs="Times New Roman"/>
                              <w:i/>
                            </w:rPr>
                          </m:ctrlPr>
                        </m:dPr>
                        <m:e>
                          <m:r>
                            <w:rPr>
                              <w:rFonts w:ascii="Cambria Math" w:hAnsi="Cambria Math" w:cs="Times New Roman"/>
                            </w:rPr>
                            <m:t>q'</m:t>
                          </m:r>
                        </m:e>
                      </m:d>
                      <m:r>
                        <w:rPr>
                          <w:rFonts w:ascii="Cambria Math" w:hAnsi="Cambria Math" w:cs="Times New Roman"/>
                        </w:rPr>
                        <m:t>L&lt;OUT</m:t>
                      </m:r>
                    </m:e>
                  </m:mr>
                </m:m>
              </m:oMath>
            </m:oMathPara>
          </w:p>
        </w:tc>
        <w:tc>
          <w:tcPr>
            <w:tcW w:w="810" w:type="dxa"/>
          </w:tcPr>
          <w:p w14:paraId="45C7A61E" w14:textId="1AF3417A"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30</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0EC99BD5"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Consider when </w:t>
      </w:r>
      <m:oMath>
        <m:r>
          <w:rPr>
            <w:rFonts w:ascii="Cambria Math" w:hAnsi="Cambria Math" w:cs="Times New Roman"/>
          </w:rPr>
          <m:t>p&lt;0.5</m:t>
        </m:r>
      </m:oMath>
      <w:r w:rsidRPr="00163E69">
        <w:rPr>
          <w:rFonts w:ascii="Times New Roman" w:hAnsi="Times New Roman" w:cs="Times New Roman"/>
        </w:rPr>
        <w:t xml:space="preserve"> and </w:t>
      </w:r>
      <m:oMath>
        <m:r>
          <w:rPr>
            <w:rFonts w:ascii="Cambria Math" w:hAnsi="Cambria Math" w:cs="Times New Roman"/>
          </w:rPr>
          <m:t>q&gt;0.5</m:t>
        </m:r>
      </m:oMath>
      <w:r w:rsidRPr="00163E69">
        <w:rPr>
          <w:rFonts w:ascii="Times New Roman" w:hAnsi="Times New Roman" w:cs="Times New Roman"/>
        </w:rPr>
        <w:t xml:space="preserve">. Notice there are two ways that probability weighting could create deviations of willingness to pay from optimal. First, the economic agent could perceive that the expected value of the lottery changes relative to the outside option. For example, even if </w:t>
      </w:r>
      <m:oMath>
        <m:r>
          <w:rPr>
            <w:rFonts w:ascii="Cambria Math" w:hAnsi="Cambria Math" w:cs="Times New Roman"/>
          </w:rPr>
          <m:t>(p)H+</m:t>
        </m:r>
        <m:d>
          <m:dPr>
            <m:ctrlPr>
              <w:rPr>
                <w:rFonts w:ascii="Cambria Math" w:hAnsi="Cambria Math" w:cs="Times New Roman"/>
                <w:i/>
              </w:rPr>
            </m:ctrlPr>
          </m:dPr>
          <m:e>
            <m:r>
              <w:rPr>
                <w:rFonts w:ascii="Cambria Math" w:hAnsi="Cambria Math" w:cs="Times New Roman"/>
              </w:rPr>
              <m:t>q</m:t>
            </m:r>
          </m:e>
        </m:d>
        <m:r>
          <w:rPr>
            <w:rFonts w:ascii="Cambria Math" w:hAnsi="Cambria Math" w:cs="Times New Roman"/>
          </w:rPr>
          <m:t>L&lt;OUT</m:t>
        </m:r>
      </m:oMath>
      <w:r w:rsidRPr="00163E69">
        <w:rPr>
          <w:rFonts w:ascii="Times New Roman" w:hAnsi="Times New Roman" w:cs="Times New Roman"/>
        </w:rPr>
        <w:t xml:space="preserve">, probability weighting might cause the agent to perceive that </w:t>
      </w:r>
      <m:oMath>
        <m:d>
          <m:dPr>
            <m:ctrlPr>
              <w:rPr>
                <w:rFonts w:ascii="Cambria Math" w:hAnsi="Cambria Math" w:cs="Times New Roman"/>
                <w:i/>
              </w:rPr>
            </m:ctrlPr>
          </m:dPr>
          <m:e>
            <m:r>
              <w:rPr>
                <w:rFonts w:ascii="Cambria Math" w:hAnsi="Cambria Math" w:cs="Times New Roman"/>
              </w:rPr>
              <m:t>p'</m:t>
            </m:r>
          </m:e>
        </m:d>
        <m:r>
          <w:rPr>
            <w:rFonts w:ascii="Cambria Math" w:hAnsi="Cambria Math" w:cs="Times New Roman"/>
          </w:rPr>
          <m:t>H+</m:t>
        </m:r>
        <m:d>
          <m:dPr>
            <m:ctrlPr>
              <w:rPr>
                <w:rFonts w:ascii="Cambria Math" w:hAnsi="Cambria Math" w:cs="Times New Roman"/>
                <w:i/>
              </w:rPr>
            </m:ctrlPr>
          </m:dPr>
          <m:e>
            <m:r>
              <w:rPr>
                <w:rFonts w:ascii="Cambria Math" w:hAnsi="Cambria Math" w:cs="Times New Roman"/>
              </w:rPr>
              <m:t>q'</m:t>
            </m:r>
          </m:e>
        </m:d>
        <m:r>
          <w:rPr>
            <w:rFonts w:ascii="Cambria Math" w:hAnsi="Cambria Math" w:cs="Times New Roman"/>
          </w:rPr>
          <m:t>L&gt;OUT</m:t>
        </m:r>
      </m:oMath>
      <w:r w:rsidRPr="00163E69">
        <w:rPr>
          <w:rFonts w:ascii="Times New Roman" w:hAnsi="Times New Roman" w:cs="Times New Roman"/>
        </w:rPr>
        <w:t>. Without assuming the probabilities need to sum to 1 (</w:t>
      </w:r>
      <m:oMath>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m:t>
            </m:r>
          </m:sup>
        </m:sSup>
        <m:r>
          <w:rPr>
            <w:rFonts w:ascii="Cambria Math" w:hAnsi="Cambria Math" w:cs="Times New Roman"/>
          </w:rPr>
          <m:t>=1)</m:t>
        </m:r>
      </m:oMath>
      <w:r w:rsidRPr="00163E69">
        <w:rPr>
          <w:rFonts w:ascii="Times New Roman" w:hAnsi="Times New Roman" w:cs="Times New Roman"/>
        </w:rPr>
        <w:t xml:space="preserve"> or estimating parameters of the probability weighting function, </w:t>
      </w:r>
      <w:r>
        <w:rPr>
          <w:rFonts w:ascii="Times New Roman" w:hAnsi="Times New Roman" w:cs="Times New Roman"/>
        </w:rPr>
        <w:t>I</w:t>
      </w:r>
      <w:r w:rsidRPr="00163E69">
        <w:rPr>
          <w:rFonts w:ascii="Times New Roman" w:hAnsi="Times New Roman" w:cs="Times New Roman"/>
        </w:rPr>
        <w:t xml:space="preserve"> cannot determine how the perceived expected value might change. Second, the </w:t>
      </w:r>
      <m:oMath>
        <m:r>
          <w:rPr>
            <w:rFonts w:ascii="Cambria Math" w:hAnsi="Cambria Math" w:cs="Times New Roman"/>
          </w:rPr>
          <m:t>WTP</m:t>
        </m:r>
      </m:oMath>
      <w:r w:rsidRPr="00163E69">
        <w:rPr>
          <w:rFonts w:ascii="Times New Roman" w:hAnsi="Times New Roman" w:cs="Times New Roman"/>
        </w:rPr>
        <w:t xml:space="preserve"> will directly change since </w:t>
      </w:r>
      <m:oMath>
        <m:r>
          <m:rPr>
            <m:sty m:val="p"/>
          </m:rPr>
          <w:rPr>
            <w:rFonts w:ascii="Cambria Math" w:hAnsi="Cambria Math" w:cs="Times New Roman"/>
          </w:rPr>
          <m:t xml:space="preserve"> the </m:t>
        </m:r>
        <m:r>
          <w:rPr>
            <w:rFonts w:ascii="Cambria Math" w:hAnsi="Cambria Math" w:cs="Times New Roman"/>
          </w:rPr>
          <m:t>WTP</m:t>
        </m:r>
      </m:oMath>
      <w:r w:rsidRPr="00163E69">
        <w:rPr>
          <w:rFonts w:ascii="Times New Roman" w:hAnsi="Times New Roman" w:cs="Times New Roman"/>
        </w:rPr>
        <w:t xml:space="preserve"> function depends on both </w:t>
      </w:r>
      <m:oMath>
        <m:r>
          <w:rPr>
            <w:rFonts w:ascii="Cambria Math" w:hAnsi="Cambria Math" w:cs="Times New Roman"/>
          </w:rPr>
          <m:t>p'</m:t>
        </m:r>
      </m:oMath>
      <w:r w:rsidRPr="00163E69">
        <w:rPr>
          <w:rFonts w:ascii="Times New Roman" w:hAnsi="Times New Roman" w:cs="Times New Roman"/>
        </w:rPr>
        <w:t xml:space="preserve"> and </w:t>
      </w:r>
      <m:oMath>
        <m:r>
          <w:rPr>
            <w:rFonts w:ascii="Cambria Math" w:hAnsi="Cambria Math" w:cs="Times New Roman"/>
          </w:rPr>
          <m:t>q'</m:t>
        </m:r>
      </m:oMath>
      <w:r w:rsidRPr="00163E69">
        <w:rPr>
          <w:rFonts w:ascii="Times New Roman" w:hAnsi="Times New Roman" w:cs="Times New Roman"/>
        </w:rPr>
        <w:t xml:space="preserve">. If the expected value of the lottery is greater than the outside option, then </w:t>
      </w:r>
      <m:oMath>
        <m:r>
          <w:rPr>
            <w:rFonts w:ascii="Cambria Math" w:hAnsi="Cambria Math" w:cs="Times New Roman"/>
          </w:rPr>
          <m:t>WTP</m:t>
        </m:r>
      </m:oMath>
      <w:r w:rsidRPr="00163E69">
        <w:rPr>
          <w:rFonts w:ascii="Times New Roman" w:hAnsi="Times New Roman" w:cs="Times New Roman"/>
        </w:rPr>
        <w:t xml:space="preserve"> will decrease relative to real option theory. However, if the expected value of the lottery is less than the outside option, then </w:t>
      </w:r>
      <m:oMath>
        <m:r>
          <w:rPr>
            <w:rFonts w:ascii="Cambria Math" w:hAnsi="Cambria Math" w:cs="Times New Roman"/>
          </w:rPr>
          <m:t>WTP</m:t>
        </m:r>
      </m:oMath>
      <w:r w:rsidRPr="00163E69">
        <w:rPr>
          <w:rFonts w:ascii="Times New Roman" w:hAnsi="Times New Roman" w:cs="Times New Roman"/>
        </w:rPr>
        <w:t xml:space="preserve"> will increase relative to real option theory. Assuming no changes in perception of the expected value of the lottery,  this can be summarized according to the expected value of the lottery. If the expected value is greater than the outside option, </w:t>
      </w:r>
      <w:r>
        <w:rPr>
          <w:rFonts w:ascii="Times New Roman" w:hAnsi="Times New Roman" w:cs="Times New Roman"/>
        </w:rPr>
        <w:t>I</w:t>
      </w:r>
      <w:r w:rsidRPr="00163E69">
        <w:rPr>
          <w:rFonts w:ascii="Times New Roman" w:hAnsi="Times New Roman" w:cs="Times New Roman"/>
        </w:rPr>
        <w:t xml:space="preserve"> </w:t>
      </w:r>
      <w:r w:rsidRPr="00163E69">
        <w:rPr>
          <w:rFonts w:ascii="Times New Roman" w:hAnsi="Times New Roman" w:cs="Times New Roman"/>
        </w:rPr>
        <w:lastRenderedPageBreak/>
        <w:t xml:space="preserve">would expect a decrease in </w:t>
      </w:r>
      <m:oMath>
        <m:r>
          <w:rPr>
            <w:rFonts w:ascii="Cambria Math" w:hAnsi="Cambria Math" w:cs="Times New Roman"/>
          </w:rPr>
          <m:t>WTP</m:t>
        </m:r>
      </m:oMath>
      <w:r w:rsidRPr="00163E69">
        <w:rPr>
          <w:rFonts w:ascii="Times New Roman" w:hAnsi="Times New Roman" w:cs="Times New Roman"/>
        </w:rPr>
        <w:t xml:space="preserve">. If the expected value is less than the outside option, </w:t>
      </w:r>
      <w:r>
        <w:rPr>
          <w:rFonts w:ascii="Times New Roman" w:hAnsi="Times New Roman" w:cs="Times New Roman"/>
        </w:rPr>
        <w:t>I</w:t>
      </w:r>
      <w:r w:rsidRPr="00163E69">
        <w:rPr>
          <w:rFonts w:ascii="Times New Roman" w:hAnsi="Times New Roman" w:cs="Times New Roman"/>
        </w:rPr>
        <w:t xml:space="preserve"> would expect an increase in </w:t>
      </w:r>
      <m:oMath>
        <m:r>
          <w:rPr>
            <w:rFonts w:ascii="Cambria Math" w:hAnsi="Cambria Math" w:cs="Times New Roman"/>
          </w:rPr>
          <m:t>WTP</m:t>
        </m:r>
      </m:oMath>
      <w:r w:rsidRPr="00163E69">
        <w:rPr>
          <w:rFonts w:ascii="Times New Roman" w:hAnsi="Times New Roman" w:cs="Times New Roman"/>
        </w:rPr>
        <w:t>.</w:t>
      </w:r>
    </w:p>
    <w:p w14:paraId="1DED293B" w14:textId="77777777" w:rsidR="00142A7E" w:rsidRPr="00142A7E" w:rsidRDefault="00C565FD" w:rsidP="00142A7E">
      <w:pPr>
        <w:spacing w:line="480" w:lineRule="auto"/>
        <w:ind w:firstLine="720"/>
        <w:rPr>
          <w:rFonts w:ascii="Times New Roman" w:hAnsi="Times New Roman" w:cs="Times New Roman"/>
        </w:rPr>
      </w:pPr>
      <w:r w:rsidRPr="00163E69">
        <w:rPr>
          <w:rFonts w:ascii="Times New Roman" w:hAnsi="Times New Roman" w:cs="Times New Roman"/>
        </w:rPr>
        <w:t xml:space="preserve">Now consider when </w:t>
      </w:r>
      <m:oMath>
        <m:r>
          <w:rPr>
            <w:rFonts w:ascii="Cambria Math" w:hAnsi="Cambria Math" w:cs="Times New Roman"/>
          </w:rPr>
          <m:t>p&gt;0.5</m:t>
        </m:r>
      </m:oMath>
      <w:r w:rsidRPr="00163E69">
        <w:rPr>
          <w:rFonts w:ascii="Times New Roman" w:hAnsi="Times New Roman" w:cs="Times New Roman"/>
        </w:rPr>
        <w:t xml:space="preserve"> and </w:t>
      </w:r>
      <m:oMath>
        <m:r>
          <w:rPr>
            <w:rFonts w:ascii="Cambria Math" w:hAnsi="Cambria Math" w:cs="Times New Roman"/>
          </w:rPr>
          <m:t>q&lt;0.5</m:t>
        </m:r>
      </m:oMath>
      <w:r w:rsidRPr="00163E69">
        <w:rPr>
          <w:rFonts w:ascii="Times New Roman" w:hAnsi="Times New Roman" w:cs="Times New Roman"/>
        </w:rPr>
        <w:t xml:space="preserve">. Similar to before, there are two ways which the economic agent might deviate from optimal behavior: perceiving the expected value of the lottery to change relative to the outside option, and directly changing their </w:t>
      </w:r>
      <m:oMath>
        <m:r>
          <w:rPr>
            <w:rFonts w:ascii="Cambria Math" w:hAnsi="Cambria Math" w:cs="Times New Roman"/>
          </w:rPr>
          <m:t>WTP</m:t>
        </m:r>
      </m:oMath>
      <w:r w:rsidRPr="00163E69">
        <w:rPr>
          <w:rFonts w:ascii="Times New Roman" w:hAnsi="Times New Roman" w:cs="Times New Roman"/>
        </w:rPr>
        <w:t xml:space="preserve">. Similar to before </w:t>
      </w:r>
      <w:r>
        <w:rPr>
          <w:rFonts w:ascii="Times New Roman" w:hAnsi="Times New Roman" w:cs="Times New Roman"/>
        </w:rPr>
        <w:t>I</w:t>
      </w:r>
      <w:r w:rsidRPr="00163E69">
        <w:rPr>
          <w:rFonts w:ascii="Times New Roman" w:hAnsi="Times New Roman" w:cs="Times New Roman"/>
        </w:rPr>
        <w:t xml:space="preserve"> can summarize the effects according to the expected value of the lottery relative to the outside option. When the expected value is greater than the outside option, </w:t>
      </w:r>
      <m:oMath>
        <m:r>
          <w:rPr>
            <w:rFonts w:ascii="Cambria Math" w:hAnsi="Cambria Math" w:cs="Times New Roman"/>
          </w:rPr>
          <m:t>WTP</m:t>
        </m:r>
      </m:oMath>
      <w:r w:rsidRPr="00163E69">
        <w:rPr>
          <w:rFonts w:ascii="Times New Roman" w:hAnsi="Times New Roman" w:cs="Times New Roman"/>
        </w:rPr>
        <w:t xml:space="preserve"> will increase relative to real option theory. When the expected value is less than the outside option, </w:t>
      </w:r>
      <m:oMath>
        <m:r>
          <w:rPr>
            <w:rFonts w:ascii="Cambria Math" w:hAnsi="Cambria Math" w:cs="Times New Roman"/>
          </w:rPr>
          <m:t>WTP</m:t>
        </m:r>
      </m:oMath>
      <w:r w:rsidRPr="00163E69">
        <w:rPr>
          <w:rFonts w:ascii="Times New Roman" w:hAnsi="Times New Roman" w:cs="Times New Roman"/>
        </w:rPr>
        <w:t xml:space="preserve"> will decrease. </w:t>
      </w:r>
      <w:r w:rsidRPr="00163E69">
        <w:rPr>
          <w:rFonts w:ascii="Times New Roman" w:hAnsi="Times New Roman" w:cs="Times New Roman"/>
        </w:rPr>
        <w:fldChar w:fldCharType="begin"/>
      </w:r>
      <w:r w:rsidRPr="00163E69">
        <w:rPr>
          <w:rFonts w:ascii="Times New Roman" w:hAnsi="Times New Roman" w:cs="Times New Roman"/>
        </w:rPr>
        <w:instrText xml:space="preserve"> REF _Ref160542283 \h  \* MERGEFORMAT </w:instrText>
      </w:r>
      <w:r w:rsidRPr="00163E69">
        <w:rPr>
          <w:rFonts w:ascii="Times New Roman" w:hAnsi="Times New Roman" w:cs="Times New Roman"/>
        </w:rPr>
      </w:r>
      <w:r w:rsidRPr="00163E69">
        <w:rPr>
          <w:rFonts w:ascii="Times New Roman" w:hAnsi="Times New Roman" w:cs="Times New Roman"/>
        </w:rPr>
        <w:fldChar w:fldCharType="separate"/>
      </w:r>
    </w:p>
    <w:p w14:paraId="3445A893" w14:textId="55320A33" w:rsidR="00C565FD" w:rsidRPr="00163E69" w:rsidRDefault="00142A7E" w:rsidP="00C565FD">
      <w:pPr>
        <w:spacing w:line="480" w:lineRule="auto"/>
        <w:ind w:firstLine="720"/>
        <w:rPr>
          <w:rFonts w:ascii="Times New Roman" w:hAnsi="Times New Roman" w:cs="Times New Roman"/>
        </w:rPr>
      </w:pPr>
      <w:r w:rsidRPr="00142A7E">
        <w:rPr>
          <w:rFonts w:ascii="Times New Roman" w:hAnsi="Times New Roman" w:cs="Times New Roman"/>
        </w:rPr>
        <w:t>Table</w:t>
      </w:r>
      <w:r w:rsidRPr="00142A7E">
        <w:rPr>
          <w:rFonts w:ascii="Times New Roman" w:hAnsi="Times New Roman" w:cs="Times New Roman"/>
          <w:noProof/>
        </w:rPr>
        <w:t xml:space="preserve"> 8</w:t>
      </w:r>
      <w:r w:rsidR="00C565FD" w:rsidRPr="00163E69">
        <w:rPr>
          <w:rFonts w:ascii="Times New Roman" w:hAnsi="Times New Roman" w:cs="Times New Roman"/>
        </w:rPr>
        <w:fldChar w:fldCharType="end"/>
      </w:r>
      <w:r w:rsidR="00C565FD" w:rsidRPr="00163E69">
        <w:rPr>
          <w:rFonts w:ascii="Times New Roman" w:hAnsi="Times New Roman" w:cs="Times New Roman"/>
        </w:rPr>
        <w:t xml:space="preserve"> summarizes the effect of probability weighting on willingness to pay conditional on the expected value of the lottery assuming no change in the perception of the expected value. When considering changes in the perception of the expected value, the effects are ambiguous. While this framework gives some expectations of potential directional effects relative to real option theory, it motivates the experimental tests to determine which behavioral effect might dominate.</w:t>
      </w:r>
    </w:p>
    <w:p w14:paraId="6F60DC34" w14:textId="77777777" w:rsidR="00C565FD" w:rsidRPr="00163E69" w:rsidRDefault="00C565FD" w:rsidP="00C565FD">
      <w:pPr>
        <w:keepNext/>
        <w:spacing w:before="240" w:after="60" w:line="480" w:lineRule="auto"/>
        <w:outlineLvl w:val="2"/>
        <w:rPr>
          <w:rFonts w:ascii="Times New Roman" w:hAnsi="Times New Roman" w:cs="Times New Roman"/>
          <w:b/>
          <w:bCs/>
          <w:i/>
        </w:rPr>
      </w:pPr>
      <w:bookmarkStart w:id="61" w:name="_Toc160720144"/>
      <w:bookmarkStart w:id="62" w:name="_Toc164862511"/>
      <w:r w:rsidRPr="00163E69">
        <w:rPr>
          <w:rFonts w:ascii="Times New Roman" w:hAnsi="Times New Roman" w:cs="Times New Roman"/>
          <w:b/>
          <w:bCs/>
          <w:i/>
        </w:rPr>
        <w:t>2.2.2 RISK AVERSION</w:t>
      </w:r>
      <w:bookmarkEnd w:id="61"/>
      <w:bookmarkEnd w:id="62"/>
    </w:p>
    <w:p w14:paraId="71EC97B2" w14:textId="55B06FBA"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Now, consider how risk aversion under severe outcomes affects the decisions in a real option model. Without specifying a functional form for utility, let us assume the economic agent is risk-averse. This implies that </w:t>
      </w:r>
      <m:oMath>
        <m:r>
          <w:rPr>
            <w:rFonts w:ascii="Cambria Math" w:hAnsi="Cambria Math" w:cs="Times New Roman"/>
          </w:rPr>
          <m:t>p*U</m:t>
        </m:r>
        <m:d>
          <m:dPr>
            <m:ctrlPr>
              <w:rPr>
                <w:rFonts w:ascii="Cambria Math" w:hAnsi="Cambria Math" w:cs="Times New Roman"/>
                <w:i/>
              </w:rPr>
            </m:ctrlPr>
          </m:dPr>
          <m:e>
            <m:r>
              <w:rPr>
                <w:rFonts w:ascii="Cambria Math" w:hAnsi="Cambria Math" w:cs="Times New Roman"/>
              </w:rPr>
              <m:t>H</m:t>
            </m:r>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*U</m:t>
        </m:r>
        <m:d>
          <m:dPr>
            <m:ctrlPr>
              <w:rPr>
                <w:rFonts w:ascii="Cambria Math" w:hAnsi="Cambria Math" w:cs="Times New Roman"/>
                <w:i/>
              </w:rPr>
            </m:ctrlPr>
          </m:dPr>
          <m:e>
            <m:r>
              <w:rPr>
                <w:rFonts w:ascii="Cambria Math" w:hAnsi="Cambria Math" w:cs="Times New Roman"/>
              </w:rPr>
              <m:t>L</m:t>
            </m:r>
          </m:e>
        </m:d>
        <m:r>
          <w:rPr>
            <w:rFonts w:ascii="Cambria Math" w:hAnsi="Cambria Math" w:cs="Times New Roman"/>
          </w:rPr>
          <m:t>&lt;U</m:t>
        </m:r>
        <m:d>
          <m:dPr>
            <m:ctrlPr>
              <w:rPr>
                <w:rFonts w:ascii="Cambria Math" w:hAnsi="Cambria Math" w:cs="Times New Roman"/>
                <w:i/>
              </w:rPr>
            </m:ctrlPr>
          </m:dPr>
          <m:e>
            <m:r>
              <w:rPr>
                <w:rFonts w:ascii="Cambria Math" w:hAnsi="Cambria Math" w:cs="Times New Roman"/>
              </w:rPr>
              <m:t>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m:t>
            </m:r>
          </m:e>
        </m:d>
      </m:oMath>
      <w:r w:rsidRPr="00163E69">
        <w:rPr>
          <w:rFonts w:ascii="Times New Roman" w:hAnsi="Times New Roman" w:cs="Times New Roman"/>
        </w:rPr>
        <w:t xml:space="preserve">, where </w:t>
      </w:r>
      <m:oMath>
        <m:r>
          <w:rPr>
            <w:rFonts w:ascii="Cambria Math" w:hAnsi="Cambria Math" w:cs="Times New Roman"/>
          </w:rPr>
          <m:t>U</m:t>
        </m:r>
        <m:d>
          <m:dPr>
            <m:ctrlPr>
              <w:rPr>
                <w:rFonts w:ascii="Cambria Math" w:hAnsi="Cambria Math" w:cs="Times New Roman"/>
                <w:i/>
              </w:rPr>
            </m:ctrlPr>
          </m:dPr>
          <m:e>
            <m:r>
              <w:rPr>
                <w:rFonts w:ascii="Cambria Math" w:hAnsi="Cambria Math" w:cs="Times New Roman"/>
              </w:rPr>
              <m:t>x</m:t>
            </m:r>
          </m:e>
        </m:d>
      </m:oMath>
      <w:r w:rsidRPr="00163E69">
        <w:rPr>
          <w:rFonts w:ascii="Times New Roman" w:hAnsi="Times New Roman" w:cs="Times New Roman"/>
        </w:rPr>
        <w:t xml:space="preserve"> is the utility of outcome </w:t>
      </w:r>
      <m:oMath>
        <m:r>
          <w:rPr>
            <w:rFonts w:ascii="Cambria Math" w:hAnsi="Cambria Math" w:cs="Times New Roman"/>
          </w:rPr>
          <m:t>x</m:t>
        </m:r>
      </m:oMath>
      <w:r w:rsidRPr="00163E69">
        <w:rPr>
          <w:rFonts w:ascii="Times New Roman" w:hAnsi="Times New Roman" w:cs="Times New Roman"/>
        </w:rPr>
        <w:t xml:space="preserve">. To see how risk aversion changes </w:t>
      </w:r>
      <w:r>
        <w:rPr>
          <w:rFonts w:ascii="Times New Roman" w:hAnsi="Times New Roman" w:cs="Times New Roman"/>
        </w:rPr>
        <w:t>the</w:t>
      </w:r>
      <w:r w:rsidRPr="00163E69">
        <w:rPr>
          <w:rFonts w:ascii="Times New Roman" w:hAnsi="Times New Roman" w:cs="Times New Roman"/>
        </w:rPr>
        <w:t xml:space="preserve"> optimal behavior consider the following. Assume that the cost they face is equal to the </w:t>
      </w:r>
      <m:oMath>
        <m:r>
          <w:rPr>
            <w:rFonts w:ascii="Cambria Math" w:hAnsi="Cambria Math" w:cs="Times New Roman"/>
          </w:rPr>
          <m:t>WTP</m:t>
        </m:r>
      </m:oMath>
      <w:r w:rsidRPr="00163E69">
        <w:rPr>
          <w:rFonts w:ascii="Times New Roman" w:hAnsi="Times New Roman" w:cs="Times New Roman"/>
        </w:rPr>
        <w:t xml:space="preserve">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_Ref160711665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 </w:t>
      </w:r>
      <w:r w:rsidR="00142A7E">
        <w:rPr>
          <w:rFonts w:ascii="Times New Roman" w:hAnsi="Times New Roman" w:cs="Times New Roman"/>
          <w:noProof/>
        </w:rPr>
        <w:t>27</w:t>
      </w:r>
      <w:r w:rsidR="00142A7E" w:rsidRPr="00163E69">
        <w:rPr>
          <w:rFonts w:ascii="Times New Roman" w:hAnsi="Times New Roman" w:cs="Times New Roman"/>
        </w:rPr>
        <w:t xml:space="preserve"> )</w:t>
      </w:r>
      <w:r w:rsidRPr="00163E69">
        <w:rPr>
          <w:rFonts w:ascii="Times New Roman" w:hAnsi="Times New Roman" w:cs="Times New Roman"/>
        </w:rPr>
        <w:fldChar w:fldCharType="end"/>
      </w:r>
      <w:r w:rsidRPr="00163E69">
        <w:rPr>
          <w:rFonts w:ascii="Times New Roman" w:hAnsi="Times New Roman" w:cs="Times New Roman"/>
        </w:rPr>
        <w:t xml:space="preserve">, </w:t>
      </w:r>
      <m:oMath>
        <m: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oMath>
      <w:r w:rsidRPr="00163E69">
        <w:rPr>
          <w:rFonts w:ascii="Times New Roman" w:hAnsi="Times New Roman" w:cs="Times New Roman"/>
        </w:rPr>
        <w:t xml:space="preserve">, assuming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&gt;OUT</m:t>
        </m:r>
      </m:oMath>
      <w:r w:rsidRPr="00163E69">
        <w:rPr>
          <w:rFonts w:ascii="Times New Roman" w:hAnsi="Times New Roman" w:cs="Times New Roman"/>
        </w:rPr>
        <w:t xml:space="preserve">. </w:t>
      </w:r>
      <w:r w:rsidRPr="00163E69">
        <w:rPr>
          <w:rFonts w:ascii="Times New Roman" w:hAnsi="Times New Roman" w:cs="Times New Roman"/>
        </w:rPr>
        <w:lastRenderedPageBreak/>
        <w:t>By definition, real option theory states they are indifferent between playing the lottery now or paying the cost for information. Consider the utility of the three options: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21BB29FC" w14:textId="77777777" w:rsidTr="002A2C90">
        <w:tc>
          <w:tcPr>
            <w:tcW w:w="7769" w:type="dxa"/>
          </w:tcPr>
          <w:p w14:paraId="1C847B95"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U</m:t>
                </m:r>
                <m:d>
                  <m:dPr>
                    <m:ctrlPr>
                      <w:rPr>
                        <w:rFonts w:ascii="Cambria Math" w:hAnsi="Cambria Math" w:cs="Times New Roman"/>
                        <w:i/>
                      </w:rPr>
                    </m:ctrlPr>
                  </m:dPr>
                  <m:e>
                    <m:r>
                      <w:rPr>
                        <w:rFonts w:ascii="Cambria Math" w:hAnsi="Cambria Math" w:cs="Times New Roman"/>
                      </w:rPr>
                      <m:t>OUT</m:t>
                    </m:r>
                  </m:e>
                </m:d>
              </m:oMath>
            </m:oMathPara>
          </w:p>
        </w:tc>
        <w:tc>
          <w:tcPr>
            <w:tcW w:w="871" w:type="dxa"/>
          </w:tcPr>
          <w:p w14:paraId="2185B69B" w14:textId="3FF5093F" w:rsidR="00C565FD" w:rsidRPr="00163E69" w:rsidRDefault="00C565FD" w:rsidP="002A2C90">
            <w:pPr>
              <w:spacing w:line="480" w:lineRule="auto"/>
              <w:rPr>
                <w:rFonts w:ascii="Times New Roman" w:hAnsi="Times New Roman" w:cs="Times New Roman"/>
              </w:rPr>
            </w:pPr>
            <w:bookmarkStart w:id="63" w:name="_Ref160720063"/>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31</w:t>
            </w:r>
            <w:r w:rsidRPr="00163E69">
              <w:rPr>
                <w:rFonts w:ascii="Times New Roman" w:hAnsi="Times New Roman" w:cs="Times New Roman"/>
              </w:rPr>
              <w:fldChar w:fldCharType="end"/>
            </w:r>
            <w:r w:rsidRPr="00163E69">
              <w:rPr>
                <w:rFonts w:ascii="Times New Roman" w:hAnsi="Times New Roman" w:cs="Times New Roman"/>
              </w:rPr>
              <w:t xml:space="preserve"> )</w:t>
            </w:r>
            <w:bookmarkEnd w:id="63"/>
          </w:p>
        </w:tc>
      </w:tr>
      <w:tr w:rsidR="00C565FD" w:rsidRPr="00163E69" w14:paraId="73D6C03D" w14:textId="77777777" w:rsidTr="002A2C90">
        <w:tc>
          <w:tcPr>
            <w:tcW w:w="7769" w:type="dxa"/>
          </w:tcPr>
          <w:p w14:paraId="24465B93"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U</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=p*U</m:t>
                </m:r>
                <m:d>
                  <m:dPr>
                    <m:ctrlPr>
                      <w:rPr>
                        <w:rFonts w:ascii="Cambria Math" w:hAnsi="Cambria Math" w:cs="Times New Roman"/>
                        <w:i/>
                      </w:rPr>
                    </m:ctrlPr>
                  </m:dPr>
                  <m:e>
                    <m:r>
                      <w:rPr>
                        <w:rFonts w:ascii="Cambria Math" w:hAnsi="Cambria Math" w:cs="Times New Roman"/>
                      </w:rPr>
                      <m:t>H</m:t>
                    </m:r>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*U</m:t>
                </m:r>
                <m:d>
                  <m:dPr>
                    <m:ctrlPr>
                      <w:rPr>
                        <w:rFonts w:ascii="Cambria Math" w:hAnsi="Cambria Math" w:cs="Times New Roman"/>
                        <w:i/>
                      </w:rPr>
                    </m:ctrlPr>
                  </m:dPr>
                  <m:e>
                    <m:r>
                      <w:rPr>
                        <w:rFonts w:ascii="Cambria Math" w:hAnsi="Cambria Math" w:cs="Times New Roman"/>
                      </w:rPr>
                      <m:t>L</m:t>
                    </m:r>
                  </m:e>
                </m:d>
                <m:r>
                  <w:rPr>
                    <w:rFonts w:ascii="Cambria Math" w:hAnsi="Cambria Math" w:cs="Times New Roman"/>
                  </w:rPr>
                  <m:t xml:space="preserve"> </m:t>
                </m:r>
              </m:oMath>
            </m:oMathPara>
          </w:p>
        </w:tc>
        <w:tc>
          <w:tcPr>
            <w:tcW w:w="871" w:type="dxa"/>
          </w:tcPr>
          <w:p w14:paraId="3A33E4A1" w14:textId="589DE05C" w:rsidR="00C565FD" w:rsidRPr="00163E69" w:rsidRDefault="00C565FD" w:rsidP="002A2C90">
            <w:pPr>
              <w:spacing w:line="480" w:lineRule="auto"/>
              <w:rPr>
                <w:rFonts w:ascii="Times New Roman" w:hAnsi="Times New Roman" w:cs="Times New Roman"/>
              </w:rPr>
            </w:pPr>
            <w:bookmarkStart w:id="64" w:name="_Ref160720065"/>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32</w:t>
            </w:r>
            <w:r w:rsidRPr="00163E69">
              <w:rPr>
                <w:rFonts w:ascii="Times New Roman" w:hAnsi="Times New Roman" w:cs="Times New Roman"/>
              </w:rPr>
              <w:fldChar w:fldCharType="end"/>
            </w:r>
            <w:r w:rsidRPr="00163E69">
              <w:rPr>
                <w:rFonts w:ascii="Times New Roman" w:hAnsi="Times New Roman" w:cs="Times New Roman"/>
              </w:rPr>
              <w:t xml:space="preserve"> )</w:t>
            </w:r>
            <w:bookmarkEnd w:id="64"/>
          </w:p>
        </w:tc>
      </w:tr>
      <w:tr w:rsidR="00C565FD" w:rsidRPr="00163E69" w14:paraId="7DC7BCDC" w14:textId="77777777" w:rsidTr="002A2C90">
        <w:tc>
          <w:tcPr>
            <w:tcW w:w="7769" w:type="dxa"/>
          </w:tcPr>
          <w:p w14:paraId="1099D681"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U</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=p*U</m:t>
                </m:r>
                <m:d>
                  <m:dPr>
                    <m:ctrlPr>
                      <w:rPr>
                        <w:rFonts w:ascii="Cambria Math" w:hAnsi="Cambria Math" w:cs="Times New Roman"/>
                        <w:i/>
                      </w:rPr>
                    </m:ctrlPr>
                  </m:dPr>
                  <m:e>
                    <m:r>
                      <w:rPr>
                        <w:rFonts w:ascii="Cambria Math" w:hAnsi="Cambria Math" w:cs="Times New Roman"/>
                      </w:rPr>
                      <m:t>H-</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*U</m:t>
                </m:r>
                <m:d>
                  <m:dPr>
                    <m:ctrlPr>
                      <w:rPr>
                        <w:rFonts w:ascii="Cambria Math" w:hAnsi="Cambria Math" w:cs="Times New Roman"/>
                        <w:i/>
                      </w:rPr>
                    </m:ctrlPr>
                  </m:dPr>
                  <m:e>
                    <m:r>
                      <w:rPr>
                        <w:rFonts w:ascii="Cambria Math" w:hAnsi="Cambria Math" w:cs="Times New Roman"/>
                      </w:rPr>
                      <m:t>OUT-</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e>
                </m:d>
              </m:oMath>
            </m:oMathPara>
          </w:p>
        </w:tc>
        <w:tc>
          <w:tcPr>
            <w:tcW w:w="871" w:type="dxa"/>
          </w:tcPr>
          <w:p w14:paraId="78C6CD87" w14:textId="0DAC7F8B" w:rsidR="00C565FD" w:rsidRPr="00163E69" w:rsidRDefault="00C565FD" w:rsidP="002A2C90">
            <w:pPr>
              <w:spacing w:line="480" w:lineRule="auto"/>
              <w:rPr>
                <w:rFonts w:ascii="Times New Roman" w:hAnsi="Times New Roman" w:cs="Times New Roman"/>
              </w:rPr>
            </w:pPr>
            <w:bookmarkStart w:id="65" w:name="_Ref160720066"/>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33</w:t>
            </w:r>
            <w:r w:rsidRPr="00163E69">
              <w:rPr>
                <w:rFonts w:ascii="Times New Roman" w:hAnsi="Times New Roman" w:cs="Times New Roman"/>
              </w:rPr>
              <w:fldChar w:fldCharType="end"/>
            </w:r>
            <w:r w:rsidRPr="00163E69">
              <w:rPr>
                <w:rFonts w:ascii="Times New Roman" w:hAnsi="Times New Roman" w:cs="Times New Roman"/>
              </w:rPr>
              <w:t xml:space="preserve"> )</w:t>
            </w:r>
            <w:bookmarkEnd w:id="65"/>
          </w:p>
        </w:tc>
      </w:tr>
    </w:tbl>
    <w:p w14:paraId="72A537D5" w14:textId="77777777" w:rsidR="00C565FD" w:rsidRPr="00163E69" w:rsidRDefault="00C565FD" w:rsidP="00C565FD">
      <w:pPr>
        <w:ind w:firstLine="720"/>
        <w:jc w:val="right"/>
        <w:rPr>
          <w:rFonts w:ascii="Times New Roman" w:hAnsi="Times New Roman" w:cs="Times New Roman"/>
        </w:rPr>
      </w:pPr>
    </w:p>
    <w:p w14:paraId="475BE695"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Under real option theory, the agents’ preferences are </w:t>
      </w:r>
      <m:oMath>
        <m:r>
          <w:rPr>
            <w:rFonts w:ascii="Cambria Math" w:hAnsi="Cambria Math" w:cs="Times New Roman"/>
          </w:rPr>
          <m:t>U</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=U</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&gt;U(OUT)</m:t>
        </m:r>
      </m:oMath>
      <w:r w:rsidRPr="00163E69">
        <w:rPr>
          <w:rFonts w:ascii="Times New Roman" w:hAnsi="Times New Roman" w:cs="Times New Roman"/>
        </w:rPr>
        <w:t xml:space="preserve">. By construction, the expected value of paying for information or playing the lottery immediately is equal and greater than the outside option, or </w:t>
      </w:r>
      <m:oMath>
        <m:r>
          <w:rPr>
            <w:rFonts w:ascii="Cambria Math" w:hAnsi="Cambria Math" w:cs="Times New Roman"/>
          </w:rPr>
          <m:t>EV</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=EV</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&gt;OUT</m:t>
        </m:r>
      </m:oMath>
      <w:r w:rsidRPr="00163E69">
        <w:rPr>
          <w:rFonts w:ascii="Times New Roman" w:hAnsi="Times New Roman" w:cs="Times New Roman"/>
        </w:rPr>
        <w:t xml:space="preserve">. Under risk aversion, the agent would least prefer </w:t>
      </w:r>
      <m:oMath>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r>
          <w:rPr>
            <w:rFonts w:ascii="Cambria Math" w:hAnsi="Cambria Math" w:cs="Times New Roman"/>
          </w:rPr>
          <m:t>)</m:t>
        </m:r>
      </m:oMath>
      <w:r w:rsidRPr="00163E69">
        <w:rPr>
          <w:rFonts w:ascii="Times New Roman" w:hAnsi="Times New Roman" w:cs="Times New Roman"/>
        </w:rPr>
        <w:t xml:space="preserve"> as it is strictly dominated by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r>
          <w:rPr>
            <w:rFonts w:ascii="Cambria Math" w:hAnsi="Cambria Math" w:cs="Times New Roman"/>
          </w:rPr>
          <m:t>)</m:t>
        </m:r>
      </m:oMath>
      <w:r w:rsidRPr="00163E69">
        <w:rPr>
          <w:rFonts w:ascii="Times New Roman" w:hAnsi="Times New Roman" w:cs="Times New Roman"/>
        </w:rPr>
        <w:t xml:space="preserve"> since the spread of outcomes is the largest at </w:t>
      </w:r>
      <m:oMath>
        <m:r>
          <w:rPr>
            <w:rFonts w:ascii="Cambria Math" w:hAnsi="Cambria Math" w:cs="Times New Roman"/>
          </w:rPr>
          <m:t>H-L</m:t>
        </m:r>
      </m:oMath>
      <w:r w:rsidRPr="00163E69">
        <w:rPr>
          <w:rFonts w:ascii="Times New Roman" w:hAnsi="Times New Roman" w:cs="Times New Roman"/>
        </w:rPr>
        <w:t xml:space="preserve">. However, their preferences between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r>
          <w:rPr>
            <w:rFonts w:ascii="Cambria Math" w:hAnsi="Cambria Math" w:cs="Times New Roman"/>
          </w:rPr>
          <m:t>)</m:t>
        </m:r>
      </m:oMath>
      <w:r w:rsidRPr="00163E69">
        <w:rPr>
          <w:rFonts w:ascii="Times New Roman" w:hAnsi="Times New Roman" w:cs="Times New Roman"/>
        </w:rPr>
        <w:t xml:space="preserve"> and </w:t>
      </w:r>
      <m:oMath>
        <m:r>
          <w:rPr>
            <w:rFonts w:ascii="Cambria Math" w:hAnsi="Cambria Math" w:cs="Times New Roman"/>
          </w:rPr>
          <m:t>(OUT)</m:t>
        </m:r>
      </m:oMath>
      <w:r w:rsidRPr="00163E69">
        <w:rPr>
          <w:rFonts w:ascii="Times New Roman" w:hAnsi="Times New Roman" w:cs="Times New Roman"/>
        </w:rPr>
        <w:t xml:space="preserve"> depend on their level of risk aversion. The spread of </w:t>
      </w:r>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w:r w:rsidRPr="00163E69">
        <w:rPr>
          <w:rFonts w:ascii="Times New Roman" w:hAnsi="Times New Roman" w:cs="Times New Roman"/>
        </w:rPr>
        <w:t xml:space="preserve"> is </w:t>
      </w:r>
      <m:oMath>
        <m:r>
          <w:rPr>
            <w:rFonts w:ascii="Cambria Math" w:hAnsi="Cambria Math" w:cs="Times New Roman"/>
          </w:rPr>
          <m:t>H-OUT</m:t>
        </m:r>
      </m:oMath>
      <w:r w:rsidRPr="00163E69">
        <w:rPr>
          <w:rFonts w:ascii="Times New Roman" w:hAnsi="Times New Roman" w:cs="Times New Roman"/>
        </w:rPr>
        <w:t xml:space="preserve"> which is greater than the spread of </w:t>
      </w:r>
      <m:oMath>
        <m:d>
          <m:dPr>
            <m:ctrlPr>
              <w:rPr>
                <w:rFonts w:ascii="Cambria Math" w:hAnsi="Cambria Math" w:cs="Times New Roman"/>
                <w:i/>
              </w:rPr>
            </m:ctrlPr>
          </m:dPr>
          <m:e>
            <m:r>
              <w:rPr>
                <w:rFonts w:ascii="Cambria Math" w:hAnsi="Cambria Math" w:cs="Times New Roman"/>
              </w:rPr>
              <m:t>OUT</m:t>
            </m:r>
          </m:e>
        </m:d>
      </m:oMath>
      <w:r w:rsidRPr="00163E69">
        <w:rPr>
          <w:rFonts w:ascii="Times New Roman" w:hAnsi="Times New Roman" w:cs="Times New Roman"/>
        </w:rPr>
        <w:t xml:space="preserve">, but </w:t>
      </w:r>
      <m:oMath>
        <m:r>
          <w:rPr>
            <w:rFonts w:ascii="Cambria Math" w:hAnsi="Cambria Math" w:cs="Times New Roman"/>
          </w:rPr>
          <m:t>EV</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&gt;OUT</m:t>
        </m:r>
      </m:oMath>
      <w:r w:rsidRPr="00163E69">
        <w:rPr>
          <w:rFonts w:ascii="Times New Roman" w:hAnsi="Times New Roman" w:cs="Times New Roman"/>
        </w:rPr>
        <w:t xml:space="preserve">. If they prefer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r>
          <w:rPr>
            <w:rFonts w:ascii="Cambria Math" w:hAnsi="Cambria Math" w:cs="Times New Roman"/>
          </w:rPr>
          <m:t>)</m:t>
        </m:r>
      </m:oMath>
      <w:r w:rsidRPr="00163E69">
        <w:rPr>
          <w:rFonts w:ascii="Times New Roman" w:hAnsi="Times New Roman" w:cs="Times New Roman"/>
        </w:rPr>
        <w:t xml:space="preserve"> then their </w:t>
      </w:r>
      <m:oMath>
        <m:r>
          <w:rPr>
            <w:rFonts w:ascii="Cambria Math" w:hAnsi="Cambria Math" w:cs="Times New Roman"/>
          </w:rPr>
          <m:t>WTP</m:t>
        </m:r>
      </m:oMath>
      <w:r w:rsidRPr="00163E69">
        <w:rPr>
          <w:rFonts w:ascii="Times New Roman" w:hAnsi="Times New Roman" w:cs="Times New Roman"/>
        </w:rPr>
        <w:t xml:space="preserve"> would be larger than the real option theory would predict. However, if they prefer </w:t>
      </w:r>
      <m:oMath>
        <m:r>
          <w:rPr>
            <w:rFonts w:ascii="Cambria Math" w:hAnsi="Cambria Math" w:cs="Times New Roman"/>
          </w:rPr>
          <m:t>(OUT)</m:t>
        </m:r>
      </m:oMath>
      <w:r w:rsidRPr="00163E69">
        <w:rPr>
          <w:rFonts w:ascii="Times New Roman" w:hAnsi="Times New Roman" w:cs="Times New Roman"/>
        </w:rPr>
        <w:t xml:space="preserve"> then their </w:t>
      </w:r>
      <m:oMath>
        <m:r>
          <w:rPr>
            <w:rFonts w:ascii="Cambria Math" w:hAnsi="Cambria Math" w:cs="Times New Roman"/>
          </w:rPr>
          <m:t>WTP</m:t>
        </m:r>
      </m:oMath>
      <w:r w:rsidRPr="00163E69">
        <w:rPr>
          <w:rFonts w:ascii="Times New Roman" w:hAnsi="Times New Roman" w:cs="Times New Roman"/>
        </w:rPr>
        <w:t xml:space="preserve"> would be smaller. This means risk aversion in this context has an ambiguous effect on </w:t>
      </w:r>
      <m:oMath>
        <m:r>
          <w:rPr>
            <w:rFonts w:ascii="Cambria Math" w:hAnsi="Cambria Math" w:cs="Times New Roman"/>
          </w:rPr>
          <m:t>WTP</m:t>
        </m:r>
      </m:oMath>
      <w:r w:rsidRPr="00163E69">
        <w:rPr>
          <w:rFonts w:ascii="Times New Roman" w:hAnsi="Times New Roman" w:cs="Times New Roman"/>
        </w:rPr>
        <w:t>.</w:t>
      </w:r>
    </w:p>
    <w:p w14:paraId="2BA9B3E1" w14:textId="7C37CC4F"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Now assume that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=OUT&gt;EV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w:r w:rsidRPr="00163E69">
        <w:rPr>
          <w:rFonts w:ascii="Times New Roman" w:hAnsi="Times New Roman" w:cs="Times New Roman"/>
        </w:rPr>
        <w:t xml:space="preserve">. By definition,  real option theory states they are indifferent between the outside option or paying for information. Consider the utility of the three options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_Ref160720063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 </w:t>
      </w:r>
      <w:r w:rsidR="00142A7E">
        <w:rPr>
          <w:rFonts w:ascii="Times New Roman" w:hAnsi="Times New Roman" w:cs="Times New Roman"/>
          <w:noProof/>
        </w:rPr>
        <w:t>31</w:t>
      </w:r>
      <w:r w:rsidR="00142A7E" w:rsidRPr="00163E69">
        <w:rPr>
          <w:rFonts w:ascii="Times New Roman" w:hAnsi="Times New Roman" w:cs="Times New Roman"/>
        </w:rPr>
        <w:t xml:space="preserve"> )</w:t>
      </w:r>
      <w:r w:rsidRPr="00163E69">
        <w:rPr>
          <w:rFonts w:ascii="Times New Roman" w:hAnsi="Times New Roman" w:cs="Times New Roman"/>
        </w:rPr>
        <w:fldChar w:fldCharType="end"/>
      </w: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REF _Ref160720065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 </w:t>
      </w:r>
      <w:r w:rsidR="00142A7E">
        <w:rPr>
          <w:rFonts w:ascii="Times New Roman" w:hAnsi="Times New Roman" w:cs="Times New Roman"/>
          <w:noProof/>
        </w:rPr>
        <w:t>32</w:t>
      </w:r>
      <w:r w:rsidR="00142A7E" w:rsidRPr="00163E69">
        <w:rPr>
          <w:rFonts w:ascii="Times New Roman" w:hAnsi="Times New Roman" w:cs="Times New Roman"/>
        </w:rPr>
        <w:t xml:space="preserve"> )</w:t>
      </w:r>
      <w:r w:rsidRPr="00163E69">
        <w:rPr>
          <w:rFonts w:ascii="Times New Roman" w:hAnsi="Times New Roman" w:cs="Times New Roman"/>
        </w:rPr>
        <w:fldChar w:fldCharType="end"/>
      </w:r>
      <w:r w:rsidRPr="00163E69">
        <w:rPr>
          <w:rFonts w:ascii="Times New Roman" w:hAnsi="Times New Roman" w:cs="Times New Roman"/>
        </w:rPr>
        <w:t xml:space="preserve">, and </w:t>
      </w:r>
      <w:r w:rsidRPr="00163E69">
        <w:rPr>
          <w:rFonts w:ascii="Times New Roman" w:hAnsi="Times New Roman" w:cs="Times New Roman"/>
        </w:rPr>
        <w:fldChar w:fldCharType="begin"/>
      </w:r>
      <w:r w:rsidRPr="00163E69">
        <w:rPr>
          <w:rFonts w:ascii="Times New Roman" w:hAnsi="Times New Roman" w:cs="Times New Roman"/>
        </w:rPr>
        <w:instrText xml:space="preserve"> REF _Ref160720066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 </w:t>
      </w:r>
      <w:r w:rsidR="00142A7E">
        <w:rPr>
          <w:rFonts w:ascii="Times New Roman" w:hAnsi="Times New Roman" w:cs="Times New Roman"/>
          <w:noProof/>
        </w:rPr>
        <w:t>33</w:t>
      </w:r>
      <w:r w:rsidR="00142A7E" w:rsidRPr="00163E69">
        <w:rPr>
          <w:rFonts w:ascii="Times New Roman" w:hAnsi="Times New Roman" w:cs="Times New Roman"/>
        </w:rPr>
        <w:t xml:space="preserve"> )</w:t>
      </w:r>
      <w:r w:rsidRPr="00163E69">
        <w:rPr>
          <w:rFonts w:ascii="Times New Roman" w:hAnsi="Times New Roman" w:cs="Times New Roman"/>
        </w:rPr>
        <w:fldChar w:fldCharType="end"/>
      </w:r>
      <w:r w:rsidRPr="00163E69">
        <w:rPr>
          <w:rFonts w:ascii="Times New Roman" w:hAnsi="Times New Roman" w:cs="Times New Roman"/>
        </w:rPr>
        <w:t xml:space="preserve">. Under real option theory, the agents’ preferences are </w:t>
      </w:r>
      <m:oMath>
        <m:r>
          <w:rPr>
            <w:rFonts w:ascii="Cambria Math" w:hAnsi="Cambria Math" w:cs="Times New Roman"/>
          </w:rPr>
          <m:t>U</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=U</m:t>
        </m:r>
        <m:d>
          <m:dPr>
            <m:ctrlPr>
              <w:rPr>
                <w:rFonts w:ascii="Cambria Math" w:hAnsi="Cambria Math" w:cs="Times New Roman"/>
                <w:i/>
              </w:rPr>
            </m:ctrlPr>
          </m:dPr>
          <m:e>
            <m:r>
              <w:rPr>
                <w:rFonts w:ascii="Cambria Math" w:hAnsi="Cambria Math" w:cs="Times New Roman"/>
              </w:rPr>
              <m:t>OUT</m:t>
            </m:r>
          </m:e>
        </m:d>
        <m:r>
          <w:rPr>
            <w:rFonts w:ascii="Cambria Math" w:hAnsi="Cambria Math" w:cs="Times New Roman"/>
          </w:rPr>
          <m:t>&gt;U</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w:r w:rsidRPr="00163E69">
        <w:rPr>
          <w:rFonts w:ascii="Times New Roman" w:hAnsi="Times New Roman" w:cs="Times New Roman"/>
        </w:rPr>
        <w:t xml:space="preserve">. By construction, the expected value of paying for information is equal to the outside option and larger than playing the lottery immediately, or </w:t>
      </w:r>
      <m:oMath>
        <m:r>
          <w:rPr>
            <w:rFonts w:ascii="Cambria Math" w:hAnsi="Cambria Math" w:cs="Times New Roman"/>
          </w:rPr>
          <m:t>EV</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=OUT&gt;EV</m:t>
        </m:r>
        <m:d>
          <m:dPr>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e>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w:r w:rsidRPr="00163E69">
        <w:rPr>
          <w:rFonts w:ascii="Times New Roman" w:hAnsi="Times New Roman" w:cs="Times New Roman"/>
        </w:rPr>
        <w:t xml:space="preserve">. Under risk aversion, the agent would most prefer </w:t>
      </w:r>
      <m:oMath>
        <m:r>
          <w:rPr>
            <w:rFonts w:ascii="Cambria Math" w:hAnsi="Cambria Math" w:cs="Times New Roman"/>
          </w:rPr>
          <m:t>(OUT)</m:t>
        </m:r>
      </m:oMath>
      <w:r w:rsidRPr="00163E69">
        <w:rPr>
          <w:rFonts w:ascii="Times New Roman" w:hAnsi="Times New Roman" w:cs="Times New Roman"/>
        </w:rPr>
        <w:t xml:space="preserve"> as the spread of outcomes is smallest and the </w:t>
      </w:r>
      <w:r w:rsidRPr="00163E69">
        <w:rPr>
          <w:rFonts w:ascii="Times New Roman" w:hAnsi="Times New Roman" w:cs="Times New Roman"/>
        </w:rPr>
        <w:lastRenderedPageBreak/>
        <w:t xml:space="preserve">expected value is greater than or equal to all other options. Since they have a clear preference for </w:t>
      </w:r>
      <m:oMath>
        <m:r>
          <w:rPr>
            <w:rFonts w:ascii="Cambria Math" w:hAnsi="Cambria Math" w:cs="Times New Roman"/>
          </w:rPr>
          <m:t>(OUT)</m:t>
        </m:r>
      </m:oMath>
      <w:r w:rsidRPr="00163E69">
        <w:rPr>
          <w:rFonts w:ascii="Times New Roman" w:hAnsi="Times New Roman" w:cs="Times New Roman"/>
        </w:rPr>
        <w:t xml:space="preserve"> then their </w:t>
      </w:r>
      <m:oMath>
        <m:r>
          <w:rPr>
            <w:rFonts w:ascii="Cambria Math" w:hAnsi="Cambria Math" w:cs="Times New Roman"/>
          </w:rPr>
          <m:t>WTP</m:t>
        </m:r>
      </m:oMath>
      <w:r w:rsidRPr="00163E69">
        <w:rPr>
          <w:rFonts w:ascii="Times New Roman" w:hAnsi="Times New Roman" w:cs="Times New Roman"/>
        </w:rPr>
        <w:t xml:space="preserve"> would be less than is predicted by real option theory. </w:t>
      </w:r>
    </w:p>
    <w:p w14:paraId="286678BC"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To summarize, as </w:t>
      </w:r>
      <w:r>
        <w:rPr>
          <w:rFonts w:ascii="Times New Roman" w:hAnsi="Times New Roman" w:cs="Times New Roman"/>
        </w:rPr>
        <w:t>I</w:t>
      </w:r>
      <w:r w:rsidRPr="00163E69">
        <w:rPr>
          <w:rFonts w:ascii="Times New Roman" w:hAnsi="Times New Roman" w:cs="Times New Roman"/>
        </w:rPr>
        <w:t xml:space="preserve"> increase the spread of outcomes, </w:t>
      </w:r>
      <w:r>
        <w:rPr>
          <w:rFonts w:ascii="Times New Roman" w:hAnsi="Times New Roman" w:cs="Times New Roman"/>
        </w:rPr>
        <w:t>I</w:t>
      </w:r>
      <w:r w:rsidRPr="00163E69">
        <w:rPr>
          <w:rFonts w:ascii="Times New Roman" w:hAnsi="Times New Roman" w:cs="Times New Roman"/>
        </w:rPr>
        <w:t xml:space="preserve"> would expect a decrease in </w:t>
      </w:r>
      <m:oMath>
        <m:r>
          <w:rPr>
            <w:rFonts w:ascii="Cambria Math" w:hAnsi="Cambria Math" w:cs="Times New Roman"/>
          </w:rPr>
          <m:t>WTP</m:t>
        </m:r>
      </m:oMath>
      <w:r w:rsidRPr="00163E69">
        <w:rPr>
          <w:rFonts w:ascii="Times New Roman" w:hAnsi="Times New Roman" w:cs="Times New Roman"/>
        </w:rPr>
        <w:t xml:space="preserve"> relative to real option theory if the expected value of the lottery is less than the outside option. However, there is an ambiguous effect when the expected value is greater than the outside option. </w:t>
      </w:r>
    </w:p>
    <w:p w14:paraId="7E328E66" w14:textId="1D555EA5"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As I am primarily interested in how low-probability high-severity outcomes might affect participants’ behavior, I now examine the interaction between probability weighting and risk aversions. This can be summarized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_Ref160542440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Table </w:t>
      </w:r>
      <w:r w:rsidR="00142A7E">
        <w:rPr>
          <w:rFonts w:ascii="Times New Roman" w:hAnsi="Times New Roman" w:cs="Times New Roman"/>
          <w:noProof/>
        </w:rPr>
        <w:t>9</w:t>
      </w:r>
      <w:r w:rsidRPr="00163E69">
        <w:rPr>
          <w:rFonts w:ascii="Times New Roman" w:hAnsi="Times New Roman" w:cs="Times New Roman"/>
        </w:rPr>
        <w:fldChar w:fldCharType="end"/>
      </w:r>
      <w:r w:rsidRPr="00163E69">
        <w:rPr>
          <w:rFonts w:ascii="Times New Roman" w:hAnsi="Times New Roman" w:cs="Times New Roman"/>
        </w:rPr>
        <w:t xml:space="preserve"> assuming that probability weighting does not change the perceived expected value of the lottery. Note that the effect of increasing spread when the expected value of the lottery is greater than the outside option is ambiguous from the previous results. This means the interaction effect when the expected value is greater than the outside option will also be ambiguous. When the expected value of the lottery is less than the outside option, risk aversion would decrease the </w:t>
      </w:r>
      <m:oMath>
        <m:r>
          <w:rPr>
            <w:rFonts w:ascii="Cambria Math" w:hAnsi="Cambria Math" w:cs="Times New Roman"/>
          </w:rPr>
          <m:t>WTP</m:t>
        </m:r>
      </m:oMath>
      <w:r w:rsidRPr="00163E69">
        <w:rPr>
          <w:rFonts w:ascii="Times New Roman" w:hAnsi="Times New Roman" w:cs="Times New Roman"/>
        </w:rPr>
        <w:t xml:space="preserve">. However, when the probability of the high outcome is small probability weighting would cause an increase in </w:t>
      </w:r>
      <m:oMath>
        <m:r>
          <w:rPr>
            <w:rFonts w:ascii="Cambria Math" w:hAnsi="Cambria Math" w:cs="Times New Roman"/>
          </w:rPr>
          <m:t>WTP</m:t>
        </m:r>
      </m:oMath>
      <w:r w:rsidRPr="00163E69">
        <w:rPr>
          <w:rFonts w:ascii="Times New Roman" w:hAnsi="Times New Roman" w:cs="Times New Roman"/>
        </w:rPr>
        <w:t xml:space="preserve">. It is unclear which effect would be dominant, so the interaction effect is ambiguous. Lastly, probability weighting and risk aversion would predict a decrease in </w:t>
      </w:r>
      <m:oMath>
        <m:r>
          <w:rPr>
            <w:rFonts w:ascii="Cambria Math" w:hAnsi="Cambria Math" w:cs="Times New Roman"/>
          </w:rPr>
          <m:t>WTP</m:t>
        </m:r>
      </m:oMath>
      <w:r w:rsidRPr="00163E69">
        <w:rPr>
          <w:rFonts w:ascii="Times New Roman" w:hAnsi="Times New Roman" w:cs="Times New Roman"/>
        </w:rPr>
        <w:t xml:space="preserve"> when the probability is large and the expected value is less than the outside option. This gives us the only unambiguous prediction of a decrease in </w:t>
      </w:r>
      <m:oMath>
        <m:r>
          <w:rPr>
            <w:rFonts w:ascii="Cambria Math" w:hAnsi="Cambria Math" w:cs="Times New Roman"/>
          </w:rPr>
          <m:t>WTP</m:t>
        </m:r>
      </m:oMath>
      <w:r w:rsidRPr="00163E69">
        <w:rPr>
          <w:rFonts w:ascii="Times New Roman" w:hAnsi="Times New Roman" w:cs="Times New Roman"/>
        </w:rPr>
        <w:t>.</w:t>
      </w:r>
    </w:p>
    <w:p w14:paraId="748DD18B"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lastRenderedPageBreak/>
        <w:t xml:space="preserve">Finally, consider the behavioral effect of loss aversion as </w:t>
      </w:r>
      <w:r>
        <w:rPr>
          <w:rFonts w:ascii="Times New Roman" w:hAnsi="Times New Roman" w:cs="Times New Roman"/>
        </w:rPr>
        <w:t>I</w:t>
      </w:r>
      <w:r w:rsidRPr="00163E69">
        <w:rPr>
          <w:rFonts w:ascii="Times New Roman" w:hAnsi="Times New Roman" w:cs="Times New Roman"/>
        </w:rPr>
        <w:t xml:space="preserve"> shift the outcomes from gains to loss space. List and Haigh (2010) consider loss aversion as a potential explanation for participant behavior which appeared like real option theory. While I focus on low-probability high-severity outcomes, I briefly consider loss aversion to address this concern. Following Tversky and Kahneman (1992) consider the following value function,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3339B2BB" w14:textId="77777777" w:rsidTr="002A2C90">
        <w:tc>
          <w:tcPr>
            <w:tcW w:w="7769" w:type="dxa"/>
          </w:tcPr>
          <w:p w14:paraId="7FACB050"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m:t>v</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x</m:t>
                                </m:r>
                              </m:e>
                            </m:d>
                          </m:e>
                          <m:sup>
                            <m:r>
                              <w:rPr>
                                <w:rFonts w:ascii="Cambria Math" w:hAnsi="Cambria Math" w:cs="Times New Roman"/>
                              </w:rPr>
                              <m:t>α</m:t>
                            </m:r>
                          </m:sup>
                        </m:sSup>
                      </m:e>
                      <m:e>
                        <m:sSup>
                          <m:sSupPr>
                            <m:ctrlPr>
                              <w:rPr>
                                <w:rFonts w:ascii="Cambria Math" w:hAnsi="Cambria Math" w:cs="Times New Roman"/>
                                <w:i/>
                              </w:rPr>
                            </m:ctrlPr>
                          </m:sSupPr>
                          <m:e>
                            <m:r>
                              <w:rPr>
                                <w:rFonts w:ascii="Cambria Math" w:hAnsi="Cambria Math" w:cs="Times New Roman"/>
                              </w:rPr>
                              <m:t>-λ</m:t>
                            </m:r>
                            <m:d>
                              <m:dPr>
                                <m:ctrlPr>
                                  <w:rPr>
                                    <w:rFonts w:ascii="Cambria Math" w:hAnsi="Cambria Math" w:cs="Times New Roman"/>
                                    <w:i/>
                                  </w:rPr>
                                </m:ctrlPr>
                              </m:dPr>
                              <m:e>
                                <m:r>
                                  <w:rPr>
                                    <w:rFonts w:ascii="Cambria Math" w:hAnsi="Cambria Math" w:cs="Times New Roman"/>
                                  </w:rPr>
                                  <m:t>-x</m:t>
                                </m:r>
                              </m:e>
                            </m:d>
                          </m:e>
                          <m:sup>
                            <m:r>
                              <w:rPr>
                                <w:rFonts w:ascii="Cambria Math" w:hAnsi="Cambria Math" w:cs="Times New Roman"/>
                              </w:rPr>
                              <m:t>β</m:t>
                            </m:r>
                          </m:sup>
                        </m:sSup>
                      </m:e>
                    </m:eqArr>
                  </m:e>
                </m:d>
                <m:m>
                  <m:mPr>
                    <m:mcs>
                      <m:mc>
                        <m:mcPr>
                          <m:count m:val="1"/>
                          <m:mcJc m:val="center"/>
                        </m:mcPr>
                      </m:mc>
                    </m:mcs>
                    <m:ctrlPr>
                      <w:rPr>
                        <w:rFonts w:ascii="Cambria Math" w:hAnsi="Cambria Math" w:cs="Times New Roman"/>
                        <w:i/>
                      </w:rPr>
                    </m:ctrlPr>
                  </m:mPr>
                  <m:mr>
                    <m:e>
                      <m:r>
                        <w:rPr>
                          <w:rFonts w:ascii="Cambria Math" w:hAnsi="Cambria Math" w:cs="Times New Roman"/>
                        </w:rPr>
                        <m:t xml:space="preserve"> if x&gt;0</m:t>
                      </m:r>
                    </m:e>
                  </m:mr>
                  <m:mr>
                    <m:e>
                      <m:r>
                        <w:rPr>
                          <w:rFonts w:ascii="Cambria Math" w:hAnsi="Cambria Math" w:cs="Times New Roman"/>
                        </w:rPr>
                        <m:t xml:space="preserve"> if x≤0</m:t>
                      </m:r>
                    </m:e>
                  </m:mr>
                </m:m>
              </m:oMath>
            </m:oMathPara>
          </w:p>
        </w:tc>
        <w:tc>
          <w:tcPr>
            <w:tcW w:w="871" w:type="dxa"/>
          </w:tcPr>
          <w:p w14:paraId="1EF4DFC8" w14:textId="21B3CFCA"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34</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478A76D1"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where </w:t>
      </w:r>
      <m:oMath>
        <m:r>
          <w:rPr>
            <w:rFonts w:ascii="Cambria Math" w:hAnsi="Cambria Math" w:cs="Times New Roman"/>
          </w:rPr>
          <m:t>x</m:t>
        </m:r>
      </m:oMath>
      <w:r w:rsidRPr="00163E69">
        <w:rPr>
          <w:rFonts w:ascii="Times New Roman" w:hAnsi="Times New Roman" w:cs="Times New Roman"/>
        </w:rPr>
        <w:t xml:space="preserve"> is the outcome of interest, </w:t>
      </w:r>
      <m:oMath>
        <m:r>
          <w:rPr>
            <w:rFonts w:ascii="Cambria Math" w:hAnsi="Cambria Math" w:cs="Times New Roman"/>
          </w:rPr>
          <m:t>α</m:t>
        </m:r>
      </m:oMath>
      <w:r w:rsidRPr="00163E69">
        <w:rPr>
          <w:rFonts w:ascii="Times New Roman" w:hAnsi="Times New Roman" w:cs="Times New Roman"/>
        </w:rPr>
        <w:t xml:space="preserve"> and </w:t>
      </w:r>
      <m:oMath>
        <m:r>
          <w:rPr>
            <w:rFonts w:ascii="Cambria Math" w:hAnsi="Cambria Math" w:cs="Times New Roman"/>
          </w:rPr>
          <m:t>β</m:t>
        </m:r>
      </m:oMath>
      <w:r w:rsidRPr="00163E69">
        <w:rPr>
          <w:rFonts w:ascii="Times New Roman" w:hAnsi="Times New Roman" w:cs="Times New Roman"/>
        </w:rPr>
        <w:t xml:space="preserve"> determine the curvature, and </w:t>
      </w:r>
      <m:oMath>
        <m:r>
          <w:rPr>
            <w:rFonts w:ascii="Cambria Math" w:hAnsi="Cambria Math" w:cs="Times New Roman"/>
          </w:rPr>
          <m:t>λ</m:t>
        </m:r>
      </m:oMath>
      <w:r w:rsidRPr="00163E69">
        <w:rPr>
          <w:rFonts w:ascii="Times New Roman" w:hAnsi="Times New Roman" w:cs="Times New Roman"/>
        </w:rPr>
        <w:t xml:space="preserve"> weights losses more relative to gains. Note that the value function is concave in gains space and convex in loss space. Without estimating parameters, this gives insight into a potential deviation from real option theory. The concavity in gains space gives the same results as risk-aversion considered previously. The preference for certain outcomes relative to uncertain outcomes with the same expected value, creates a decrease in </w:t>
      </w:r>
      <m:oMath>
        <m:r>
          <w:rPr>
            <w:rFonts w:ascii="Cambria Math" w:hAnsi="Cambria Math" w:cs="Times New Roman"/>
          </w:rPr>
          <m:t>WTP</m:t>
        </m:r>
      </m:oMath>
      <w:r w:rsidRPr="00163E69">
        <w:rPr>
          <w:rFonts w:ascii="Times New Roman" w:hAnsi="Times New Roman" w:cs="Times New Roman"/>
        </w:rPr>
        <w:t xml:space="preserve"> relative to real option theory if the expected value of the lottery is less than the outside option and an ambiguous effect otherwise. </w:t>
      </w:r>
    </w:p>
    <w:p w14:paraId="25FD0353" w14:textId="505E66B9"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The convexity in loss space gives the opposite effect, the agent now prefers uncertain outcomes relative to certain outcomes with the same expected value. Consider the utility of the economic agent’s three choices: </w:t>
      </w:r>
      <w:r w:rsidRPr="00163E69">
        <w:rPr>
          <w:rFonts w:ascii="Times New Roman" w:hAnsi="Times New Roman" w:cs="Times New Roman"/>
        </w:rPr>
        <w:fldChar w:fldCharType="begin"/>
      </w:r>
      <w:r w:rsidRPr="00163E69">
        <w:rPr>
          <w:rFonts w:ascii="Times New Roman" w:hAnsi="Times New Roman" w:cs="Times New Roman"/>
        </w:rPr>
        <w:instrText xml:space="preserve"> REF _Ref160720063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 </w:t>
      </w:r>
      <w:r w:rsidR="00142A7E">
        <w:rPr>
          <w:rFonts w:ascii="Times New Roman" w:hAnsi="Times New Roman" w:cs="Times New Roman"/>
          <w:noProof/>
        </w:rPr>
        <w:t>31</w:t>
      </w:r>
      <w:r w:rsidR="00142A7E" w:rsidRPr="00163E69">
        <w:rPr>
          <w:rFonts w:ascii="Times New Roman" w:hAnsi="Times New Roman" w:cs="Times New Roman"/>
        </w:rPr>
        <w:t xml:space="preserve"> )</w:t>
      </w:r>
      <w:r w:rsidRPr="00163E69">
        <w:rPr>
          <w:rFonts w:ascii="Times New Roman" w:hAnsi="Times New Roman" w:cs="Times New Roman"/>
        </w:rPr>
        <w:fldChar w:fldCharType="end"/>
      </w: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REF _Ref160720065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 </w:t>
      </w:r>
      <w:r w:rsidR="00142A7E">
        <w:rPr>
          <w:rFonts w:ascii="Times New Roman" w:hAnsi="Times New Roman" w:cs="Times New Roman"/>
          <w:noProof/>
        </w:rPr>
        <w:t>32</w:t>
      </w:r>
      <w:r w:rsidR="00142A7E" w:rsidRPr="00163E69">
        <w:rPr>
          <w:rFonts w:ascii="Times New Roman" w:hAnsi="Times New Roman" w:cs="Times New Roman"/>
        </w:rPr>
        <w:t xml:space="preserve"> )</w:t>
      </w:r>
      <w:r w:rsidRPr="00163E69">
        <w:rPr>
          <w:rFonts w:ascii="Times New Roman" w:hAnsi="Times New Roman" w:cs="Times New Roman"/>
        </w:rPr>
        <w:fldChar w:fldCharType="end"/>
      </w:r>
      <w:r w:rsidRPr="00163E69">
        <w:rPr>
          <w:rFonts w:ascii="Times New Roman" w:hAnsi="Times New Roman" w:cs="Times New Roman"/>
        </w:rPr>
        <w:t xml:space="preserve">, and </w:t>
      </w:r>
      <w:r w:rsidRPr="00163E69">
        <w:rPr>
          <w:rFonts w:ascii="Times New Roman" w:hAnsi="Times New Roman" w:cs="Times New Roman"/>
        </w:rPr>
        <w:fldChar w:fldCharType="begin"/>
      </w:r>
      <w:r w:rsidRPr="00163E69">
        <w:rPr>
          <w:rFonts w:ascii="Times New Roman" w:hAnsi="Times New Roman" w:cs="Times New Roman"/>
        </w:rPr>
        <w:instrText xml:space="preserve"> REF _Ref160720066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 </w:t>
      </w:r>
      <w:r w:rsidR="00142A7E">
        <w:rPr>
          <w:rFonts w:ascii="Times New Roman" w:hAnsi="Times New Roman" w:cs="Times New Roman"/>
          <w:noProof/>
        </w:rPr>
        <w:t>33</w:t>
      </w:r>
      <w:r w:rsidR="00142A7E" w:rsidRPr="00163E69">
        <w:rPr>
          <w:rFonts w:ascii="Times New Roman" w:hAnsi="Times New Roman" w:cs="Times New Roman"/>
        </w:rPr>
        <w:t xml:space="preserve"> )</w:t>
      </w:r>
      <w:r w:rsidRPr="00163E69">
        <w:rPr>
          <w:rFonts w:ascii="Times New Roman" w:hAnsi="Times New Roman" w:cs="Times New Roman"/>
        </w:rPr>
        <w:fldChar w:fldCharType="end"/>
      </w:r>
      <w:r w:rsidRPr="00163E69">
        <w:rPr>
          <w:rFonts w:ascii="Times New Roman" w:hAnsi="Times New Roman" w:cs="Times New Roman"/>
        </w:rPr>
        <w:t xml:space="preserve">. In the first scenario, assume the expected value of the lottery is less than the outside option, or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=OUT&gt;EV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w:r w:rsidRPr="00163E69">
        <w:rPr>
          <w:rFonts w:ascii="Times New Roman" w:hAnsi="Times New Roman" w:cs="Times New Roman"/>
        </w:rPr>
        <w:t xml:space="preserve">. By definition, real option theory states they are indifferent between the outside option or paying for information since the cost they face is exactly their </w:t>
      </w:r>
      <m:oMath>
        <m:r>
          <w:rPr>
            <w:rFonts w:ascii="Cambria Math" w:hAnsi="Cambria Math" w:cs="Times New Roman"/>
          </w:rPr>
          <m:t>WTP</m:t>
        </m:r>
      </m:oMath>
      <w:r w:rsidRPr="00163E69">
        <w:rPr>
          <w:rFonts w:ascii="Times New Roman" w:hAnsi="Times New Roman" w:cs="Times New Roman"/>
        </w:rPr>
        <w:t xml:space="preserve"> for information. Since the value function is convex, they prefer to pay for information, </w:t>
      </w:r>
      <m:oMath>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w:r w:rsidRPr="00163E69">
        <w:rPr>
          <w:rFonts w:ascii="Times New Roman" w:hAnsi="Times New Roman" w:cs="Times New Roman"/>
        </w:rPr>
        <w:t xml:space="preserve">. This would suggest that their </w:t>
      </w:r>
      <m:oMath>
        <m:r>
          <w:rPr>
            <w:rFonts w:ascii="Cambria Math" w:hAnsi="Cambria Math" w:cs="Times New Roman"/>
          </w:rPr>
          <m:t>WTP</m:t>
        </m:r>
      </m:oMath>
      <w:r w:rsidRPr="00163E69">
        <w:rPr>
          <w:rFonts w:ascii="Times New Roman" w:hAnsi="Times New Roman" w:cs="Times New Roman"/>
        </w:rPr>
        <w:t xml:space="preserve"> would be higher than </w:t>
      </w:r>
      <w:r w:rsidRPr="00163E69">
        <w:rPr>
          <w:rFonts w:ascii="Times New Roman" w:hAnsi="Times New Roman" w:cs="Times New Roman"/>
        </w:rPr>
        <w:lastRenderedPageBreak/>
        <w:t xml:space="preserve">real option theory predicts. Depending on the specific parameter estimates, it is possible that they would prefer playing the lottery immediately, </w:t>
      </w:r>
      <m:oMath>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w:r w:rsidRPr="00163E69">
        <w:rPr>
          <w:rFonts w:ascii="Times New Roman" w:hAnsi="Times New Roman" w:cs="Times New Roman"/>
        </w:rPr>
        <w:t xml:space="preserve">, since the spread of outcomes is larger. In other words, they might prefer a riskier lottery at the expense of a lower expected value. If they prefer to play the lottery immediately, this would decrease their </w:t>
      </w:r>
      <m:oMath>
        <m:r>
          <w:rPr>
            <w:rFonts w:ascii="Cambria Math" w:hAnsi="Cambria Math" w:cs="Times New Roman"/>
          </w:rPr>
          <m:t>WTP</m:t>
        </m:r>
      </m:oMath>
      <w:r w:rsidRPr="00163E69">
        <w:rPr>
          <w:rFonts w:ascii="Times New Roman" w:hAnsi="Times New Roman" w:cs="Times New Roman"/>
        </w:rPr>
        <w:t xml:space="preserve">. This means there is an ambiguous effect of loss aversion on </w:t>
      </w:r>
      <m:oMath>
        <m:r>
          <w:rPr>
            <w:rFonts w:ascii="Cambria Math" w:hAnsi="Cambria Math" w:cs="Times New Roman"/>
          </w:rPr>
          <m:t>WTP</m:t>
        </m:r>
      </m:oMath>
      <w:r w:rsidRPr="00163E69">
        <w:rPr>
          <w:rFonts w:ascii="Times New Roman" w:hAnsi="Times New Roman" w:cs="Times New Roman"/>
        </w:rPr>
        <w:t xml:space="preserve"> when the expected value of the lottery is less than the outside option. In the second scenario assume that the expected value of the lottery is greater than the outside option, or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&gt;OUT</m:t>
        </m:r>
      </m:oMath>
      <w:r w:rsidRPr="00163E69">
        <w:rPr>
          <w:rFonts w:ascii="Times New Roman" w:hAnsi="Times New Roman" w:cs="Times New Roman"/>
        </w:rPr>
        <w:t xml:space="preserve">. Since the cost of information is equal to real option theory’s predicted </w:t>
      </w:r>
      <m:oMath>
        <m:r>
          <w:rPr>
            <w:rFonts w:ascii="Cambria Math" w:hAnsi="Cambria Math" w:cs="Times New Roman"/>
          </w:rPr>
          <m:t>WTP</m:t>
        </m:r>
      </m:oMath>
      <w:r w:rsidRPr="00163E69">
        <w:rPr>
          <w:rFonts w:ascii="Times New Roman" w:hAnsi="Times New Roman" w:cs="Times New Roman"/>
        </w:rPr>
        <w:t xml:space="preserve">, the expected value of playing the lottery immediately or paying for information is equal. Note that the expected value of the outside option is less than the lottery and the spread is smaller than the lottery, so under loss aversion the economic agent would not choose the outside option. The expected value of paying for information is equal to playing the lottery immediately, but the spread of outcomes when playing the lottery immediately is larger. Due to the convex value function in losses, the economic agent prefers to play the lottery immediately as they prefer the riskier option. This means their </w:t>
      </w:r>
      <m:oMath>
        <m:r>
          <w:rPr>
            <w:rFonts w:ascii="Cambria Math" w:hAnsi="Cambria Math" w:cs="Times New Roman"/>
          </w:rPr>
          <m:t>WTP</m:t>
        </m:r>
      </m:oMath>
      <w:r w:rsidRPr="00163E69">
        <w:rPr>
          <w:rFonts w:ascii="Times New Roman" w:hAnsi="Times New Roman" w:cs="Times New Roman"/>
        </w:rPr>
        <w:t xml:space="preserve"> would decrease relative to the predictions from real option theory. </w:t>
      </w:r>
    </w:p>
    <w:p w14:paraId="767540FE"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To summarize, in gains space </w:t>
      </w:r>
      <m:oMath>
        <m:r>
          <w:rPr>
            <w:rFonts w:ascii="Cambria Math" w:hAnsi="Cambria Math" w:cs="Times New Roman"/>
          </w:rPr>
          <m:t>WTP</m:t>
        </m:r>
      </m:oMath>
      <w:r w:rsidRPr="00163E69">
        <w:rPr>
          <w:rFonts w:ascii="Times New Roman" w:hAnsi="Times New Roman" w:cs="Times New Roman"/>
        </w:rPr>
        <w:t xml:space="preserve"> would decrease relative to real option theory when the expected value of the lottery is less than the outside option, and in loss space </w:t>
      </w:r>
      <m:oMath>
        <m:r>
          <w:rPr>
            <w:rFonts w:ascii="Cambria Math" w:hAnsi="Cambria Math" w:cs="Times New Roman"/>
          </w:rPr>
          <m:t>WTP</m:t>
        </m:r>
      </m:oMath>
      <w:r w:rsidRPr="00163E69">
        <w:rPr>
          <w:rFonts w:ascii="Times New Roman" w:hAnsi="Times New Roman" w:cs="Times New Roman"/>
        </w:rPr>
        <w:t xml:space="preserve"> would decrease relative to real option theory when the expected value of the lottery is greater than the outside option. Under other conditions, the effect of loss aversion is ambiguous. Due to the ambiguous results, I cannot clearly identify situations where </w:t>
      </w:r>
      <m:oMath>
        <m:r>
          <w:rPr>
            <w:rFonts w:ascii="Cambria Math" w:hAnsi="Cambria Math" w:cs="Times New Roman"/>
          </w:rPr>
          <m:t>WTP</m:t>
        </m:r>
      </m:oMath>
      <w:r w:rsidRPr="00163E69">
        <w:rPr>
          <w:rFonts w:ascii="Times New Roman" w:hAnsi="Times New Roman" w:cs="Times New Roman"/>
        </w:rPr>
        <w:t xml:space="preserve"> should be different when directly comparing gains and losses. I do not consider scenarios </w:t>
      </w:r>
      <w:r w:rsidRPr="00163E69">
        <w:rPr>
          <w:rFonts w:ascii="Times New Roman" w:hAnsi="Times New Roman" w:cs="Times New Roman"/>
        </w:rPr>
        <w:lastRenderedPageBreak/>
        <w:t xml:space="preserve">where the lottery outcomes are in gains and loss space, which would change the predictions previously discussed. </w:t>
      </w:r>
    </w:p>
    <w:p w14:paraId="0B4B592C"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This theoretical framework shows how probability weighting, high severity outcomes, and loss aversion might affect individuals’ willingness to pay for new information relative to traditional real option theory. Real option theory gives point predictions for willingness to pay for information, and I hope to attribute any deviations from these point predictions to the behavioral deviations previously discussed. These different frameworks give different predictions when changing specific characteristics of the lottery. For example, as I’ve considered it here, probability weighting does not change conditional on outcomes occurring in gains or losses. This gives rise to potential interaction effects from these behavioral deviations. I do not consider every interaction since the predicted deviations from real option theory are largely ambiguous.</w:t>
      </w:r>
      <w:r w:rsidRPr="00163E69">
        <w:rPr>
          <w:rFonts w:ascii="Times New Roman" w:hAnsi="Times New Roman" w:cs="Times New Roman"/>
        </w:rPr>
        <w:tab/>
        <w:t xml:space="preserve"> </w:t>
      </w:r>
    </w:p>
    <w:p w14:paraId="64A89B10" w14:textId="77777777" w:rsidR="00C565FD" w:rsidRPr="00163E69" w:rsidRDefault="00C565FD" w:rsidP="00C565FD">
      <w:pPr>
        <w:keepNext/>
        <w:spacing w:before="240" w:after="60" w:line="480" w:lineRule="auto"/>
        <w:jc w:val="center"/>
        <w:outlineLvl w:val="1"/>
        <w:rPr>
          <w:rFonts w:ascii="Times New Roman" w:hAnsi="Times New Roman" w:cs="Times New Roman"/>
          <w:b/>
          <w:bCs/>
          <w:iCs/>
        </w:rPr>
      </w:pPr>
      <w:bookmarkStart w:id="66" w:name="_Toc160720145"/>
      <w:bookmarkStart w:id="67" w:name="_Toc164862512"/>
      <w:r w:rsidRPr="00163E69">
        <w:rPr>
          <w:rFonts w:ascii="Times New Roman" w:hAnsi="Times New Roman" w:cs="Times New Roman"/>
          <w:b/>
          <w:bCs/>
          <w:iCs/>
        </w:rPr>
        <w:t>2.3 EXPERIMENTAL DESIGN</w:t>
      </w:r>
      <w:bookmarkEnd w:id="66"/>
      <w:bookmarkEnd w:id="67"/>
    </w:p>
    <w:p w14:paraId="3351A9DA" w14:textId="77777777" w:rsidR="00C565FD" w:rsidRPr="00163E69" w:rsidRDefault="00C565FD" w:rsidP="00C565FD">
      <w:pPr>
        <w:spacing w:line="480" w:lineRule="auto"/>
        <w:ind w:firstLine="720"/>
        <w:rPr>
          <w:rFonts w:ascii="Times New Roman" w:hAnsi="Times New Roman" w:cs="Times New Roman"/>
        </w:rPr>
      </w:pPr>
      <w:r>
        <w:rPr>
          <w:rFonts w:ascii="Times New Roman" w:hAnsi="Times New Roman" w:cs="Times New Roman"/>
        </w:rPr>
        <w:t>The</w:t>
      </w:r>
      <w:r w:rsidRPr="00163E69">
        <w:rPr>
          <w:rFonts w:ascii="Times New Roman" w:hAnsi="Times New Roman" w:cs="Times New Roman"/>
        </w:rPr>
        <w:t xml:space="preserve"> experimental design reflects the experiment conducted by List and Haigh (2010) with minor changes. Participants choose between playing a lottery in period 1, playing a lottery in period 2 after paying a cost, </w:t>
      </w:r>
      <m:oMath>
        <m:r>
          <w:rPr>
            <w:rFonts w:ascii="Cambria Math" w:hAnsi="Cambria Math" w:cs="Times New Roman"/>
          </w:rPr>
          <m:t>C</m:t>
        </m:r>
      </m:oMath>
      <w:r w:rsidRPr="00163E69">
        <w:rPr>
          <w:rFonts w:ascii="Times New Roman" w:hAnsi="Times New Roman" w:cs="Times New Roman"/>
        </w:rPr>
        <w:t xml:space="preserve">, or receiving a certain payout instead of playing the lottery. If the participant plays the lottery in period 1, they earn the high outcome of the lottery, </w:t>
      </w:r>
      <m:oMath>
        <m:r>
          <w:rPr>
            <w:rFonts w:ascii="Cambria Math" w:hAnsi="Cambria Math" w:cs="Times New Roman"/>
          </w:rPr>
          <m:t>H</m:t>
        </m:r>
      </m:oMath>
      <w:r w:rsidRPr="00163E69">
        <w:rPr>
          <w:rFonts w:ascii="Times New Roman" w:hAnsi="Times New Roman" w:cs="Times New Roman"/>
        </w:rPr>
        <w:t xml:space="preserve">, with probability </w:t>
      </w:r>
      <m:oMath>
        <m:r>
          <w:rPr>
            <w:rFonts w:ascii="Cambria Math" w:hAnsi="Cambria Math" w:cs="Times New Roman"/>
          </w:rPr>
          <m:t>p</m:t>
        </m:r>
      </m:oMath>
      <w:r w:rsidRPr="00163E69">
        <w:rPr>
          <w:rFonts w:ascii="Times New Roman" w:hAnsi="Times New Roman" w:cs="Times New Roman"/>
        </w:rPr>
        <w:t xml:space="preserve"> and the low outcome of the lottery, </w:t>
      </w:r>
      <m:oMath>
        <m:r>
          <w:rPr>
            <w:rFonts w:ascii="Cambria Math" w:hAnsi="Cambria Math" w:cs="Times New Roman"/>
          </w:rPr>
          <m:t>L</m:t>
        </m:r>
      </m:oMath>
      <w:r w:rsidRPr="00163E69">
        <w:rPr>
          <w:rFonts w:ascii="Times New Roman" w:hAnsi="Times New Roman" w:cs="Times New Roman"/>
        </w:rPr>
        <w:t xml:space="preserve">, probability </w:t>
      </w:r>
      <m:oMath>
        <m:r>
          <w:rPr>
            <w:rFonts w:ascii="Cambria Math" w:hAnsi="Cambria Math" w:cs="Times New Roman"/>
          </w:rPr>
          <m:t>1-p</m:t>
        </m:r>
      </m:oMath>
      <w:r w:rsidRPr="00163E69">
        <w:rPr>
          <w:rFonts w:ascii="Times New Roman" w:hAnsi="Times New Roman" w:cs="Times New Roman"/>
        </w:rPr>
        <w:t xml:space="preserve">. Participants have the option of not playing the lottery and receiving a certain payoff, which I refer to as the outside option or </w:t>
      </w:r>
      <m:oMath>
        <m:r>
          <w:rPr>
            <w:rFonts w:ascii="Cambria Math" w:hAnsi="Cambria Math" w:cs="Times New Roman"/>
          </w:rPr>
          <m:t>OUT</m:t>
        </m:r>
      </m:oMath>
      <w:r w:rsidRPr="00163E69">
        <w:rPr>
          <w:rFonts w:ascii="Times New Roman" w:hAnsi="Times New Roman" w:cs="Times New Roman"/>
        </w:rPr>
        <w:t xml:space="preserve">. Outcomes are always constructed such that </w:t>
      </w:r>
      <m:oMath>
        <m:r>
          <w:rPr>
            <w:rFonts w:ascii="Cambria Math" w:hAnsi="Cambria Math" w:cs="Times New Roman"/>
          </w:rPr>
          <m:t>L&lt;OUT&lt;H</m:t>
        </m:r>
      </m:oMath>
      <w:r w:rsidRPr="00163E69">
        <w:rPr>
          <w:rFonts w:ascii="Times New Roman" w:hAnsi="Times New Roman" w:cs="Times New Roman"/>
        </w:rPr>
        <w:t xml:space="preserve">. Participants have a third option, if they pay a cost, </w:t>
      </w:r>
      <m:oMath>
        <m:r>
          <w:rPr>
            <w:rFonts w:ascii="Cambria Math" w:hAnsi="Cambria Math" w:cs="Times New Roman"/>
          </w:rPr>
          <m:t>C</m:t>
        </m:r>
      </m:oMath>
      <w:r w:rsidRPr="00163E69">
        <w:rPr>
          <w:rFonts w:ascii="Times New Roman" w:hAnsi="Times New Roman" w:cs="Times New Roman"/>
        </w:rPr>
        <w:t xml:space="preserve">, they may observe the outcome of the lottery before making their decision to play the </w:t>
      </w:r>
      <w:r w:rsidRPr="00163E69">
        <w:rPr>
          <w:rFonts w:ascii="Times New Roman" w:hAnsi="Times New Roman" w:cs="Times New Roman"/>
        </w:rPr>
        <w:lastRenderedPageBreak/>
        <w:t xml:space="preserve">lottery. If the low outcome occurs, the participant can choose the outside option which will always be preferable to the low outcome. In this way, the cost, </w:t>
      </w:r>
      <m:oMath>
        <m:r>
          <w:rPr>
            <w:rFonts w:ascii="Cambria Math" w:hAnsi="Cambria Math" w:cs="Times New Roman"/>
          </w:rPr>
          <m:t>C</m:t>
        </m:r>
      </m:oMath>
      <w:r w:rsidRPr="00163E69">
        <w:rPr>
          <w:rFonts w:ascii="Times New Roman" w:hAnsi="Times New Roman" w:cs="Times New Roman"/>
        </w:rPr>
        <w:t xml:space="preserve">, can be thought of as the participants' willingness to pay for information about the lottery outcome or the willingness to pay to reduce uncertainty over their potential earnings. </w:t>
      </w:r>
    </w:p>
    <w:p w14:paraId="5EEDDF65" w14:textId="690E97A9"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r>
      <w:r>
        <w:rPr>
          <w:rFonts w:ascii="Times New Roman" w:hAnsi="Times New Roman" w:cs="Times New Roman"/>
        </w:rPr>
        <w:t>The</w:t>
      </w:r>
      <w:r w:rsidRPr="00163E69">
        <w:rPr>
          <w:rFonts w:ascii="Times New Roman" w:hAnsi="Times New Roman" w:cs="Times New Roman"/>
        </w:rPr>
        <w:t xml:space="preserve"> experimental design differs from List and Haigh (2010) in two ways. First, List and Haigh (2010) change the lottery payoffs between period 1 and period 2. I simplify the design by keeping the lottery payoffs constant but introducing a cost that must be paid to move to period 2. This introduces a second difference: participants may choose to receive a certain payout of the outside option. </w:t>
      </w:r>
      <w:r w:rsidR="00142A7E">
        <w:rPr>
          <w:rFonts w:ascii="Times New Roman" w:hAnsi="Times New Roman" w:cs="Times New Roman"/>
        </w:rPr>
        <w:t xml:space="preserve">The </w:t>
      </w:r>
      <w:r w:rsidRPr="00163E69">
        <w:rPr>
          <w:rFonts w:ascii="Times New Roman" w:hAnsi="Times New Roman" w:cs="Times New Roman"/>
        </w:rPr>
        <w:t xml:space="preserve">Appendix shows how </w:t>
      </w:r>
      <w:r>
        <w:rPr>
          <w:rFonts w:ascii="Times New Roman" w:hAnsi="Times New Roman" w:cs="Times New Roman"/>
        </w:rPr>
        <w:t>the</w:t>
      </w:r>
      <w:r w:rsidRPr="00163E69">
        <w:rPr>
          <w:rFonts w:ascii="Times New Roman" w:hAnsi="Times New Roman" w:cs="Times New Roman"/>
        </w:rPr>
        <w:t xml:space="preserve"> design setup is theoretically equivalent to Dixit and Pindyck (1994). </w:t>
      </w:r>
    </w:p>
    <w:p w14:paraId="669FFF4E" w14:textId="31DEE733"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I implement a full factorial experimental design for a total of 24 lottery parameterizations (2x3x2x2)</w:t>
      </w:r>
      <w:r w:rsidRPr="00163E69">
        <w:rPr>
          <w:rFonts w:ascii="Times New Roman" w:hAnsi="Times New Roman" w:cs="Times New Roman"/>
          <w:vertAlign w:val="superscript"/>
        </w:rPr>
        <w:footnoteReference w:id="5"/>
      </w:r>
      <w:r w:rsidRPr="00163E69">
        <w:rPr>
          <w:rFonts w:ascii="Times New Roman" w:hAnsi="Times New Roman" w:cs="Times New Roman"/>
        </w:rPr>
        <w:t xml:space="preserve">. The first lottery treatment variable varies the expected value of the lottery relative to the certain outside option from negative,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-OUT&lt;0</m:t>
        </m:r>
      </m:oMath>
      <w:r w:rsidRPr="00163E69">
        <w:rPr>
          <w:rFonts w:ascii="Times New Roman" w:hAnsi="Times New Roman" w:cs="Times New Roman"/>
        </w:rPr>
        <w:t xml:space="preserve">, to positive, </w:t>
      </w:r>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-OUT&gt;0</m:t>
        </m:r>
      </m:oMath>
      <w:r w:rsidRPr="00163E69">
        <w:rPr>
          <w:rFonts w:ascii="Times New Roman" w:hAnsi="Times New Roman" w:cs="Times New Roman"/>
        </w:rPr>
        <w:t>. This allows testing unambiguous effects of probability weighting and risk aversion identified in the theoretical framework. The second treatment variable varies the probabilities of high lottery outcomes from 0.5, 0.85, and 0.15. In the base case, each lottery outcome occurs with equal probability. I compare these results to lotteries where the negative outcome occurs with low probability (</w:t>
      </w:r>
      <m:oMath>
        <m:r>
          <w:rPr>
            <w:rFonts w:ascii="Cambria Math" w:hAnsi="Cambria Math" w:cs="Times New Roman"/>
          </w:rPr>
          <m:t>p=0.85</m:t>
        </m:r>
      </m:oMath>
      <w:r w:rsidRPr="00163E69">
        <w:rPr>
          <w:rFonts w:ascii="Times New Roman" w:hAnsi="Times New Roman" w:cs="Times New Roman"/>
        </w:rPr>
        <w:t>) and lotteries where the positive outcome occurs with low probability (</w:t>
      </w:r>
      <m:oMath>
        <m:r>
          <w:rPr>
            <w:rFonts w:ascii="Cambria Math" w:hAnsi="Cambria Math" w:cs="Times New Roman"/>
          </w:rPr>
          <m:t>p=0.15</m:t>
        </m:r>
      </m:oMath>
      <w:r w:rsidRPr="00163E69">
        <w:rPr>
          <w:rFonts w:ascii="Times New Roman" w:hAnsi="Times New Roman" w:cs="Times New Roman"/>
        </w:rPr>
        <w:t xml:space="preserve">). </w:t>
      </w:r>
      <w:r w:rsidRPr="00163E69">
        <w:rPr>
          <w:rFonts w:ascii="Times New Roman" w:hAnsi="Times New Roman" w:cs="Times New Roman"/>
        </w:rPr>
        <w:lastRenderedPageBreak/>
        <w:t xml:space="preserve">Prior research shows evidence that individuals exhibit probability weighting for this range of probabilities (e.g. Gonzalez &amp; Wu, 1999). The third treatment variable adjusts the spread of the lottery outcomes, where I wish to consider high-spread outcomes to simulate high-severity events. I simultaneously need to balance participants’ expected earnings and incentives to pay the cost for information, which limits the extent to which I can vary the spread. I choose to vary the spread of lottery outcomes from $4 to $8, which I argue is significant when the highest lottery outcome is only $7 larger than the certain outside option. The last treatment variable allows us to examine the effect of loss aversion. By shifting the high outcome, low outcome, and certain outside option by the same amount, </w:t>
      </w:r>
      <w:r>
        <w:rPr>
          <w:rFonts w:ascii="Times New Roman" w:hAnsi="Times New Roman" w:cs="Times New Roman"/>
        </w:rPr>
        <w:t>I</w:t>
      </w:r>
      <w:r w:rsidRPr="00163E69">
        <w:rPr>
          <w:rFonts w:ascii="Times New Roman" w:hAnsi="Times New Roman" w:cs="Times New Roman"/>
        </w:rPr>
        <w:t xml:space="preserve"> retain the same predictions from real option theory. First, consider all positive values where the certain outside option is $10. The second group of lotteries has a certain outside option of -$10 and the lottery outcomes are both negative. Participants are guaranteed to lose money in this second group of lotteries. These groups give variation between loss and gains space without mathematically changing any other characteristics of the lotteries. Each participant faces the 24 decision tasks presented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_Ref164680688 \h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bCs/>
        </w:rPr>
        <w:t xml:space="preserve">Table </w:t>
      </w:r>
      <w:r w:rsidR="00142A7E">
        <w:rPr>
          <w:rFonts w:ascii="Times New Roman" w:hAnsi="Times New Roman" w:cs="Times New Roman"/>
          <w:bCs/>
          <w:noProof/>
        </w:rPr>
        <w:t>10</w:t>
      </w:r>
      <w:r w:rsidRPr="00163E69">
        <w:rPr>
          <w:rFonts w:ascii="Times New Roman" w:hAnsi="Times New Roman" w:cs="Times New Roman"/>
        </w:rPr>
        <w:fldChar w:fldCharType="end"/>
      </w:r>
      <w:r w:rsidRPr="00163E69">
        <w:rPr>
          <w:rFonts w:ascii="Times New Roman" w:hAnsi="Times New Roman" w:cs="Times New Roman"/>
        </w:rPr>
        <w:t>.</w:t>
      </w:r>
    </w:p>
    <w:p w14:paraId="23123678"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For each parameterization, the cost of obtaining new information will vary. This allows us to estimate willingness to pay for new information to test for differences predicted by the theoretical framework. Column 5 shows the expected value of playing the lottery immediately, and column 6 shows the expected value of the lottery with the information, assuming no cost. Column 7 shows the value of information according to real option theory. From the theoretical framework, this is the critical value where </w:t>
      </w:r>
      <w:r w:rsidRPr="00163E69">
        <w:rPr>
          <w:rFonts w:ascii="Times New Roman" w:hAnsi="Times New Roman" w:cs="Times New Roman"/>
        </w:rPr>
        <w:lastRenderedPageBreak/>
        <w:t xml:space="preserve">individuals should pay the cost when </w:t>
      </w:r>
      <m:oMath>
        <m:r>
          <w:rPr>
            <w:rFonts w:ascii="Cambria Math" w:hAnsi="Cambria Math" w:cs="Times New Roman"/>
          </w:rPr>
          <m:t>C&lt;</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oMath>
      <w:r w:rsidRPr="00163E69">
        <w:rPr>
          <w:rFonts w:ascii="Times New Roman" w:hAnsi="Times New Roman" w:cs="Times New Roman"/>
        </w:rPr>
        <w:t xml:space="preserve">, but should not pay the cost when </w:t>
      </w:r>
      <m:oMath>
        <m:r>
          <w:rPr>
            <w:rFonts w:ascii="Cambria Math" w:hAnsi="Cambria Math" w:cs="Times New Roman"/>
          </w:rPr>
          <m:t>C&gt;</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oMath>
      <w:r w:rsidRPr="00163E69">
        <w:rPr>
          <w:rFonts w:ascii="Times New Roman" w:hAnsi="Times New Roman" w:cs="Times New Roman"/>
        </w:rPr>
        <w:t xml:space="preserve">. Cost values are drawn from a uniform distribution between $0 and $2 in $0.25 increments. The maximum value for some lotteries is adjusted to ensure participants face reasonable costs. For example, consider when the high outcome is $3.50 over the certain outside option, but the low outcome is $0.50 less than the certain outside option. If participants face a cost of $1, they face a strictly worse scenario if they pay the cost of information. If the high outcome occurs, they earn $2.50, but if the low outcome occurs, they should choose the certain option and lose $1. These outcomes occur with the same probability as the initial lottery but are objectively worse. When drawing random cost values, I remove any cost value that would create a strictly worse scenario. Further, I remove any cost values that are exactly equal to the critical value, </w:t>
      </w:r>
      <m:oMath>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oMath>
      <w:r w:rsidRPr="00163E69">
        <w:rPr>
          <w:rFonts w:ascii="Times New Roman" w:hAnsi="Times New Roman" w:cs="Times New Roman"/>
        </w:rPr>
        <w:t>, since participants should be exactly indifferent between paying the cost or not according to real option theory. The distribution of cost values for each parameterization contains values above and below the critical value, so I can adequately test the theoretical predictions.</w:t>
      </w:r>
    </w:p>
    <w:p w14:paraId="0CC058FD" w14:textId="40AEB4AF"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Each participant makes a total of 24 decisions during the experiment using a within-subject design. Rather than rely solely on variation across participants, I utilize variation within participants by having them make decisions for each lottery. Participants make a decision for each lottery from </w:t>
      </w:r>
      <w:r w:rsidRPr="00163E69">
        <w:rPr>
          <w:rFonts w:ascii="Times New Roman" w:hAnsi="Times New Roman" w:cs="Times New Roman"/>
        </w:rPr>
        <w:fldChar w:fldCharType="begin"/>
      </w:r>
      <w:r w:rsidRPr="00163E69">
        <w:rPr>
          <w:rFonts w:ascii="Times New Roman" w:hAnsi="Times New Roman" w:cs="Times New Roman"/>
        </w:rPr>
        <w:instrText xml:space="preserve"> REF _Ref164680688 \h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bCs/>
        </w:rPr>
        <w:t xml:space="preserve">Table </w:t>
      </w:r>
      <w:r w:rsidR="00142A7E">
        <w:rPr>
          <w:rFonts w:ascii="Times New Roman" w:hAnsi="Times New Roman" w:cs="Times New Roman"/>
          <w:bCs/>
          <w:noProof/>
        </w:rPr>
        <w:t>10</w:t>
      </w:r>
      <w:r w:rsidRPr="00163E69">
        <w:rPr>
          <w:rFonts w:ascii="Times New Roman" w:hAnsi="Times New Roman" w:cs="Times New Roman"/>
        </w:rPr>
        <w:fldChar w:fldCharType="end"/>
      </w:r>
      <w:r w:rsidRPr="00163E69">
        <w:rPr>
          <w:rFonts w:ascii="Times New Roman" w:hAnsi="Times New Roman" w:cs="Times New Roman"/>
        </w:rPr>
        <w:t xml:space="preserve">, but they face a random cost within the appropriate distribution for that lottery. This gives between-subject variation in decisions for a specific lottery since individuals face different costs. Although participants make decisions for each parameterization, I group the lotteries to reduce the cognitive burden. I group all parameterizations based on gains or loss space. I randomly assign each </w:t>
      </w:r>
      <w:r w:rsidRPr="00163E69">
        <w:rPr>
          <w:rFonts w:ascii="Times New Roman" w:hAnsi="Times New Roman" w:cs="Times New Roman"/>
        </w:rPr>
        <w:lastRenderedPageBreak/>
        <w:t xml:space="preserve">participant to view only gains or loss space parameterizations in the first half of the experiment before switching for the second half. Within the gains or loss space grouping, I further group lotteries by the probability of the high outcome occurring. The order in that participants see probabilities within the gains or loss space grouping and the order of lotteries within a probability group are both randomized. This means that individuals make decisions for 4 lotteries in a group where the probability of lottery outcomes and certain outside option do not change. For example, a participant might be randomly assigned to see loss space lotteries first. After this assignment, they might be randomly assigned to see lotteries where the probability of the high outcome is 0.85. They then make decisions for the 4 lotteries within the group of lotteries with a high outcome probability of 0.85 and loss space. I construct the experiment in this way so that participants do not need to quickly jump between positive and negative values as well as different probabilities. </w:t>
      </w:r>
    </w:p>
    <w:p w14:paraId="4A2288A6" w14:textId="77777777" w:rsidR="00C565FD" w:rsidRPr="00163E69" w:rsidRDefault="00C565FD" w:rsidP="00C565FD">
      <w:pPr>
        <w:keepNext/>
        <w:spacing w:before="240" w:after="60" w:line="480" w:lineRule="auto"/>
        <w:outlineLvl w:val="2"/>
        <w:rPr>
          <w:rFonts w:ascii="Times New Roman" w:hAnsi="Times New Roman" w:cs="Times New Roman"/>
          <w:b/>
          <w:bCs/>
          <w:i/>
        </w:rPr>
      </w:pPr>
      <w:bookmarkStart w:id="68" w:name="_Toc160720146"/>
      <w:bookmarkStart w:id="69" w:name="_Toc164862513"/>
      <w:r w:rsidRPr="00163E69">
        <w:rPr>
          <w:rFonts w:ascii="Times New Roman" w:hAnsi="Times New Roman" w:cs="Times New Roman"/>
          <w:b/>
          <w:bCs/>
          <w:i/>
        </w:rPr>
        <w:t>2.3.1 HYPOTHESIS TESTS AND POWER ANALYSIS</w:t>
      </w:r>
      <w:bookmarkEnd w:id="68"/>
      <w:bookmarkEnd w:id="69"/>
    </w:p>
    <w:p w14:paraId="29E11EA0"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I examine five testable hypotheses that come from the theoretical framework. I test most of these hypotheses by estimating the willingness to pay for information for the various lottery parameterizations. In a few instances, I complement the willingness to pay results with a multinomial logistic regression to examine how participants alter their choices between taking the outside option, playing the lottery immediately, and paying for information. I state the hypotheses as null hypotheses consistent with real option theory. Any deviations from the null represent an opportunity to examine potential behavioral deviations, as described in the theoretical framework.</w:t>
      </w:r>
      <w:bookmarkStart w:id="70" w:name="_Hlk143004919"/>
      <w:r w:rsidRPr="00163E69">
        <w:rPr>
          <w:rFonts w:ascii="Times New Roman" w:hAnsi="Times New Roman" w:cs="Times New Roman"/>
        </w:rPr>
        <w:t xml:space="preserve"> </w:t>
      </w:r>
    </w:p>
    <w:p w14:paraId="3C609D31" w14:textId="77777777" w:rsidR="00C565FD" w:rsidRPr="00163E69" w:rsidRDefault="00C565FD" w:rsidP="00C565FD">
      <w:pPr>
        <w:spacing w:line="480" w:lineRule="auto"/>
        <w:rPr>
          <w:rFonts w:ascii="Times New Roman" w:hAnsi="Times New Roman" w:cs="Times New Roman"/>
          <w:i/>
          <w:iCs/>
        </w:rPr>
      </w:pPr>
      <w:bookmarkStart w:id="71" w:name="_Hlk164330350"/>
      <w:r w:rsidRPr="00163E69">
        <w:rPr>
          <w:rFonts w:ascii="Times New Roman" w:hAnsi="Times New Roman" w:cs="Times New Roman"/>
          <w:b/>
          <w:bCs/>
          <w:i/>
          <w:iCs/>
        </w:rPr>
        <w:lastRenderedPageBreak/>
        <w:t xml:space="preserve">Hypothesis 1: </w:t>
      </w:r>
      <w:r w:rsidRPr="00163E69">
        <w:rPr>
          <w:rFonts w:ascii="Times New Roman" w:hAnsi="Times New Roman" w:cs="Times New Roman"/>
          <w:i/>
          <w:iCs/>
        </w:rPr>
        <w:t xml:space="preserve">Participants’ </w:t>
      </w:r>
      <m:oMath>
        <m:r>
          <w:rPr>
            <w:rFonts w:ascii="Cambria Math" w:hAnsi="Cambria Math" w:cs="Times New Roman"/>
          </w:rPr>
          <m:t>WTP</m:t>
        </m:r>
      </m:oMath>
      <w:r w:rsidRPr="00163E69">
        <w:rPr>
          <w:rFonts w:ascii="Times New Roman" w:hAnsi="Times New Roman" w:cs="Times New Roman"/>
          <w:i/>
          <w:iCs/>
        </w:rPr>
        <w:t xml:space="preserve"> for information in gains space is equal to their </w:t>
      </w:r>
      <m:oMath>
        <m:r>
          <w:rPr>
            <w:rFonts w:ascii="Cambria Math" w:hAnsi="Cambria Math" w:cs="Times New Roman"/>
          </w:rPr>
          <m:t>WTP</m:t>
        </m:r>
      </m:oMath>
      <w:r w:rsidRPr="00163E69">
        <w:rPr>
          <w:rFonts w:ascii="Times New Roman" w:hAnsi="Times New Roman" w:cs="Times New Roman"/>
          <w:i/>
          <w:iCs/>
        </w:rPr>
        <w:t xml:space="preserve"> in loss space.</w:t>
      </w:r>
    </w:p>
    <w:p w14:paraId="617B3C10" w14:textId="77777777" w:rsidR="00C565FD" w:rsidRPr="00163E69" w:rsidRDefault="00C565FD" w:rsidP="00C565FD">
      <w:pPr>
        <w:spacing w:line="480" w:lineRule="auto"/>
        <w:rPr>
          <w:rFonts w:ascii="Times New Roman" w:hAnsi="Times New Roman" w:cs="Times New Roman"/>
          <w:i/>
          <w:iCs/>
        </w:rPr>
      </w:pPr>
      <w:r w:rsidRPr="00163E69">
        <w:rPr>
          <w:rFonts w:ascii="Times New Roman" w:hAnsi="Times New Roman" w:cs="Times New Roman"/>
          <w:b/>
          <w:bCs/>
          <w:i/>
          <w:iCs/>
        </w:rPr>
        <w:t xml:space="preserve">Hypothesis 2: </w:t>
      </w:r>
      <w:r w:rsidRPr="00163E69">
        <w:rPr>
          <w:rFonts w:ascii="Times New Roman" w:hAnsi="Times New Roman" w:cs="Times New Roman"/>
          <w:i/>
          <w:iCs/>
        </w:rPr>
        <w:t xml:space="preserve">Increasing the spread of the lottery increases </w:t>
      </w:r>
      <m:oMath>
        <m:r>
          <w:rPr>
            <w:rFonts w:ascii="Cambria Math" w:hAnsi="Cambria Math" w:cs="Times New Roman"/>
          </w:rPr>
          <m:t>WTP</m:t>
        </m:r>
      </m:oMath>
      <w:r w:rsidRPr="00163E69">
        <w:rPr>
          <w:rFonts w:ascii="Times New Roman" w:hAnsi="Times New Roman" w:cs="Times New Roman"/>
          <w:i/>
          <w:iCs/>
        </w:rPr>
        <w:t xml:space="preserve"> for information.</w:t>
      </w:r>
    </w:p>
    <w:p w14:paraId="4FBC14CB" w14:textId="77777777" w:rsidR="00C565FD" w:rsidRPr="00163E69" w:rsidRDefault="00C565FD" w:rsidP="00C565FD">
      <w:pPr>
        <w:spacing w:line="480" w:lineRule="auto"/>
        <w:rPr>
          <w:rFonts w:ascii="Times New Roman" w:hAnsi="Times New Roman" w:cs="Times New Roman"/>
          <w:i/>
          <w:iCs/>
        </w:rPr>
      </w:pPr>
      <w:r w:rsidRPr="00163E69">
        <w:rPr>
          <w:rFonts w:ascii="Times New Roman" w:hAnsi="Times New Roman" w:cs="Times New Roman"/>
          <w:b/>
          <w:bCs/>
          <w:i/>
          <w:iCs/>
        </w:rPr>
        <w:t>Hypothesis 3:</w:t>
      </w:r>
      <w:r w:rsidRPr="00163E69">
        <w:rPr>
          <w:rFonts w:ascii="Times New Roman" w:hAnsi="Times New Roman" w:cs="Times New Roman"/>
        </w:rPr>
        <w:t xml:space="preserve"> </w:t>
      </w:r>
      <w:r w:rsidRPr="00163E69">
        <w:rPr>
          <w:rFonts w:ascii="Times New Roman" w:hAnsi="Times New Roman" w:cs="Times New Roman"/>
          <w:i/>
          <w:iCs/>
        </w:rPr>
        <w:t xml:space="preserve"> Changing the expected value of the lottery relative to the outside option will not change WTP for information.</w:t>
      </w:r>
    </w:p>
    <w:p w14:paraId="7D76878F" w14:textId="77777777" w:rsidR="00C565FD" w:rsidRPr="00163E69" w:rsidRDefault="00C565FD" w:rsidP="00C565FD">
      <w:pPr>
        <w:spacing w:line="480" w:lineRule="auto"/>
        <w:rPr>
          <w:rFonts w:ascii="Times New Roman" w:hAnsi="Times New Roman" w:cs="Times New Roman"/>
          <w:i/>
          <w:iCs/>
        </w:rPr>
      </w:pPr>
      <w:r w:rsidRPr="00163E69">
        <w:rPr>
          <w:rFonts w:ascii="Times New Roman" w:hAnsi="Times New Roman" w:cs="Times New Roman"/>
          <w:b/>
          <w:bCs/>
          <w:i/>
          <w:iCs/>
        </w:rPr>
        <w:t>Hypothesis 4:</w:t>
      </w:r>
      <w:r w:rsidRPr="00163E69">
        <w:rPr>
          <w:rFonts w:ascii="Times New Roman" w:hAnsi="Times New Roman" w:cs="Times New Roman"/>
        </w:rPr>
        <w:t xml:space="preserve"> </w:t>
      </w:r>
      <w:r w:rsidRPr="00163E69">
        <w:rPr>
          <w:rFonts w:ascii="Times New Roman" w:hAnsi="Times New Roman" w:cs="Times New Roman"/>
          <w:i/>
          <w:iCs/>
        </w:rPr>
        <w:t xml:space="preserve"> Increasing the probability of the high outcome from p=0.5 to p=0.85 will decrease WTP. </w:t>
      </w:r>
    </w:p>
    <w:p w14:paraId="473B74A8" w14:textId="77777777" w:rsidR="00C565FD" w:rsidRPr="00163E69" w:rsidRDefault="00C565FD" w:rsidP="00C565FD">
      <w:pPr>
        <w:spacing w:line="480" w:lineRule="auto"/>
        <w:rPr>
          <w:rFonts w:ascii="Times New Roman" w:hAnsi="Times New Roman" w:cs="Times New Roman"/>
          <w:i/>
          <w:iCs/>
        </w:rPr>
      </w:pPr>
      <w:r w:rsidRPr="00163E69">
        <w:rPr>
          <w:rFonts w:ascii="Times New Roman" w:hAnsi="Times New Roman" w:cs="Times New Roman"/>
          <w:b/>
          <w:bCs/>
          <w:i/>
          <w:iCs/>
        </w:rPr>
        <w:t>Hypothesis 5:</w:t>
      </w:r>
      <w:r w:rsidRPr="00163E69">
        <w:rPr>
          <w:rFonts w:ascii="Times New Roman" w:hAnsi="Times New Roman" w:cs="Times New Roman"/>
        </w:rPr>
        <w:t xml:space="preserve"> </w:t>
      </w:r>
      <w:r w:rsidRPr="00163E69">
        <w:rPr>
          <w:rFonts w:ascii="Times New Roman" w:hAnsi="Times New Roman" w:cs="Times New Roman"/>
          <w:i/>
          <w:iCs/>
        </w:rPr>
        <w:t xml:space="preserve"> Increasing the probability of the high outcome from p=0.15 to p=0.5 will increase WTP.</w:t>
      </w:r>
    </w:p>
    <w:bookmarkEnd w:id="71"/>
    <w:p w14:paraId="4EF726AC"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The first hypothesis states that there is no difference in </w:t>
      </w:r>
      <m:oMath>
        <m:r>
          <w:rPr>
            <w:rFonts w:ascii="Cambria Math" w:hAnsi="Cambria Math" w:cs="Times New Roman"/>
          </w:rPr>
          <m:t>WTP</m:t>
        </m:r>
      </m:oMath>
      <w:r w:rsidRPr="00163E69">
        <w:rPr>
          <w:rFonts w:ascii="Times New Roman" w:hAnsi="Times New Roman" w:cs="Times New Roman"/>
        </w:rPr>
        <w:t xml:space="preserve"> in gains space and </w:t>
      </w:r>
      <m:oMath>
        <m:r>
          <w:rPr>
            <w:rFonts w:ascii="Cambria Math" w:hAnsi="Cambria Math" w:cs="Times New Roman"/>
          </w:rPr>
          <m:t>WTP</m:t>
        </m:r>
      </m:oMath>
      <w:r w:rsidRPr="00163E69">
        <w:rPr>
          <w:rFonts w:ascii="Times New Roman" w:hAnsi="Times New Roman" w:cs="Times New Roman"/>
        </w:rPr>
        <w:t xml:space="preserve"> in loss space. Under real option theory there is an equivalent lottery in both gains and loss space. In other words, real option theory would predict the same </w:t>
      </w:r>
      <m:oMath>
        <m:r>
          <w:rPr>
            <w:rFonts w:ascii="Cambria Math" w:hAnsi="Cambria Math" w:cs="Times New Roman"/>
          </w:rPr>
          <m:t>WTP</m:t>
        </m:r>
      </m:oMath>
      <w:r w:rsidRPr="00163E69">
        <w:rPr>
          <w:rFonts w:ascii="Times New Roman" w:hAnsi="Times New Roman" w:cs="Times New Roman"/>
        </w:rPr>
        <w:t xml:space="preserve"> for 12 pairs of lotteries. I use a</w:t>
      </w:r>
      <w:r>
        <w:rPr>
          <w:rFonts w:ascii="Times New Roman" w:hAnsi="Times New Roman" w:cs="Times New Roman"/>
        </w:rPr>
        <w:t xml:space="preserve"> two-sided</w:t>
      </w:r>
      <w:r w:rsidRPr="00163E69">
        <w:rPr>
          <w:rFonts w:ascii="Times New Roman" w:hAnsi="Times New Roman" w:cs="Times New Roman"/>
        </w:rPr>
        <w:t xml:space="preserve"> t-test </w:t>
      </w:r>
      <w:r>
        <w:rPr>
          <w:rFonts w:ascii="Times New Roman" w:hAnsi="Times New Roman" w:cs="Times New Roman"/>
        </w:rPr>
        <w:t xml:space="preserve">based on regression coefficients </w:t>
      </w:r>
      <w:r w:rsidRPr="00163E69">
        <w:rPr>
          <w:rFonts w:ascii="Times New Roman" w:hAnsi="Times New Roman" w:cs="Times New Roman"/>
        </w:rPr>
        <w:t xml:space="preserve">to compare the estimated </w:t>
      </w:r>
      <m:oMath>
        <m:r>
          <w:rPr>
            <w:rFonts w:ascii="Cambria Math" w:hAnsi="Cambria Math" w:cs="Times New Roman"/>
          </w:rPr>
          <m:t>WTP</m:t>
        </m:r>
      </m:oMath>
      <w:r w:rsidRPr="00163E69">
        <w:rPr>
          <w:rFonts w:ascii="Times New Roman" w:hAnsi="Times New Roman" w:cs="Times New Roman"/>
        </w:rPr>
        <w:t xml:space="preserve"> for lotteries in gains and loss space. Recall the theoretical framework predicted ambiguous differences between gains and losses, so I simply test if there is a difference in </w:t>
      </w:r>
      <m:oMath>
        <m:r>
          <w:rPr>
            <w:rFonts w:ascii="Cambria Math" w:hAnsi="Cambria Math" w:cs="Times New Roman"/>
          </w:rPr>
          <m:t>WTP</m:t>
        </m:r>
      </m:oMath>
      <w:r w:rsidRPr="00163E69">
        <w:rPr>
          <w:rFonts w:ascii="Times New Roman" w:hAnsi="Times New Roman" w:cs="Times New Roman"/>
        </w:rPr>
        <w:t>.</w:t>
      </w:r>
    </w:p>
    <w:p w14:paraId="7A9385EC"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The second hypothesis states that increasing the spread of outcomes should increase participants’ </w:t>
      </w:r>
      <m:oMath>
        <m:r>
          <w:rPr>
            <w:rFonts w:ascii="Cambria Math" w:hAnsi="Cambria Math" w:cs="Times New Roman"/>
          </w:rPr>
          <m:t>WTP</m:t>
        </m:r>
      </m:oMath>
      <w:r w:rsidRPr="00163E69">
        <w:rPr>
          <w:rFonts w:ascii="Times New Roman" w:hAnsi="Times New Roman" w:cs="Times New Roman"/>
        </w:rPr>
        <w:t xml:space="preserve"> for information. The theoretical framework shows that increasing the spread of outcomes will increase </w:t>
      </w:r>
      <m:oMath>
        <m:r>
          <w:rPr>
            <w:rFonts w:ascii="Cambria Math" w:hAnsi="Cambria Math" w:cs="Times New Roman"/>
          </w:rPr>
          <m:t>WTP</m:t>
        </m:r>
      </m:oMath>
      <w:r w:rsidRPr="00163E69">
        <w:rPr>
          <w:rFonts w:ascii="Times New Roman" w:hAnsi="Times New Roman" w:cs="Times New Roman"/>
        </w:rPr>
        <w:t xml:space="preserve"> according to real option theory, assuming the distance from the outside option increases for both the high and low outcomes. Note for the experimental lottery parameters this assumption holds. To test this hypothesis, I use a </w:t>
      </w:r>
      <w:r>
        <w:rPr>
          <w:rFonts w:ascii="Times New Roman" w:hAnsi="Times New Roman" w:cs="Times New Roman"/>
        </w:rPr>
        <w:t>two</w:t>
      </w:r>
      <w:r w:rsidRPr="00163E69">
        <w:rPr>
          <w:rFonts w:ascii="Times New Roman" w:hAnsi="Times New Roman" w:cs="Times New Roman"/>
        </w:rPr>
        <w:t xml:space="preserve">-sided t-test </w:t>
      </w:r>
      <w:r>
        <w:rPr>
          <w:rFonts w:ascii="Times New Roman" w:hAnsi="Times New Roman" w:cs="Times New Roman"/>
        </w:rPr>
        <w:t xml:space="preserve">based on regression coefficients </w:t>
      </w:r>
      <w:r w:rsidRPr="00163E69">
        <w:rPr>
          <w:rFonts w:ascii="Times New Roman" w:hAnsi="Times New Roman" w:cs="Times New Roman"/>
        </w:rPr>
        <w:t xml:space="preserve">to test whether the </w:t>
      </w:r>
      <w:r w:rsidRPr="00163E69">
        <w:rPr>
          <w:rFonts w:ascii="Times New Roman" w:hAnsi="Times New Roman" w:cs="Times New Roman"/>
        </w:rPr>
        <w:lastRenderedPageBreak/>
        <w:t xml:space="preserve">estimated </w:t>
      </w:r>
      <m:oMath>
        <m:r>
          <w:rPr>
            <w:rFonts w:ascii="Cambria Math" w:hAnsi="Cambria Math" w:cs="Times New Roman"/>
          </w:rPr>
          <m:t>WTP</m:t>
        </m:r>
      </m:oMath>
      <w:r w:rsidRPr="00163E69">
        <w:rPr>
          <w:rFonts w:ascii="Times New Roman" w:hAnsi="Times New Roman" w:cs="Times New Roman"/>
        </w:rPr>
        <w:t xml:space="preserve"> for lotteries with low spread </w:t>
      </w:r>
      <w:r>
        <w:rPr>
          <w:rFonts w:ascii="Times New Roman" w:hAnsi="Times New Roman" w:cs="Times New Roman"/>
        </w:rPr>
        <w:t>not equal to</w:t>
      </w:r>
      <w:r w:rsidRPr="00163E69">
        <w:rPr>
          <w:rFonts w:ascii="Times New Roman" w:hAnsi="Times New Roman" w:cs="Times New Roman"/>
        </w:rPr>
        <w:t xml:space="preserve"> the estimated </w:t>
      </w:r>
      <m:oMath>
        <m:r>
          <w:rPr>
            <w:rFonts w:ascii="Cambria Math" w:hAnsi="Cambria Math" w:cs="Times New Roman"/>
          </w:rPr>
          <m:t>WTP</m:t>
        </m:r>
      </m:oMath>
      <w:r w:rsidRPr="00163E69">
        <w:rPr>
          <w:rFonts w:ascii="Times New Roman" w:hAnsi="Times New Roman" w:cs="Times New Roman"/>
        </w:rPr>
        <w:t xml:space="preserve"> for lotteries with high spread. </w:t>
      </w:r>
    </w:p>
    <w:p w14:paraId="0885AF17"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The third hypothesis states that changing the expected value of the lottery from less than the outside option to greater than the outside option will not change the estimated </w:t>
      </w:r>
      <m:oMath>
        <m:r>
          <w:rPr>
            <w:rFonts w:ascii="Cambria Math" w:hAnsi="Cambria Math" w:cs="Times New Roman"/>
          </w:rPr>
          <m:t>WTP</m:t>
        </m:r>
      </m:oMath>
      <w:r w:rsidRPr="00163E69">
        <w:rPr>
          <w:rFonts w:ascii="Times New Roman" w:hAnsi="Times New Roman" w:cs="Times New Roman"/>
        </w:rPr>
        <w:t xml:space="preserve">. Real option theory does not predict that this will be true for all lotteries. Rather the lotteries were chosen such that </w:t>
      </w:r>
      <w:r>
        <w:rPr>
          <w:rFonts w:ascii="Times New Roman" w:hAnsi="Times New Roman" w:cs="Times New Roman"/>
        </w:rPr>
        <w:t>I</w:t>
      </w:r>
      <w:r w:rsidRPr="00163E69">
        <w:rPr>
          <w:rFonts w:ascii="Times New Roman" w:hAnsi="Times New Roman" w:cs="Times New Roman"/>
        </w:rPr>
        <w:t xml:space="preserve"> would expect this to be true. List and Haigh (2010) use the expected value of the lottery to test real option theory. They argue that a naïve participant will play the lottery immediately if the expected value is greater than the outside option, but the naïve participant will pay for information when the expected value is less than the outside option. If participants follow real option theory, then the expected value of the lottery should not impact their decision as I have constructed the lotteries. I use a </w:t>
      </w:r>
      <w:r>
        <w:rPr>
          <w:rFonts w:ascii="Times New Roman" w:hAnsi="Times New Roman" w:cs="Times New Roman"/>
        </w:rPr>
        <w:t xml:space="preserve">two-sided </w:t>
      </w:r>
      <w:r w:rsidRPr="00163E69">
        <w:rPr>
          <w:rFonts w:ascii="Times New Roman" w:hAnsi="Times New Roman" w:cs="Times New Roman"/>
        </w:rPr>
        <w:t>t-test</w:t>
      </w:r>
      <w:r w:rsidRPr="00807F19">
        <w:rPr>
          <w:rFonts w:ascii="Times New Roman" w:hAnsi="Times New Roman" w:cs="Times New Roman"/>
        </w:rPr>
        <w:t xml:space="preserve"> </w:t>
      </w:r>
      <w:r>
        <w:rPr>
          <w:rFonts w:ascii="Times New Roman" w:hAnsi="Times New Roman" w:cs="Times New Roman"/>
        </w:rPr>
        <w:t>based on regression coefficients</w:t>
      </w:r>
      <w:r w:rsidRPr="00163E69">
        <w:rPr>
          <w:rFonts w:ascii="Times New Roman" w:hAnsi="Times New Roman" w:cs="Times New Roman"/>
        </w:rPr>
        <w:t xml:space="preserve"> to compare whether the estimated </w:t>
      </w:r>
      <m:oMath>
        <m:r>
          <w:rPr>
            <w:rFonts w:ascii="Cambria Math" w:hAnsi="Cambria Math" w:cs="Times New Roman"/>
          </w:rPr>
          <m:t>WTP</m:t>
        </m:r>
      </m:oMath>
      <w:r w:rsidRPr="00163E69">
        <w:rPr>
          <w:rFonts w:ascii="Times New Roman" w:hAnsi="Times New Roman" w:cs="Times New Roman"/>
        </w:rPr>
        <w:t xml:space="preserve"> for lotteries is equal when the expected value is greater than or less than the outside option. </w:t>
      </w:r>
    </w:p>
    <w:p w14:paraId="0B9ABEAE"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The fourth hypothesis states that increasing the probability of the high outcome from </w:t>
      </w:r>
      <m:oMath>
        <m:r>
          <w:rPr>
            <w:rFonts w:ascii="Cambria Math" w:hAnsi="Cambria Math" w:cs="Times New Roman"/>
          </w:rPr>
          <m:t>p=0.5</m:t>
        </m:r>
      </m:oMath>
      <w:r w:rsidRPr="00163E69">
        <w:rPr>
          <w:rFonts w:ascii="Times New Roman" w:hAnsi="Times New Roman" w:cs="Times New Roman"/>
        </w:rPr>
        <w:t xml:space="preserve"> to </w:t>
      </w:r>
      <m:oMath>
        <m:r>
          <w:rPr>
            <w:rFonts w:ascii="Cambria Math" w:hAnsi="Cambria Math" w:cs="Times New Roman"/>
          </w:rPr>
          <m:t>p=0.85</m:t>
        </m:r>
      </m:oMath>
      <w:r w:rsidRPr="00163E69">
        <w:rPr>
          <w:rFonts w:ascii="Times New Roman" w:hAnsi="Times New Roman" w:cs="Times New Roman"/>
        </w:rPr>
        <w:t xml:space="preserve"> should decrease </w:t>
      </w:r>
      <m:oMath>
        <m:r>
          <w:rPr>
            <w:rFonts w:ascii="Cambria Math" w:hAnsi="Cambria Math" w:cs="Times New Roman"/>
          </w:rPr>
          <m:t>WTP</m:t>
        </m:r>
      </m:oMath>
      <w:r w:rsidRPr="00163E69">
        <w:rPr>
          <w:rFonts w:ascii="Times New Roman" w:hAnsi="Times New Roman" w:cs="Times New Roman"/>
        </w:rPr>
        <w:t xml:space="preserve">. This prediction from real option theory does not hold in general, but rather it holds for the specific lottery parameters chosen. As such tests of this hypothesis examine if participants behave consistent with real option theory as the probability changes from equal probabilities to a high-probability of the high outcome. I use a </w:t>
      </w:r>
      <w:r>
        <w:rPr>
          <w:rFonts w:ascii="Times New Roman" w:hAnsi="Times New Roman" w:cs="Times New Roman"/>
        </w:rPr>
        <w:t>two</w:t>
      </w:r>
      <w:r w:rsidRPr="00163E69">
        <w:rPr>
          <w:rFonts w:ascii="Times New Roman" w:hAnsi="Times New Roman" w:cs="Times New Roman"/>
        </w:rPr>
        <w:t>-sided t-test</w:t>
      </w:r>
      <w:r w:rsidRPr="00807F19">
        <w:rPr>
          <w:rFonts w:ascii="Times New Roman" w:hAnsi="Times New Roman" w:cs="Times New Roman"/>
        </w:rPr>
        <w:t xml:space="preserve"> </w:t>
      </w:r>
      <w:r>
        <w:rPr>
          <w:rFonts w:ascii="Times New Roman" w:hAnsi="Times New Roman" w:cs="Times New Roman"/>
        </w:rPr>
        <w:t>based on regression coefficients</w:t>
      </w:r>
      <w:r w:rsidRPr="00163E69">
        <w:rPr>
          <w:rFonts w:ascii="Times New Roman" w:hAnsi="Times New Roman" w:cs="Times New Roman"/>
        </w:rPr>
        <w:t xml:space="preserve"> to test whether the estimated </w:t>
      </w:r>
      <m:oMath>
        <m:r>
          <w:rPr>
            <w:rFonts w:ascii="Cambria Math" w:hAnsi="Cambria Math" w:cs="Times New Roman"/>
          </w:rPr>
          <m:t>WTP</m:t>
        </m:r>
      </m:oMath>
      <w:r w:rsidRPr="00163E69">
        <w:rPr>
          <w:rFonts w:ascii="Times New Roman" w:hAnsi="Times New Roman" w:cs="Times New Roman"/>
        </w:rPr>
        <w:t xml:space="preserve"> </w:t>
      </w:r>
      <w:r>
        <w:rPr>
          <w:rFonts w:ascii="Times New Roman" w:hAnsi="Times New Roman" w:cs="Times New Roman"/>
        </w:rPr>
        <w:t>is not equal</w:t>
      </w:r>
      <w:r w:rsidRPr="00163E69">
        <w:rPr>
          <w:rFonts w:ascii="Times New Roman" w:hAnsi="Times New Roman" w:cs="Times New Roman"/>
        </w:rPr>
        <w:t xml:space="preserve"> lotteries where </w:t>
      </w:r>
      <m:oMath>
        <m:r>
          <w:rPr>
            <w:rFonts w:ascii="Cambria Math" w:hAnsi="Cambria Math" w:cs="Times New Roman"/>
          </w:rPr>
          <m:t>p=0.5</m:t>
        </m:r>
      </m:oMath>
      <w:r w:rsidRPr="00163E69">
        <w:rPr>
          <w:rFonts w:ascii="Times New Roman" w:hAnsi="Times New Roman" w:cs="Times New Roman"/>
        </w:rPr>
        <w:t xml:space="preserve"> than </w:t>
      </w:r>
      <m:oMath>
        <m:r>
          <w:rPr>
            <w:rFonts w:ascii="Cambria Math" w:hAnsi="Cambria Math" w:cs="Times New Roman"/>
          </w:rPr>
          <m:t>p=0.85</m:t>
        </m:r>
      </m:oMath>
      <w:r w:rsidRPr="00163E69">
        <w:rPr>
          <w:rFonts w:ascii="Times New Roman" w:hAnsi="Times New Roman" w:cs="Times New Roman"/>
        </w:rPr>
        <w:t>.</w:t>
      </w:r>
    </w:p>
    <w:p w14:paraId="4A91CAF7"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lastRenderedPageBreak/>
        <w:t xml:space="preserve">The fifth hypothesis states that increasing the probability of the high outcome from </w:t>
      </w:r>
      <m:oMath>
        <m:r>
          <w:rPr>
            <w:rFonts w:ascii="Cambria Math" w:hAnsi="Cambria Math" w:cs="Times New Roman"/>
          </w:rPr>
          <m:t>p=0.5</m:t>
        </m:r>
      </m:oMath>
      <w:r w:rsidRPr="00163E69">
        <w:rPr>
          <w:rFonts w:ascii="Times New Roman" w:hAnsi="Times New Roman" w:cs="Times New Roman"/>
        </w:rPr>
        <w:t xml:space="preserve"> to </w:t>
      </w:r>
      <m:oMath>
        <m:r>
          <w:rPr>
            <w:rFonts w:ascii="Cambria Math" w:hAnsi="Cambria Math" w:cs="Times New Roman"/>
          </w:rPr>
          <m:t>p=0.85</m:t>
        </m:r>
      </m:oMath>
      <w:r w:rsidRPr="00163E69">
        <w:rPr>
          <w:rFonts w:ascii="Times New Roman" w:hAnsi="Times New Roman" w:cs="Times New Roman"/>
        </w:rPr>
        <w:t xml:space="preserve"> should increase </w:t>
      </w:r>
      <m:oMath>
        <m:r>
          <w:rPr>
            <w:rFonts w:ascii="Cambria Math" w:hAnsi="Cambria Math" w:cs="Times New Roman"/>
          </w:rPr>
          <m:t>WTP</m:t>
        </m:r>
      </m:oMath>
      <w:r w:rsidRPr="00163E69">
        <w:rPr>
          <w:rFonts w:ascii="Times New Roman" w:hAnsi="Times New Roman" w:cs="Times New Roman"/>
        </w:rPr>
        <w:t xml:space="preserve">. This hypothesis closely mirrors the previous hypothesis but with a different directional effect. This prediction from real option theory does not hold in general, but rather it holds for the specific lottery parameters chosen. As such tests of this hypothesis examine if participants behave consistent with real option theory as the probability changes from equal probabilities to a low-probability of the high outcome. I use a </w:t>
      </w:r>
      <w:r>
        <w:rPr>
          <w:rFonts w:ascii="Times New Roman" w:hAnsi="Times New Roman" w:cs="Times New Roman"/>
        </w:rPr>
        <w:t>two</w:t>
      </w:r>
      <w:r w:rsidRPr="00163E69">
        <w:rPr>
          <w:rFonts w:ascii="Times New Roman" w:hAnsi="Times New Roman" w:cs="Times New Roman"/>
        </w:rPr>
        <w:t>-sided t-test</w:t>
      </w:r>
      <w:r w:rsidRPr="00807F19">
        <w:rPr>
          <w:rFonts w:ascii="Times New Roman" w:hAnsi="Times New Roman" w:cs="Times New Roman"/>
        </w:rPr>
        <w:t xml:space="preserve"> </w:t>
      </w:r>
      <w:r>
        <w:rPr>
          <w:rFonts w:ascii="Times New Roman" w:hAnsi="Times New Roman" w:cs="Times New Roman"/>
        </w:rPr>
        <w:t>based on regression coefficients</w:t>
      </w:r>
      <w:r w:rsidRPr="00163E69">
        <w:rPr>
          <w:rFonts w:ascii="Times New Roman" w:hAnsi="Times New Roman" w:cs="Times New Roman"/>
        </w:rPr>
        <w:t xml:space="preserve"> to test whether the estimated </w:t>
      </w:r>
      <m:oMath>
        <m:r>
          <w:rPr>
            <w:rFonts w:ascii="Cambria Math" w:hAnsi="Cambria Math" w:cs="Times New Roman"/>
          </w:rPr>
          <m:t>WTP</m:t>
        </m:r>
      </m:oMath>
      <w:r w:rsidRPr="00163E69">
        <w:rPr>
          <w:rFonts w:ascii="Times New Roman" w:hAnsi="Times New Roman" w:cs="Times New Roman"/>
        </w:rPr>
        <w:t xml:space="preserve"> is </w:t>
      </w:r>
      <w:r>
        <w:rPr>
          <w:rFonts w:ascii="Times New Roman" w:hAnsi="Times New Roman" w:cs="Times New Roman"/>
        </w:rPr>
        <w:t>not equal</w:t>
      </w:r>
      <w:r w:rsidRPr="00163E69">
        <w:rPr>
          <w:rFonts w:ascii="Times New Roman" w:hAnsi="Times New Roman" w:cs="Times New Roman"/>
        </w:rPr>
        <w:t xml:space="preserve"> for lotteries where </w:t>
      </w:r>
      <m:oMath>
        <m:r>
          <w:rPr>
            <w:rFonts w:ascii="Cambria Math" w:hAnsi="Cambria Math" w:cs="Times New Roman"/>
          </w:rPr>
          <m:t>p=0.5</m:t>
        </m:r>
      </m:oMath>
      <w:r w:rsidRPr="00163E69">
        <w:rPr>
          <w:rFonts w:ascii="Times New Roman" w:hAnsi="Times New Roman" w:cs="Times New Roman"/>
        </w:rPr>
        <w:t xml:space="preserve"> than </w:t>
      </w:r>
      <m:oMath>
        <m:r>
          <w:rPr>
            <w:rFonts w:ascii="Cambria Math" w:hAnsi="Cambria Math" w:cs="Times New Roman"/>
          </w:rPr>
          <m:t>p=0.15</m:t>
        </m:r>
      </m:oMath>
      <w:r w:rsidRPr="00163E69">
        <w:rPr>
          <w:rFonts w:ascii="Times New Roman" w:hAnsi="Times New Roman" w:cs="Times New Roman"/>
        </w:rPr>
        <w:t>.</w:t>
      </w:r>
    </w:p>
    <w:bookmarkEnd w:id="70"/>
    <w:p w14:paraId="56243095"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Now I undertake a power analysis to determine the sample size using a significance level of 0.05 and a statistical power level of 0.8. Since I state the hypotheses with no predicted differences, I perform the power analyses to be able to detect a deviation of $0.15 from the predictions. I use data from the pilot of 19 participants to estimate the relevant standard deviations and within-subject correlation. The hypothesis tests rely on comparing estimates of willingness to pay for subsets of lotteries. The least powered test corresponds to testing hypothesis 5 which compares the willingness to pay for information in equal probability lotteries to low probability of high outcome </w:t>
      </w:r>
      <m:oMath>
        <m:d>
          <m:dPr>
            <m:ctrlPr>
              <w:rPr>
                <w:rFonts w:ascii="Cambria Math" w:hAnsi="Cambria Math" w:cs="Times New Roman"/>
                <w:i/>
              </w:rPr>
            </m:ctrlPr>
          </m:dPr>
          <m:e>
            <m:r>
              <w:rPr>
                <w:rFonts w:ascii="Cambria Math" w:hAnsi="Cambria Math" w:cs="Times New Roman"/>
              </w:rPr>
              <m:t>p=0.15</m:t>
            </m:r>
          </m:e>
        </m:d>
      </m:oMath>
      <w:r w:rsidRPr="00163E69">
        <w:rPr>
          <w:rFonts w:ascii="Times New Roman" w:hAnsi="Times New Roman" w:cs="Times New Roman"/>
        </w:rPr>
        <w:t xml:space="preserve"> lotteries. I perform a two means power test in STATA to detect a difference of $0.15. Each group of lotteries in </w:t>
      </w:r>
      <w:r>
        <w:rPr>
          <w:rFonts w:ascii="Times New Roman" w:hAnsi="Times New Roman" w:cs="Times New Roman"/>
        </w:rPr>
        <w:t>the</w:t>
      </w:r>
      <w:r w:rsidRPr="00163E69">
        <w:rPr>
          <w:rFonts w:ascii="Times New Roman" w:hAnsi="Times New Roman" w:cs="Times New Roman"/>
        </w:rPr>
        <w:t xml:space="preserve"> hypothesis only contains 4 separate lottery parameterizations. I estimate the standard deviation of each group of lotteries separately, using a random effects interval regression including dummy variables for each lottery. The random effects regression controls for correlations between individuals’ choices in </w:t>
      </w:r>
      <w:r w:rsidRPr="00163E69">
        <w:rPr>
          <w:rFonts w:ascii="Times New Roman" w:hAnsi="Times New Roman" w:cs="Times New Roman"/>
        </w:rPr>
        <w:lastRenderedPageBreak/>
        <w:t xml:space="preserve">each of the lotteries. Since each lottery has a different predicted willingness to pay, I must control for each lottery otherwise I would overstate the actual variance in willingness to pay. To estimate the coefficient of within-subject correlation, I pool both groups together in a random effects interval regression. This allows me to estimate a single correlation coefficient accounting for choices across both groups. The results of this two means power analysis in STATA suggest a sample of 87 participants. While not an explicit hypothesis, the theoretical framework suggests differential effects for the hypotheses conditional on the expected value of the lottery relative to the outside option. As such I rerun the power analysis conditional on the expected value of the lottery. I follow the procedure previously outlined except this subset only has 2 </w:t>
      </w:r>
      <w:r>
        <w:rPr>
          <w:rFonts w:ascii="Times New Roman" w:hAnsi="Times New Roman" w:cs="Times New Roman"/>
        </w:rPr>
        <w:t>lotteries</w:t>
      </w:r>
      <w:r w:rsidRPr="00163E69">
        <w:rPr>
          <w:rFonts w:ascii="Times New Roman" w:hAnsi="Times New Roman" w:cs="Times New Roman"/>
        </w:rPr>
        <w:t xml:space="preserve"> rather than 4. The least powered test resulting from these additional power analyses suggests a sample of 158 participants to detect a difference of $0.15. I aim for a sample of 150 participants which would allow me to detect a minimum difference of $0.11 for the primary hypotheses, and a minimum difference of $0.15 for the additional analyses.</w:t>
      </w:r>
    </w:p>
    <w:p w14:paraId="4568AF93" w14:textId="77777777" w:rsidR="00C565FD" w:rsidRPr="00163E69" w:rsidRDefault="00C565FD" w:rsidP="00C565FD">
      <w:pPr>
        <w:keepNext/>
        <w:spacing w:before="240" w:after="60" w:line="480" w:lineRule="auto"/>
        <w:outlineLvl w:val="2"/>
        <w:rPr>
          <w:rFonts w:ascii="Times New Roman" w:hAnsi="Times New Roman" w:cs="Times New Roman"/>
          <w:b/>
          <w:bCs/>
          <w:i/>
        </w:rPr>
      </w:pPr>
      <w:bookmarkStart w:id="72" w:name="_Toc160720147"/>
      <w:bookmarkStart w:id="73" w:name="_Toc164862514"/>
      <w:r w:rsidRPr="00163E69">
        <w:rPr>
          <w:rFonts w:ascii="Times New Roman" w:hAnsi="Times New Roman" w:cs="Times New Roman"/>
          <w:b/>
          <w:bCs/>
          <w:i/>
        </w:rPr>
        <w:t>2.3.2 EXPERIMENTAL PROCEDURES</w:t>
      </w:r>
      <w:bookmarkEnd w:id="72"/>
      <w:bookmarkEnd w:id="73"/>
    </w:p>
    <w:p w14:paraId="5C24865F"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The experiment occurs in four distinct sections. First, I obtain risk aversion data on each participant through a multiple-price list mechanism developed by Holt and Laury (2002). Second, I obtain loss aversion data through a similar multiple-price list mechanism (Bibby &amp; Ferguson, 2011; Gächter et al., 2022). Next, I explain the primary real option game which includes a monetized quiz to check understanding and two unpaid practice rounds. Finally, participants made 24 decisions during the main experimental task.</w:t>
      </w:r>
    </w:p>
    <w:p w14:paraId="0043E0E7"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lastRenderedPageBreak/>
        <w:t xml:space="preserve">A typical experimental session begins with participants being randomly assigned one of the 24 experimental lab computers. Participants enter all decisions using individually assigned computers in the experimental lab through the z-Tree program (Fischbacher, 2007). I place the consent form and instructions at each computer for participants to read through at their leisure. At the start time, the moderator reiterates that all decisions will be anonymous, and the instructions only contain true information. Afterward, the moderator takes any questions regarding the consent form and asks for confirmation that all individuals agree to participate in the experiment. At that time, the moderator begins reading through the instructions for the risk aversion task, pausing for questions. After all participants finish the risk aversion task, the moderator reads the instructions for the loss aversion task. All participants make their decisions for the loss aversion task at that time. Finally, the moderator reads through the instructions for the main experiment. Participants go through 2 unpaid practice rounds, after which the moderator asks for any clarifying questions about the procedures of the experiment. Participants then answer 4 quiz questions regarding the main experiment for which they are compensated for correct answers. After a final pause for questions, participants begin the main experiment which consists of 24 decision periods. Participants are shown a breakdown of their earnings from each component of the experimental session and answer a short demographic questionnaire. Finally, participants are paid privately, and in cash, before they leave the experimental lab. </w:t>
      </w:r>
    </w:p>
    <w:p w14:paraId="4717B118"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Since each participant makes decisions for lotteries in each treatment group, I need to carefully consider order effects. As previously mentioned, I break the 24 tasks </w:t>
      </w:r>
      <w:r w:rsidRPr="00163E69">
        <w:rPr>
          <w:rFonts w:ascii="Times New Roman" w:hAnsi="Times New Roman" w:cs="Times New Roman"/>
        </w:rPr>
        <w:lastRenderedPageBreak/>
        <w:t>into 6 groups of 4 lotteries. Participants see the 4 lotteries in a random order. The 6 groups can be further classified by the probability of the high outcome with 3 groups in loss space and 3 groups in gains space. The groups in loss and gains space are randomized for each participant. Finally, participants are randomly selected to make decisions in gains or loss space before switching to the other treatment. This random variation allows us to account for potential order effects. This is particularly important as similar studies have found evidence of learning over time when making decisions in a real option context (e.g. Oprea et al., 2009).</w:t>
      </w:r>
    </w:p>
    <w:p w14:paraId="72F1C1E1"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Participants are recruited through the University of Tennessee Experimental Economics Laboratory. Participants are primarily undergraduate students at the University of Tennessee across many different majors. Each participant will participate in 24 decision problems, and each decision problem takes less than 1 minute on average. Participants were informed that the experiment would take no longer than 70 minutes to allow time for instructions, risk elicitation, loss aversion elicitation, questions, and unexpected technical problems. The experiment took approximately 60 minutes for the majority of the 8 sessions.</w:t>
      </w:r>
    </w:p>
    <w:p w14:paraId="3FA7CD00"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I conducted the experiment in person on computers in the University of Tennessee Experimental Economics Laboratory. Even though the experiment does not include any interactions between players, I wished to ensure understanding and effort in the tasks due to the complicated nature of the experiment. The use of computer programs streamlines many aspects of the experiment, such as randomization and pacing participants so that individuals do not finish a treatment earlier than others. Participants could not continue to </w:t>
      </w:r>
      <w:r w:rsidRPr="00163E69">
        <w:rPr>
          <w:rFonts w:ascii="Times New Roman" w:hAnsi="Times New Roman" w:cs="Times New Roman"/>
        </w:rPr>
        <w:lastRenderedPageBreak/>
        <w:t xml:space="preserve">the next decision task until every other participant had completed their task. This means that participants were discouraged from taking a low-effort strategy, such as taking the certain outside option, to complete the experiment quickly. </w:t>
      </w:r>
    </w:p>
    <w:p w14:paraId="23704102"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Participants on average received $22 in cash for participation. Payouts ranged from $13.50 to $31, depending on their performance. I ran a total of 8 sessions including one pilot for a total of 154 participants. Since there were no issues during the pilot, I included all observations in </w:t>
      </w:r>
      <w:r>
        <w:rPr>
          <w:rFonts w:ascii="Times New Roman" w:hAnsi="Times New Roman" w:cs="Times New Roman"/>
        </w:rPr>
        <w:t>the</w:t>
      </w:r>
      <w:r w:rsidRPr="00163E69">
        <w:rPr>
          <w:rFonts w:ascii="Times New Roman" w:hAnsi="Times New Roman" w:cs="Times New Roman"/>
        </w:rPr>
        <w:t xml:space="preserve"> final data set. Individual payoffs include a monetized quiz to check understanding for which participants can earn up to $2, the Holt and Laury (2002) risk elicitation in which participants are expected to earn between $0 and $4, the loss aversion task from Bibby and Ferguson (2011) and Gächter et al. (2022) in which participants earn between -$3 and $3, and the experimental game itself in which participants earn $10 in expectation. I simulated earnings using naïve, optimal, risky, and risk-averse strategies to ensure a proper range of payouts. Parameters were chosen such that I expected participants to earn between $10 and $30 with an average of around $21. I randomly selected a subset of choices during the experiment to determine participants’ earnings. One of the ten risk elicitation tasks and one of the six loss aversion tasks were independently chosen at random. All earnings from the experimental setting quiz questions were added to participants' earnings. To ensure a sufficient positive payout, I randomly selected two decisions from gains space parameterizations and one decision from loss space parameterizations. Finally, participants were given a $7 show-up fee to strike a balance between variation in earnings and tying payout directly to decisions. </w:t>
      </w:r>
    </w:p>
    <w:p w14:paraId="247AB28F" w14:textId="0DC958B4"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lastRenderedPageBreak/>
        <w:fldChar w:fldCharType="begin"/>
      </w:r>
      <w:r w:rsidRPr="00163E69">
        <w:rPr>
          <w:rFonts w:ascii="Times New Roman" w:hAnsi="Times New Roman" w:cs="Times New Roman"/>
        </w:rPr>
        <w:instrText xml:space="preserve"> REF _Ref160703390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Table </w:t>
      </w:r>
      <w:r w:rsidR="00142A7E">
        <w:rPr>
          <w:rFonts w:ascii="Times New Roman" w:hAnsi="Times New Roman" w:cs="Times New Roman"/>
          <w:noProof/>
        </w:rPr>
        <w:t>11</w:t>
      </w:r>
      <w:r w:rsidRPr="00163E69">
        <w:rPr>
          <w:rFonts w:ascii="Times New Roman" w:hAnsi="Times New Roman" w:cs="Times New Roman"/>
        </w:rPr>
        <w:fldChar w:fldCharType="end"/>
      </w:r>
      <w:r w:rsidRPr="00163E69">
        <w:rPr>
          <w:rFonts w:ascii="Times New Roman" w:hAnsi="Times New Roman" w:cs="Times New Roman"/>
        </w:rPr>
        <w:t xml:space="preserve"> shows summary statistics for the students who participated in the experiment. The average student was 20 years old with a 3.5 GPA, having taken 1.3 economics courses. Approximately 83% of participants were either Freshman, Sophomores, or Juniors. Males made up a slight majority of participants at 52%. Participants seemed to understand the experiment, with an average of 3.4 correct quiz question answers out of a possible 4. On a Likert Scale from 1 to 5 indicating how much they understood the instructions of the experiment, responses averaged 4.6. This indicates most participants felt like they understood the experimental instructions. </w:t>
      </w:r>
    </w:p>
    <w:p w14:paraId="1220E0B5" w14:textId="77777777" w:rsidR="00C565FD" w:rsidRPr="00163E69" w:rsidRDefault="00C565FD" w:rsidP="00C565FD">
      <w:pPr>
        <w:keepNext/>
        <w:spacing w:before="240" w:after="60" w:line="480" w:lineRule="auto"/>
        <w:jc w:val="center"/>
        <w:outlineLvl w:val="1"/>
        <w:rPr>
          <w:rFonts w:ascii="Times New Roman" w:hAnsi="Times New Roman" w:cs="Times New Roman"/>
          <w:b/>
          <w:bCs/>
          <w:iCs/>
        </w:rPr>
      </w:pPr>
      <w:bookmarkStart w:id="74" w:name="_Toc160720148"/>
      <w:bookmarkStart w:id="75" w:name="_Toc164862515"/>
      <w:r w:rsidRPr="00163E69">
        <w:rPr>
          <w:rFonts w:ascii="Times New Roman" w:hAnsi="Times New Roman" w:cs="Times New Roman"/>
          <w:b/>
          <w:bCs/>
          <w:iCs/>
        </w:rPr>
        <w:t>2.4 ANALYSIS</w:t>
      </w:r>
      <w:bookmarkEnd w:id="74"/>
      <w:bookmarkEnd w:id="75"/>
    </w:p>
    <w:p w14:paraId="1259418B"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To test the hypotheses, I must estimate willingness to pay for information for each decision task. Since willingness to pay is an unobserved latent variable, I use an interval regression where I code participants’ decisions into upper and lower bounds on their true willingness to pay. If a participant chose to pay for information, then I know the cost they paid is a lower bound on their true willingness to pay. If a participant chose to not pay for information, then I know the cost they paid is an upper bound on their true willingness to pay. I impose a $0 lower bound on willingness to pay since obtaining information at a cost of $0 is strictly better. By obtaining information at a cost of $0, participants still have every previously available option but with additional information about the outcome of the lottery. I choose the most flexible specification since I do wish to constrain any lottery treatment variables to have the same effect across all decisions. In other words, I do not expect the spread to have the same effect across all decision tasks. This gives us the following specification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55822A7B" w14:textId="77777777" w:rsidTr="002A2C90">
        <w:tc>
          <w:tcPr>
            <w:tcW w:w="7769" w:type="dxa"/>
          </w:tcPr>
          <w:p w14:paraId="05343768" w14:textId="77777777" w:rsidR="00C565FD" w:rsidRPr="00163E69" w:rsidRDefault="00C565FD" w:rsidP="002A2C90">
            <w:pPr>
              <w:spacing w:line="480" w:lineRule="auto"/>
              <w:ind w:firstLine="720"/>
              <w:jc w:val="center"/>
              <w:rPr>
                <w:rFonts w:ascii="Times New Roman" w:hAnsi="Times New Roman" w:cs="Times New Roman"/>
              </w:rPr>
            </w:pPr>
            <m:oMathPara>
              <m:oMath>
                <m:r>
                  <w:rPr>
                    <w:rFonts w:ascii="Cambria Math" w:hAnsi="Cambria Math" w:cs="Times New Roman"/>
                  </w:rPr>
                  <w:lastRenderedPageBreak/>
                  <m:t>WT</m:t>
                </m:r>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ik</m:t>
                    </m:r>
                  </m:sub>
                  <m:sup>
                    <m:r>
                      <w:rPr>
                        <w:rFonts w:ascii="Cambria Math" w:hAnsi="Cambria Math" w:cs="Times New Roman"/>
                      </w:rPr>
                      <m:t>*</m:t>
                    </m:r>
                  </m:sup>
                </m:sSubSup>
                <m:r>
                  <w:rPr>
                    <w:rFonts w:ascii="Cambria Math" w:hAnsi="Cambria Math" w:cs="Times New Roman"/>
                  </w:rPr>
                  <m:t>=</m:t>
                </m:r>
                <m:nary>
                  <m:naryPr>
                    <m:chr m:val="∑"/>
                    <m:ctrlPr>
                      <w:rPr>
                        <w:rFonts w:ascii="Cambria Math" w:hAnsi="Cambria Math" w:cs="Times New Roman"/>
                        <w:i/>
                      </w:rPr>
                    </m:ctrlPr>
                  </m:naryPr>
                  <m:sub>
                    <m:r>
                      <w:rPr>
                        <w:rFonts w:ascii="Cambria Math" w:hAnsi="Cambria Math" w:cs="Times New Roman"/>
                      </w:rPr>
                      <m:t>k=1</m:t>
                    </m:r>
                  </m:sub>
                  <m:sup>
                    <m:r>
                      <w:rPr>
                        <w:rFonts w:ascii="Cambria Math" w:hAnsi="Cambria Math" w:cs="Times New Roman"/>
                      </w:rPr>
                      <m:t>24</m:t>
                    </m:r>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r>
                      <w:rPr>
                        <w:rFonts w:ascii="Cambria Math" w:hAnsi="Cambria Math" w:cs="Times New Roman"/>
                      </w:rPr>
                      <m:t>*Lotter</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k</m:t>
                        </m:r>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ik</m:t>
                    </m:r>
                  </m:sub>
                </m:sSub>
              </m:oMath>
            </m:oMathPara>
          </w:p>
        </w:tc>
        <w:tc>
          <w:tcPr>
            <w:tcW w:w="871" w:type="dxa"/>
          </w:tcPr>
          <w:p w14:paraId="3F3E5651" w14:textId="2EE00CDC"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35</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7DA48E57" w14:textId="27422503"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where </w:t>
      </w:r>
      <m:oMath>
        <m:r>
          <w:rPr>
            <w:rFonts w:ascii="Cambria Math" w:hAnsi="Cambria Math" w:cs="Times New Roman"/>
          </w:rPr>
          <m:t>WT</m:t>
        </m:r>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ik</m:t>
            </m:r>
          </m:sub>
          <m:sup>
            <m:r>
              <w:rPr>
                <w:rFonts w:ascii="Cambria Math" w:hAnsi="Cambria Math" w:cs="Times New Roman"/>
              </w:rPr>
              <m:t>*</m:t>
            </m:r>
          </m:sup>
        </m:sSubSup>
      </m:oMath>
      <w:r w:rsidRPr="00163E69">
        <w:rPr>
          <w:rFonts w:ascii="Times New Roman" w:hAnsi="Times New Roman" w:cs="Times New Roman"/>
        </w:rPr>
        <w:t xml:space="preserve"> is the willingness to pay for information for participant </w:t>
      </w:r>
      <m:oMath>
        <m:r>
          <w:rPr>
            <w:rFonts w:ascii="Cambria Math" w:hAnsi="Cambria Math" w:cs="Times New Roman"/>
          </w:rPr>
          <m:t>i</m:t>
        </m:r>
      </m:oMath>
      <w:r w:rsidRPr="00163E69">
        <w:rPr>
          <w:rFonts w:ascii="Times New Roman" w:hAnsi="Times New Roman" w:cs="Times New Roman"/>
        </w:rPr>
        <w:t xml:space="preserve"> in decision task </w:t>
      </w:r>
      <m:oMath>
        <m:r>
          <w:rPr>
            <w:rFonts w:ascii="Cambria Math" w:hAnsi="Cambria Math" w:cs="Times New Roman"/>
          </w:rPr>
          <m:t>k</m:t>
        </m:r>
      </m:oMath>
      <w:r w:rsidRPr="00163E69">
        <w:rPr>
          <w:rFonts w:ascii="Times New Roman" w:hAnsi="Times New Roman" w:cs="Times New Roman"/>
        </w:rPr>
        <w:t xml:space="preserve"> and </w:t>
      </w:r>
      <m:oMath>
        <m:r>
          <w:rPr>
            <w:rFonts w:ascii="Cambria Math" w:hAnsi="Cambria Math" w:cs="Times New Roman"/>
          </w:rPr>
          <m:t>Lotter</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k</m:t>
            </m:r>
          </m:sub>
        </m:sSub>
      </m:oMath>
      <w:r w:rsidRPr="00163E69">
        <w:rPr>
          <w:rFonts w:ascii="Times New Roman" w:hAnsi="Times New Roman" w:cs="Times New Roman"/>
        </w:rPr>
        <w:t xml:space="preserve"> is an indicator variable for each of the 24 different decision tasks. I allow for heteroskedastic error variances for each different decision tasks, or </w:t>
      </w:r>
      <m:oMath>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σ</m:t>
                </m:r>
              </m:e>
            </m:d>
          </m:e>
        </m:func>
        <m:r>
          <w:rPr>
            <w:rFonts w:ascii="Cambria Math" w:hAnsi="Cambria Math" w:cs="Times New Roman"/>
          </w:rPr>
          <m:t>=Lotter</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k</m:t>
            </m:r>
          </m:sub>
        </m:sSub>
      </m:oMath>
      <w:r w:rsidRPr="00163E69">
        <w:rPr>
          <w:rFonts w:ascii="Times New Roman" w:hAnsi="Times New Roman" w:cs="Times New Roman"/>
        </w:rPr>
        <w:t xml:space="preserve">. I am primarily interested in the estimates of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oMath>
      <w:r w:rsidRPr="00163E69">
        <w:rPr>
          <w:rFonts w:ascii="Times New Roman" w:hAnsi="Times New Roman" w:cs="Times New Roman"/>
        </w:rPr>
        <w:t xml:space="preserve"> as these are the estimated willingness to pay for information for lottery </w:t>
      </w:r>
      <m:oMath>
        <m:r>
          <w:rPr>
            <w:rFonts w:ascii="Cambria Math" w:hAnsi="Cambria Math" w:cs="Times New Roman"/>
          </w:rPr>
          <m:t>k</m:t>
        </m:r>
      </m:oMath>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REF _Ref160712541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Table </w:t>
      </w:r>
      <w:r w:rsidR="00142A7E">
        <w:rPr>
          <w:rFonts w:ascii="Times New Roman" w:hAnsi="Times New Roman" w:cs="Times New Roman"/>
          <w:noProof/>
        </w:rPr>
        <w:t>12</w:t>
      </w:r>
      <w:r w:rsidRPr="00163E69">
        <w:rPr>
          <w:rFonts w:ascii="Times New Roman" w:hAnsi="Times New Roman" w:cs="Times New Roman"/>
        </w:rPr>
        <w:fldChar w:fldCharType="end"/>
      </w:r>
      <w:r w:rsidRPr="00163E69">
        <w:rPr>
          <w:rFonts w:ascii="Times New Roman" w:hAnsi="Times New Roman" w:cs="Times New Roman"/>
        </w:rPr>
        <w:t xml:space="preserve"> reports the parameter estimates. Since real option theory gives point predictions for </w:t>
      </w:r>
      <m:oMath>
        <m:r>
          <w:rPr>
            <w:rFonts w:ascii="Cambria Math" w:hAnsi="Cambria Math" w:cs="Times New Roman"/>
          </w:rPr>
          <m:t>WTP</m:t>
        </m:r>
      </m:oMath>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REF _Ref160712541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Table </w:t>
      </w:r>
      <w:r w:rsidR="00142A7E">
        <w:rPr>
          <w:rFonts w:ascii="Times New Roman" w:hAnsi="Times New Roman" w:cs="Times New Roman"/>
          <w:noProof/>
        </w:rPr>
        <w:t>12</w:t>
      </w:r>
      <w:r w:rsidRPr="00163E69">
        <w:rPr>
          <w:rFonts w:ascii="Times New Roman" w:hAnsi="Times New Roman" w:cs="Times New Roman"/>
        </w:rPr>
        <w:fldChar w:fldCharType="end"/>
      </w:r>
      <w:r w:rsidRPr="00163E69">
        <w:rPr>
          <w:rFonts w:ascii="Times New Roman" w:hAnsi="Times New Roman" w:cs="Times New Roman"/>
        </w:rPr>
        <w:t xml:space="preserve"> also shows simple t-tests</w:t>
      </w:r>
      <w:r>
        <w:rPr>
          <w:rFonts w:ascii="Times New Roman" w:hAnsi="Times New Roman" w:cs="Times New Roman"/>
        </w:rPr>
        <w:t xml:space="preserve"> based on regression coefficients</w:t>
      </w:r>
      <w:r w:rsidRPr="00163E69">
        <w:rPr>
          <w:rFonts w:ascii="Times New Roman" w:hAnsi="Times New Roman" w:cs="Times New Roman"/>
        </w:rPr>
        <w:t xml:space="preserve"> comparing estimated </w:t>
      </w:r>
      <m:oMath>
        <m:r>
          <w:rPr>
            <w:rFonts w:ascii="Cambria Math" w:hAnsi="Cambria Math" w:cs="Times New Roman"/>
          </w:rPr>
          <m:t>WTP</m:t>
        </m:r>
      </m:oMath>
      <w:r w:rsidRPr="00163E69">
        <w:rPr>
          <w:rFonts w:ascii="Times New Roman" w:hAnsi="Times New Roman" w:cs="Times New Roman"/>
        </w:rPr>
        <w:t xml:space="preserve"> to the point predictions from real option theory. </w:t>
      </w:r>
    </w:p>
    <w:p w14:paraId="2CF5A1C2"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Examining the results from comparing estimated </w:t>
      </w:r>
      <m:oMath>
        <m:r>
          <w:rPr>
            <w:rFonts w:ascii="Cambria Math" w:hAnsi="Cambria Math" w:cs="Times New Roman"/>
          </w:rPr>
          <m:t>WTP</m:t>
        </m:r>
      </m:oMath>
      <w:r w:rsidRPr="00163E69">
        <w:rPr>
          <w:rFonts w:ascii="Times New Roman" w:hAnsi="Times New Roman" w:cs="Times New Roman"/>
        </w:rPr>
        <w:t xml:space="preserve"> to point predictions from real option theory reveals a few patterns. Every estimated </w:t>
      </w:r>
      <m:oMath>
        <m:r>
          <w:rPr>
            <w:rFonts w:ascii="Cambria Math" w:hAnsi="Cambria Math" w:cs="Times New Roman"/>
          </w:rPr>
          <m:t>WTP</m:t>
        </m:r>
      </m:oMath>
      <w:r w:rsidRPr="00163E69">
        <w:rPr>
          <w:rFonts w:ascii="Times New Roman" w:hAnsi="Times New Roman" w:cs="Times New Roman"/>
        </w:rPr>
        <w:t xml:space="preserve"> that is less than the point prediction occurs in lotteries where the expected value of the lottery is less than the outside option (decision tasks 2, 4, 6, 8, 18, 20). Additionally, four of these lotteries have a high probability of the high outcome (p=0.85). All three lotteries where the estimated </w:t>
      </w:r>
      <m:oMath>
        <m:r>
          <w:rPr>
            <w:rFonts w:ascii="Cambria Math" w:hAnsi="Cambria Math" w:cs="Times New Roman"/>
          </w:rPr>
          <m:t>WTP</m:t>
        </m:r>
      </m:oMath>
      <w:r w:rsidRPr="00163E69">
        <w:rPr>
          <w:rFonts w:ascii="Times New Roman" w:hAnsi="Times New Roman" w:cs="Times New Roman"/>
        </w:rPr>
        <w:t xml:space="preserve"> is greater than the predicted value occur in loss space with a low probability of the high outcome (p=0.15). </w:t>
      </w:r>
    </w:p>
    <w:p w14:paraId="664B5695" w14:textId="3CC52A2D"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It is also worth examining the cost distributions for each decision task. </w:t>
      </w:r>
      <w:r w:rsidRPr="00163E69">
        <w:rPr>
          <w:rFonts w:ascii="Times New Roman" w:hAnsi="Times New Roman" w:cs="Times New Roman"/>
        </w:rPr>
        <w:fldChar w:fldCharType="begin"/>
      </w:r>
      <w:r w:rsidRPr="00163E69">
        <w:rPr>
          <w:rFonts w:ascii="Times New Roman" w:hAnsi="Times New Roman" w:cs="Times New Roman"/>
        </w:rPr>
        <w:instrText xml:space="preserve"> REF _Ref160712541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Table </w:t>
      </w:r>
      <w:r w:rsidR="00142A7E">
        <w:rPr>
          <w:rFonts w:ascii="Times New Roman" w:hAnsi="Times New Roman" w:cs="Times New Roman"/>
          <w:noProof/>
        </w:rPr>
        <w:t>12</w:t>
      </w:r>
      <w:r w:rsidRPr="00163E69">
        <w:rPr>
          <w:rFonts w:ascii="Times New Roman" w:hAnsi="Times New Roman" w:cs="Times New Roman"/>
        </w:rPr>
        <w:fldChar w:fldCharType="end"/>
      </w:r>
      <w:r w:rsidRPr="00163E69">
        <w:rPr>
          <w:rFonts w:ascii="Times New Roman" w:hAnsi="Times New Roman" w:cs="Times New Roman"/>
        </w:rPr>
        <w:t xml:space="preserve"> shows that the estimated </w:t>
      </w:r>
      <m:oMath>
        <m:r>
          <w:rPr>
            <w:rFonts w:ascii="Cambria Math" w:hAnsi="Cambria Math" w:cs="Times New Roman"/>
          </w:rPr>
          <m:t>WTP</m:t>
        </m:r>
      </m:oMath>
      <w:r w:rsidRPr="00163E69">
        <w:rPr>
          <w:rFonts w:ascii="Times New Roman" w:hAnsi="Times New Roman" w:cs="Times New Roman"/>
        </w:rPr>
        <w:t xml:space="preserve"> falls within the cost distribution for every decision task except decision task 11, where the estimated </w:t>
      </w:r>
      <m:oMath>
        <m:r>
          <w:rPr>
            <w:rFonts w:ascii="Cambria Math" w:hAnsi="Cambria Math" w:cs="Times New Roman"/>
          </w:rPr>
          <m:t>WTP</m:t>
        </m:r>
      </m:oMath>
      <w:r w:rsidRPr="00163E69">
        <w:rPr>
          <w:rFonts w:ascii="Times New Roman" w:hAnsi="Times New Roman" w:cs="Times New Roman"/>
        </w:rPr>
        <w:t xml:space="preserve"> is larger than the highest possible cost. I restricted the maximum cost for information for this task to $1 since playing the lottery immediately is strictly better than paying the cost in this scenario. When faced with a cost </w:t>
      </w:r>
      <w:r w:rsidRPr="00163E69">
        <w:rPr>
          <w:rFonts w:ascii="Times New Roman" w:hAnsi="Times New Roman" w:cs="Times New Roman"/>
        </w:rPr>
        <w:lastRenderedPageBreak/>
        <w:t xml:space="preserve">of $1, the participants could choose the outside option ($10), play the lottery immediately (0.15 probability of $17 and 0.85 probability of $9), or pay the cost (0.15 probability of $16 and 0.85 probability of $9). Note that playing the lottery immediately is strictly better in this scenario. However, 54.3% of participants still paid the cost for information when faced with a $1 cost. This suggests caution should be taken when analyzing </w:t>
      </w:r>
      <m:oMath>
        <m:r>
          <w:rPr>
            <w:rFonts w:ascii="Cambria Math" w:hAnsi="Cambria Math" w:cs="Times New Roman"/>
          </w:rPr>
          <m:t>WTP</m:t>
        </m:r>
      </m:oMath>
      <w:r w:rsidRPr="00163E69">
        <w:rPr>
          <w:rFonts w:ascii="Times New Roman" w:hAnsi="Times New Roman" w:cs="Times New Roman"/>
        </w:rPr>
        <w:t xml:space="preserve"> for this decision task, as the true </w:t>
      </w:r>
      <m:oMath>
        <m:r>
          <w:rPr>
            <w:rFonts w:ascii="Cambria Math" w:hAnsi="Cambria Math" w:cs="Times New Roman"/>
          </w:rPr>
          <m:t>WTP</m:t>
        </m:r>
      </m:oMath>
      <w:r w:rsidRPr="00163E69">
        <w:rPr>
          <w:rFonts w:ascii="Times New Roman" w:hAnsi="Times New Roman" w:cs="Times New Roman"/>
        </w:rPr>
        <w:t xml:space="preserve"> is likely higher than I estimated. Second, this suggests that participants might not have fully understood the tradeoffs they were facing. It is possible that participants used heuristics to make decisions rather than careful evaluation of the lotteries. However, as seen in the post-experiment questionnaire and quiz questions, participants generally understood the experiment. Further, this anomaly does not show up in other lotteries, including a lottery where the tradeoffs are identical to decision task 11, except payoffs are in loss space. </w:t>
      </w:r>
    </w:p>
    <w:p w14:paraId="73457A6D"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I test the hypotheses by comparing the average estimated willingness to pay for sets of lotteries. I use a t-test</w:t>
      </w:r>
      <w:r w:rsidRPr="00807F19">
        <w:rPr>
          <w:rFonts w:ascii="Times New Roman" w:hAnsi="Times New Roman" w:cs="Times New Roman"/>
        </w:rPr>
        <w:t xml:space="preserve"> </w:t>
      </w:r>
      <w:r>
        <w:rPr>
          <w:rFonts w:ascii="Times New Roman" w:hAnsi="Times New Roman" w:cs="Times New Roman"/>
        </w:rPr>
        <w:t>based on regression coefficients</w:t>
      </w:r>
      <w:r w:rsidRPr="00163E69">
        <w:rPr>
          <w:rFonts w:ascii="Times New Roman" w:hAnsi="Times New Roman" w:cs="Times New Roman"/>
        </w:rPr>
        <w:t xml:space="preserve"> to test the difference in the linear combinations of parameter estimates. For two-sided tests, the tests typically take the form of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6CD56E72" w14:textId="77777777" w:rsidTr="002A2C90">
        <w:tc>
          <w:tcPr>
            <w:tcW w:w="7769" w:type="dxa"/>
          </w:tcPr>
          <w:p w14:paraId="4B76A1CE" w14:textId="77777777" w:rsidR="00C565FD" w:rsidRPr="00163E69" w:rsidRDefault="00000000" w:rsidP="002A2C90">
            <w:pPr>
              <w:spacing w:line="480" w:lineRule="auto"/>
              <w:ind w:firstLine="720"/>
              <w:jc w:val="center"/>
              <w:rPr>
                <w:rFonts w:ascii="Times New Roman" w:hAnsi="Times New Roman" w:cs="Times New Roman"/>
              </w:rPr>
            </w:pPr>
            <m:oMathPara>
              <m:oMath>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m:t>
                            </m:r>
                          </m:sub>
                        </m:sSub>
                      </m:den>
                    </m:f>
                    <m:nary>
                      <m:naryPr>
                        <m:chr m:val="∑"/>
                        <m:grow m:val="1"/>
                        <m:supHide m:val="1"/>
                        <m:ctrlPr>
                          <w:rPr>
                            <w:rFonts w:ascii="Cambria Math" w:hAnsi="Cambria Math" w:cs="Times New Roman"/>
                          </w:rPr>
                        </m:ctrlPr>
                      </m:naryPr>
                      <m:sub>
                        <m:r>
                          <w:rPr>
                            <w:rFonts w:ascii="Cambria Math" w:eastAsia="Cambria Math" w:hAnsi="Cambria Math" w:cs="Times New Roman"/>
                          </w:rPr>
                          <m:t>k∈K</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den>
                    </m:f>
                    <m:nary>
                      <m:naryPr>
                        <m:chr m:val="∑"/>
                        <m:supHide m:val="1"/>
                        <m:ctrlPr>
                          <w:rPr>
                            <w:rFonts w:ascii="Cambria Math" w:hAnsi="Cambria Math" w:cs="Times New Roman"/>
                          </w:rPr>
                        </m:ctrlPr>
                      </m:naryPr>
                      <m:sub>
                        <m:r>
                          <w:rPr>
                            <w:rFonts w:ascii="Cambria Math" w:eastAsia="Cambria Math" w:hAnsi="Cambria Math" w:cs="Times New Roman"/>
                          </w:rPr>
                          <m:t>j∈J</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e>
                    </m:nary>
                    <m:r>
                      <w:rPr>
                        <w:rFonts w:ascii="Cambria Math" w:hAnsi="Cambria Math" w:cs="Times New Roman"/>
                      </w:rPr>
                      <m:t xml:space="preserve"> </m:t>
                    </m:r>
                  </m:e>
                </m:d>
                <m:r>
                  <w:rPr>
                    <w:rFonts w:ascii="Cambria Math" w:hAnsi="Cambria Math" w:cs="Times New Roman"/>
                  </w:rPr>
                  <m:t>=0</m:t>
                </m:r>
              </m:oMath>
            </m:oMathPara>
          </w:p>
        </w:tc>
        <w:tc>
          <w:tcPr>
            <w:tcW w:w="871" w:type="dxa"/>
          </w:tcPr>
          <w:p w14:paraId="212A3F91" w14:textId="713F0D2C" w:rsidR="00C565FD" w:rsidRPr="00163E69" w:rsidRDefault="00C565FD" w:rsidP="002A2C90">
            <w:pPr>
              <w:spacing w:line="480" w:lineRule="auto"/>
              <w:rPr>
                <w:rFonts w:ascii="Times New Roman" w:hAnsi="Times New Roman" w:cs="Times New Roman"/>
              </w:rPr>
            </w:pPr>
            <w:bookmarkStart w:id="76" w:name="_Ref160716117"/>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36</w:t>
            </w:r>
            <w:r w:rsidRPr="00163E69">
              <w:rPr>
                <w:rFonts w:ascii="Times New Roman" w:hAnsi="Times New Roman" w:cs="Times New Roman"/>
              </w:rPr>
              <w:fldChar w:fldCharType="end"/>
            </w:r>
            <w:r w:rsidRPr="00163E69">
              <w:rPr>
                <w:rFonts w:ascii="Times New Roman" w:hAnsi="Times New Roman" w:cs="Times New Roman"/>
              </w:rPr>
              <w:t xml:space="preserve"> )</w:t>
            </w:r>
            <w:bookmarkEnd w:id="76"/>
          </w:p>
        </w:tc>
      </w:tr>
    </w:tbl>
    <w:p w14:paraId="52FB0446" w14:textId="327DAEC9"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where I am testing for differences between one group of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m:t>
            </m:r>
          </m:sub>
        </m:sSub>
      </m:oMath>
      <w:r w:rsidRPr="00163E69">
        <w:rPr>
          <w:rFonts w:ascii="Times New Roman" w:hAnsi="Times New Roman" w:cs="Times New Roman"/>
        </w:rPr>
        <w:t xml:space="preserve"> lotteries, </w:t>
      </w:r>
      <m:oMath>
        <m:r>
          <w:rPr>
            <w:rFonts w:ascii="Cambria Math" w:hAnsi="Cambria Math" w:cs="Times New Roman"/>
          </w:rPr>
          <m:t>K</m:t>
        </m:r>
      </m:oMath>
      <w:r w:rsidRPr="00163E69">
        <w:rPr>
          <w:rFonts w:ascii="Times New Roman" w:hAnsi="Times New Roman" w:cs="Times New Roman"/>
        </w:rPr>
        <w:t xml:space="preserve">, and another group of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oMath>
      <w:r w:rsidRPr="00163E69">
        <w:rPr>
          <w:rFonts w:ascii="Times New Roman" w:hAnsi="Times New Roman" w:cs="Times New Roman"/>
        </w:rPr>
        <w:t xml:space="preserve"> lotteries, </w:t>
      </w:r>
      <m:oMath>
        <m:r>
          <w:rPr>
            <w:rFonts w:ascii="Cambria Math" w:hAnsi="Cambria Math" w:cs="Times New Roman"/>
          </w:rPr>
          <m:t>J</m:t>
        </m:r>
      </m:oMath>
      <w:r w:rsidRPr="00163E69">
        <w:rPr>
          <w:rFonts w:ascii="Times New Roman" w:hAnsi="Times New Roman" w:cs="Times New Roman"/>
        </w:rPr>
        <w:t xml:space="preserve">. I summarize the results of </w:t>
      </w:r>
      <w:r>
        <w:rPr>
          <w:rFonts w:ascii="Times New Roman" w:hAnsi="Times New Roman" w:cs="Times New Roman"/>
        </w:rPr>
        <w:t>the</w:t>
      </w:r>
      <w:r w:rsidRPr="00163E69">
        <w:rPr>
          <w:rFonts w:ascii="Times New Roman" w:hAnsi="Times New Roman" w:cs="Times New Roman"/>
        </w:rPr>
        <w:t xml:space="preserve"> hypothesis tests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_Ref160712996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13</w:t>
      </w:r>
      <w:r w:rsidRPr="00163E69">
        <w:rPr>
          <w:rFonts w:ascii="Times New Roman" w:hAnsi="Times New Roman" w:cs="Times New Roman"/>
        </w:rPr>
        <w:fldChar w:fldCharType="end"/>
      </w:r>
      <w:r w:rsidRPr="00163E69">
        <w:rPr>
          <w:rFonts w:ascii="Times New Roman" w:hAnsi="Times New Roman" w:cs="Times New Roman"/>
        </w:rPr>
        <w:t>.</w:t>
      </w:r>
    </w:p>
    <w:p w14:paraId="02DFCAD3"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To test hypothesis 1, I compare the average </w:t>
      </w:r>
      <m:oMath>
        <m:r>
          <w:rPr>
            <w:rFonts w:ascii="Cambria Math" w:hAnsi="Cambria Math" w:cs="Times New Roman"/>
          </w:rPr>
          <m:t>WTP</m:t>
        </m:r>
      </m:oMath>
      <w:r w:rsidRPr="00163E69">
        <w:rPr>
          <w:rFonts w:ascii="Times New Roman" w:hAnsi="Times New Roman" w:cs="Times New Roman"/>
        </w:rPr>
        <w:t xml:space="preserve"> for lotteries in gains space to loss space. I find that participants’ willingness to pay for information is statistically </w:t>
      </w:r>
      <w:r w:rsidRPr="00163E69">
        <w:rPr>
          <w:rFonts w:ascii="Times New Roman" w:hAnsi="Times New Roman" w:cs="Times New Roman"/>
        </w:rPr>
        <w:lastRenderedPageBreak/>
        <w:t>significantly higher in loss space than in gains space (p&lt;0.001). The theoretical framework did not have clear predictions on the effect of loss aversion. The experimental results suggest that participants pay more for information when considering losses, but this could come from a decrease in participants playing the lottery immediately or choosing the outside option. To examine this further, I estimate the following multinomial logit regression model</w:t>
      </w:r>
    </w:p>
    <w:p w14:paraId="5E74A883"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tab/>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9"/>
        <w:gridCol w:w="871"/>
      </w:tblGrid>
      <w:tr w:rsidR="00C565FD" w:rsidRPr="00163E69" w14:paraId="629F711C" w14:textId="77777777" w:rsidTr="002A2C90">
        <w:tc>
          <w:tcPr>
            <w:tcW w:w="7769" w:type="dxa"/>
          </w:tcPr>
          <w:p w14:paraId="3C719BB5" w14:textId="77777777" w:rsidR="00C565FD" w:rsidRPr="00163E69" w:rsidRDefault="00000000" w:rsidP="002A2C90">
            <w:pPr>
              <w:spacing w:line="480" w:lineRule="auto"/>
              <w:ind w:firstLine="720"/>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Choice</m:t>
                    </m:r>
                  </m:e>
                  <m:sub>
                    <m:r>
                      <w:rPr>
                        <w:rFonts w:ascii="Cambria Math" w:hAnsi="Cambria Math" w:cs="Times New Roman"/>
                      </w:rPr>
                      <m:t>ik</m:t>
                    </m:r>
                  </m:sub>
                </m:sSub>
                <m:r>
                  <w:rPr>
                    <w:rFonts w:ascii="Cambria Math" w:hAnsi="Cambria Math" w:cs="Times New Roman"/>
                  </w:rPr>
                  <m:t>=</m:t>
                </m:r>
                <m:nary>
                  <m:naryPr>
                    <m:chr m:val="∑"/>
                    <m:ctrlPr>
                      <w:rPr>
                        <w:rFonts w:ascii="Cambria Math" w:hAnsi="Cambria Math" w:cs="Times New Roman"/>
                        <w:i/>
                      </w:rPr>
                    </m:ctrlPr>
                  </m:naryPr>
                  <m:sub>
                    <m:r>
                      <w:rPr>
                        <w:rFonts w:ascii="Cambria Math" w:hAnsi="Cambria Math" w:cs="Times New Roman"/>
                      </w:rPr>
                      <m:t>k=1</m:t>
                    </m:r>
                  </m:sub>
                  <m:sup>
                    <m:r>
                      <w:rPr>
                        <w:rFonts w:ascii="Cambria Math" w:hAnsi="Cambria Math" w:cs="Times New Roman"/>
                      </w:rPr>
                      <m:t>24</m:t>
                    </m:r>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r>
                      <w:rPr>
                        <w:rFonts w:ascii="Cambria Math" w:hAnsi="Cambria Math" w:cs="Times New Roman"/>
                      </w:rPr>
                      <m:t>*Lotter</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k</m:t>
                        </m:r>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ik</m:t>
                    </m:r>
                  </m:sub>
                </m:sSub>
              </m:oMath>
            </m:oMathPara>
          </w:p>
        </w:tc>
        <w:tc>
          <w:tcPr>
            <w:tcW w:w="871" w:type="dxa"/>
          </w:tcPr>
          <w:p w14:paraId="6D6F51BB" w14:textId="3BE0BB5B" w:rsidR="00C565FD" w:rsidRPr="00163E69" w:rsidRDefault="00C565FD" w:rsidP="002A2C90">
            <w:pPr>
              <w:spacing w:line="480" w:lineRule="auto"/>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fldChar w:fldCharType="begin"/>
            </w:r>
            <w:r w:rsidRPr="00163E69">
              <w:rPr>
                <w:rFonts w:ascii="Times New Roman" w:hAnsi="Times New Roman" w:cs="Times New Roman"/>
              </w:rPr>
              <w:instrText xml:space="preserve"> SEQ ( \* ARABIC </w:instrText>
            </w:r>
            <w:r w:rsidRPr="00163E69">
              <w:rPr>
                <w:rFonts w:ascii="Times New Roman" w:hAnsi="Times New Roman" w:cs="Times New Roman"/>
              </w:rPr>
              <w:fldChar w:fldCharType="separate"/>
            </w:r>
            <w:r w:rsidR="00142A7E">
              <w:rPr>
                <w:rFonts w:ascii="Times New Roman" w:hAnsi="Times New Roman" w:cs="Times New Roman"/>
                <w:noProof/>
              </w:rPr>
              <w:t>37</w:t>
            </w:r>
            <w:r w:rsidRPr="00163E69">
              <w:rPr>
                <w:rFonts w:ascii="Times New Roman" w:hAnsi="Times New Roman" w:cs="Times New Roman"/>
              </w:rPr>
              <w:fldChar w:fldCharType="end"/>
            </w:r>
            <w:r w:rsidRPr="00163E69">
              <w:rPr>
                <w:rFonts w:ascii="Times New Roman" w:hAnsi="Times New Roman" w:cs="Times New Roman"/>
              </w:rPr>
              <w:t xml:space="preserve"> )</w:t>
            </w:r>
          </w:p>
        </w:tc>
      </w:tr>
    </w:tbl>
    <w:p w14:paraId="19C33AE2" w14:textId="3842C375"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Choice</m:t>
            </m:r>
          </m:e>
          <m:sub>
            <m:r>
              <w:rPr>
                <w:rFonts w:ascii="Cambria Math" w:hAnsi="Cambria Math" w:cs="Times New Roman"/>
              </w:rPr>
              <m:t>ik</m:t>
            </m:r>
          </m:sub>
        </m:sSub>
      </m:oMath>
      <w:r w:rsidRPr="00163E69">
        <w:rPr>
          <w:rFonts w:ascii="Times New Roman" w:hAnsi="Times New Roman" w:cs="Times New Roman"/>
        </w:rPr>
        <w:t xml:space="preserve"> is the decision choice (play lottery immediately, take outside option, or pay for information) for participant </w:t>
      </w:r>
      <m:oMath>
        <m:r>
          <w:rPr>
            <w:rFonts w:ascii="Cambria Math" w:hAnsi="Cambria Math" w:cs="Times New Roman"/>
          </w:rPr>
          <m:t>i</m:t>
        </m:r>
      </m:oMath>
      <w:r w:rsidRPr="00163E69">
        <w:rPr>
          <w:rFonts w:ascii="Times New Roman" w:hAnsi="Times New Roman" w:cs="Times New Roman"/>
        </w:rPr>
        <w:t xml:space="preserve"> for lottery </w:t>
      </w:r>
      <m:oMath>
        <m:r>
          <w:rPr>
            <w:rFonts w:ascii="Cambria Math" w:hAnsi="Cambria Math" w:cs="Times New Roman"/>
          </w:rPr>
          <m:t>k</m:t>
        </m:r>
      </m:oMath>
      <w:r w:rsidRPr="00163E69">
        <w:rPr>
          <w:rFonts w:ascii="Times New Roman" w:hAnsi="Times New Roman" w:cs="Times New Roman"/>
        </w:rPr>
        <w:t xml:space="preserve"> and </w:t>
      </w:r>
      <m:oMath>
        <m:r>
          <w:rPr>
            <w:rFonts w:ascii="Cambria Math" w:hAnsi="Cambria Math" w:cs="Times New Roman"/>
          </w:rPr>
          <m:t>Lotter</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k</m:t>
            </m:r>
          </m:sub>
        </m:sSub>
      </m:oMath>
      <w:r w:rsidRPr="00163E69">
        <w:rPr>
          <w:rFonts w:ascii="Times New Roman" w:hAnsi="Times New Roman" w:cs="Times New Roman"/>
        </w:rPr>
        <w:t xml:space="preserve"> is an indicator variable for each of the 24 different decision tasks. I cluster the errors at the participant level to account for potential correlation across decision tasks. </w:t>
      </w:r>
      <w:r w:rsidRPr="00163E69">
        <w:rPr>
          <w:rFonts w:ascii="Times New Roman" w:hAnsi="Times New Roman" w:cs="Times New Roman"/>
        </w:rPr>
        <w:fldChar w:fldCharType="begin"/>
      </w:r>
      <w:r w:rsidRPr="00163E69">
        <w:rPr>
          <w:rFonts w:ascii="Times New Roman" w:hAnsi="Times New Roman" w:cs="Times New Roman"/>
        </w:rPr>
        <w:instrText xml:space="preserve"> REF _Ref160714627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14</w:t>
      </w:r>
      <w:r w:rsidRPr="00163E69">
        <w:rPr>
          <w:rFonts w:ascii="Times New Roman" w:hAnsi="Times New Roman" w:cs="Times New Roman"/>
        </w:rPr>
        <w:fldChar w:fldCharType="end"/>
      </w:r>
      <w:r w:rsidRPr="00163E69">
        <w:rPr>
          <w:rFonts w:ascii="Times New Roman" w:hAnsi="Times New Roman" w:cs="Times New Roman"/>
        </w:rPr>
        <w:t xml:space="preserve"> reports the parameter estimates. </w:t>
      </w:r>
    </w:p>
    <w:p w14:paraId="71B69F4E"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I test for differences between participants’ decisions under loss space and gains space. Using a t-test</w:t>
      </w:r>
      <w:r>
        <w:rPr>
          <w:rFonts w:ascii="Times New Roman" w:hAnsi="Times New Roman" w:cs="Times New Roman"/>
        </w:rPr>
        <w:t xml:space="preserve"> based on marginal effect estimates from the regression</w:t>
      </w:r>
      <w:r w:rsidRPr="00163E69">
        <w:rPr>
          <w:rFonts w:ascii="Times New Roman" w:hAnsi="Times New Roman" w:cs="Times New Roman"/>
        </w:rPr>
        <w:t>, I find that participants are more likely to take the outside option when in gains space compared to loss space (</w:t>
      </w:r>
      <m:oMath>
        <m:r>
          <w:rPr>
            <w:rFonts w:ascii="Cambria Math" w:hAnsi="Cambria Math" w:cs="Times New Roman"/>
          </w:rPr>
          <m:t>p&lt;0.001</m:t>
        </m:r>
      </m:oMath>
      <w:r w:rsidRPr="00163E69">
        <w:rPr>
          <w:rFonts w:ascii="Times New Roman" w:hAnsi="Times New Roman" w:cs="Times New Roman"/>
        </w:rPr>
        <w:t xml:space="preserve">). </w:t>
      </w:r>
      <w:r>
        <w:rPr>
          <w:rFonts w:ascii="Times New Roman" w:hAnsi="Times New Roman" w:cs="Times New Roman"/>
        </w:rPr>
        <w:t>I also find that participants are less likely to pay for information (</w:t>
      </w:r>
      <m:oMath>
        <m:r>
          <w:rPr>
            <w:rFonts w:ascii="Cambria Math" w:hAnsi="Cambria Math" w:cs="Times New Roman"/>
          </w:rPr>
          <m:t>p&lt;0.001</m:t>
        </m:r>
      </m:oMath>
      <w:r>
        <w:rPr>
          <w:rFonts w:ascii="Times New Roman" w:hAnsi="Times New Roman" w:cs="Times New Roman"/>
        </w:rPr>
        <w:t>) and less likely to play the lottery immediately (</w:t>
      </w:r>
      <m:oMath>
        <m:r>
          <w:rPr>
            <w:rFonts w:ascii="Cambria Math" w:hAnsi="Cambria Math" w:cs="Times New Roman"/>
          </w:rPr>
          <m:t>p=0.003</m:t>
        </m:r>
      </m:oMath>
      <w:r>
        <w:rPr>
          <w:rFonts w:ascii="Times New Roman" w:hAnsi="Times New Roman" w:cs="Times New Roman"/>
        </w:rPr>
        <w:t>)</w:t>
      </w:r>
      <w:r w:rsidRPr="00163E69">
        <w:rPr>
          <w:rFonts w:ascii="Times New Roman" w:hAnsi="Times New Roman" w:cs="Times New Roman"/>
        </w:rPr>
        <w:t xml:space="preserve"> This suggests that the difference in </w:t>
      </w:r>
      <m:oMath>
        <m:r>
          <w:rPr>
            <w:rFonts w:ascii="Cambria Math" w:hAnsi="Cambria Math" w:cs="Times New Roman"/>
          </w:rPr>
          <m:t>WTP</m:t>
        </m:r>
      </m:oMath>
      <w:r w:rsidRPr="00163E69">
        <w:rPr>
          <w:rFonts w:ascii="Times New Roman" w:hAnsi="Times New Roman" w:cs="Times New Roman"/>
        </w:rPr>
        <w:t xml:space="preserve"> is driven by changes in the probability of choosing the outside option. This would be consistent with individuals choosing the riskier option in losses relative to gains.  </w:t>
      </w:r>
    </w:p>
    <w:p w14:paraId="060A5DD0"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lastRenderedPageBreak/>
        <w:tab/>
        <w:t xml:space="preserve">In hypothesis 2, I find that participants have a higher </w:t>
      </w:r>
      <m:oMath>
        <m:r>
          <w:rPr>
            <w:rFonts w:ascii="Cambria Math" w:hAnsi="Cambria Math" w:cs="Times New Roman"/>
          </w:rPr>
          <m:t>WTP</m:t>
        </m:r>
      </m:oMath>
      <w:r w:rsidRPr="00163E69">
        <w:rPr>
          <w:rFonts w:ascii="Times New Roman" w:hAnsi="Times New Roman" w:cs="Times New Roman"/>
        </w:rPr>
        <w:t xml:space="preserve"> with an increase in spread of outcomes. I reject the null hypothesis (p</w:t>
      </w:r>
      <w:r>
        <w:rPr>
          <w:rFonts w:ascii="Times New Roman" w:hAnsi="Times New Roman" w:cs="Times New Roman"/>
        </w:rPr>
        <w:t>&lt;</w:t>
      </w:r>
      <w:r w:rsidRPr="00163E69">
        <w:rPr>
          <w:rFonts w:ascii="Times New Roman" w:hAnsi="Times New Roman" w:cs="Times New Roman"/>
        </w:rPr>
        <w:t>0.</w:t>
      </w:r>
      <w:r>
        <w:rPr>
          <w:rFonts w:ascii="Times New Roman" w:hAnsi="Times New Roman" w:cs="Times New Roman"/>
        </w:rPr>
        <w:t>001</w:t>
      </w:r>
      <w:r w:rsidRPr="00163E69">
        <w:rPr>
          <w:rFonts w:ascii="Times New Roman" w:hAnsi="Times New Roman" w:cs="Times New Roman"/>
        </w:rPr>
        <w:t>)</w:t>
      </w:r>
      <w:r>
        <w:rPr>
          <w:rFonts w:ascii="Times New Roman" w:hAnsi="Times New Roman" w:cs="Times New Roman"/>
        </w:rPr>
        <w:t xml:space="preserve"> that the </w:t>
      </w:r>
      <m:oMath>
        <m:r>
          <w:rPr>
            <w:rFonts w:ascii="Cambria Math" w:hAnsi="Cambria Math" w:cs="Times New Roman"/>
          </w:rPr>
          <m:t>WTP</m:t>
        </m:r>
      </m:oMath>
      <w:r>
        <w:rPr>
          <w:rFonts w:ascii="Times New Roman" w:hAnsi="Times New Roman" w:cs="Times New Roman"/>
        </w:rPr>
        <w:t xml:space="preserve"> is equal for low and high spread lotteries</w:t>
      </w:r>
      <w:r w:rsidRPr="00163E69">
        <w:rPr>
          <w:rFonts w:ascii="Times New Roman" w:hAnsi="Times New Roman" w:cs="Times New Roman"/>
        </w:rPr>
        <w:t xml:space="preserve">, suggesting that participants behave consistently with real option theory. In addition to the directional predictions from real option theory, I examine the point predictions. While the hypothesis test suggests behavior consistent with real option theory, it is possible that the magnitude of the effect is not consistent. Additional behavioral deviations could cause the magnitude of </w:t>
      </w:r>
      <m:oMath>
        <m:r>
          <w:rPr>
            <w:rFonts w:ascii="Cambria Math" w:hAnsi="Cambria Math" w:cs="Times New Roman"/>
          </w:rPr>
          <m:t>WTP</m:t>
        </m:r>
      </m:oMath>
      <w:r w:rsidRPr="00163E69">
        <w:rPr>
          <w:rFonts w:ascii="Times New Roman" w:hAnsi="Times New Roman" w:cs="Times New Roman"/>
        </w:rPr>
        <w:t xml:space="preserve"> to be larger or smaller than the point predictions from real option theory. The theoretical framework explored how risk aversion could cause deviations from real option theory when the spread of outcomes increases. I test the difference between the average </w:t>
      </w:r>
      <m:oMath>
        <m:r>
          <w:rPr>
            <w:rFonts w:ascii="Cambria Math" w:hAnsi="Cambria Math" w:cs="Times New Roman"/>
          </w:rPr>
          <m:t>WTP</m:t>
        </m:r>
      </m:oMath>
      <w:r w:rsidRPr="00163E69">
        <w:rPr>
          <w:rFonts w:ascii="Times New Roman" w:hAnsi="Times New Roman" w:cs="Times New Roman"/>
        </w:rPr>
        <w:t xml:space="preserve"> for low spread lotteries and the average point predictions for those lotteries from real option theory. I find no statistical difference between the </w:t>
      </w:r>
      <m:oMath>
        <m:r>
          <w:rPr>
            <w:rFonts w:ascii="Cambria Math" w:hAnsi="Cambria Math" w:cs="Times New Roman"/>
          </w:rPr>
          <m:t>WTP</m:t>
        </m:r>
      </m:oMath>
      <w:r w:rsidRPr="00163E69">
        <w:rPr>
          <w:rFonts w:ascii="Times New Roman" w:hAnsi="Times New Roman" w:cs="Times New Roman"/>
        </w:rPr>
        <w:t xml:space="preserve"> and point predictions for low spread lotteries (</w:t>
      </w:r>
      <m:oMath>
        <m:r>
          <w:rPr>
            <w:rFonts w:ascii="Cambria Math" w:hAnsi="Cambria Math" w:cs="Times New Roman"/>
          </w:rPr>
          <m:t>p=0.970</m:t>
        </m:r>
      </m:oMath>
      <w:r w:rsidRPr="00163E69">
        <w:rPr>
          <w:rFonts w:ascii="Times New Roman" w:hAnsi="Times New Roman" w:cs="Times New Roman"/>
        </w:rPr>
        <w:t xml:space="preserve">). This suggests that participants behave consistent with real option theory even when considering the magnitudes. Similarly, I test the difference between the </w:t>
      </w:r>
      <m:oMath>
        <m:r>
          <w:rPr>
            <w:rFonts w:ascii="Cambria Math" w:hAnsi="Cambria Math" w:cs="Times New Roman"/>
          </w:rPr>
          <m:t>WTP</m:t>
        </m:r>
      </m:oMath>
      <w:r w:rsidRPr="00163E69">
        <w:rPr>
          <w:rFonts w:ascii="Times New Roman" w:hAnsi="Times New Roman" w:cs="Times New Roman"/>
        </w:rPr>
        <w:t xml:space="preserve"> for high spread lotteries and the point predictions, and I find no statistical difference (</w:t>
      </w:r>
      <m:oMath>
        <m:r>
          <w:rPr>
            <w:rFonts w:ascii="Cambria Math" w:hAnsi="Cambria Math" w:cs="Times New Roman"/>
          </w:rPr>
          <m:t>p=0.478</m:t>
        </m:r>
      </m:oMath>
      <w:r w:rsidRPr="00163E69">
        <w:rPr>
          <w:rFonts w:ascii="Times New Roman" w:hAnsi="Times New Roman" w:cs="Times New Roman"/>
        </w:rPr>
        <w:t>). These results suggest that participants behave consistently with real option theory with changes in the spread of outcomes.</w:t>
      </w:r>
    </w:p>
    <w:p w14:paraId="56BDAC62"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In hypothesis 3, I examine the effect of changing the expected value of the lottery relative to the outside option on willingness to pay. I find that participants have a higher </w:t>
      </w:r>
      <m:oMath>
        <m:r>
          <w:rPr>
            <w:rFonts w:ascii="Cambria Math" w:hAnsi="Cambria Math" w:cs="Times New Roman"/>
          </w:rPr>
          <m:t>WTP</m:t>
        </m:r>
      </m:oMath>
      <w:r w:rsidRPr="00163E69">
        <w:rPr>
          <w:rFonts w:ascii="Times New Roman" w:hAnsi="Times New Roman" w:cs="Times New Roman"/>
        </w:rPr>
        <w:t xml:space="preserve"> for lotteries with an expected value greater than the outside option (</w:t>
      </w:r>
      <m:oMath>
        <m:r>
          <w:rPr>
            <w:rFonts w:ascii="Cambria Math" w:hAnsi="Cambria Math" w:cs="Times New Roman"/>
          </w:rPr>
          <m:t>p&lt;0.001</m:t>
        </m:r>
      </m:oMath>
      <w:r w:rsidRPr="00163E69">
        <w:rPr>
          <w:rFonts w:ascii="Times New Roman" w:hAnsi="Times New Roman" w:cs="Times New Roman"/>
        </w:rPr>
        <w:t xml:space="preserve">). For my experimental lotteries, real option theory suggests that the expected value relative to the outside option should not change </w:t>
      </w:r>
      <m:oMath>
        <m:r>
          <w:rPr>
            <w:rFonts w:ascii="Cambria Math" w:hAnsi="Cambria Math" w:cs="Times New Roman"/>
          </w:rPr>
          <m:t>WTP</m:t>
        </m:r>
      </m:oMath>
      <w:r w:rsidRPr="00163E69">
        <w:rPr>
          <w:rFonts w:ascii="Times New Roman" w:hAnsi="Times New Roman" w:cs="Times New Roman"/>
        </w:rPr>
        <w:t xml:space="preserve">. This suggests that participants perceive </w:t>
      </w:r>
      <w:r w:rsidRPr="00163E69">
        <w:rPr>
          <w:rFonts w:ascii="Times New Roman" w:hAnsi="Times New Roman" w:cs="Times New Roman"/>
        </w:rPr>
        <w:lastRenderedPageBreak/>
        <w:t xml:space="preserve">lotteries conditional on the expected value. For example, participants might categorize lotteries with an expected value less than the outside option as an undesirable lottery. Rather than consider the value of paying for information, they might choose the outside option. This would decrease the estimated </w:t>
      </w:r>
      <m:oMath>
        <m:r>
          <w:rPr>
            <w:rFonts w:ascii="Cambria Math" w:hAnsi="Cambria Math" w:cs="Times New Roman"/>
          </w:rPr>
          <m:t>WTP</m:t>
        </m:r>
      </m:oMath>
      <w:r w:rsidRPr="00163E69">
        <w:rPr>
          <w:rFonts w:ascii="Times New Roman" w:hAnsi="Times New Roman" w:cs="Times New Roman"/>
        </w:rPr>
        <w:t xml:space="preserve"> which is consistent with my results.</w:t>
      </w:r>
    </w:p>
    <w:p w14:paraId="458B11CE" w14:textId="4EF931C1"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In hypothesis 4, I test whether increasing the probability of the high outcome from p=0.5 to p=0.85 decreases </w:t>
      </w:r>
      <m:oMath>
        <m:r>
          <w:rPr>
            <w:rFonts w:ascii="Cambria Math" w:hAnsi="Cambria Math" w:cs="Times New Roman"/>
          </w:rPr>
          <m:t>WTP</m:t>
        </m:r>
      </m:oMath>
      <w:r w:rsidRPr="00163E69">
        <w:rPr>
          <w:rFonts w:ascii="Times New Roman" w:hAnsi="Times New Roman" w:cs="Times New Roman"/>
        </w:rPr>
        <w:t xml:space="preserve">. For the experimental lotteries, real option theory predicts a lower </w:t>
      </w:r>
      <m:oMath>
        <m:r>
          <w:rPr>
            <w:rFonts w:ascii="Cambria Math" w:hAnsi="Cambria Math" w:cs="Times New Roman"/>
          </w:rPr>
          <m:t>WTP</m:t>
        </m:r>
      </m:oMath>
      <w:r w:rsidRPr="00163E69">
        <w:rPr>
          <w:rFonts w:ascii="Times New Roman" w:hAnsi="Times New Roman" w:cs="Times New Roman"/>
        </w:rPr>
        <w:t xml:space="preserve"> for high probability of high outcome lotteries. I reject the null hypothesis (</w:t>
      </w:r>
      <m:oMath>
        <m:r>
          <w:rPr>
            <w:rFonts w:ascii="Cambria Math" w:hAnsi="Cambria Math" w:cs="Times New Roman"/>
          </w:rPr>
          <m:t>p&lt;0.001</m:t>
        </m:r>
      </m:oMath>
      <w:r w:rsidRPr="00163E69">
        <w:rPr>
          <w:rFonts w:ascii="Times New Roman" w:hAnsi="Times New Roman" w:cs="Times New Roman"/>
        </w:rPr>
        <w:t>)</w:t>
      </w:r>
      <w:r>
        <w:rPr>
          <w:rFonts w:ascii="Times New Roman" w:hAnsi="Times New Roman" w:cs="Times New Roman"/>
        </w:rPr>
        <w:t xml:space="preserve"> that the </w:t>
      </w:r>
      <m:oMath>
        <m:r>
          <w:rPr>
            <w:rFonts w:ascii="Cambria Math" w:hAnsi="Cambria Math" w:cs="Times New Roman"/>
          </w:rPr>
          <m:t>WTP</m:t>
        </m:r>
      </m:oMath>
      <w:r>
        <w:rPr>
          <w:rFonts w:ascii="Times New Roman" w:hAnsi="Times New Roman" w:cs="Times New Roman"/>
        </w:rPr>
        <w:t xml:space="preserve"> is equal</w:t>
      </w:r>
      <w:r w:rsidRPr="00163E69">
        <w:rPr>
          <w:rFonts w:ascii="Times New Roman" w:hAnsi="Times New Roman" w:cs="Times New Roman"/>
        </w:rPr>
        <w:t xml:space="preserve">, suggesting that participants respond to changes in probability according to real option theory. However, the magnitude of the effect could be inconsistent with the point predictions from real option theory. To test this, I compare the estimated </w:t>
      </w:r>
      <m:oMath>
        <m:r>
          <w:rPr>
            <w:rFonts w:ascii="Cambria Math" w:hAnsi="Cambria Math" w:cs="Times New Roman"/>
          </w:rPr>
          <m:t>WTP</m:t>
        </m:r>
      </m:oMath>
      <w:r w:rsidRPr="00163E69">
        <w:rPr>
          <w:rFonts w:ascii="Times New Roman" w:hAnsi="Times New Roman" w:cs="Times New Roman"/>
        </w:rPr>
        <w:t xml:space="preserve"> for lotteries with p=0.85 to the point predictions from real option theory. I find that participants have a lower </w:t>
      </w:r>
      <m:oMath>
        <m:r>
          <w:rPr>
            <w:rFonts w:ascii="Cambria Math" w:hAnsi="Cambria Math" w:cs="Times New Roman"/>
          </w:rPr>
          <m:t>WTP</m:t>
        </m:r>
      </m:oMath>
      <w:r w:rsidRPr="00163E69">
        <w:rPr>
          <w:rFonts w:ascii="Times New Roman" w:hAnsi="Times New Roman" w:cs="Times New Roman"/>
        </w:rPr>
        <w:t xml:space="preserve"> than is predicted by real option theory. However, as seen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_Ref164680765 \h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bCs/>
        </w:rPr>
        <w:t xml:space="preserve">Table </w:t>
      </w:r>
      <w:r w:rsidR="00142A7E">
        <w:rPr>
          <w:rFonts w:ascii="Times New Roman" w:hAnsi="Times New Roman" w:cs="Times New Roman"/>
          <w:bCs/>
          <w:noProof/>
        </w:rPr>
        <w:t>8</w:t>
      </w:r>
      <w:r w:rsidRPr="00163E69">
        <w:rPr>
          <w:rFonts w:ascii="Times New Roman" w:hAnsi="Times New Roman" w:cs="Times New Roman"/>
        </w:rPr>
        <w:fldChar w:fldCharType="end"/>
      </w:r>
      <w:r w:rsidRPr="00163E69">
        <w:rPr>
          <w:rFonts w:ascii="Times New Roman" w:hAnsi="Times New Roman" w:cs="Times New Roman"/>
        </w:rPr>
        <w:t>, the effect of probability weighting is conditional on the expected value of the lottery relative to the outside option. I retest this separately conditional on the expected value of the lottery. I would expect the willingness to pay to increase relative to real option theory when the expected value of the lottery is larger than the outside option, but I do not find a statistically significant difference (</w:t>
      </w:r>
      <m:oMath>
        <m:r>
          <w:rPr>
            <w:rFonts w:ascii="Cambria Math" w:hAnsi="Cambria Math" w:cs="Times New Roman"/>
          </w:rPr>
          <m:t>p=0.492</m:t>
        </m:r>
      </m:oMath>
      <w:r w:rsidRPr="00163E69">
        <w:rPr>
          <w:rFonts w:ascii="Times New Roman" w:hAnsi="Times New Roman" w:cs="Times New Roman"/>
        </w:rPr>
        <w:t xml:space="preserve">). I would expect the willingness to pay to decrease relative to real option theory when the expected value of the lottery is less than the outside option, and I do find a statistically significant decrease in </w:t>
      </w:r>
      <m:oMath>
        <m:r>
          <w:rPr>
            <w:rFonts w:ascii="Cambria Math" w:hAnsi="Cambria Math" w:cs="Times New Roman"/>
          </w:rPr>
          <m:t>WTP</m:t>
        </m:r>
      </m:oMath>
      <w:r w:rsidRPr="00163E69">
        <w:rPr>
          <w:rFonts w:ascii="Times New Roman" w:hAnsi="Times New Roman" w:cs="Times New Roman"/>
        </w:rPr>
        <w:t xml:space="preserve"> (</w:t>
      </w:r>
      <m:oMath>
        <m:r>
          <w:rPr>
            <w:rFonts w:ascii="Cambria Math" w:hAnsi="Cambria Math" w:cs="Times New Roman"/>
          </w:rPr>
          <m:t>p&lt;0.001</m:t>
        </m:r>
      </m:oMath>
      <w:r w:rsidRPr="00163E69">
        <w:rPr>
          <w:rFonts w:ascii="Times New Roman" w:hAnsi="Times New Roman" w:cs="Times New Roman"/>
        </w:rPr>
        <w:t xml:space="preserve">). I conclude that participants behavior is consistent with probability weighting for high probability high outcome lotteries. </w:t>
      </w:r>
    </w:p>
    <w:p w14:paraId="61694012" w14:textId="77777777" w:rsidR="00142A7E" w:rsidRPr="00163E69" w:rsidRDefault="00C565FD" w:rsidP="00C565FD">
      <w:pPr>
        <w:keepNext/>
        <w:spacing w:line="480" w:lineRule="auto"/>
        <w:rPr>
          <w:rFonts w:ascii="Times New Roman" w:hAnsi="Times New Roman" w:cs="Times New Roman"/>
          <w:bCs/>
        </w:rPr>
      </w:pPr>
      <w:r w:rsidRPr="00163E69">
        <w:rPr>
          <w:rFonts w:ascii="Times New Roman" w:hAnsi="Times New Roman" w:cs="Times New Roman"/>
        </w:rPr>
        <w:lastRenderedPageBreak/>
        <w:tab/>
        <w:t xml:space="preserve">In hypothesis 5, I test whether increasing the probability of the high outcome from p=0.15 to p=0. 5 increases </w:t>
      </w:r>
      <m:oMath>
        <m:r>
          <w:rPr>
            <w:rFonts w:ascii="Cambria Math" w:hAnsi="Cambria Math" w:cs="Times New Roman"/>
          </w:rPr>
          <m:t>WTP</m:t>
        </m:r>
      </m:oMath>
      <w:r w:rsidRPr="00163E69">
        <w:rPr>
          <w:rFonts w:ascii="Times New Roman" w:hAnsi="Times New Roman" w:cs="Times New Roman"/>
        </w:rPr>
        <w:t xml:space="preserve">. For the experimental lotteries, real option theory predicts a higher </w:t>
      </w:r>
      <m:oMath>
        <m:r>
          <w:rPr>
            <w:rFonts w:ascii="Cambria Math" w:hAnsi="Cambria Math" w:cs="Times New Roman"/>
          </w:rPr>
          <m:t>WTP</m:t>
        </m:r>
      </m:oMath>
      <w:r w:rsidRPr="00163E69">
        <w:rPr>
          <w:rFonts w:ascii="Times New Roman" w:hAnsi="Times New Roman" w:cs="Times New Roman"/>
        </w:rPr>
        <w:t>. I reject the null hypothesis (</w:t>
      </w:r>
      <m:oMath>
        <m:r>
          <w:rPr>
            <w:rFonts w:ascii="Cambria Math" w:hAnsi="Cambria Math" w:cs="Times New Roman"/>
          </w:rPr>
          <m:t>p&lt;0.001</m:t>
        </m:r>
      </m:oMath>
      <w:r w:rsidRPr="00163E69">
        <w:rPr>
          <w:rFonts w:ascii="Times New Roman" w:hAnsi="Times New Roman" w:cs="Times New Roman"/>
        </w:rPr>
        <w:t>)</w:t>
      </w:r>
      <w:r>
        <w:rPr>
          <w:rFonts w:ascii="Times New Roman" w:hAnsi="Times New Roman" w:cs="Times New Roman"/>
        </w:rPr>
        <w:t xml:space="preserve"> that </w:t>
      </w:r>
      <m:oMath>
        <m:r>
          <w:rPr>
            <w:rFonts w:ascii="Cambria Math" w:hAnsi="Cambria Math" w:cs="Times New Roman"/>
          </w:rPr>
          <m:t>WTP</m:t>
        </m:r>
      </m:oMath>
      <w:r>
        <w:rPr>
          <w:rFonts w:ascii="Times New Roman" w:hAnsi="Times New Roman" w:cs="Times New Roman"/>
        </w:rPr>
        <w:t xml:space="preserve"> is equal for </w:t>
      </w:r>
      <w:r w:rsidRPr="00163E69">
        <w:rPr>
          <w:rFonts w:ascii="Times New Roman" w:hAnsi="Times New Roman" w:cs="Times New Roman"/>
        </w:rPr>
        <w:t xml:space="preserve">p=0.15 </w:t>
      </w:r>
      <w:r>
        <w:rPr>
          <w:rFonts w:ascii="Times New Roman" w:hAnsi="Times New Roman" w:cs="Times New Roman"/>
        </w:rPr>
        <w:t>and</w:t>
      </w:r>
      <w:r w:rsidRPr="00163E69">
        <w:rPr>
          <w:rFonts w:ascii="Times New Roman" w:hAnsi="Times New Roman" w:cs="Times New Roman"/>
        </w:rPr>
        <w:t xml:space="preserve"> p=0. 5, suggesting that participants respond to changes in probability according to real option theory. Similar to before, the magnitude of the effect could be inconsistent with the point predictions from real option theory. To test this, I compare the estimated </w:t>
      </w:r>
      <m:oMath>
        <m:r>
          <w:rPr>
            <w:rFonts w:ascii="Cambria Math" w:hAnsi="Cambria Math" w:cs="Times New Roman"/>
          </w:rPr>
          <m:t>WTP</m:t>
        </m:r>
      </m:oMath>
      <w:r w:rsidRPr="00163E69">
        <w:rPr>
          <w:rFonts w:ascii="Times New Roman" w:hAnsi="Times New Roman" w:cs="Times New Roman"/>
        </w:rPr>
        <w:t xml:space="preserve"> for lotteries with p=0.15 to the point predictions from real option theory. I find that participants have a higher </w:t>
      </w:r>
      <m:oMath>
        <m:r>
          <w:rPr>
            <w:rFonts w:ascii="Cambria Math" w:hAnsi="Cambria Math" w:cs="Times New Roman"/>
          </w:rPr>
          <m:t>WTP</m:t>
        </m:r>
      </m:oMath>
      <w:r w:rsidRPr="00163E69">
        <w:rPr>
          <w:rFonts w:ascii="Times New Roman" w:hAnsi="Times New Roman" w:cs="Times New Roman"/>
        </w:rPr>
        <w:t xml:space="preserve"> than is predicted by real option theory (</w:t>
      </w:r>
      <m:oMath>
        <m:r>
          <w:rPr>
            <w:rFonts w:ascii="Cambria Math" w:hAnsi="Cambria Math" w:cs="Times New Roman"/>
          </w:rPr>
          <m:t>p&lt;0.001</m:t>
        </m:r>
      </m:oMath>
      <w:r w:rsidRPr="00163E69">
        <w:rPr>
          <w:rFonts w:ascii="Times New Roman" w:hAnsi="Times New Roman" w:cs="Times New Roman"/>
        </w:rPr>
        <w:t xml:space="preserve">). The theoretical framework gives further insight into the predicted effect conditional on the expected value of the lottery, as seen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_Ref164680765 \h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bCs/>
        </w:rPr>
        <w:t xml:space="preserve">Table </w:t>
      </w:r>
      <w:r w:rsidR="00142A7E">
        <w:rPr>
          <w:rFonts w:ascii="Times New Roman" w:hAnsi="Times New Roman" w:cs="Times New Roman"/>
          <w:bCs/>
          <w:noProof/>
        </w:rPr>
        <w:t>8</w:t>
      </w:r>
      <w:r w:rsidRPr="00163E69">
        <w:rPr>
          <w:rFonts w:ascii="Times New Roman" w:hAnsi="Times New Roman" w:cs="Times New Roman"/>
        </w:rPr>
        <w:fldChar w:fldCharType="end"/>
      </w:r>
      <w:r w:rsidRPr="00163E69">
        <w:rPr>
          <w:rFonts w:ascii="Times New Roman" w:hAnsi="Times New Roman" w:cs="Times New Roman"/>
        </w:rPr>
        <w:fldChar w:fldCharType="begin"/>
      </w:r>
      <w:r w:rsidRPr="00163E69">
        <w:rPr>
          <w:rFonts w:ascii="Times New Roman" w:hAnsi="Times New Roman" w:cs="Times New Roman"/>
        </w:rPr>
        <w:instrText xml:space="preserve"> REF _Ref160542283 \h  \* MERGEFORMAT </w:instrText>
      </w:r>
      <w:r w:rsidRPr="00163E69">
        <w:rPr>
          <w:rFonts w:ascii="Times New Roman" w:hAnsi="Times New Roman" w:cs="Times New Roman"/>
        </w:rPr>
      </w:r>
      <w:r w:rsidR="00000000">
        <w:rPr>
          <w:rFonts w:ascii="Times New Roman" w:hAnsi="Times New Roman" w:cs="Times New Roman"/>
        </w:rPr>
        <w:fldChar w:fldCharType="separate"/>
      </w:r>
    </w:p>
    <w:p w14:paraId="0336DC63" w14:textId="30945E15" w:rsidR="00C565FD" w:rsidRPr="00163E69" w:rsidRDefault="00142A7E" w:rsidP="00C565FD">
      <w:pPr>
        <w:spacing w:line="480" w:lineRule="auto"/>
        <w:rPr>
          <w:rFonts w:ascii="Times New Roman" w:hAnsi="Times New Roman" w:cs="Times New Roman"/>
        </w:rPr>
      </w:pPr>
      <w:r w:rsidRPr="00163E69">
        <w:rPr>
          <w:rFonts w:ascii="Times New Roman" w:hAnsi="Times New Roman" w:cs="Times New Roman"/>
          <w:bCs/>
        </w:rPr>
        <w:t xml:space="preserve">Table </w:t>
      </w:r>
      <w:r>
        <w:rPr>
          <w:rFonts w:ascii="Times New Roman" w:hAnsi="Times New Roman" w:cs="Times New Roman"/>
          <w:bCs/>
          <w:noProof/>
        </w:rPr>
        <w:t>8</w:t>
      </w:r>
      <w:r w:rsidR="00C565FD" w:rsidRPr="00163E69">
        <w:rPr>
          <w:rFonts w:ascii="Times New Roman" w:hAnsi="Times New Roman" w:cs="Times New Roman"/>
        </w:rPr>
        <w:fldChar w:fldCharType="end"/>
      </w:r>
      <w:r w:rsidR="00C565FD" w:rsidRPr="00163E69">
        <w:rPr>
          <w:rFonts w:ascii="Times New Roman" w:hAnsi="Times New Roman" w:cs="Times New Roman"/>
        </w:rPr>
        <w:t>. I would expect the opposite effect as in hypothesis 4. When the expected value of the lottery is greater than the outside option, I find a marginal increase in willingness to pay relative to real option theory (</w:t>
      </w:r>
      <m:oMath>
        <m:r>
          <w:rPr>
            <w:rFonts w:ascii="Cambria Math" w:hAnsi="Cambria Math" w:cs="Times New Roman"/>
          </w:rPr>
          <m:t>p=0.061</m:t>
        </m:r>
      </m:oMath>
      <w:r w:rsidR="00C565FD" w:rsidRPr="00163E69">
        <w:rPr>
          <w:rFonts w:ascii="Times New Roman" w:hAnsi="Times New Roman" w:cs="Times New Roman"/>
        </w:rPr>
        <w:t>). I would expect the willingness to pay to decrease under these circumstances, but the effect is only marginally statistically significant. When the expected value of the lottery is less than the outside option, I find a statistically significant increase in willingness to pay relative to real option theory (</w:t>
      </w:r>
      <m:oMath>
        <m:r>
          <w:rPr>
            <w:rFonts w:ascii="Cambria Math" w:hAnsi="Cambria Math" w:cs="Times New Roman"/>
          </w:rPr>
          <m:t>p&lt;0.001</m:t>
        </m:r>
      </m:oMath>
      <w:r w:rsidR="00C565FD" w:rsidRPr="00163E69">
        <w:rPr>
          <w:rFonts w:ascii="Times New Roman" w:hAnsi="Times New Roman" w:cs="Times New Roman"/>
        </w:rPr>
        <w:t>). I would expect willingness to pay to increase under these circumstances, and the statistical evidence is much more convincing. I conclude that participants exhibit behavior consistent with probability weighting when faced with low probability of high outcome lotteries.</w:t>
      </w:r>
    </w:p>
    <w:p w14:paraId="6AB17F8E" w14:textId="34FB91AD"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Finally, I consider the special case of low probability and high severity events. Real option theory does not give clear directional predictions, so I focus on deviations </w:t>
      </w:r>
      <w:r w:rsidRPr="00163E69">
        <w:rPr>
          <w:rFonts w:ascii="Times New Roman" w:hAnsi="Times New Roman" w:cs="Times New Roman"/>
        </w:rPr>
        <w:lastRenderedPageBreak/>
        <w:t xml:space="preserve">from the predicted magnitude of </w:t>
      </w:r>
      <m:oMath>
        <m:r>
          <w:rPr>
            <w:rFonts w:ascii="Cambria Math" w:hAnsi="Cambria Math" w:cs="Times New Roman"/>
          </w:rPr>
          <m:t>WTP</m:t>
        </m:r>
      </m:oMath>
      <w:r w:rsidRPr="00163E69">
        <w:rPr>
          <w:rFonts w:ascii="Times New Roman" w:hAnsi="Times New Roman" w:cs="Times New Roman"/>
        </w:rPr>
        <w:t xml:space="preserve">. To test this, I compare estimated </w:t>
      </w:r>
      <m:oMath>
        <m:r>
          <w:rPr>
            <w:rFonts w:ascii="Cambria Math" w:hAnsi="Cambria Math" w:cs="Times New Roman"/>
          </w:rPr>
          <m:t>WTP</m:t>
        </m:r>
      </m:oMath>
      <w:r w:rsidRPr="00163E69">
        <w:rPr>
          <w:rFonts w:ascii="Times New Roman" w:hAnsi="Times New Roman" w:cs="Times New Roman"/>
        </w:rPr>
        <w:t xml:space="preserve"> for lotteries with low-probabilities and high spread of outcomes to the predictions from real option theory. For low-probability high-severity undesirable events (p=0.85), I find evidence that participants’ willingness to pay decreases relative to real option theory for lotteries with a high probability of the high outcome and large spread (</w:t>
      </w:r>
      <m:oMath>
        <m:r>
          <w:rPr>
            <w:rFonts w:ascii="Cambria Math" w:hAnsi="Cambria Math" w:cs="Times New Roman"/>
          </w:rPr>
          <m:t>p=0.004</m:t>
        </m:r>
      </m:oMath>
      <w:r w:rsidRPr="00163E69">
        <w:rPr>
          <w:rFonts w:ascii="Times New Roman" w:hAnsi="Times New Roman" w:cs="Times New Roman"/>
        </w:rPr>
        <w:t xml:space="preserve">). Unlike previously, the predicted interaction effects between probability weighting and risk aversion are largely ambiguous, as seen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_Ref160542440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Table </w:t>
      </w:r>
      <w:r w:rsidR="00142A7E">
        <w:rPr>
          <w:rFonts w:ascii="Times New Roman" w:hAnsi="Times New Roman" w:cs="Times New Roman"/>
          <w:noProof/>
        </w:rPr>
        <w:t>9</w:t>
      </w:r>
      <w:r w:rsidRPr="00163E69">
        <w:rPr>
          <w:rFonts w:ascii="Times New Roman" w:hAnsi="Times New Roman" w:cs="Times New Roman"/>
        </w:rPr>
        <w:fldChar w:fldCharType="end"/>
      </w:r>
      <w:r w:rsidRPr="00163E69">
        <w:rPr>
          <w:rFonts w:ascii="Times New Roman" w:hAnsi="Times New Roman" w:cs="Times New Roman"/>
        </w:rPr>
        <w:t>. The only predicted effect is a decrease in willingness to pay when the expected value of the lottery is less than the outside option. For an expected value greater than the outside option, I find no significant effect (</w:t>
      </w:r>
      <m:oMath>
        <m:r>
          <w:rPr>
            <w:rFonts w:ascii="Cambria Math" w:hAnsi="Cambria Math" w:cs="Times New Roman"/>
          </w:rPr>
          <m:t>p=0.360</m:t>
        </m:r>
      </m:oMath>
      <w:r w:rsidRPr="00163E69">
        <w:rPr>
          <w:rFonts w:ascii="Times New Roman" w:hAnsi="Times New Roman" w:cs="Times New Roman"/>
        </w:rPr>
        <w:t xml:space="preserve">). However, for an expected value less than the outside option, I find a significant decrease in </w:t>
      </w:r>
      <m:oMath>
        <m:r>
          <w:rPr>
            <w:rFonts w:ascii="Cambria Math" w:hAnsi="Cambria Math" w:cs="Times New Roman"/>
          </w:rPr>
          <m:t>WTP</m:t>
        </m:r>
      </m:oMath>
      <w:r w:rsidRPr="00163E69">
        <w:rPr>
          <w:rFonts w:ascii="Times New Roman" w:hAnsi="Times New Roman" w:cs="Times New Roman"/>
        </w:rPr>
        <w:t xml:space="preserve"> relative to real option theory (</w:t>
      </w:r>
      <m:oMath>
        <m:r>
          <w:rPr>
            <w:rFonts w:ascii="Cambria Math" w:hAnsi="Cambria Math" w:cs="Times New Roman"/>
          </w:rPr>
          <m:t>p&lt;0.001</m:t>
        </m:r>
      </m:oMath>
      <w:r w:rsidRPr="00163E69">
        <w:rPr>
          <w:rFonts w:ascii="Times New Roman" w:hAnsi="Times New Roman" w:cs="Times New Roman"/>
        </w:rPr>
        <w:t>) which would be consistent with interaction of probability weighting and risk aversion from the theoretical framework. I conclude that participants behave consistent with probability weighting and risk aversion when faced with low probability high severity undesirable events.</w:t>
      </w:r>
    </w:p>
    <w:p w14:paraId="36775044"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For low-probability high-severity desirable events (p=0.15), I find evidence that participants’ willingness to pay increases relative to real option theory for lotteries with a low probability of the high outcome and large spread (</w:t>
      </w:r>
      <m:oMath>
        <m:r>
          <w:rPr>
            <w:rFonts w:ascii="Cambria Math" w:hAnsi="Cambria Math" w:cs="Times New Roman"/>
          </w:rPr>
          <m:t>p&lt;0.001</m:t>
        </m:r>
      </m:oMath>
      <w:r w:rsidRPr="00163E69">
        <w:rPr>
          <w:rFonts w:ascii="Times New Roman" w:hAnsi="Times New Roman" w:cs="Times New Roman"/>
        </w:rPr>
        <w:t>). The theoretical framework does not give any insight into the expected behavior. However, it is useful to understand that under low-probability high-severity outcomes, magnitude predictions from real option theory do not accurately describe participants’ behavior. Simultaneously, participants behaved consistently with directional predictions from real option theory.</w:t>
      </w:r>
    </w:p>
    <w:p w14:paraId="1A4F1DD7" w14:textId="77777777" w:rsidR="00C565FD" w:rsidRPr="00163E69" w:rsidRDefault="00C565FD" w:rsidP="00C565FD">
      <w:pPr>
        <w:keepNext/>
        <w:spacing w:before="240" w:after="60" w:line="480" w:lineRule="auto"/>
        <w:jc w:val="center"/>
        <w:outlineLvl w:val="1"/>
        <w:rPr>
          <w:rFonts w:ascii="Times New Roman" w:hAnsi="Times New Roman" w:cs="Times New Roman"/>
          <w:b/>
          <w:bCs/>
          <w:iCs/>
        </w:rPr>
      </w:pPr>
      <w:bookmarkStart w:id="77" w:name="_Toc160720149"/>
      <w:bookmarkStart w:id="78" w:name="_Toc164862516"/>
      <w:r w:rsidRPr="00163E69">
        <w:rPr>
          <w:rFonts w:ascii="Times New Roman" w:hAnsi="Times New Roman" w:cs="Times New Roman"/>
          <w:b/>
          <w:bCs/>
          <w:iCs/>
        </w:rPr>
        <w:lastRenderedPageBreak/>
        <w:t>2.5 CONCLUSION</w:t>
      </w:r>
      <w:bookmarkEnd w:id="77"/>
      <w:bookmarkEnd w:id="78"/>
    </w:p>
    <w:p w14:paraId="6838927A"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ab/>
        <w:t xml:space="preserve">When economic agents make decisions in low-probability high-severity contexts, such as choosing among climate change policies, real option theory provides insight into the value of information or the timing of implementing irreversible decisions. In this paper, I experimentally tested whether individuals behave according to real option theory specifically under low-probability high-severity conditions. First, I found that real option theory accurately describes participant behavior when changing the probabilities and increasing the spread of the outcomes. However, changing outcomes from gains to loss space and changing the expected value of the lottery relative to the outside option both significantly change </w:t>
      </w:r>
      <m:oMath>
        <m:r>
          <w:rPr>
            <w:rFonts w:ascii="Cambria Math" w:hAnsi="Cambria Math" w:cs="Times New Roman"/>
          </w:rPr>
          <m:t>WTP</m:t>
        </m:r>
      </m:oMath>
      <w:r w:rsidRPr="00163E69">
        <w:rPr>
          <w:rFonts w:ascii="Times New Roman" w:hAnsi="Times New Roman" w:cs="Times New Roman"/>
        </w:rPr>
        <w:t xml:space="preserve"> when real option theory predicts no change. Second, I compare real option theory point predictions to estimated </w:t>
      </w:r>
      <m:oMath>
        <m:r>
          <w:rPr>
            <w:rFonts w:ascii="Cambria Math" w:hAnsi="Cambria Math" w:cs="Times New Roman"/>
          </w:rPr>
          <m:t>WTP</m:t>
        </m:r>
      </m:oMath>
      <w:r w:rsidRPr="00163E69">
        <w:rPr>
          <w:rFonts w:ascii="Times New Roman" w:hAnsi="Times New Roman" w:cs="Times New Roman"/>
        </w:rPr>
        <w:t xml:space="preserve"> to test whether the magnitude of predictions accurately describe participants’ behavior. I find evidence consistent with probability weighting as described in the theoretical framework when participants face low-probability high-spread outcomes. When the expected value of the lottery is less than the outside option, </w:t>
      </w:r>
      <m:oMath>
        <m:r>
          <w:rPr>
            <w:rFonts w:ascii="Cambria Math" w:hAnsi="Cambria Math" w:cs="Times New Roman"/>
          </w:rPr>
          <m:t>WTP</m:t>
        </m:r>
      </m:oMath>
      <w:r w:rsidRPr="00163E69">
        <w:rPr>
          <w:rFonts w:ascii="Times New Roman" w:hAnsi="Times New Roman" w:cs="Times New Roman"/>
        </w:rPr>
        <w:t xml:space="preserve"> is lower than real option theory predicts for p=0.85 and higher than real option theory predicts for p=0.15. Both results are consistent with the predicted deviations from real option theory that comes from probability weighting in the theoretical framework. These results suggest that caution should be used when using real option theory to describe individual behavior. While the results generally support the directional predictions of real option theory for low-probability high-severity events, participants’ behavior exhibit deviations from point predictions. When policymakers are considering low-probability high-severity outcomes, voters’ preferences </w:t>
      </w:r>
      <w:r w:rsidRPr="00163E69">
        <w:rPr>
          <w:rFonts w:ascii="Times New Roman" w:hAnsi="Times New Roman" w:cs="Times New Roman"/>
        </w:rPr>
        <w:lastRenderedPageBreak/>
        <w:t xml:space="preserve">may differ from real option theory predictions. For example, real option theory describes the optimal timing of implementing climate change policy, but my results show that voters may not support such policy. </w:t>
      </w:r>
    </w:p>
    <w:p w14:paraId="5D583633"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These results do not come without limitations. The experiment and analysis avoided any context which might influence participant behavior. This means the results apply to a wide range of applications, but caution should be taken when making inferences about any policy as other contextual preferences are likely to change </w:t>
      </w:r>
      <w:r>
        <w:rPr>
          <w:rFonts w:ascii="Times New Roman" w:hAnsi="Times New Roman" w:cs="Times New Roman"/>
        </w:rPr>
        <w:t>the</w:t>
      </w:r>
      <w:r w:rsidRPr="00163E69">
        <w:rPr>
          <w:rFonts w:ascii="Times New Roman" w:hAnsi="Times New Roman" w:cs="Times New Roman"/>
        </w:rPr>
        <w:t xml:space="preserve"> results. Further, the severity of the lottery outcomes that participants faced was arguably smaller than most contexts individuals might face due to financial constraints. For example, environmental policies have much higher variability in outcomes than the difference of $8 in </w:t>
      </w:r>
      <w:r>
        <w:rPr>
          <w:rFonts w:ascii="Times New Roman" w:hAnsi="Times New Roman" w:cs="Times New Roman"/>
        </w:rPr>
        <w:t>the</w:t>
      </w:r>
      <w:r w:rsidRPr="00163E69">
        <w:rPr>
          <w:rFonts w:ascii="Times New Roman" w:hAnsi="Times New Roman" w:cs="Times New Roman"/>
        </w:rPr>
        <w:t xml:space="preserve"> experiment. I argue that the effects seen in the results would be further amplified with a greater spread and lower probability.</w:t>
      </w:r>
    </w:p>
    <w:p w14:paraId="1C24213D"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I conclude that individuals behave according to directional predictions from real option theory with changes in probability and spread, making real option theory an appropriate starting place to model individual behavior. However, when considering point predictions, behavior systematically deviates from real option theory, suggesting individuals exhibit probability-weighting. When considering environmental policy, I would expect voters to value the option to wait and support regulation that reflects real option theory. However, when considering low-probability high-severity outcomes, I conclude that individuals exhibit probability-weighting causing their preferences to diverge from real option theory. In such cases, policymakers face a tradeoff between </w:t>
      </w:r>
      <w:r w:rsidRPr="00163E69">
        <w:rPr>
          <w:rFonts w:ascii="Times New Roman" w:hAnsi="Times New Roman" w:cs="Times New Roman"/>
        </w:rPr>
        <w:lastRenderedPageBreak/>
        <w:t>acting in line with constituents' preferences and implementing the optimal timing of policy according to real option theory.</w:t>
      </w:r>
    </w:p>
    <w:p w14:paraId="311BEB6A" w14:textId="77777777" w:rsidR="00C565FD" w:rsidRPr="00163E69" w:rsidRDefault="00C565FD" w:rsidP="00C565FD">
      <w:pPr>
        <w:spacing w:line="480" w:lineRule="auto"/>
        <w:rPr>
          <w:rFonts w:ascii="Times New Roman" w:hAnsi="Times New Roman" w:cs="Times New Roman"/>
        </w:rPr>
      </w:pPr>
    </w:p>
    <w:p w14:paraId="17231B93" w14:textId="77777777" w:rsidR="00C565FD" w:rsidRPr="00163E69" w:rsidRDefault="00C565FD" w:rsidP="00C565FD">
      <w:pPr>
        <w:rPr>
          <w:rFonts w:ascii="Times New Roman" w:hAnsi="Times New Roman" w:cs="Times New Roman"/>
          <w:b/>
          <w:bCs/>
          <w:iCs/>
          <w:sz w:val="28"/>
          <w:szCs w:val="28"/>
        </w:rPr>
      </w:pPr>
      <w:r w:rsidRPr="00163E69">
        <w:rPr>
          <w:rFonts w:ascii="Times New Roman" w:hAnsi="Times New Roman" w:cs="Times New Roman"/>
        </w:rPr>
        <w:br w:type="page"/>
      </w:r>
    </w:p>
    <w:p w14:paraId="38E5969E" w14:textId="77777777" w:rsidR="00C565FD" w:rsidRPr="00163E69" w:rsidRDefault="00C565FD" w:rsidP="00C565FD">
      <w:pPr>
        <w:keepNext/>
        <w:spacing w:before="240" w:after="60"/>
        <w:jc w:val="center"/>
        <w:outlineLvl w:val="1"/>
        <w:rPr>
          <w:rFonts w:ascii="Times New Roman" w:hAnsi="Times New Roman" w:cs="Times New Roman"/>
          <w:b/>
          <w:bCs/>
          <w:iCs/>
          <w:sz w:val="28"/>
          <w:szCs w:val="28"/>
        </w:rPr>
      </w:pPr>
      <w:bookmarkStart w:id="79" w:name="_Toc160720150"/>
      <w:bookmarkStart w:id="80" w:name="_Toc164862517"/>
      <w:r w:rsidRPr="00163E69">
        <w:rPr>
          <w:rFonts w:ascii="Times New Roman" w:hAnsi="Times New Roman" w:cs="Times New Roman"/>
          <w:b/>
          <w:bCs/>
          <w:iCs/>
          <w:sz w:val="28"/>
          <w:szCs w:val="28"/>
        </w:rPr>
        <w:lastRenderedPageBreak/>
        <w:t>REFERENCES</w:t>
      </w:r>
      <w:bookmarkEnd w:id="79"/>
      <w:bookmarkEnd w:id="80"/>
    </w:p>
    <w:p w14:paraId="5ACFF86C" w14:textId="77777777" w:rsidR="00C565FD" w:rsidRPr="00163E69" w:rsidRDefault="00C565FD" w:rsidP="00C565FD">
      <w:pPr>
        <w:rPr>
          <w:rFonts w:ascii="Times New Roman" w:hAnsi="Times New Roman" w:cs="Times New Roman"/>
        </w:rPr>
      </w:pPr>
    </w:p>
    <w:p w14:paraId="777A3CF2" w14:textId="77777777" w:rsidR="00C565FD" w:rsidRPr="00163E69" w:rsidRDefault="00C565FD" w:rsidP="00C565FD">
      <w:pPr>
        <w:spacing w:line="480" w:lineRule="auto"/>
        <w:rPr>
          <w:rFonts w:ascii="Times New Roman" w:hAnsi="Times New Roman" w:cs="Times New Roman"/>
        </w:rPr>
      </w:pPr>
      <w:bookmarkStart w:id="81" w:name="_Hlk127262506"/>
      <w:r w:rsidRPr="00163E69">
        <w:rPr>
          <w:rFonts w:ascii="Times New Roman" w:hAnsi="Times New Roman" w:cs="Times New Roman"/>
        </w:rPr>
        <w:t xml:space="preserve">Akter, S., Bennett, J., &amp; Ward, M. B. (2012). Climate change scepticism and public </w:t>
      </w:r>
    </w:p>
    <w:p w14:paraId="2780F777" w14:textId="77777777" w:rsidR="00C565FD" w:rsidRPr="00163E69" w:rsidRDefault="00C565FD" w:rsidP="00C565FD">
      <w:pPr>
        <w:spacing w:line="480" w:lineRule="auto"/>
        <w:ind w:firstLine="720"/>
        <w:rPr>
          <w:rFonts w:ascii="Times New Roman" w:hAnsi="Times New Roman" w:cs="Times New Roman"/>
          <w:i/>
          <w:iCs/>
        </w:rPr>
      </w:pPr>
      <w:r w:rsidRPr="00163E69">
        <w:rPr>
          <w:rFonts w:ascii="Times New Roman" w:hAnsi="Times New Roman" w:cs="Times New Roman"/>
        </w:rPr>
        <w:t>support for mitigation: Evidence from an Australian choice experiment. </w:t>
      </w:r>
      <w:r w:rsidRPr="00163E69">
        <w:rPr>
          <w:rFonts w:ascii="Times New Roman" w:hAnsi="Times New Roman" w:cs="Times New Roman"/>
          <w:i/>
          <w:iCs/>
        </w:rPr>
        <w:t xml:space="preserve">Global </w:t>
      </w:r>
    </w:p>
    <w:p w14:paraId="19A26B45" w14:textId="77777777" w:rsidR="00C565FD" w:rsidRPr="00163E69" w:rsidRDefault="00C565FD" w:rsidP="00C565FD">
      <w:pPr>
        <w:spacing w:line="480" w:lineRule="auto"/>
        <w:ind w:left="720"/>
        <w:rPr>
          <w:rFonts w:ascii="Times New Roman" w:hAnsi="Times New Roman" w:cs="Times New Roman"/>
        </w:rPr>
      </w:pPr>
      <w:r w:rsidRPr="00163E69">
        <w:rPr>
          <w:rFonts w:ascii="Times New Roman" w:hAnsi="Times New Roman" w:cs="Times New Roman"/>
          <w:i/>
          <w:iCs/>
        </w:rPr>
        <w:t>Environmental Change</w:t>
      </w:r>
      <w:r w:rsidRPr="00163E69">
        <w:rPr>
          <w:rFonts w:ascii="Times New Roman" w:hAnsi="Times New Roman" w:cs="Times New Roman"/>
        </w:rPr>
        <w:t>, </w:t>
      </w:r>
      <w:r w:rsidRPr="00163E69">
        <w:rPr>
          <w:rFonts w:ascii="Times New Roman" w:hAnsi="Times New Roman" w:cs="Times New Roman"/>
          <w:i/>
          <w:iCs/>
        </w:rPr>
        <w:t>22</w:t>
      </w:r>
      <w:r w:rsidRPr="00163E69">
        <w:rPr>
          <w:rFonts w:ascii="Times New Roman" w:hAnsi="Times New Roman" w:cs="Times New Roman"/>
        </w:rPr>
        <w:t>(3), 736-745.</w:t>
      </w:r>
    </w:p>
    <w:p w14:paraId="06FA0425" w14:textId="77777777" w:rsidR="00C565FD" w:rsidRPr="00163E69" w:rsidRDefault="00C565FD" w:rsidP="00C565FD">
      <w:pPr>
        <w:spacing w:line="480" w:lineRule="auto"/>
        <w:rPr>
          <w:rFonts w:ascii="Times New Roman" w:hAnsi="Times New Roman" w:cs="Times New Roman"/>
          <w:i/>
          <w:iCs/>
        </w:rPr>
      </w:pPr>
      <w:r w:rsidRPr="00163E69">
        <w:rPr>
          <w:rFonts w:ascii="Times New Roman" w:hAnsi="Times New Roman" w:cs="Times New Roman"/>
        </w:rPr>
        <w:t>Barberis, N. (2013). The psychology of tail events: progress and challenges. </w:t>
      </w:r>
      <w:r w:rsidRPr="00163E69">
        <w:rPr>
          <w:rFonts w:ascii="Times New Roman" w:hAnsi="Times New Roman" w:cs="Times New Roman"/>
          <w:i/>
          <w:iCs/>
        </w:rPr>
        <w:t>American</w:t>
      </w:r>
    </w:p>
    <w:p w14:paraId="407DBD42"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i/>
          <w:iCs/>
        </w:rPr>
        <w:t>Economic Review</w:t>
      </w:r>
      <w:r w:rsidRPr="00163E69">
        <w:rPr>
          <w:rFonts w:ascii="Times New Roman" w:hAnsi="Times New Roman" w:cs="Times New Roman"/>
        </w:rPr>
        <w:t>, </w:t>
      </w:r>
      <w:r w:rsidRPr="00163E69">
        <w:rPr>
          <w:rFonts w:ascii="Times New Roman" w:hAnsi="Times New Roman" w:cs="Times New Roman"/>
          <w:i/>
          <w:iCs/>
        </w:rPr>
        <w:t>103</w:t>
      </w:r>
      <w:r w:rsidRPr="00163E69">
        <w:rPr>
          <w:rFonts w:ascii="Times New Roman" w:hAnsi="Times New Roman" w:cs="Times New Roman"/>
        </w:rPr>
        <w:t>(3), 611-616.</w:t>
      </w:r>
    </w:p>
    <w:bookmarkEnd w:id="81"/>
    <w:p w14:paraId="32D26132"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Bibby, P. A., &amp; Ferguson, E. (2011). The ability to process emotional information </w:t>
      </w:r>
    </w:p>
    <w:p w14:paraId="4BE79B4C"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predicts loss aversion. </w:t>
      </w:r>
      <w:r w:rsidRPr="00163E69">
        <w:rPr>
          <w:rFonts w:ascii="Times New Roman" w:hAnsi="Times New Roman" w:cs="Times New Roman"/>
          <w:i/>
          <w:iCs/>
        </w:rPr>
        <w:t>Personality and Individual Differences</w:t>
      </w:r>
      <w:r w:rsidRPr="00163E69">
        <w:rPr>
          <w:rFonts w:ascii="Times New Roman" w:hAnsi="Times New Roman" w:cs="Times New Roman"/>
        </w:rPr>
        <w:t>, </w:t>
      </w:r>
      <w:r w:rsidRPr="00163E69">
        <w:rPr>
          <w:rFonts w:ascii="Times New Roman" w:hAnsi="Times New Roman" w:cs="Times New Roman"/>
          <w:i/>
          <w:iCs/>
        </w:rPr>
        <w:t>51</w:t>
      </w:r>
      <w:r w:rsidRPr="00163E69">
        <w:rPr>
          <w:rFonts w:ascii="Times New Roman" w:hAnsi="Times New Roman" w:cs="Times New Roman"/>
        </w:rPr>
        <w:t>(3), 263-266.</w:t>
      </w:r>
    </w:p>
    <w:p w14:paraId="0F3D8E2D"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Cameron, T. A. (2005). Updating subjective risks in the presence of conflicting </w:t>
      </w:r>
    </w:p>
    <w:p w14:paraId="47840679" w14:textId="77777777" w:rsidR="00C565FD" w:rsidRPr="00163E69" w:rsidRDefault="00C565FD" w:rsidP="00C565FD">
      <w:pPr>
        <w:spacing w:line="480" w:lineRule="auto"/>
        <w:ind w:firstLine="720"/>
        <w:rPr>
          <w:rFonts w:ascii="Times New Roman" w:hAnsi="Times New Roman" w:cs="Times New Roman"/>
          <w:i/>
          <w:iCs/>
        </w:rPr>
      </w:pPr>
      <w:r w:rsidRPr="00163E69">
        <w:rPr>
          <w:rFonts w:ascii="Times New Roman" w:hAnsi="Times New Roman" w:cs="Times New Roman"/>
        </w:rPr>
        <w:t>information: an application to climate change. </w:t>
      </w:r>
      <w:r w:rsidRPr="00163E69">
        <w:rPr>
          <w:rFonts w:ascii="Times New Roman" w:hAnsi="Times New Roman" w:cs="Times New Roman"/>
          <w:i/>
          <w:iCs/>
        </w:rPr>
        <w:t xml:space="preserve">Journal of risk and </w:t>
      </w:r>
    </w:p>
    <w:p w14:paraId="2EF93DA7"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i/>
          <w:iCs/>
        </w:rPr>
        <w:t>Uncertainty</w:t>
      </w:r>
      <w:r w:rsidRPr="00163E69">
        <w:rPr>
          <w:rFonts w:ascii="Times New Roman" w:hAnsi="Times New Roman" w:cs="Times New Roman"/>
        </w:rPr>
        <w:t>, </w:t>
      </w:r>
      <w:r w:rsidRPr="00163E69">
        <w:rPr>
          <w:rFonts w:ascii="Times New Roman" w:hAnsi="Times New Roman" w:cs="Times New Roman"/>
          <w:i/>
          <w:iCs/>
        </w:rPr>
        <w:t>30</w:t>
      </w:r>
      <w:r w:rsidRPr="00163E69">
        <w:rPr>
          <w:rFonts w:ascii="Times New Roman" w:hAnsi="Times New Roman" w:cs="Times New Roman"/>
        </w:rPr>
        <w:t>, 63-97.</w:t>
      </w:r>
    </w:p>
    <w:p w14:paraId="2ABF0683"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Conrad, J. M. (1997). Global warming: when to bite the bullet. </w:t>
      </w:r>
      <w:r w:rsidRPr="00163E69">
        <w:rPr>
          <w:rFonts w:ascii="Times New Roman" w:hAnsi="Times New Roman" w:cs="Times New Roman"/>
          <w:i/>
          <w:iCs/>
        </w:rPr>
        <w:t>Land Economics</w:t>
      </w:r>
      <w:r w:rsidRPr="00163E69">
        <w:rPr>
          <w:rFonts w:ascii="Times New Roman" w:hAnsi="Times New Roman" w:cs="Times New Roman"/>
        </w:rPr>
        <w:t>, 164-</w:t>
      </w:r>
    </w:p>
    <w:p w14:paraId="7D699711"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173.</w:t>
      </w:r>
    </w:p>
    <w:p w14:paraId="56D57251" w14:textId="77777777" w:rsidR="00C565FD" w:rsidRPr="00163E69" w:rsidRDefault="00C565FD" w:rsidP="00C565FD">
      <w:pPr>
        <w:spacing w:line="480" w:lineRule="auto"/>
        <w:rPr>
          <w:rFonts w:ascii="Times New Roman" w:hAnsi="Times New Roman" w:cs="Times New Roman"/>
          <w:i/>
          <w:iCs/>
        </w:rPr>
      </w:pPr>
      <w:r w:rsidRPr="00163E69">
        <w:rPr>
          <w:rFonts w:ascii="Times New Roman" w:hAnsi="Times New Roman" w:cs="Times New Roman"/>
        </w:rPr>
        <w:t>Della Seta, M., Gryglewicz, S., &amp; Kort, P. M. (2014). </w:t>
      </w:r>
      <w:r w:rsidRPr="00163E69">
        <w:rPr>
          <w:rFonts w:ascii="Times New Roman" w:hAnsi="Times New Roman" w:cs="Times New Roman"/>
          <w:i/>
          <w:iCs/>
        </w:rPr>
        <w:t xml:space="preserve">Willingness to wait under risk and </w:t>
      </w:r>
    </w:p>
    <w:p w14:paraId="558F731A"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i/>
          <w:iCs/>
        </w:rPr>
        <w:t>ambiguity</w:t>
      </w:r>
      <w:r w:rsidRPr="00163E69">
        <w:rPr>
          <w:rFonts w:ascii="Times New Roman" w:hAnsi="Times New Roman" w:cs="Times New Roman"/>
        </w:rPr>
        <w:t>. Berkeley: mimeo.</w:t>
      </w:r>
    </w:p>
    <w:p w14:paraId="7B3F98F0" w14:textId="77777777" w:rsidR="00C565FD" w:rsidRPr="00163E69" w:rsidRDefault="00C565FD" w:rsidP="00C565FD">
      <w:pPr>
        <w:spacing w:line="480" w:lineRule="auto"/>
        <w:rPr>
          <w:rFonts w:ascii="Times New Roman" w:hAnsi="Times New Roman" w:cs="Times New Roman"/>
          <w:i/>
          <w:iCs/>
        </w:rPr>
      </w:pPr>
      <w:r w:rsidRPr="00163E69">
        <w:rPr>
          <w:rFonts w:ascii="Times New Roman" w:hAnsi="Times New Roman" w:cs="Times New Roman"/>
        </w:rPr>
        <w:t>Descamps, A., Massoni, S., &amp; Page, L. (2022). Learning to hesitate. </w:t>
      </w:r>
      <w:r w:rsidRPr="00163E69">
        <w:rPr>
          <w:rFonts w:ascii="Times New Roman" w:hAnsi="Times New Roman" w:cs="Times New Roman"/>
          <w:i/>
          <w:iCs/>
        </w:rPr>
        <w:t xml:space="preserve">Experimental </w:t>
      </w:r>
    </w:p>
    <w:p w14:paraId="51DB2FFD"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i/>
          <w:iCs/>
        </w:rPr>
        <w:t>Economics</w:t>
      </w:r>
      <w:r w:rsidRPr="00163E69">
        <w:rPr>
          <w:rFonts w:ascii="Times New Roman" w:hAnsi="Times New Roman" w:cs="Times New Roman"/>
        </w:rPr>
        <w:t>, </w:t>
      </w:r>
      <w:r w:rsidRPr="00163E69">
        <w:rPr>
          <w:rFonts w:ascii="Times New Roman" w:hAnsi="Times New Roman" w:cs="Times New Roman"/>
          <w:i/>
          <w:iCs/>
        </w:rPr>
        <w:t>25</w:t>
      </w:r>
      <w:r w:rsidRPr="00163E69">
        <w:rPr>
          <w:rFonts w:ascii="Times New Roman" w:hAnsi="Times New Roman" w:cs="Times New Roman"/>
        </w:rPr>
        <w:t>(1), 359-383.</w:t>
      </w:r>
    </w:p>
    <w:p w14:paraId="60CCE00A"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Dixit, A. K., &amp; Pindyck, R. S. (1994). </w:t>
      </w:r>
      <w:r w:rsidRPr="00163E69">
        <w:rPr>
          <w:rFonts w:ascii="Times New Roman" w:hAnsi="Times New Roman" w:cs="Times New Roman"/>
          <w:i/>
          <w:iCs/>
        </w:rPr>
        <w:t>Investment under uncertainty</w:t>
      </w:r>
      <w:r w:rsidRPr="00163E69">
        <w:rPr>
          <w:rFonts w:ascii="Times New Roman" w:hAnsi="Times New Roman" w:cs="Times New Roman"/>
        </w:rPr>
        <w:t xml:space="preserve">. Princeton university </w:t>
      </w:r>
    </w:p>
    <w:p w14:paraId="2EBBC563"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press.</w:t>
      </w:r>
    </w:p>
    <w:p w14:paraId="74903410"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Fischbacher, U. (2007). z-Tree: Zurich toolbox for ready-made economic </w:t>
      </w:r>
    </w:p>
    <w:p w14:paraId="5B2A467E"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experiments. </w:t>
      </w:r>
      <w:r w:rsidRPr="00163E69">
        <w:rPr>
          <w:rFonts w:ascii="Times New Roman" w:hAnsi="Times New Roman" w:cs="Times New Roman"/>
          <w:i/>
          <w:iCs/>
        </w:rPr>
        <w:t>Experimental economics</w:t>
      </w:r>
      <w:r w:rsidRPr="00163E69">
        <w:rPr>
          <w:rFonts w:ascii="Times New Roman" w:hAnsi="Times New Roman" w:cs="Times New Roman"/>
        </w:rPr>
        <w:t>, </w:t>
      </w:r>
      <w:r w:rsidRPr="00163E69">
        <w:rPr>
          <w:rFonts w:ascii="Times New Roman" w:hAnsi="Times New Roman" w:cs="Times New Roman"/>
          <w:i/>
          <w:iCs/>
        </w:rPr>
        <w:t>10</w:t>
      </w:r>
      <w:r w:rsidRPr="00163E69">
        <w:rPr>
          <w:rFonts w:ascii="Times New Roman" w:hAnsi="Times New Roman" w:cs="Times New Roman"/>
        </w:rPr>
        <w:t>, 171-178.</w:t>
      </w:r>
    </w:p>
    <w:p w14:paraId="7FDF3333" w14:textId="77777777" w:rsidR="00C565FD" w:rsidRPr="00163E69" w:rsidRDefault="00C565FD" w:rsidP="00C565FD">
      <w:pPr>
        <w:spacing w:line="480" w:lineRule="auto"/>
        <w:ind w:firstLine="720"/>
        <w:rPr>
          <w:rFonts w:ascii="Times New Roman" w:hAnsi="Times New Roman" w:cs="Times New Roman"/>
        </w:rPr>
      </w:pPr>
    </w:p>
    <w:p w14:paraId="30BC2D28"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lastRenderedPageBreak/>
        <w:t xml:space="preserve">Gächter, S., Johnson, E. J., &amp; Herrmann, A. (2022). Individual-level loss aversion in </w:t>
      </w:r>
    </w:p>
    <w:p w14:paraId="3E1D144C"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riskless and risky choices. </w:t>
      </w:r>
      <w:r w:rsidRPr="00163E69">
        <w:rPr>
          <w:rFonts w:ascii="Times New Roman" w:hAnsi="Times New Roman" w:cs="Times New Roman"/>
          <w:i/>
          <w:iCs/>
        </w:rPr>
        <w:t>Theory and Decision</w:t>
      </w:r>
      <w:r w:rsidRPr="00163E69">
        <w:rPr>
          <w:rFonts w:ascii="Times New Roman" w:hAnsi="Times New Roman" w:cs="Times New Roman"/>
        </w:rPr>
        <w:t>, </w:t>
      </w:r>
      <w:r w:rsidRPr="00163E69">
        <w:rPr>
          <w:rFonts w:ascii="Times New Roman" w:hAnsi="Times New Roman" w:cs="Times New Roman"/>
          <w:i/>
          <w:iCs/>
        </w:rPr>
        <w:t>92</w:t>
      </w:r>
      <w:r w:rsidRPr="00163E69">
        <w:rPr>
          <w:rFonts w:ascii="Times New Roman" w:hAnsi="Times New Roman" w:cs="Times New Roman"/>
        </w:rPr>
        <w:t>(3-4), 599-624.</w:t>
      </w:r>
    </w:p>
    <w:p w14:paraId="7CA08D5C"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Gonzalez, R., &amp; Wu, G. (1999). On the shape of the probability weighting </w:t>
      </w:r>
    </w:p>
    <w:p w14:paraId="365BF5E3"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function. </w:t>
      </w:r>
      <w:r w:rsidRPr="00163E69">
        <w:rPr>
          <w:rFonts w:ascii="Times New Roman" w:hAnsi="Times New Roman" w:cs="Times New Roman"/>
          <w:i/>
          <w:iCs/>
        </w:rPr>
        <w:t>Cognitive psychology</w:t>
      </w:r>
      <w:r w:rsidRPr="00163E69">
        <w:rPr>
          <w:rFonts w:ascii="Times New Roman" w:hAnsi="Times New Roman" w:cs="Times New Roman"/>
        </w:rPr>
        <w:t>, </w:t>
      </w:r>
      <w:r w:rsidRPr="00163E69">
        <w:rPr>
          <w:rFonts w:ascii="Times New Roman" w:hAnsi="Times New Roman" w:cs="Times New Roman"/>
          <w:i/>
          <w:iCs/>
        </w:rPr>
        <w:t>38</w:t>
      </w:r>
      <w:r w:rsidRPr="00163E69">
        <w:rPr>
          <w:rFonts w:ascii="Times New Roman" w:hAnsi="Times New Roman" w:cs="Times New Roman"/>
        </w:rPr>
        <w:t>(1), 129-166.</w:t>
      </w:r>
    </w:p>
    <w:p w14:paraId="00F4DBDD"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Hertwig, R., Barron, G., Weber, E. U., &amp; Erev, I. (2004). Decisions from experience and </w:t>
      </w:r>
    </w:p>
    <w:p w14:paraId="4CA34AF5"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the effect of rare events in risky choice. </w:t>
      </w:r>
      <w:r w:rsidRPr="00163E69">
        <w:rPr>
          <w:rFonts w:ascii="Times New Roman" w:hAnsi="Times New Roman" w:cs="Times New Roman"/>
          <w:i/>
          <w:iCs/>
        </w:rPr>
        <w:t>Psychological science</w:t>
      </w:r>
      <w:r w:rsidRPr="00163E69">
        <w:rPr>
          <w:rFonts w:ascii="Times New Roman" w:hAnsi="Times New Roman" w:cs="Times New Roman"/>
        </w:rPr>
        <w:t>, </w:t>
      </w:r>
      <w:r w:rsidRPr="00163E69">
        <w:rPr>
          <w:rFonts w:ascii="Times New Roman" w:hAnsi="Times New Roman" w:cs="Times New Roman"/>
          <w:i/>
          <w:iCs/>
        </w:rPr>
        <w:t>15</w:t>
      </w:r>
      <w:r w:rsidRPr="00163E69">
        <w:rPr>
          <w:rFonts w:ascii="Times New Roman" w:hAnsi="Times New Roman" w:cs="Times New Roman"/>
        </w:rPr>
        <w:t>(8), 534-539.</w:t>
      </w:r>
    </w:p>
    <w:p w14:paraId="2F7F7026" w14:textId="77777777" w:rsidR="00C565FD" w:rsidRPr="00163E69" w:rsidRDefault="00C565FD" w:rsidP="00C565FD">
      <w:pPr>
        <w:spacing w:line="480" w:lineRule="auto"/>
        <w:rPr>
          <w:rFonts w:ascii="Times New Roman" w:hAnsi="Times New Roman" w:cs="Times New Roman"/>
          <w:i/>
          <w:iCs/>
        </w:rPr>
      </w:pPr>
      <w:r w:rsidRPr="00163E69">
        <w:rPr>
          <w:rFonts w:ascii="Times New Roman" w:hAnsi="Times New Roman" w:cs="Times New Roman"/>
        </w:rPr>
        <w:t>Holt, C. A., &amp; Laury, S. K. (2002). Risk aversion and incentive effects. </w:t>
      </w:r>
      <w:r w:rsidRPr="00163E69">
        <w:rPr>
          <w:rFonts w:ascii="Times New Roman" w:hAnsi="Times New Roman" w:cs="Times New Roman"/>
          <w:i/>
          <w:iCs/>
        </w:rPr>
        <w:t xml:space="preserve">American </w:t>
      </w:r>
    </w:p>
    <w:p w14:paraId="46FE2A43"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i/>
          <w:iCs/>
        </w:rPr>
        <w:t>economic review</w:t>
      </w:r>
      <w:r w:rsidRPr="00163E69">
        <w:rPr>
          <w:rFonts w:ascii="Times New Roman" w:hAnsi="Times New Roman" w:cs="Times New Roman"/>
        </w:rPr>
        <w:t>, </w:t>
      </w:r>
      <w:r w:rsidRPr="00163E69">
        <w:rPr>
          <w:rFonts w:ascii="Times New Roman" w:hAnsi="Times New Roman" w:cs="Times New Roman"/>
          <w:i/>
          <w:iCs/>
        </w:rPr>
        <w:t>92</w:t>
      </w:r>
      <w:r w:rsidRPr="00163E69">
        <w:rPr>
          <w:rFonts w:ascii="Times New Roman" w:hAnsi="Times New Roman" w:cs="Times New Roman"/>
        </w:rPr>
        <w:t>(5), 1644-1655.</w:t>
      </w:r>
    </w:p>
    <w:p w14:paraId="1FA8189F"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Johnston, R. J., Boyle, K. J., Adamowicz, W., Bennett, J., Brouwer, R., Cameron, T. A., </w:t>
      </w:r>
    </w:p>
    <w:p w14:paraId="0EC53BCB"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Hanemann, M. W., Hanley, N., Ryan, M.,Scarpa, R., Tourangeau, R., &amp; Vossler, </w:t>
      </w:r>
    </w:p>
    <w:p w14:paraId="3F939EC8" w14:textId="77777777" w:rsidR="00C565FD" w:rsidRPr="00163E69" w:rsidRDefault="00C565FD" w:rsidP="00C565FD">
      <w:pPr>
        <w:spacing w:line="480" w:lineRule="auto"/>
        <w:ind w:firstLine="720"/>
        <w:rPr>
          <w:rFonts w:ascii="Times New Roman" w:hAnsi="Times New Roman" w:cs="Times New Roman"/>
          <w:i/>
          <w:iCs/>
        </w:rPr>
      </w:pPr>
      <w:r w:rsidRPr="00163E69">
        <w:rPr>
          <w:rFonts w:ascii="Times New Roman" w:hAnsi="Times New Roman" w:cs="Times New Roman"/>
        </w:rPr>
        <w:t>C. A. (2017). Contemporary guidance for stated preference studies. </w:t>
      </w:r>
      <w:r w:rsidRPr="00163E69">
        <w:rPr>
          <w:rFonts w:ascii="Times New Roman" w:hAnsi="Times New Roman" w:cs="Times New Roman"/>
          <w:i/>
          <w:iCs/>
        </w:rPr>
        <w:t xml:space="preserve">Journal of the </w:t>
      </w:r>
    </w:p>
    <w:p w14:paraId="1D3F35CD"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i/>
          <w:iCs/>
        </w:rPr>
        <w:t>Association of Environmental and Resource Economists</w:t>
      </w:r>
      <w:r w:rsidRPr="00163E69">
        <w:rPr>
          <w:rFonts w:ascii="Times New Roman" w:hAnsi="Times New Roman" w:cs="Times New Roman"/>
        </w:rPr>
        <w:t>, </w:t>
      </w:r>
      <w:r w:rsidRPr="00163E69">
        <w:rPr>
          <w:rFonts w:ascii="Times New Roman" w:hAnsi="Times New Roman" w:cs="Times New Roman"/>
          <w:i/>
          <w:iCs/>
        </w:rPr>
        <w:t>4</w:t>
      </w:r>
      <w:r w:rsidRPr="00163E69">
        <w:rPr>
          <w:rFonts w:ascii="Times New Roman" w:hAnsi="Times New Roman" w:cs="Times New Roman"/>
        </w:rPr>
        <w:t>(2), 319-405.</w:t>
      </w:r>
    </w:p>
    <w:p w14:paraId="1CFFB677"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Kahneman, D., &amp; Tversky, A. (1979). Prospect theory: An analysis of decisions under </w:t>
      </w:r>
    </w:p>
    <w:p w14:paraId="1907C787"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risk. </w:t>
      </w:r>
      <w:r w:rsidRPr="00163E69">
        <w:rPr>
          <w:rFonts w:ascii="Times New Roman" w:hAnsi="Times New Roman" w:cs="Times New Roman"/>
          <w:i/>
          <w:iCs/>
        </w:rPr>
        <w:t>Econometrica</w:t>
      </w:r>
      <w:r w:rsidRPr="00163E69">
        <w:rPr>
          <w:rFonts w:ascii="Times New Roman" w:hAnsi="Times New Roman" w:cs="Times New Roman"/>
        </w:rPr>
        <w:t>, </w:t>
      </w:r>
      <w:r w:rsidRPr="00163E69">
        <w:rPr>
          <w:rFonts w:ascii="Times New Roman" w:hAnsi="Times New Roman" w:cs="Times New Roman"/>
          <w:i/>
          <w:iCs/>
        </w:rPr>
        <w:t>47</w:t>
      </w:r>
      <w:r w:rsidRPr="00163E69">
        <w:rPr>
          <w:rFonts w:ascii="Times New Roman" w:hAnsi="Times New Roman" w:cs="Times New Roman"/>
        </w:rPr>
        <w:t>, 278.</w:t>
      </w:r>
    </w:p>
    <w:p w14:paraId="5A7E46C8"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List, J. A., &amp; Haigh, M. S. (2010). Investment under uncertainty: Testing the options </w:t>
      </w:r>
    </w:p>
    <w:p w14:paraId="396E3E19"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model with professional traders. </w:t>
      </w:r>
      <w:r w:rsidRPr="00163E69">
        <w:rPr>
          <w:rFonts w:ascii="Times New Roman" w:hAnsi="Times New Roman" w:cs="Times New Roman"/>
          <w:i/>
          <w:iCs/>
        </w:rPr>
        <w:t>The Review of Economics and Statistics</w:t>
      </w:r>
      <w:r w:rsidRPr="00163E69">
        <w:rPr>
          <w:rFonts w:ascii="Times New Roman" w:hAnsi="Times New Roman" w:cs="Times New Roman"/>
        </w:rPr>
        <w:t>, </w:t>
      </w:r>
      <w:r w:rsidRPr="00163E69">
        <w:rPr>
          <w:rFonts w:ascii="Times New Roman" w:hAnsi="Times New Roman" w:cs="Times New Roman"/>
          <w:i/>
          <w:iCs/>
        </w:rPr>
        <w:t>92</w:t>
      </w:r>
      <w:r w:rsidRPr="00163E69">
        <w:rPr>
          <w:rFonts w:ascii="Times New Roman" w:hAnsi="Times New Roman" w:cs="Times New Roman"/>
        </w:rPr>
        <w:t xml:space="preserve">(4), </w:t>
      </w:r>
    </w:p>
    <w:p w14:paraId="55511DF2"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974-984.</w:t>
      </w:r>
    </w:p>
    <w:p w14:paraId="23F6B717" w14:textId="77777777" w:rsidR="00C565FD" w:rsidRPr="00163E69" w:rsidRDefault="00C565FD" w:rsidP="00C565FD">
      <w:pPr>
        <w:spacing w:line="480" w:lineRule="auto"/>
        <w:rPr>
          <w:rFonts w:ascii="Times New Roman" w:hAnsi="Times New Roman" w:cs="Times New Roman"/>
        </w:rPr>
      </w:pPr>
      <w:bookmarkStart w:id="82" w:name="_Hlk127262472"/>
      <w:r w:rsidRPr="00163E69">
        <w:rPr>
          <w:rFonts w:ascii="Times New Roman" w:hAnsi="Times New Roman" w:cs="Times New Roman"/>
        </w:rPr>
        <w:t xml:space="preserve">Miller, K. D., &amp; Shapira, Z. (2004). An empirical test of heuristics and biases affecting </w:t>
      </w:r>
    </w:p>
    <w:p w14:paraId="4ADAAF97"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real option valuation. </w:t>
      </w:r>
      <w:r w:rsidRPr="00163E69">
        <w:rPr>
          <w:rFonts w:ascii="Times New Roman" w:hAnsi="Times New Roman" w:cs="Times New Roman"/>
          <w:i/>
          <w:iCs/>
        </w:rPr>
        <w:t>Strategic Management Journal</w:t>
      </w:r>
      <w:r w:rsidRPr="00163E69">
        <w:rPr>
          <w:rFonts w:ascii="Times New Roman" w:hAnsi="Times New Roman" w:cs="Times New Roman"/>
        </w:rPr>
        <w:t>, </w:t>
      </w:r>
      <w:r w:rsidRPr="00163E69">
        <w:rPr>
          <w:rFonts w:ascii="Times New Roman" w:hAnsi="Times New Roman" w:cs="Times New Roman"/>
          <w:i/>
          <w:iCs/>
        </w:rPr>
        <w:t>25</w:t>
      </w:r>
      <w:r w:rsidRPr="00163E69">
        <w:rPr>
          <w:rFonts w:ascii="Times New Roman" w:hAnsi="Times New Roman" w:cs="Times New Roman"/>
        </w:rPr>
        <w:t>(3), 269-284.</w:t>
      </w:r>
    </w:p>
    <w:bookmarkEnd w:id="82"/>
    <w:p w14:paraId="428F2393"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Oprea, R., Friedman, D., &amp; Anderson, S. T. (2009). Learning to wait: A laboratory </w:t>
      </w:r>
    </w:p>
    <w:p w14:paraId="08549194"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investigation. </w:t>
      </w:r>
      <w:r w:rsidRPr="00163E69">
        <w:rPr>
          <w:rFonts w:ascii="Times New Roman" w:hAnsi="Times New Roman" w:cs="Times New Roman"/>
          <w:i/>
          <w:iCs/>
        </w:rPr>
        <w:t>The Review of Economic Studies</w:t>
      </w:r>
      <w:r w:rsidRPr="00163E69">
        <w:rPr>
          <w:rFonts w:ascii="Times New Roman" w:hAnsi="Times New Roman" w:cs="Times New Roman"/>
        </w:rPr>
        <w:t>, </w:t>
      </w:r>
      <w:r w:rsidRPr="00163E69">
        <w:rPr>
          <w:rFonts w:ascii="Times New Roman" w:hAnsi="Times New Roman" w:cs="Times New Roman"/>
          <w:i/>
          <w:iCs/>
        </w:rPr>
        <w:t>76</w:t>
      </w:r>
      <w:r w:rsidRPr="00163E69">
        <w:rPr>
          <w:rFonts w:ascii="Times New Roman" w:hAnsi="Times New Roman" w:cs="Times New Roman"/>
        </w:rPr>
        <w:t>(3), 1103-1124.</w:t>
      </w:r>
    </w:p>
    <w:p w14:paraId="2F617FB5" w14:textId="77777777" w:rsidR="00C565FD" w:rsidRPr="00163E69" w:rsidRDefault="00C565FD" w:rsidP="00C565FD">
      <w:pPr>
        <w:spacing w:line="480" w:lineRule="auto"/>
        <w:ind w:firstLine="720"/>
        <w:rPr>
          <w:rFonts w:ascii="Times New Roman" w:hAnsi="Times New Roman" w:cs="Times New Roman"/>
        </w:rPr>
      </w:pPr>
    </w:p>
    <w:p w14:paraId="4A6D0B49"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lastRenderedPageBreak/>
        <w:t>Pratt, J. W. (1964). Risk Aversion in the Small and in the Large. </w:t>
      </w:r>
      <w:r w:rsidRPr="00163E69">
        <w:rPr>
          <w:rFonts w:ascii="Times New Roman" w:hAnsi="Times New Roman" w:cs="Times New Roman"/>
          <w:i/>
          <w:iCs/>
        </w:rPr>
        <w:t>Econometrica</w:t>
      </w:r>
      <w:r w:rsidRPr="00163E69">
        <w:rPr>
          <w:rFonts w:ascii="Times New Roman" w:hAnsi="Times New Roman" w:cs="Times New Roman"/>
        </w:rPr>
        <w:t>, </w:t>
      </w:r>
      <w:r w:rsidRPr="00163E69">
        <w:rPr>
          <w:rFonts w:ascii="Times New Roman" w:hAnsi="Times New Roman" w:cs="Times New Roman"/>
          <w:i/>
          <w:iCs/>
        </w:rPr>
        <w:t>32</w:t>
      </w:r>
      <w:r w:rsidRPr="00163E69">
        <w:rPr>
          <w:rFonts w:ascii="Times New Roman" w:hAnsi="Times New Roman" w:cs="Times New Roman"/>
        </w:rPr>
        <w:t xml:space="preserve">(1/2), </w:t>
      </w:r>
    </w:p>
    <w:p w14:paraId="5456C2C4"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122-136.</w:t>
      </w:r>
    </w:p>
    <w:p w14:paraId="1F7AAB7A"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Riddel, M., &amp; Shaw, W. D. (2006). A theoretically-consistent empirical model of non-</w:t>
      </w:r>
    </w:p>
    <w:p w14:paraId="40112BBB" w14:textId="77777777" w:rsidR="00C565FD" w:rsidRPr="00163E69" w:rsidRDefault="00C565FD" w:rsidP="00C565FD">
      <w:pPr>
        <w:spacing w:line="480" w:lineRule="auto"/>
        <w:ind w:firstLine="720"/>
        <w:rPr>
          <w:rFonts w:ascii="Times New Roman" w:hAnsi="Times New Roman" w:cs="Times New Roman"/>
          <w:i/>
          <w:iCs/>
        </w:rPr>
      </w:pPr>
      <w:r w:rsidRPr="00163E69">
        <w:rPr>
          <w:rFonts w:ascii="Times New Roman" w:hAnsi="Times New Roman" w:cs="Times New Roman"/>
        </w:rPr>
        <w:t>expected utility: An application to nuclear-waste transport. </w:t>
      </w:r>
      <w:r w:rsidRPr="00163E69">
        <w:rPr>
          <w:rFonts w:ascii="Times New Roman" w:hAnsi="Times New Roman" w:cs="Times New Roman"/>
          <w:i/>
          <w:iCs/>
        </w:rPr>
        <w:t xml:space="preserve">Journal of Risk and </w:t>
      </w:r>
    </w:p>
    <w:p w14:paraId="6DC7788D"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i/>
          <w:iCs/>
        </w:rPr>
        <w:t>Uncertainty</w:t>
      </w:r>
      <w:r w:rsidRPr="00163E69">
        <w:rPr>
          <w:rFonts w:ascii="Times New Roman" w:hAnsi="Times New Roman" w:cs="Times New Roman"/>
        </w:rPr>
        <w:t>, </w:t>
      </w:r>
      <w:r w:rsidRPr="00163E69">
        <w:rPr>
          <w:rFonts w:ascii="Times New Roman" w:hAnsi="Times New Roman" w:cs="Times New Roman"/>
          <w:i/>
          <w:iCs/>
        </w:rPr>
        <w:t>32</w:t>
      </w:r>
      <w:r w:rsidRPr="00163E69">
        <w:rPr>
          <w:rFonts w:ascii="Times New Roman" w:hAnsi="Times New Roman" w:cs="Times New Roman"/>
        </w:rPr>
        <w:t>, 131-150.</w:t>
      </w:r>
    </w:p>
    <w:p w14:paraId="1868AE57"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Roberts, D. C., Boyer, T. A., &amp; Lusk, J. L. (2008). Preferences for environmental quality </w:t>
      </w:r>
    </w:p>
    <w:p w14:paraId="02F4EF7D"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under uncertainty. </w:t>
      </w:r>
      <w:r w:rsidRPr="00163E69">
        <w:rPr>
          <w:rFonts w:ascii="Times New Roman" w:hAnsi="Times New Roman" w:cs="Times New Roman"/>
          <w:i/>
          <w:iCs/>
        </w:rPr>
        <w:t>Ecological Economics</w:t>
      </w:r>
      <w:r w:rsidRPr="00163E69">
        <w:rPr>
          <w:rFonts w:ascii="Times New Roman" w:hAnsi="Times New Roman" w:cs="Times New Roman"/>
        </w:rPr>
        <w:t>, </w:t>
      </w:r>
      <w:r w:rsidRPr="00163E69">
        <w:rPr>
          <w:rFonts w:ascii="Times New Roman" w:hAnsi="Times New Roman" w:cs="Times New Roman"/>
          <w:i/>
          <w:iCs/>
        </w:rPr>
        <w:t>66</w:t>
      </w:r>
      <w:r w:rsidRPr="00163E69">
        <w:rPr>
          <w:rFonts w:ascii="Times New Roman" w:hAnsi="Times New Roman" w:cs="Times New Roman"/>
        </w:rPr>
        <w:t>(4), 584-593.</w:t>
      </w:r>
    </w:p>
    <w:p w14:paraId="09944483"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Rolfe, J., &amp; Windle, J. (2015). Do respondents adjust their expected utility in the </w:t>
      </w:r>
    </w:p>
    <w:p w14:paraId="18150E9E"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presence of an outcome certainty attribute in a choice </w:t>
      </w:r>
    </w:p>
    <w:p w14:paraId="7ADE7045"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experiment?. </w:t>
      </w:r>
      <w:r w:rsidRPr="00163E69">
        <w:rPr>
          <w:rFonts w:ascii="Times New Roman" w:hAnsi="Times New Roman" w:cs="Times New Roman"/>
          <w:i/>
          <w:iCs/>
        </w:rPr>
        <w:t>Environmental and Resource Economics</w:t>
      </w:r>
      <w:r w:rsidRPr="00163E69">
        <w:rPr>
          <w:rFonts w:ascii="Times New Roman" w:hAnsi="Times New Roman" w:cs="Times New Roman"/>
        </w:rPr>
        <w:t>, </w:t>
      </w:r>
      <w:r w:rsidRPr="00163E69">
        <w:rPr>
          <w:rFonts w:ascii="Times New Roman" w:hAnsi="Times New Roman" w:cs="Times New Roman"/>
          <w:i/>
          <w:iCs/>
        </w:rPr>
        <w:t>60</w:t>
      </w:r>
      <w:r w:rsidRPr="00163E69">
        <w:rPr>
          <w:rFonts w:ascii="Times New Roman" w:hAnsi="Times New Roman" w:cs="Times New Roman"/>
        </w:rPr>
        <w:t>, 125-142.</w:t>
      </w:r>
    </w:p>
    <w:p w14:paraId="4285F074"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Torres, C., Faccioli, M., &amp; Font, A. R. (2017). Waiting or acting now? The effect on </w:t>
      </w:r>
    </w:p>
    <w:p w14:paraId="27666B3B"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 xml:space="preserve">willingness-to-pay of delivering inherent uncertainty information in choice </w:t>
      </w:r>
    </w:p>
    <w:p w14:paraId="1F2C8F27"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experiments. </w:t>
      </w:r>
      <w:r w:rsidRPr="00163E69">
        <w:rPr>
          <w:rFonts w:ascii="Times New Roman" w:hAnsi="Times New Roman" w:cs="Times New Roman"/>
          <w:i/>
          <w:iCs/>
        </w:rPr>
        <w:t>Ecological Economics</w:t>
      </w:r>
      <w:r w:rsidRPr="00163E69">
        <w:rPr>
          <w:rFonts w:ascii="Times New Roman" w:hAnsi="Times New Roman" w:cs="Times New Roman"/>
        </w:rPr>
        <w:t>, </w:t>
      </w:r>
      <w:r w:rsidRPr="00163E69">
        <w:rPr>
          <w:rFonts w:ascii="Times New Roman" w:hAnsi="Times New Roman" w:cs="Times New Roman"/>
          <w:i/>
          <w:iCs/>
        </w:rPr>
        <w:t>131</w:t>
      </w:r>
      <w:r w:rsidRPr="00163E69">
        <w:rPr>
          <w:rFonts w:ascii="Times New Roman" w:hAnsi="Times New Roman" w:cs="Times New Roman"/>
        </w:rPr>
        <w:t>, 231-240.</w:t>
      </w:r>
    </w:p>
    <w:p w14:paraId="0B7C810C"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Tversky, A., &amp; Kahneman, D. (1992). Advances in prospect theory: Cumulative </w:t>
      </w:r>
    </w:p>
    <w:p w14:paraId="426F4D7A" w14:textId="77777777" w:rsidR="00C565FD" w:rsidRPr="00163E69" w:rsidRDefault="00C565FD" w:rsidP="00C565FD">
      <w:pPr>
        <w:spacing w:line="480" w:lineRule="auto"/>
        <w:ind w:firstLine="720"/>
        <w:rPr>
          <w:rFonts w:ascii="Times New Roman" w:hAnsi="Times New Roman" w:cs="Times New Roman"/>
        </w:rPr>
      </w:pPr>
      <w:r w:rsidRPr="00163E69">
        <w:rPr>
          <w:rFonts w:ascii="Times New Roman" w:hAnsi="Times New Roman" w:cs="Times New Roman"/>
        </w:rPr>
        <w:t>representation of uncertainty. </w:t>
      </w:r>
      <w:r w:rsidRPr="00163E69">
        <w:rPr>
          <w:rFonts w:ascii="Times New Roman" w:hAnsi="Times New Roman" w:cs="Times New Roman"/>
          <w:i/>
          <w:iCs/>
        </w:rPr>
        <w:t>Journal of Risk and uncertainty</w:t>
      </w:r>
      <w:r w:rsidRPr="00163E69">
        <w:rPr>
          <w:rFonts w:ascii="Times New Roman" w:hAnsi="Times New Roman" w:cs="Times New Roman"/>
        </w:rPr>
        <w:t>, </w:t>
      </w:r>
      <w:r w:rsidRPr="00163E69">
        <w:rPr>
          <w:rFonts w:ascii="Times New Roman" w:hAnsi="Times New Roman" w:cs="Times New Roman"/>
          <w:i/>
          <w:iCs/>
        </w:rPr>
        <w:t>5</w:t>
      </w:r>
      <w:r w:rsidRPr="00163E69">
        <w:rPr>
          <w:rFonts w:ascii="Times New Roman" w:hAnsi="Times New Roman" w:cs="Times New Roman"/>
        </w:rPr>
        <w:t>, 297-323.</w:t>
      </w:r>
    </w:p>
    <w:p w14:paraId="42FC09ED" w14:textId="77777777" w:rsidR="00C565FD" w:rsidRPr="00163E69" w:rsidRDefault="00C565FD" w:rsidP="00C565FD">
      <w:pPr>
        <w:spacing w:line="480" w:lineRule="auto"/>
        <w:rPr>
          <w:rFonts w:ascii="Times New Roman" w:hAnsi="Times New Roman" w:cs="Times New Roman"/>
        </w:rPr>
      </w:pPr>
      <w:r w:rsidRPr="00163E69">
        <w:rPr>
          <w:rFonts w:ascii="Times New Roman" w:hAnsi="Times New Roman" w:cs="Times New Roman"/>
        </w:rPr>
        <w:t xml:space="preserve">Wulff, D. U., Mergenthaler-Canseco, M., &amp; Hertwig, R. (2018). A meta-analytic review </w:t>
      </w:r>
    </w:p>
    <w:p w14:paraId="5A15A34F" w14:textId="77777777" w:rsidR="00C565FD" w:rsidRPr="00163E69" w:rsidRDefault="00C565FD" w:rsidP="00C565FD">
      <w:pPr>
        <w:spacing w:line="480" w:lineRule="auto"/>
        <w:ind w:firstLine="720"/>
        <w:rPr>
          <w:rFonts w:ascii="Times New Roman" w:hAnsi="Times New Roman" w:cs="Times New Roman"/>
          <w:i/>
          <w:iCs/>
        </w:rPr>
      </w:pPr>
      <w:r w:rsidRPr="00163E69">
        <w:rPr>
          <w:rFonts w:ascii="Times New Roman" w:hAnsi="Times New Roman" w:cs="Times New Roman"/>
        </w:rPr>
        <w:t>of two modes of learning and the description-experience gap. </w:t>
      </w:r>
      <w:r w:rsidRPr="00163E69">
        <w:rPr>
          <w:rFonts w:ascii="Times New Roman" w:hAnsi="Times New Roman" w:cs="Times New Roman"/>
          <w:i/>
          <w:iCs/>
        </w:rPr>
        <w:t>Psychological</w:t>
      </w:r>
    </w:p>
    <w:p w14:paraId="0B270237" w14:textId="77777777" w:rsidR="00C565FD" w:rsidRPr="00163E69" w:rsidRDefault="00C565FD" w:rsidP="00C565FD">
      <w:pPr>
        <w:spacing w:line="480" w:lineRule="auto"/>
        <w:ind w:firstLine="720"/>
        <w:rPr>
          <w:rFonts w:ascii="Times New Roman" w:hAnsi="Times New Roman" w:cs="Times New Roman"/>
          <w:i/>
          <w:iCs/>
        </w:rPr>
      </w:pPr>
      <w:r w:rsidRPr="00163E69">
        <w:rPr>
          <w:rFonts w:ascii="Times New Roman" w:hAnsi="Times New Roman" w:cs="Times New Roman"/>
          <w:i/>
          <w:iCs/>
        </w:rPr>
        <w:t>bulletin, 144(2),</w:t>
      </w:r>
      <w:r w:rsidRPr="00163E69">
        <w:rPr>
          <w:rFonts w:ascii="Times New Roman" w:hAnsi="Times New Roman" w:cs="Times New Roman"/>
        </w:rPr>
        <w:t xml:space="preserve"> 140.</w:t>
      </w:r>
      <w:r w:rsidRPr="00163E69">
        <w:rPr>
          <w:rFonts w:ascii="Times New Roman" w:hAnsi="Times New Roman" w:cs="Times New Roman"/>
          <w:i/>
          <w:iCs/>
        </w:rPr>
        <w:t xml:space="preserve"> </w:t>
      </w:r>
    </w:p>
    <w:p w14:paraId="728CBCC3" w14:textId="77777777" w:rsidR="00C565FD" w:rsidRPr="00163E69" w:rsidRDefault="00C565FD" w:rsidP="00C565FD">
      <w:pPr>
        <w:keepNext/>
        <w:spacing w:before="240" w:after="60"/>
        <w:jc w:val="center"/>
        <w:outlineLvl w:val="1"/>
        <w:rPr>
          <w:rFonts w:ascii="Times New Roman" w:hAnsi="Times New Roman" w:cs="Times New Roman"/>
          <w:b/>
          <w:bCs/>
          <w:iCs/>
          <w:sz w:val="28"/>
          <w:szCs w:val="28"/>
        </w:rPr>
      </w:pPr>
      <w:r w:rsidRPr="00163E69">
        <w:rPr>
          <w:rFonts w:ascii="Times New Roman" w:hAnsi="Times New Roman" w:cs="Times New Roman"/>
          <w:b/>
          <w:bCs/>
          <w:iCs/>
          <w:sz w:val="28"/>
          <w:szCs w:val="28"/>
        </w:rPr>
        <w:br w:type="page"/>
      </w:r>
      <w:bookmarkStart w:id="83" w:name="_Toc164862518"/>
      <w:r w:rsidRPr="00163E69">
        <w:rPr>
          <w:rFonts w:ascii="Times New Roman" w:hAnsi="Times New Roman" w:cs="Times New Roman"/>
          <w:b/>
          <w:bCs/>
          <w:iCs/>
          <w:sz w:val="28"/>
          <w:szCs w:val="28"/>
        </w:rPr>
        <w:lastRenderedPageBreak/>
        <w:t>APPENDIX</w:t>
      </w:r>
      <w:bookmarkEnd w:id="83"/>
    </w:p>
    <w:p w14:paraId="1C327B4E" w14:textId="3243EE83" w:rsidR="00C565FD" w:rsidRPr="00163E69" w:rsidRDefault="00C565FD" w:rsidP="00C565FD">
      <w:pPr>
        <w:rPr>
          <w:rFonts w:ascii="Times New Roman" w:hAnsi="Times New Roman" w:cs="Times New Roman"/>
        </w:rPr>
      </w:pPr>
      <w:bookmarkStart w:id="84" w:name="_Ref160542045"/>
      <w:bookmarkStart w:id="85" w:name="_Toc160719987"/>
      <w:bookmarkStart w:id="86" w:name="_Toc164862542"/>
      <w:r w:rsidRPr="00163E69">
        <w:rPr>
          <w:rFonts w:ascii="Times New Roman" w:hAnsi="Times New Roman" w:cs="Times New Roman"/>
        </w:rPr>
        <w:t xml:space="preserve">Table </w:t>
      </w:r>
      <w:r w:rsidRPr="00163E69">
        <w:rPr>
          <w:rFonts w:ascii="Times New Roman" w:hAnsi="Times New Roman" w:cs="Times New Roman"/>
        </w:rPr>
        <w:fldChar w:fldCharType="begin"/>
      </w:r>
      <w:r w:rsidRPr="00163E69">
        <w:rPr>
          <w:rFonts w:ascii="Times New Roman" w:hAnsi="Times New Roman" w:cs="Times New Roman"/>
        </w:rPr>
        <w:instrText xml:space="preserve"> SEQ Table \* ARABIC </w:instrText>
      </w:r>
      <w:r w:rsidRPr="00163E69">
        <w:rPr>
          <w:rFonts w:ascii="Times New Roman" w:hAnsi="Times New Roman" w:cs="Times New Roman"/>
        </w:rPr>
        <w:fldChar w:fldCharType="separate"/>
      </w:r>
      <w:r w:rsidR="00142A7E">
        <w:rPr>
          <w:rFonts w:ascii="Times New Roman" w:hAnsi="Times New Roman" w:cs="Times New Roman"/>
          <w:noProof/>
        </w:rPr>
        <w:t>7</w:t>
      </w:r>
      <w:r w:rsidRPr="00163E69">
        <w:rPr>
          <w:rFonts w:ascii="Times New Roman" w:hAnsi="Times New Roman" w:cs="Times New Roman"/>
        </w:rPr>
        <w:fldChar w:fldCharType="end"/>
      </w:r>
      <w:bookmarkEnd w:id="84"/>
      <w:r w:rsidRPr="00163E69">
        <w:rPr>
          <w:rFonts w:ascii="Times New Roman" w:hAnsi="Times New Roman" w:cs="Times New Roman"/>
        </w:rPr>
        <w:t>: Optimal Choice for Lottery Conditions</w:t>
      </w:r>
      <w:bookmarkEnd w:id="85"/>
      <w:bookmarkEnd w:id="86"/>
    </w:p>
    <w:tbl>
      <w:tblPr>
        <w:tblW w:w="88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7"/>
        <w:gridCol w:w="3038"/>
        <w:gridCol w:w="2070"/>
      </w:tblGrid>
      <w:tr w:rsidR="00C565FD" w:rsidRPr="00163E69" w14:paraId="4D994BE9" w14:textId="77777777" w:rsidTr="002A2C90">
        <w:trPr>
          <w:trHeight w:val="519"/>
          <w:jc w:val="center"/>
        </w:trPr>
        <w:tc>
          <w:tcPr>
            <w:tcW w:w="3707" w:type="dxa"/>
          </w:tcPr>
          <w:p w14:paraId="57B1198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Conditions</w:t>
            </w:r>
          </w:p>
        </w:tc>
        <w:tc>
          <w:tcPr>
            <w:tcW w:w="3038" w:type="dxa"/>
          </w:tcPr>
          <w:p w14:paraId="402E3B98"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OV</m:t>
                </m:r>
              </m:oMath>
            </m:oMathPara>
          </w:p>
        </w:tc>
        <w:tc>
          <w:tcPr>
            <w:tcW w:w="2070" w:type="dxa"/>
          </w:tcPr>
          <w:p w14:paraId="48B11C59"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Optimal Choice</w:t>
            </w:r>
          </w:p>
        </w:tc>
      </w:tr>
      <w:tr w:rsidR="00C565FD" w:rsidRPr="00163E69" w14:paraId="4BC7B38C" w14:textId="77777777" w:rsidTr="002A2C90">
        <w:trPr>
          <w:trHeight w:val="341"/>
          <w:jc w:val="center"/>
        </w:trPr>
        <w:tc>
          <w:tcPr>
            <w:tcW w:w="3707" w:type="dxa"/>
          </w:tcPr>
          <w:p w14:paraId="0D0211B9"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&gt;OUT</m:t>
                </m:r>
              </m:oMath>
            </m:oMathPara>
          </w:p>
        </w:tc>
        <w:tc>
          <w:tcPr>
            <w:tcW w:w="3038" w:type="dxa"/>
          </w:tcPr>
          <w:p w14:paraId="236EA526"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&gt;0</m:t>
                </m:r>
              </m:oMath>
            </m:oMathPara>
          </w:p>
        </w:tc>
        <w:tc>
          <w:tcPr>
            <w:tcW w:w="2070" w:type="dxa"/>
          </w:tcPr>
          <w:p w14:paraId="66C26C7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Pay Cost for Information</w:t>
            </w:r>
          </w:p>
        </w:tc>
      </w:tr>
      <w:tr w:rsidR="00C565FD" w:rsidRPr="00163E69" w14:paraId="59D0120B" w14:textId="77777777" w:rsidTr="002A2C90">
        <w:trPr>
          <w:trHeight w:val="258"/>
          <w:jc w:val="center"/>
        </w:trPr>
        <w:tc>
          <w:tcPr>
            <w:tcW w:w="3707" w:type="dxa"/>
          </w:tcPr>
          <w:p w14:paraId="473FE30B"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&gt;OUT&gt;EV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m:oMathPara>
          </w:p>
        </w:tc>
        <w:tc>
          <w:tcPr>
            <w:tcW w:w="3038" w:type="dxa"/>
          </w:tcPr>
          <w:p w14:paraId="78F5E706"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-OUT&gt;0</m:t>
                </m:r>
              </m:oMath>
            </m:oMathPara>
          </w:p>
        </w:tc>
        <w:tc>
          <w:tcPr>
            <w:tcW w:w="2070" w:type="dxa"/>
          </w:tcPr>
          <w:p w14:paraId="0CACBCB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Pay Cost for Information</w:t>
            </w:r>
          </w:p>
        </w:tc>
      </w:tr>
      <w:tr w:rsidR="00C565FD" w:rsidRPr="00163E69" w14:paraId="2E1A79ED" w14:textId="77777777" w:rsidTr="002A2C90">
        <w:trPr>
          <w:trHeight w:val="258"/>
          <w:jc w:val="center"/>
        </w:trPr>
        <w:tc>
          <w:tcPr>
            <w:tcW w:w="3707" w:type="dxa"/>
          </w:tcPr>
          <w:p w14:paraId="1E5102DF"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&gt;OUT</m:t>
                </m:r>
              </m:oMath>
            </m:oMathPara>
          </w:p>
        </w:tc>
        <w:tc>
          <w:tcPr>
            <w:tcW w:w="3038" w:type="dxa"/>
          </w:tcPr>
          <w:p w14:paraId="24E7D471"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0</m:t>
                </m:r>
              </m:oMath>
            </m:oMathPara>
          </w:p>
        </w:tc>
        <w:tc>
          <w:tcPr>
            <w:tcW w:w="2070" w:type="dxa"/>
          </w:tcPr>
          <w:p w14:paraId="6CCDCC1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Play Lottery Immediately</w:t>
            </w:r>
          </w:p>
        </w:tc>
      </w:tr>
      <w:tr w:rsidR="00C565FD" w:rsidRPr="00163E69" w14:paraId="48398451" w14:textId="77777777" w:rsidTr="002A2C90">
        <w:trPr>
          <w:trHeight w:val="258"/>
          <w:jc w:val="center"/>
        </w:trPr>
        <w:tc>
          <w:tcPr>
            <w:tcW w:w="3707" w:type="dxa"/>
          </w:tcPr>
          <w:p w14:paraId="48C4332B"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OUT&gt;EV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r>
                  <w:rPr>
                    <w:rFonts w:ascii="Cambria Math" w:hAnsi="Cambria Math" w:cs="Times New Roman"/>
                  </w:rPr>
                  <m:t>&gt;EV</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e>
                </m:d>
              </m:oMath>
            </m:oMathPara>
          </w:p>
        </w:tc>
        <w:tc>
          <w:tcPr>
            <w:tcW w:w="3038" w:type="dxa"/>
          </w:tcPr>
          <w:p w14:paraId="29EBC9B2"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0</m:t>
                </m:r>
              </m:oMath>
            </m:oMathPara>
          </w:p>
        </w:tc>
        <w:tc>
          <w:tcPr>
            <w:tcW w:w="2070" w:type="dxa"/>
          </w:tcPr>
          <w:p w14:paraId="55A579A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Take Outside Option</w:t>
            </w:r>
          </w:p>
        </w:tc>
      </w:tr>
    </w:tbl>
    <w:p w14:paraId="6195E02E" w14:textId="77777777" w:rsidR="00C565FD" w:rsidRPr="00163E69" w:rsidRDefault="00C565FD" w:rsidP="00C565FD">
      <w:pPr>
        <w:keepNext/>
        <w:spacing w:line="480" w:lineRule="auto"/>
        <w:rPr>
          <w:rFonts w:ascii="Times New Roman" w:hAnsi="Times New Roman" w:cs="Times New Roman"/>
          <w:bCs/>
        </w:rPr>
      </w:pPr>
      <w:bookmarkStart w:id="87" w:name="_Ref160542283"/>
      <w:bookmarkStart w:id="88" w:name="_Toc160719988"/>
    </w:p>
    <w:p w14:paraId="4DC62CDC" w14:textId="2C77DA34" w:rsidR="00C565FD" w:rsidRPr="00163E69" w:rsidRDefault="00C565FD" w:rsidP="00C565FD">
      <w:pPr>
        <w:keepNext/>
        <w:spacing w:line="480" w:lineRule="auto"/>
        <w:rPr>
          <w:rFonts w:ascii="Times New Roman" w:hAnsi="Times New Roman" w:cs="Times New Roman"/>
          <w:bCs/>
        </w:rPr>
      </w:pPr>
      <w:bookmarkStart w:id="89" w:name="_Ref164680765"/>
      <w:bookmarkStart w:id="90" w:name="_Toc164862543"/>
      <w:r w:rsidRPr="00163E69">
        <w:rPr>
          <w:rFonts w:ascii="Times New Roman" w:hAnsi="Times New Roman" w:cs="Times New Roman"/>
          <w:bCs/>
        </w:rPr>
        <w:t xml:space="preserve">Table </w:t>
      </w:r>
      <w:r w:rsidRPr="00163E69">
        <w:rPr>
          <w:rFonts w:ascii="Times New Roman" w:hAnsi="Times New Roman" w:cs="Times New Roman"/>
          <w:bCs/>
        </w:rPr>
        <w:fldChar w:fldCharType="begin"/>
      </w:r>
      <w:r w:rsidRPr="00163E69">
        <w:rPr>
          <w:rFonts w:ascii="Times New Roman" w:hAnsi="Times New Roman" w:cs="Times New Roman"/>
          <w:bCs/>
        </w:rPr>
        <w:instrText xml:space="preserve"> SEQ Table \* ARABIC </w:instrText>
      </w:r>
      <w:r w:rsidRPr="00163E69">
        <w:rPr>
          <w:rFonts w:ascii="Times New Roman" w:hAnsi="Times New Roman" w:cs="Times New Roman"/>
          <w:bCs/>
        </w:rPr>
        <w:fldChar w:fldCharType="separate"/>
      </w:r>
      <w:r w:rsidR="00142A7E">
        <w:rPr>
          <w:rFonts w:ascii="Times New Roman" w:hAnsi="Times New Roman" w:cs="Times New Roman"/>
          <w:bCs/>
          <w:noProof/>
        </w:rPr>
        <w:t>8</w:t>
      </w:r>
      <w:r w:rsidRPr="00163E69">
        <w:rPr>
          <w:rFonts w:ascii="Times New Roman" w:hAnsi="Times New Roman" w:cs="Times New Roman"/>
          <w:bCs/>
        </w:rPr>
        <w:fldChar w:fldCharType="end"/>
      </w:r>
      <w:bookmarkEnd w:id="87"/>
      <w:bookmarkEnd w:id="89"/>
      <w:r w:rsidRPr="00163E69">
        <w:rPr>
          <w:rFonts w:ascii="Times New Roman" w:hAnsi="Times New Roman" w:cs="Times New Roman"/>
          <w:bCs/>
        </w:rPr>
        <w:t>: Effect of Probability Weighting on WTP</w:t>
      </w:r>
      <w:bookmarkEnd w:id="88"/>
      <w:bookmarkEnd w:id="90"/>
    </w:p>
    <w:tbl>
      <w:tblPr>
        <w:tblW w:w="89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2647"/>
        <w:gridCol w:w="3293"/>
      </w:tblGrid>
      <w:tr w:rsidR="00C565FD" w:rsidRPr="00163E69" w14:paraId="3B015B68" w14:textId="77777777" w:rsidTr="002A2C90">
        <w:trPr>
          <w:trHeight w:val="519"/>
          <w:jc w:val="center"/>
        </w:trPr>
        <w:tc>
          <w:tcPr>
            <w:tcW w:w="3055" w:type="dxa"/>
          </w:tcPr>
          <w:p w14:paraId="46B3E031"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Probability of high outcome</w:t>
            </w:r>
          </w:p>
          <w:p w14:paraId="7DACA3B2" w14:textId="77777777" w:rsidR="00C565FD" w:rsidRPr="00163E69" w:rsidRDefault="00C565FD" w:rsidP="002A2C90">
            <w:pPr>
              <w:ind w:firstLine="720"/>
              <w:rPr>
                <w:rFonts w:ascii="Times New Roman" w:hAnsi="Times New Roman" w:cs="Times New Roman"/>
              </w:rPr>
            </w:pPr>
            <m:oMathPara>
              <m:oMath>
                <m:r>
                  <w:rPr>
                    <w:rFonts w:ascii="Cambria Math" w:hAnsi="Cambria Math" w:cs="Times New Roman"/>
                  </w:rPr>
                  <m:t>p</m:t>
                </m:r>
              </m:oMath>
            </m:oMathPara>
          </w:p>
        </w:tc>
        <w:tc>
          <w:tcPr>
            <w:tcW w:w="2647" w:type="dxa"/>
          </w:tcPr>
          <w:p w14:paraId="6310D315"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Expected value of lottery</w:t>
            </w:r>
          </w:p>
          <w:p w14:paraId="177EAA5E" w14:textId="77777777" w:rsidR="00C565FD" w:rsidRPr="00163E69" w:rsidRDefault="00C565FD" w:rsidP="002A2C90">
            <w:pPr>
              <w:ind w:firstLine="720"/>
              <w:rPr>
                <w:rFonts w:ascii="Times New Roman" w:hAnsi="Times New Roman" w:cs="Times New Roman"/>
              </w:rPr>
            </w:pPr>
            <m:oMathPara>
              <m:oMath>
                <m:r>
                  <w:rPr>
                    <w:rFonts w:ascii="Cambria Math" w:hAnsi="Cambria Math" w:cs="Times New Roman"/>
                  </w:rPr>
                  <m:t>(p)H+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m:t>
                </m:r>
              </m:oMath>
            </m:oMathPara>
          </w:p>
        </w:tc>
        <w:tc>
          <w:tcPr>
            <w:tcW w:w="3293" w:type="dxa"/>
          </w:tcPr>
          <w:p w14:paraId="715A948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xml:space="preserve">Probability Weighting Effect on </w:t>
            </w:r>
            <m:oMath>
              <m:r>
                <w:rPr>
                  <w:rFonts w:ascii="Cambria Math" w:hAnsi="Cambria Math" w:cs="Times New Roman"/>
                </w:rPr>
                <m:t>WTP</m:t>
              </m:r>
            </m:oMath>
            <w:r w:rsidRPr="00163E69">
              <w:rPr>
                <w:rFonts w:ascii="Times New Roman" w:hAnsi="Times New Roman" w:cs="Times New Roman"/>
              </w:rPr>
              <w:t xml:space="preserve"> relative to real option theory predictions</w:t>
            </w:r>
          </w:p>
        </w:tc>
      </w:tr>
      <w:tr w:rsidR="00C565FD" w:rsidRPr="00163E69" w14:paraId="7E4E2232" w14:textId="77777777" w:rsidTr="002A2C90">
        <w:trPr>
          <w:trHeight w:val="341"/>
          <w:jc w:val="center"/>
        </w:trPr>
        <w:tc>
          <w:tcPr>
            <w:tcW w:w="3055" w:type="dxa"/>
          </w:tcPr>
          <w:p w14:paraId="3E1C869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Small</w:t>
            </w:r>
          </w:p>
        </w:tc>
        <w:tc>
          <w:tcPr>
            <w:tcW w:w="2647" w:type="dxa"/>
          </w:tcPr>
          <w:p w14:paraId="67631DB9" w14:textId="77777777" w:rsidR="00C565FD" w:rsidRPr="00163E69" w:rsidRDefault="00C565FD" w:rsidP="002A2C90">
            <w:pPr>
              <w:jc w:val="center"/>
              <w:rPr>
                <w:rFonts w:ascii="Times New Roman" w:hAnsi="Times New Roman" w:cs="Times New Roman"/>
              </w:rPr>
            </w:pPr>
            <m:oMathPara>
              <m:oMath>
                <m:r>
                  <w:rPr>
                    <w:rFonts w:ascii="Cambria Math" w:hAnsi="Cambria Math" w:cs="Times New Roman"/>
                  </w:rPr>
                  <m:t>&gt;OUT</m:t>
                </m:r>
              </m:oMath>
            </m:oMathPara>
          </w:p>
        </w:tc>
        <w:tc>
          <w:tcPr>
            <w:tcW w:w="3293" w:type="dxa"/>
          </w:tcPr>
          <w:p w14:paraId="6078331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Decrease</w:t>
            </w:r>
          </w:p>
        </w:tc>
      </w:tr>
      <w:tr w:rsidR="00C565FD" w:rsidRPr="00163E69" w14:paraId="069DA531" w14:textId="77777777" w:rsidTr="002A2C90">
        <w:trPr>
          <w:trHeight w:val="258"/>
          <w:jc w:val="center"/>
        </w:trPr>
        <w:tc>
          <w:tcPr>
            <w:tcW w:w="3055" w:type="dxa"/>
          </w:tcPr>
          <w:p w14:paraId="1682D49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Small</w:t>
            </w:r>
          </w:p>
        </w:tc>
        <w:tc>
          <w:tcPr>
            <w:tcW w:w="2647" w:type="dxa"/>
          </w:tcPr>
          <w:p w14:paraId="3423A65D"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&lt;OUT</m:t>
                </m:r>
              </m:oMath>
            </m:oMathPara>
          </w:p>
        </w:tc>
        <w:tc>
          <w:tcPr>
            <w:tcW w:w="3293" w:type="dxa"/>
          </w:tcPr>
          <w:p w14:paraId="56B2060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Increase</w:t>
            </w:r>
          </w:p>
        </w:tc>
      </w:tr>
      <w:tr w:rsidR="00C565FD" w:rsidRPr="00163E69" w14:paraId="2275E91E" w14:textId="77777777" w:rsidTr="002A2C90">
        <w:trPr>
          <w:trHeight w:val="258"/>
          <w:jc w:val="center"/>
        </w:trPr>
        <w:tc>
          <w:tcPr>
            <w:tcW w:w="3055" w:type="dxa"/>
          </w:tcPr>
          <w:p w14:paraId="68D7053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Large</w:t>
            </w:r>
          </w:p>
        </w:tc>
        <w:tc>
          <w:tcPr>
            <w:tcW w:w="2647" w:type="dxa"/>
          </w:tcPr>
          <w:p w14:paraId="1BEF1214"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&gt;OUT</m:t>
                </m:r>
              </m:oMath>
            </m:oMathPara>
          </w:p>
        </w:tc>
        <w:tc>
          <w:tcPr>
            <w:tcW w:w="3293" w:type="dxa"/>
          </w:tcPr>
          <w:p w14:paraId="3D95449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Increase</w:t>
            </w:r>
          </w:p>
        </w:tc>
      </w:tr>
      <w:tr w:rsidR="00C565FD" w:rsidRPr="00163E69" w14:paraId="32362A15" w14:textId="77777777" w:rsidTr="002A2C90">
        <w:trPr>
          <w:trHeight w:val="258"/>
          <w:jc w:val="center"/>
        </w:trPr>
        <w:tc>
          <w:tcPr>
            <w:tcW w:w="3055" w:type="dxa"/>
          </w:tcPr>
          <w:p w14:paraId="207CF29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Large</w:t>
            </w:r>
          </w:p>
        </w:tc>
        <w:tc>
          <w:tcPr>
            <w:tcW w:w="2647" w:type="dxa"/>
          </w:tcPr>
          <w:p w14:paraId="7472C099"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&lt;OUT</m:t>
                </m:r>
              </m:oMath>
            </m:oMathPara>
          </w:p>
        </w:tc>
        <w:tc>
          <w:tcPr>
            <w:tcW w:w="3293" w:type="dxa"/>
          </w:tcPr>
          <w:p w14:paraId="7153AD8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Decrease</w:t>
            </w:r>
          </w:p>
        </w:tc>
      </w:tr>
    </w:tbl>
    <w:p w14:paraId="62F92717" w14:textId="77777777" w:rsidR="00C565FD" w:rsidRPr="00163E69" w:rsidRDefault="00C565FD" w:rsidP="00C565FD">
      <w:pPr>
        <w:rPr>
          <w:rFonts w:ascii="Times New Roman" w:hAnsi="Times New Roman" w:cs="Times New Roman"/>
          <w:b/>
          <w:bCs/>
        </w:rPr>
      </w:pPr>
    </w:p>
    <w:p w14:paraId="0B5D97CB" w14:textId="77777777" w:rsidR="00C565FD" w:rsidRPr="00163E69" w:rsidRDefault="00C565FD" w:rsidP="00C565FD">
      <w:pPr>
        <w:rPr>
          <w:rFonts w:ascii="Times New Roman" w:hAnsi="Times New Roman" w:cs="Times New Roman"/>
          <w:b/>
          <w:bCs/>
        </w:rPr>
      </w:pPr>
    </w:p>
    <w:p w14:paraId="2094F295" w14:textId="276CDF2D" w:rsidR="00C565FD" w:rsidRPr="00163E69" w:rsidRDefault="00C565FD" w:rsidP="00C565FD">
      <w:pPr>
        <w:rPr>
          <w:rFonts w:ascii="Times New Roman" w:hAnsi="Times New Roman" w:cs="Times New Roman"/>
          <w:b/>
          <w:bCs/>
        </w:rPr>
      </w:pPr>
      <w:bookmarkStart w:id="91" w:name="_Ref160542440"/>
      <w:bookmarkStart w:id="92" w:name="_Toc160719989"/>
      <w:bookmarkStart w:id="93" w:name="_Toc164862544"/>
      <w:r w:rsidRPr="00163E69">
        <w:rPr>
          <w:rFonts w:ascii="Times New Roman" w:hAnsi="Times New Roman" w:cs="Times New Roman"/>
        </w:rPr>
        <w:t xml:space="preserve">Table </w:t>
      </w:r>
      <w:r w:rsidRPr="00163E69">
        <w:rPr>
          <w:rFonts w:ascii="Times New Roman" w:hAnsi="Times New Roman" w:cs="Times New Roman"/>
        </w:rPr>
        <w:fldChar w:fldCharType="begin"/>
      </w:r>
      <w:r w:rsidRPr="00163E69">
        <w:rPr>
          <w:rFonts w:ascii="Times New Roman" w:hAnsi="Times New Roman" w:cs="Times New Roman"/>
        </w:rPr>
        <w:instrText xml:space="preserve"> SEQ Table \* ARABIC </w:instrText>
      </w:r>
      <w:r w:rsidRPr="00163E69">
        <w:rPr>
          <w:rFonts w:ascii="Times New Roman" w:hAnsi="Times New Roman" w:cs="Times New Roman"/>
        </w:rPr>
        <w:fldChar w:fldCharType="separate"/>
      </w:r>
      <w:r w:rsidR="00142A7E">
        <w:rPr>
          <w:rFonts w:ascii="Times New Roman" w:hAnsi="Times New Roman" w:cs="Times New Roman"/>
          <w:noProof/>
        </w:rPr>
        <w:t>9</w:t>
      </w:r>
      <w:r w:rsidRPr="00163E69">
        <w:rPr>
          <w:rFonts w:ascii="Times New Roman" w:hAnsi="Times New Roman" w:cs="Times New Roman"/>
        </w:rPr>
        <w:fldChar w:fldCharType="end"/>
      </w:r>
      <w:bookmarkEnd w:id="91"/>
      <w:r w:rsidRPr="00163E69">
        <w:rPr>
          <w:rFonts w:ascii="Times New Roman" w:hAnsi="Times New Roman" w:cs="Times New Roman"/>
        </w:rPr>
        <w:t>: Interaction Effect of Probability Weighting and High Spread on WTP</w:t>
      </w:r>
      <w:bookmarkEnd w:id="92"/>
      <w:bookmarkEnd w:id="93"/>
    </w:p>
    <w:tbl>
      <w:tblPr>
        <w:tblW w:w="9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2070"/>
        <w:gridCol w:w="2700"/>
        <w:gridCol w:w="2700"/>
      </w:tblGrid>
      <w:tr w:rsidR="00C565FD" w:rsidRPr="00163E69" w14:paraId="470917EE" w14:textId="77777777" w:rsidTr="002A2C90">
        <w:trPr>
          <w:trHeight w:val="519"/>
          <w:jc w:val="center"/>
        </w:trPr>
        <w:tc>
          <w:tcPr>
            <w:tcW w:w="1975" w:type="dxa"/>
          </w:tcPr>
          <w:p w14:paraId="0D2AFB93"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xml:space="preserve">Probability of high outcome </w:t>
            </w:r>
            <m:oMath>
              <m:r>
                <w:rPr>
                  <w:rFonts w:ascii="Cambria Math" w:hAnsi="Cambria Math" w:cs="Times New Roman"/>
                </w:rPr>
                <m:t>p</m:t>
              </m:r>
            </m:oMath>
          </w:p>
        </w:tc>
        <w:tc>
          <w:tcPr>
            <w:tcW w:w="2070" w:type="dxa"/>
          </w:tcPr>
          <w:p w14:paraId="4501E7C8"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Spread of outcomes</w:t>
            </w:r>
          </w:p>
        </w:tc>
        <w:tc>
          <w:tcPr>
            <w:tcW w:w="2700" w:type="dxa"/>
          </w:tcPr>
          <w:p w14:paraId="7525B207"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Expected value of lottery</w:t>
            </w:r>
          </w:p>
          <w:p w14:paraId="422BB698" w14:textId="77777777" w:rsidR="00C565FD" w:rsidRPr="00163E69" w:rsidRDefault="00C565FD" w:rsidP="002A2C90">
            <w:pPr>
              <w:ind w:firstLine="720"/>
              <w:rPr>
                <w:rFonts w:ascii="Times New Roman" w:hAnsi="Times New Roman" w:cs="Times New Roman"/>
              </w:rPr>
            </w:pPr>
            <m:oMathPara>
              <m:oMath>
                <m:r>
                  <w:rPr>
                    <w:rFonts w:ascii="Cambria Math" w:hAnsi="Cambria Math" w:cs="Times New Roman"/>
                  </w:rPr>
                  <m:t>(p)H+</m:t>
                </m:r>
                <m:d>
                  <m:dPr>
                    <m:ctrlPr>
                      <w:rPr>
                        <w:rFonts w:ascii="Cambria Math" w:hAnsi="Cambria Math" w:cs="Times New Roman"/>
                        <w:i/>
                      </w:rPr>
                    </m:ctrlPr>
                  </m:dPr>
                  <m:e>
                    <m:r>
                      <w:rPr>
                        <w:rFonts w:ascii="Cambria Math" w:hAnsi="Cambria Math" w:cs="Times New Roman"/>
                      </w:rPr>
                      <m:t>1-p</m:t>
                    </m:r>
                  </m:e>
                </m:d>
                <m:r>
                  <w:rPr>
                    <w:rFonts w:ascii="Cambria Math" w:hAnsi="Cambria Math" w:cs="Times New Roman"/>
                  </w:rPr>
                  <m:t>L</m:t>
                </m:r>
              </m:oMath>
            </m:oMathPara>
          </w:p>
        </w:tc>
        <w:tc>
          <w:tcPr>
            <w:tcW w:w="2700" w:type="dxa"/>
          </w:tcPr>
          <w:p w14:paraId="2208CF65"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xml:space="preserve">Interaction Effect on </w:t>
            </w:r>
            <m:oMath>
              <m:r>
                <w:rPr>
                  <w:rFonts w:ascii="Cambria Math" w:hAnsi="Cambria Math" w:cs="Times New Roman"/>
                </w:rPr>
                <m:t>WTP</m:t>
              </m:r>
            </m:oMath>
            <w:r w:rsidRPr="00163E69">
              <w:rPr>
                <w:rFonts w:ascii="Times New Roman" w:hAnsi="Times New Roman" w:cs="Times New Roman"/>
              </w:rPr>
              <w:t xml:space="preserve"> relative to real option theory predictions</w:t>
            </w:r>
          </w:p>
        </w:tc>
      </w:tr>
      <w:tr w:rsidR="00C565FD" w:rsidRPr="00163E69" w14:paraId="20608262" w14:textId="77777777" w:rsidTr="002A2C90">
        <w:trPr>
          <w:trHeight w:val="341"/>
          <w:jc w:val="center"/>
        </w:trPr>
        <w:tc>
          <w:tcPr>
            <w:tcW w:w="1975" w:type="dxa"/>
          </w:tcPr>
          <w:p w14:paraId="42E7CED1" w14:textId="77777777" w:rsidR="00C565FD" w:rsidRPr="00163E69" w:rsidRDefault="00C565FD" w:rsidP="002A2C90">
            <w:pPr>
              <w:ind w:firstLine="720"/>
              <w:rPr>
                <w:rFonts w:ascii="Times New Roman" w:hAnsi="Times New Roman" w:cs="Times New Roman"/>
              </w:rPr>
            </w:pPr>
            <w:r w:rsidRPr="00163E69">
              <w:rPr>
                <w:rFonts w:ascii="Times New Roman" w:hAnsi="Times New Roman" w:cs="Times New Roman"/>
              </w:rPr>
              <w:t>Small</w:t>
            </w:r>
          </w:p>
        </w:tc>
        <w:tc>
          <w:tcPr>
            <w:tcW w:w="2070" w:type="dxa"/>
          </w:tcPr>
          <w:p w14:paraId="51F5FB18" w14:textId="77777777" w:rsidR="00C565FD" w:rsidRPr="00163E69" w:rsidRDefault="00C565FD" w:rsidP="002A2C90">
            <w:pPr>
              <w:ind w:firstLine="720"/>
              <w:rPr>
                <w:rFonts w:ascii="Times New Roman" w:hAnsi="Times New Roman" w:cs="Times New Roman"/>
              </w:rPr>
            </w:pPr>
            <w:r w:rsidRPr="00163E69">
              <w:rPr>
                <w:rFonts w:ascii="Times New Roman" w:hAnsi="Times New Roman" w:cs="Times New Roman"/>
              </w:rPr>
              <w:t>High</w:t>
            </w:r>
          </w:p>
        </w:tc>
        <w:tc>
          <w:tcPr>
            <w:tcW w:w="2700" w:type="dxa"/>
          </w:tcPr>
          <w:p w14:paraId="64AEB962"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&gt;OUT</m:t>
                </m:r>
              </m:oMath>
            </m:oMathPara>
          </w:p>
        </w:tc>
        <w:tc>
          <w:tcPr>
            <w:tcW w:w="2700" w:type="dxa"/>
          </w:tcPr>
          <w:p w14:paraId="1E0AD37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Ambiguous</w:t>
            </w:r>
          </w:p>
        </w:tc>
      </w:tr>
      <w:tr w:rsidR="00C565FD" w:rsidRPr="00163E69" w14:paraId="6C175CAE" w14:textId="77777777" w:rsidTr="002A2C90">
        <w:trPr>
          <w:trHeight w:val="258"/>
          <w:jc w:val="center"/>
        </w:trPr>
        <w:tc>
          <w:tcPr>
            <w:tcW w:w="1975" w:type="dxa"/>
          </w:tcPr>
          <w:p w14:paraId="3176BBE0" w14:textId="77777777" w:rsidR="00C565FD" w:rsidRPr="00163E69" w:rsidRDefault="00C565FD" w:rsidP="002A2C90">
            <w:pPr>
              <w:ind w:firstLine="720"/>
              <w:rPr>
                <w:rFonts w:ascii="Times New Roman" w:hAnsi="Times New Roman" w:cs="Times New Roman"/>
              </w:rPr>
            </w:pPr>
            <w:r w:rsidRPr="00163E69">
              <w:rPr>
                <w:rFonts w:ascii="Times New Roman" w:hAnsi="Times New Roman" w:cs="Times New Roman"/>
              </w:rPr>
              <w:t>Small</w:t>
            </w:r>
          </w:p>
        </w:tc>
        <w:tc>
          <w:tcPr>
            <w:tcW w:w="2070" w:type="dxa"/>
          </w:tcPr>
          <w:p w14:paraId="331244C9" w14:textId="77777777" w:rsidR="00C565FD" w:rsidRPr="00163E69" w:rsidRDefault="00C565FD" w:rsidP="002A2C90">
            <w:pPr>
              <w:ind w:firstLine="720"/>
              <w:rPr>
                <w:rFonts w:ascii="Times New Roman" w:hAnsi="Times New Roman" w:cs="Times New Roman"/>
              </w:rPr>
            </w:pPr>
            <w:r w:rsidRPr="00163E69">
              <w:rPr>
                <w:rFonts w:ascii="Times New Roman" w:hAnsi="Times New Roman" w:cs="Times New Roman"/>
              </w:rPr>
              <w:t>High</w:t>
            </w:r>
          </w:p>
        </w:tc>
        <w:tc>
          <w:tcPr>
            <w:tcW w:w="2700" w:type="dxa"/>
          </w:tcPr>
          <w:p w14:paraId="5EE5A6A3"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&lt;OUT</m:t>
                </m:r>
              </m:oMath>
            </m:oMathPara>
          </w:p>
        </w:tc>
        <w:tc>
          <w:tcPr>
            <w:tcW w:w="2700" w:type="dxa"/>
          </w:tcPr>
          <w:p w14:paraId="2B36B05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Ambiguous</w:t>
            </w:r>
          </w:p>
        </w:tc>
      </w:tr>
      <w:tr w:rsidR="00C565FD" w:rsidRPr="00163E69" w14:paraId="5A567F09" w14:textId="77777777" w:rsidTr="002A2C90">
        <w:trPr>
          <w:trHeight w:val="258"/>
          <w:jc w:val="center"/>
        </w:trPr>
        <w:tc>
          <w:tcPr>
            <w:tcW w:w="1975" w:type="dxa"/>
          </w:tcPr>
          <w:p w14:paraId="574B7B11" w14:textId="77777777" w:rsidR="00C565FD" w:rsidRPr="00163E69" w:rsidRDefault="00C565FD" w:rsidP="002A2C90">
            <w:pPr>
              <w:ind w:firstLine="720"/>
              <w:rPr>
                <w:rFonts w:ascii="Times New Roman" w:hAnsi="Times New Roman" w:cs="Times New Roman"/>
              </w:rPr>
            </w:pPr>
            <w:r w:rsidRPr="00163E69">
              <w:rPr>
                <w:rFonts w:ascii="Times New Roman" w:hAnsi="Times New Roman" w:cs="Times New Roman"/>
              </w:rPr>
              <w:t>Large</w:t>
            </w:r>
          </w:p>
        </w:tc>
        <w:tc>
          <w:tcPr>
            <w:tcW w:w="2070" w:type="dxa"/>
          </w:tcPr>
          <w:p w14:paraId="05BD1EC2" w14:textId="77777777" w:rsidR="00C565FD" w:rsidRPr="00163E69" w:rsidRDefault="00C565FD" w:rsidP="002A2C90">
            <w:pPr>
              <w:ind w:firstLine="720"/>
              <w:rPr>
                <w:rFonts w:ascii="Times New Roman" w:hAnsi="Times New Roman" w:cs="Times New Roman"/>
              </w:rPr>
            </w:pPr>
            <w:r w:rsidRPr="00163E69">
              <w:rPr>
                <w:rFonts w:ascii="Times New Roman" w:hAnsi="Times New Roman" w:cs="Times New Roman"/>
              </w:rPr>
              <w:t>High</w:t>
            </w:r>
          </w:p>
        </w:tc>
        <w:tc>
          <w:tcPr>
            <w:tcW w:w="2700" w:type="dxa"/>
          </w:tcPr>
          <w:p w14:paraId="4351BB50"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&gt;OUT</m:t>
                </m:r>
              </m:oMath>
            </m:oMathPara>
          </w:p>
        </w:tc>
        <w:tc>
          <w:tcPr>
            <w:tcW w:w="2700" w:type="dxa"/>
          </w:tcPr>
          <w:p w14:paraId="318BC6C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Ambiguous</w:t>
            </w:r>
          </w:p>
        </w:tc>
      </w:tr>
      <w:tr w:rsidR="00C565FD" w:rsidRPr="00163E69" w14:paraId="3D410DCF" w14:textId="77777777" w:rsidTr="002A2C90">
        <w:trPr>
          <w:trHeight w:val="258"/>
          <w:jc w:val="center"/>
        </w:trPr>
        <w:tc>
          <w:tcPr>
            <w:tcW w:w="1975" w:type="dxa"/>
          </w:tcPr>
          <w:p w14:paraId="435470EF" w14:textId="77777777" w:rsidR="00C565FD" w:rsidRPr="00163E69" w:rsidRDefault="00C565FD" w:rsidP="002A2C90">
            <w:pPr>
              <w:ind w:firstLine="720"/>
              <w:rPr>
                <w:rFonts w:ascii="Times New Roman" w:hAnsi="Times New Roman" w:cs="Times New Roman"/>
              </w:rPr>
            </w:pPr>
            <w:r w:rsidRPr="00163E69">
              <w:rPr>
                <w:rFonts w:ascii="Times New Roman" w:hAnsi="Times New Roman" w:cs="Times New Roman"/>
              </w:rPr>
              <w:t>Large</w:t>
            </w:r>
          </w:p>
        </w:tc>
        <w:tc>
          <w:tcPr>
            <w:tcW w:w="2070" w:type="dxa"/>
          </w:tcPr>
          <w:p w14:paraId="197D538C" w14:textId="77777777" w:rsidR="00C565FD" w:rsidRPr="00163E69" w:rsidRDefault="00C565FD" w:rsidP="002A2C90">
            <w:pPr>
              <w:ind w:firstLine="720"/>
              <w:rPr>
                <w:rFonts w:ascii="Times New Roman" w:hAnsi="Times New Roman" w:cs="Times New Roman"/>
              </w:rPr>
            </w:pPr>
            <w:r w:rsidRPr="00163E69">
              <w:rPr>
                <w:rFonts w:ascii="Times New Roman" w:hAnsi="Times New Roman" w:cs="Times New Roman"/>
              </w:rPr>
              <w:t>High</w:t>
            </w:r>
          </w:p>
        </w:tc>
        <w:tc>
          <w:tcPr>
            <w:tcW w:w="2700" w:type="dxa"/>
          </w:tcPr>
          <w:p w14:paraId="77FAE9B6" w14:textId="77777777" w:rsidR="00C565FD" w:rsidRPr="00163E69" w:rsidRDefault="00C565FD" w:rsidP="002A2C90">
            <w:pPr>
              <w:ind w:firstLine="720"/>
              <w:jc w:val="center"/>
              <w:rPr>
                <w:rFonts w:ascii="Times New Roman" w:hAnsi="Times New Roman" w:cs="Times New Roman"/>
              </w:rPr>
            </w:pPr>
            <m:oMathPara>
              <m:oMath>
                <m:r>
                  <w:rPr>
                    <w:rFonts w:ascii="Cambria Math" w:hAnsi="Cambria Math" w:cs="Times New Roman"/>
                  </w:rPr>
                  <m:t>&lt;OUT</m:t>
                </m:r>
              </m:oMath>
            </m:oMathPara>
          </w:p>
        </w:tc>
        <w:tc>
          <w:tcPr>
            <w:tcW w:w="2700" w:type="dxa"/>
          </w:tcPr>
          <w:p w14:paraId="6FE4F2B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Decrease</w:t>
            </w:r>
          </w:p>
        </w:tc>
      </w:tr>
    </w:tbl>
    <w:p w14:paraId="03BB8D41" w14:textId="77777777" w:rsidR="00C565FD" w:rsidRPr="00163E69" w:rsidRDefault="00C565FD" w:rsidP="00C565FD">
      <w:pPr>
        <w:rPr>
          <w:rFonts w:ascii="Times New Roman" w:hAnsi="Times New Roman" w:cs="Times New Roman"/>
          <w:b/>
          <w:bCs/>
        </w:rPr>
      </w:pPr>
    </w:p>
    <w:p w14:paraId="4D269BED" w14:textId="77777777" w:rsidR="00C565FD" w:rsidRPr="00163E69" w:rsidRDefault="00C565FD" w:rsidP="00C565FD">
      <w:pPr>
        <w:rPr>
          <w:rFonts w:ascii="Times New Roman" w:hAnsi="Times New Roman" w:cs="Times New Roman"/>
        </w:rPr>
      </w:pPr>
      <w:bookmarkStart w:id="94" w:name="_Ref160542839"/>
      <w:bookmarkStart w:id="95" w:name="_Toc160719990"/>
    </w:p>
    <w:bookmarkEnd w:id="94"/>
    <w:bookmarkEnd w:id="95"/>
    <w:p w14:paraId="5D38BE78" w14:textId="77777777" w:rsidR="00C565FD" w:rsidRPr="00163E69" w:rsidRDefault="00C565FD" w:rsidP="00C565FD">
      <w:pPr>
        <w:rPr>
          <w:rFonts w:ascii="Times New Roman" w:hAnsi="Times New Roman" w:cs="Times New Roman"/>
          <w:b/>
          <w:bCs/>
        </w:rPr>
        <w:sectPr w:rsidR="00C565FD" w:rsidRPr="00163E69" w:rsidSect="00FE7549">
          <w:footerReference w:type="default" r:id="rId18"/>
          <w:pgSz w:w="12240" w:h="15840" w:code="1"/>
          <w:pgMar w:top="1440" w:right="1800" w:bottom="1872" w:left="1800" w:header="720" w:footer="1440" w:gutter="0"/>
          <w:cols w:space="720"/>
          <w:noEndnote/>
          <w:docGrid w:linePitch="360"/>
        </w:sectPr>
      </w:pPr>
    </w:p>
    <w:p w14:paraId="64EFE698" w14:textId="71E6C5A9" w:rsidR="00C565FD" w:rsidRPr="00163E69" w:rsidRDefault="00C565FD" w:rsidP="00C565FD">
      <w:pPr>
        <w:keepNext/>
        <w:spacing w:line="480" w:lineRule="auto"/>
        <w:rPr>
          <w:rFonts w:ascii="Times New Roman" w:hAnsi="Times New Roman" w:cs="Times New Roman"/>
          <w:bCs/>
        </w:rPr>
      </w:pPr>
      <w:bookmarkStart w:id="96" w:name="_Ref164680688"/>
      <w:bookmarkStart w:id="97" w:name="_Toc164862545"/>
      <w:r w:rsidRPr="00163E69">
        <w:rPr>
          <w:rFonts w:ascii="Times New Roman" w:hAnsi="Times New Roman" w:cs="Times New Roman"/>
          <w:bCs/>
        </w:rPr>
        <w:lastRenderedPageBreak/>
        <w:t xml:space="preserve">Table </w:t>
      </w:r>
      <w:r w:rsidRPr="00163E69">
        <w:rPr>
          <w:rFonts w:ascii="Times New Roman" w:hAnsi="Times New Roman" w:cs="Times New Roman"/>
          <w:bCs/>
        </w:rPr>
        <w:fldChar w:fldCharType="begin"/>
      </w:r>
      <w:r w:rsidRPr="00163E69">
        <w:rPr>
          <w:rFonts w:ascii="Times New Roman" w:hAnsi="Times New Roman" w:cs="Times New Roman"/>
          <w:bCs/>
        </w:rPr>
        <w:instrText xml:space="preserve"> SEQ Table \* ARABIC </w:instrText>
      </w:r>
      <w:r w:rsidRPr="00163E69">
        <w:rPr>
          <w:rFonts w:ascii="Times New Roman" w:hAnsi="Times New Roman" w:cs="Times New Roman"/>
          <w:bCs/>
        </w:rPr>
        <w:fldChar w:fldCharType="separate"/>
      </w:r>
      <w:r w:rsidR="00142A7E">
        <w:rPr>
          <w:rFonts w:ascii="Times New Roman" w:hAnsi="Times New Roman" w:cs="Times New Roman"/>
          <w:bCs/>
          <w:noProof/>
        </w:rPr>
        <w:t>10</w:t>
      </w:r>
      <w:r w:rsidRPr="00163E69">
        <w:rPr>
          <w:rFonts w:ascii="Times New Roman" w:hAnsi="Times New Roman" w:cs="Times New Roman"/>
          <w:bCs/>
        </w:rPr>
        <w:fldChar w:fldCharType="end"/>
      </w:r>
      <w:bookmarkEnd w:id="96"/>
      <w:r w:rsidRPr="00163E69">
        <w:rPr>
          <w:rFonts w:ascii="Times New Roman" w:hAnsi="Times New Roman" w:cs="Times New Roman"/>
          <w:bCs/>
        </w:rPr>
        <w:t>: Lottery Parameterizations</w:t>
      </w:r>
      <w:bookmarkEnd w:id="97"/>
      <w:r w:rsidRPr="00163E69">
        <w:rPr>
          <w:rFonts w:ascii="Times New Roman" w:hAnsi="Times New Roman" w:cs="Times New Roman"/>
          <w:bCs/>
        </w:rPr>
        <w:t xml:space="preserve">  </w:t>
      </w:r>
    </w:p>
    <w:tbl>
      <w:tblPr>
        <w:tblW w:w="1323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710"/>
        <w:gridCol w:w="2070"/>
        <w:gridCol w:w="900"/>
        <w:gridCol w:w="1620"/>
        <w:gridCol w:w="1530"/>
        <w:gridCol w:w="1170"/>
        <w:gridCol w:w="1170"/>
        <w:gridCol w:w="900"/>
        <w:gridCol w:w="1440"/>
      </w:tblGrid>
      <w:tr w:rsidR="00C565FD" w:rsidRPr="00163E69" w14:paraId="76F7CF36" w14:textId="77777777" w:rsidTr="002A2C90">
        <w:trPr>
          <w:trHeight w:val="233"/>
        </w:trPr>
        <w:tc>
          <w:tcPr>
            <w:tcW w:w="720" w:type="dxa"/>
            <w:tcBorders>
              <w:bottom w:val="nil"/>
            </w:tcBorders>
          </w:tcPr>
          <w:p w14:paraId="626E4FB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w:t>
            </w:r>
          </w:p>
        </w:tc>
        <w:tc>
          <w:tcPr>
            <w:tcW w:w="1710" w:type="dxa"/>
            <w:tcBorders>
              <w:bottom w:val="nil"/>
            </w:tcBorders>
          </w:tcPr>
          <w:p w14:paraId="3CF56BB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(2)</w:t>
            </w:r>
          </w:p>
        </w:tc>
        <w:tc>
          <w:tcPr>
            <w:tcW w:w="2070" w:type="dxa"/>
            <w:tcBorders>
              <w:bottom w:val="nil"/>
            </w:tcBorders>
          </w:tcPr>
          <w:p w14:paraId="2E32EAF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(3)</w:t>
            </w:r>
          </w:p>
        </w:tc>
        <w:tc>
          <w:tcPr>
            <w:tcW w:w="900" w:type="dxa"/>
            <w:tcBorders>
              <w:bottom w:val="nil"/>
            </w:tcBorders>
          </w:tcPr>
          <w:p w14:paraId="726D774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tcBorders>
              <w:bottom w:val="nil"/>
            </w:tcBorders>
          </w:tcPr>
          <w:p w14:paraId="6C868FD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(5)</w:t>
            </w:r>
          </w:p>
        </w:tc>
        <w:tc>
          <w:tcPr>
            <w:tcW w:w="1530" w:type="dxa"/>
            <w:tcBorders>
              <w:bottom w:val="nil"/>
            </w:tcBorders>
          </w:tcPr>
          <w:p w14:paraId="01487D2E"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(6)</w:t>
            </w:r>
          </w:p>
        </w:tc>
        <w:tc>
          <w:tcPr>
            <w:tcW w:w="1170" w:type="dxa"/>
            <w:tcBorders>
              <w:bottom w:val="nil"/>
            </w:tcBorders>
          </w:tcPr>
          <w:p w14:paraId="54F6F40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w:t>
            </w:r>
          </w:p>
        </w:tc>
        <w:tc>
          <w:tcPr>
            <w:tcW w:w="1170" w:type="dxa"/>
            <w:tcBorders>
              <w:bottom w:val="nil"/>
            </w:tcBorders>
          </w:tcPr>
          <w:p w14:paraId="20FB76E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900" w:type="dxa"/>
            <w:tcBorders>
              <w:bottom w:val="nil"/>
            </w:tcBorders>
          </w:tcPr>
          <w:p w14:paraId="6A0C2A4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w:t>
            </w:r>
          </w:p>
        </w:tc>
        <w:tc>
          <w:tcPr>
            <w:tcW w:w="1440" w:type="dxa"/>
            <w:tcBorders>
              <w:bottom w:val="nil"/>
            </w:tcBorders>
          </w:tcPr>
          <w:p w14:paraId="6FBE6A1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r>
      <w:tr w:rsidR="00C565FD" w:rsidRPr="00163E69" w14:paraId="6CD1E452" w14:textId="77777777" w:rsidTr="002A2C90">
        <w:trPr>
          <w:trHeight w:val="643"/>
        </w:trPr>
        <w:tc>
          <w:tcPr>
            <w:tcW w:w="720" w:type="dxa"/>
            <w:tcBorders>
              <w:top w:val="nil"/>
            </w:tcBorders>
          </w:tcPr>
          <w:p w14:paraId="1BD53DE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Task</w:t>
            </w:r>
          </w:p>
        </w:tc>
        <w:tc>
          <w:tcPr>
            <w:tcW w:w="1710" w:type="dxa"/>
            <w:tcBorders>
              <w:top w:val="nil"/>
            </w:tcBorders>
          </w:tcPr>
          <w:p w14:paraId="5EB5C24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Certain Outside Option</w:t>
            </w:r>
          </w:p>
        </w:tc>
        <w:tc>
          <w:tcPr>
            <w:tcW w:w="2070" w:type="dxa"/>
            <w:tcBorders>
              <w:top w:val="nil"/>
            </w:tcBorders>
          </w:tcPr>
          <w:p w14:paraId="7DEB106E"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Probability of High Outcome (</w:t>
            </w:r>
            <m:oMath>
              <m:r>
                <w:rPr>
                  <w:rFonts w:ascii="Cambria Math" w:hAnsi="Cambria Math" w:cs="Times New Roman"/>
                  <w:sz w:val="22"/>
                  <w:szCs w:val="22"/>
                </w:rPr>
                <m:t>p</m:t>
              </m:r>
            </m:oMath>
            <w:r w:rsidRPr="00163E69">
              <w:rPr>
                <w:rFonts w:ascii="Times New Roman" w:hAnsi="Times New Roman" w:cs="Times New Roman"/>
                <w:sz w:val="22"/>
                <w:szCs w:val="22"/>
              </w:rPr>
              <w:t>)</w:t>
            </w:r>
          </w:p>
        </w:tc>
        <w:tc>
          <w:tcPr>
            <w:tcW w:w="900" w:type="dxa"/>
            <w:tcBorders>
              <w:top w:val="nil"/>
            </w:tcBorders>
          </w:tcPr>
          <w:p w14:paraId="3DE248B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Spread</w:t>
            </w:r>
          </w:p>
        </w:tc>
        <w:tc>
          <w:tcPr>
            <w:tcW w:w="1620" w:type="dxa"/>
            <w:tcBorders>
              <w:top w:val="nil"/>
            </w:tcBorders>
          </w:tcPr>
          <w:p w14:paraId="2D0C7EF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High Outcome (</w:t>
            </w:r>
            <m:oMath>
              <m:r>
                <w:rPr>
                  <w:rFonts w:ascii="Cambria Math" w:hAnsi="Cambria Math" w:cs="Times New Roman"/>
                  <w:sz w:val="22"/>
                  <w:szCs w:val="22"/>
                </w:rPr>
                <m:t>H</m:t>
              </m:r>
            </m:oMath>
            <w:r w:rsidRPr="00163E69">
              <w:rPr>
                <w:rFonts w:ascii="Times New Roman" w:hAnsi="Times New Roman" w:cs="Times New Roman"/>
                <w:sz w:val="22"/>
                <w:szCs w:val="22"/>
              </w:rPr>
              <w:t>)</w:t>
            </w:r>
          </w:p>
        </w:tc>
        <w:tc>
          <w:tcPr>
            <w:tcW w:w="1530" w:type="dxa"/>
            <w:tcBorders>
              <w:top w:val="nil"/>
            </w:tcBorders>
          </w:tcPr>
          <w:p w14:paraId="536F34C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Low Outcome (</w:t>
            </w:r>
            <m:oMath>
              <m:r>
                <w:rPr>
                  <w:rFonts w:ascii="Cambria Math" w:hAnsi="Cambria Math" w:cs="Times New Roman"/>
                  <w:sz w:val="22"/>
                  <w:szCs w:val="22"/>
                </w:rPr>
                <m:t>L</m:t>
              </m:r>
            </m:oMath>
            <w:r w:rsidRPr="00163E69">
              <w:rPr>
                <w:rFonts w:ascii="Times New Roman" w:hAnsi="Times New Roman" w:cs="Times New Roman"/>
                <w:sz w:val="22"/>
                <w:szCs w:val="22"/>
              </w:rPr>
              <w:t>)</w:t>
            </w:r>
          </w:p>
        </w:tc>
        <w:tc>
          <w:tcPr>
            <w:tcW w:w="1170" w:type="dxa"/>
            <w:tcBorders>
              <w:top w:val="nil"/>
            </w:tcBorders>
          </w:tcPr>
          <w:p w14:paraId="6C4788FB" w14:textId="77777777" w:rsidR="00C565FD" w:rsidRPr="00163E69" w:rsidRDefault="00C565FD" w:rsidP="002A2C90">
            <w:pPr>
              <w:jc w:val="center"/>
              <w:rPr>
                <w:rFonts w:ascii="Times New Roman" w:hAnsi="Times New Roman" w:cs="Times New Roman"/>
                <w:sz w:val="22"/>
                <w:szCs w:val="22"/>
              </w:rPr>
            </w:pPr>
            <m:oMathPara>
              <m:oMath>
                <m:r>
                  <w:rPr>
                    <w:rFonts w:ascii="Cambria Math" w:hAnsi="Cambria Math" w:cs="Times New Roman"/>
                    <w:sz w:val="22"/>
                    <w:szCs w:val="22"/>
                  </w:rPr>
                  <m:t>EV</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O</m:t>
                        </m:r>
                      </m:e>
                      <m:sub>
                        <m:r>
                          <w:rPr>
                            <w:rFonts w:ascii="Cambria Math" w:hAnsi="Cambria Math" w:cs="Times New Roman"/>
                            <w:sz w:val="22"/>
                            <w:szCs w:val="22"/>
                          </w:rPr>
                          <m:t>1</m:t>
                        </m:r>
                      </m:sub>
                    </m:sSub>
                    <m: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I</m:t>
                        </m:r>
                      </m:e>
                      <m:sub>
                        <m:r>
                          <w:rPr>
                            <w:rFonts w:ascii="Cambria Math" w:hAnsi="Cambria Math" w:cs="Times New Roman"/>
                            <w:sz w:val="22"/>
                            <w:szCs w:val="22"/>
                          </w:rPr>
                          <m:t>1</m:t>
                        </m:r>
                      </m:sub>
                    </m:sSub>
                  </m:e>
                </m:d>
              </m:oMath>
            </m:oMathPara>
          </w:p>
        </w:tc>
        <w:tc>
          <w:tcPr>
            <w:tcW w:w="1170" w:type="dxa"/>
            <w:tcBorders>
              <w:top w:val="nil"/>
            </w:tcBorders>
          </w:tcPr>
          <w:p w14:paraId="0F5F0038" w14:textId="77777777" w:rsidR="00C565FD" w:rsidRPr="00163E69" w:rsidRDefault="00C565FD" w:rsidP="002A2C90">
            <w:pPr>
              <w:jc w:val="center"/>
              <w:rPr>
                <w:rFonts w:ascii="Times New Roman" w:hAnsi="Times New Roman" w:cs="Times New Roman"/>
                <w:sz w:val="22"/>
                <w:szCs w:val="22"/>
              </w:rPr>
            </w:pPr>
            <m:oMathPara>
              <m:oMath>
                <m:r>
                  <w:rPr>
                    <w:rFonts w:ascii="Cambria Math" w:hAnsi="Cambria Math" w:cs="Times New Roman"/>
                    <w:sz w:val="22"/>
                    <w:szCs w:val="22"/>
                  </w:rPr>
                  <m:t>EV</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O</m:t>
                        </m:r>
                      </m:e>
                      <m:sub>
                        <m:r>
                          <w:rPr>
                            <w:rFonts w:ascii="Cambria Math" w:hAnsi="Cambria Math" w:cs="Times New Roman"/>
                            <w:sz w:val="22"/>
                            <w:szCs w:val="22"/>
                          </w:rPr>
                          <m:t>2</m:t>
                        </m:r>
                      </m:sub>
                    </m:sSub>
                    <m: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I</m:t>
                        </m:r>
                      </m:e>
                      <m:sub>
                        <m:r>
                          <w:rPr>
                            <w:rFonts w:ascii="Cambria Math" w:hAnsi="Cambria Math" w:cs="Times New Roman"/>
                            <w:sz w:val="22"/>
                            <w:szCs w:val="22"/>
                          </w:rPr>
                          <m:t>1</m:t>
                        </m:r>
                      </m:sub>
                    </m:sSub>
                  </m:e>
                </m:d>
              </m:oMath>
            </m:oMathPara>
          </w:p>
        </w:tc>
        <w:tc>
          <w:tcPr>
            <w:tcW w:w="900" w:type="dxa"/>
            <w:tcBorders>
              <w:top w:val="nil"/>
            </w:tcBorders>
          </w:tcPr>
          <w:p w14:paraId="4A9821B6" w14:textId="77777777" w:rsidR="00C565FD" w:rsidRPr="00163E69" w:rsidRDefault="00000000" w:rsidP="002A2C90">
            <w:pPr>
              <w:jc w:val="center"/>
              <w:rPr>
                <w:rFonts w:ascii="Times New Roman" w:hAnsi="Times New Roman" w:cs="Times New Roman"/>
                <w:sz w:val="22"/>
                <w:szCs w:val="22"/>
              </w:rPr>
            </w:pPr>
            <m:oMathPara>
              <m:oMath>
                <m:sSup>
                  <m:sSupPr>
                    <m:ctrlPr>
                      <w:rPr>
                        <w:rFonts w:ascii="Cambria Math" w:hAnsi="Cambria Math" w:cs="Times New Roman"/>
                        <w:i/>
                        <w:sz w:val="22"/>
                        <w:szCs w:val="22"/>
                      </w:rPr>
                    </m:ctrlPr>
                  </m:sSupPr>
                  <m:e>
                    <m:r>
                      <w:rPr>
                        <w:rFonts w:ascii="Cambria Math" w:hAnsi="Cambria Math" w:cs="Times New Roman"/>
                        <w:sz w:val="22"/>
                        <w:szCs w:val="22"/>
                      </w:rPr>
                      <m:t>C</m:t>
                    </m:r>
                  </m:e>
                  <m:sup>
                    <m:r>
                      <w:rPr>
                        <w:rFonts w:ascii="Cambria Math" w:hAnsi="Cambria Math" w:cs="Times New Roman"/>
                        <w:sz w:val="22"/>
                        <w:szCs w:val="22"/>
                      </w:rPr>
                      <m:t>*</m:t>
                    </m:r>
                  </m:sup>
                </m:sSup>
              </m:oMath>
            </m:oMathPara>
          </w:p>
        </w:tc>
        <w:tc>
          <w:tcPr>
            <w:tcW w:w="1440" w:type="dxa"/>
            <w:tcBorders>
              <w:top w:val="nil"/>
            </w:tcBorders>
          </w:tcPr>
          <w:p w14:paraId="495213E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Cost Distribution</w:t>
            </w:r>
          </w:p>
        </w:tc>
      </w:tr>
      <w:tr w:rsidR="00C565FD" w:rsidRPr="00163E69" w14:paraId="0E50BD39" w14:textId="77777777" w:rsidTr="002A2C90">
        <w:trPr>
          <w:trHeight w:val="281"/>
        </w:trPr>
        <w:tc>
          <w:tcPr>
            <w:tcW w:w="720" w:type="dxa"/>
          </w:tcPr>
          <w:p w14:paraId="4B311D7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w:t>
            </w:r>
          </w:p>
        </w:tc>
        <w:tc>
          <w:tcPr>
            <w:tcW w:w="1710" w:type="dxa"/>
          </w:tcPr>
          <w:p w14:paraId="36444BD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751EBA1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0.5</w:t>
            </w:r>
          </w:p>
        </w:tc>
        <w:tc>
          <w:tcPr>
            <w:tcW w:w="900" w:type="dxa"/>
            <w:vAlign w:val="center"/>
          </w:tcPr>
          <w:p w14:paraId="36D5102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26D9198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12.5</w:t>
            </w:r>
          </w:p>
        </w:tc>
        <w:tc>
          <w:tcPr>
            <w:tcW w:w="1530" w:type="dxa"/>
            <w:vAlign w:val="center"/>
          </w:tcPr>
          <w:p w14:paraId="71B64CA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8.5</w:t>
            </w:r>
          </w:p>
        </w:tc>
        <w:tc>
          <w:tcPr>
            <w:tcW w:w="1170" w:type="dxa"/>
            <w:vAlign w:val="center"/>
          </w:tcPr>
          <w:p w14:paraId="79A87ED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10.5</w:t>
            </w:r>
          </w:p>
        </w:tc>
        <w:tc>
          <w:tcPr>
            <w:tcW w:w="1170" w:type="dxa"/>
            <w:vAlign w:val="center"/>
          </w:tcPr>
          <w:p w14:paraId="50179B0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11.25</w:t>
            </w:r>
          </w:p>
        </w:tc>
        <w:tc>
          <w:tcPr>
            <w:tcW w:w="900" w:type="dxa"/>
            <w:vAlign w:val="center"/>
          </w:tcPr>
          <w:p w14:paraId="34A45FE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0.75</w:t>
            </w:r>
          </w:p>
        </w:tc>
        <w:tc>
          <w:tcPr>
            <w:tcW w:w="1440" w:type="dxa"/>
            <w:vAlign w:val="center"/>
          </w:tcPr>
          <w:p w14:paraId="20FFBF0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U(0,1.5)</w:t>
            </w:r>
          </w:p>
        </w:tc>
      </w:tr>
      <w:tr w:rsidR="00C565FD" w:rsidRPr="00163E69" w14:paraId="7C4482EE" w14:textId="77777777" w:rsidTr="002A2C90">
        <w:trPr>
          <w:trHeight w:val="268"/>
        </w:trPr>
        <w:tc>
          <w:tcPr>
            <w:tcW w:w="720" w:type="dxa"/>
          </w:tcPr>
          <w:p w14:paraId="4A77FE5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2</w:t>
            </w:r>
          </w:p>
        </w:tc>
        <w:tc>
          <w:tcPr>
            <w:tcW w:w="1710" w:type="dxa"/>
          </w:tcPr>
          <w:p w14:paraId="7864FFC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55B593F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0.5</w:t>
            </w:r>
          </w:p>
        </w:tc>
        <w:tc>
          <w:tcPr>
            <w:tcW w:w="900" w:type="dxa"/>
            <w:vAlign w:val="center"/>
          </w:tcPr>
          <w:p w14:paraId="31FB465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0FC5A9D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11.5</w:t>
            </w:r>
          </w:p>
        </w:tc>
        <w:tc>
          <w:tcPr>
            <w:tcW w:w="1530" w:type="dxa"/>
            <w:vAlign w:val="center"/>
          </w:tcPr>
          <w:p w14:paraId="2D11156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7.5</w:t>
            </w:r>
          </w:p>
        </w:tc>
        <w:tc>
          <w:tcPr>
            <w:tcW w:w="1170" w:type="dxa"/>
            <w:vAlign w:val="center"/>
          </w:tcPr>
          <w:p w14:paraId="036E5BF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9.5</w:t>
            </w:r>
          </w:p>
        </w:tc>
        <w:tc>
          <w:tcPr>
            <w:tcW w:w="1170" w:type="dxa"/>
            <w:vAlign w:val="center"/>
          </w:tcPr>
          <w:p w14:paraId="3BCB0D3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10.75</w:t>
            </w:r>
          </w:p>
        </w:tc>
        <w:tc>
          <w:tcPr>
            <w:tcW w:w="900" w:type="dxa"/>
            <w:vAlign w:val="center"/>
          </w:tcPr>
          <w:p w14:paraId="77C7B65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0.75</w:t>
            </w:r>
          </w:p>
        </w:tc>
        <w:tc>
          <w:tcPr>
            <w:tcW w:w="1440" w:type="dxa"/>
          </w:tcPr>
          <w:p w14:paraId="43AA6DD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U(0,1.5)</w:t>
            </w:r>
          </w:p>
        </w:tc>
      </w:tr>
      <w:tr w:rsidR="00C565FD" w:rsidRPr="00163E69" w14:paraId="4A68F87C" w14:textId="77777777" w:rsidTr="002A2C90">
        <w:trPr>
          <w:trHeight w:val="268"/>
        </w:trPr>
        <w:tc>
          <w:tcPr>
            <w:tcW w:w="720" w:type="dxa"/>
          </w:tcPr>
          <w:p w14:paraId="6B5FDCA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3</w:t>
            </w:r>
          </w:p>
        </w:tc>
        <w:tc>
          <w:tcPr>
            <w:tcW w:w="1710" w:type="dxa"/>
          </w:tcPr>
          <w:p w14:paraId="57A08D4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4558562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0.5</w:t>
            </w:r>
          </w:p>
        </w:tc>
        <w:tc>
          <w:tcPr>
            <w:tcW w:w="900" w:type="dxa"/>
            <w:vAlign w:val="center"/>
          </w:tcPr>
          <w:p w14:paraId="68ECDD1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61EAC8E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15</w:t>
            </w:r>
          </w:p>
        </w:tc>
        <w:tc>
          <w:tcPr>
            <w:tcW w:w="1530" w:type="dxa"/>
            <w:vAlign w:val="center"/>
          </w:tcPr>
          <w:p w14:paraId="0729D79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w:t>
            </w:r>
          </w:p>
        </w:tc>
        <w:tc>
          <w:tcPr>
            <w:tcW w:w="1170" w:type="dxa"/>
            <w:vAlign w:val="center"/>
          </w:tcPr>
          <w:p w14:paraId="6B4103B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w:t>
            </w:r>
          </w:p>
        </w:tc>
        <w:tc>
          <w:tcPr>
            <w:tcW w:w="1170" w:type="dxa"/>
            <w:vAlign w:val="center"/>
          </w:tcPr>
          <w:p w14:paraId="3837617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12.5</w:t>
            </w:r>
          </w:p>
        </w:tc>
        <w:tc>
          <w:tcPr>
            <w:tcW w:w="900" w:type="dxa"/>
            <w:vAlign w:val="center"/>
          </w:tcPr>
          <w:p w14:paraId="3FA3B74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1.5</w:t>
            </w:r>
          </w:p>
        </w:tc>
        <w:tc>
          <w:tcPr>
            <w:tcW w:w="1440" w:type="dxa"/>
          </w:tcPr>
          <w:p w14:paraId="06BAE17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U(0,3)</w:t>
            </w:r>
          </w:p>
        </w:tc>
      </w:tr>
      <w:tr w:rsidR="00C565FD" w:rsidRPr="00163E69" w14:paraId="6FF0E051" w14:textId="77777777" w:rsidTr="002A2C90">
        <w:trPr>
          <w:trHeight w:val="268"/>
        </w:trPr>
        <w:tc>
          <w:tcPr>
            <w:tcW w:w="720" w:type="dxa"/>
          </w:tcPr>
          <w:p w14:paraId="38118DD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710" w:type="dxa"/>
          </w:tcPr>
          <w:p w14:paraId="147BD81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6E1E83E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0.5</w:t>
            </w:r>
          </w:p>
        </w:tc>
        <w:tc>
          <w:tcPr>
            <w:tcW w:w="900" w:type="dxa"/>
            <w:vAlign w:val="center"/>
          </w:tcPr>
          <w:p w14:paraId="23B858E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7237006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13</w:t>
            </w:r>
          </w:p>
        </w:tc>
        <w:tc>
          <w:tcPr>
            <w:tcW w:w="1530" w:type="dxa"/>
            <w:vAlign w:val="center"/>
          </w:tcPr>
          <w:p w14:paraId="4317B75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5</w:t>
            </w:r>
          </w:p>
        </w:tc>
        <w:tc>
          <w:tcPr>
            <w:tcW w:w="1170" w:type="dxa"/>
            <w:vAlign w:val="center"/>
          </w:tcPr>
          <w:p w14:paraId="7FE0DCA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w:t>
            </w:r>
          </w:p>
        </w:tc>
        <w:tc>
          <w:tcPr>
            <w:tcW w:w="1170" w:type="dxa"/>
            <w:vAlign w:val="center"/>
          </w:tcPr>
          <w:p w14:paraId="707E6D1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11.5</w:t>
            </w:r>
          </w:p>
        </w:tc>
        <w:tc>
          <w:tcPr>
            <w:tcW w:w="900" w:type="dxa"/>
            <w:vAlign w:val="center"/>
          </w:tcPr>
          <w:p w14:paraId="3D2B73E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1.5</w:t>
            </w:r>
          </w:p>
        </w:tc>
        <w:tc>
          <w:tcPr>
            <w:tcW w:w="1440" w:type="dxa"/>
          </w:tcPr>
          <w:p w14:paraId="470A447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U(0,3)</w:t>
            </w:r>
          </w:p>
        </w:tc>
      </w:tr>
      <w:tr w:rsidR="00C565FD" w:rsidRPr="00163E69" w14:paraId="4268229B" w14:textId="77777777" w:rsidTr="002A2C90">
        <w:trPr>
          <w:trHeight w:val="268"/>
        </w:trPr>
        <w:tc>
          <w:tcPr>
            <w:tcW w:w="720" w:type="dxa"/>
          </w:tcPr>
          <w:p w14:paraId="06DA7CE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5</w:t>
            </w:r>
          </w:p>
        </w:tc>
        <w:tc>
          <w:tcPr>
            <w:tcW w:w="1710" w:type="dxa"/>
          </w:tcPr>
          <w:p w14:paraId="06F5D4E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1FF468F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900" w:type="dxa"/>
            <w:vAlign w:val="center"/>
          </w:tcPr>
          <w:p w14:paraId="7E6CCD6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2F10252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w:t>
            </w:r>
          </w:p>
        </w:tc>
        <w:tc>
          <w:tcPr>
            <w:tcW w:w="1530" w:type="dxa"/>
            <w:vAlign w:val="center"/>
          </w:tcPr>
          <w:p w14:paraId="196D5EF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w:t>
            </w:r>
          </w:p>
        </w:tc>
        <w:tc>
          <w:tcPr>
            <w:tcW w:w="1170" w:type="dxa"/>
            <w:vAlign w:val="center"/>
          </w:tcPr>
          <w:p w14:paraId="13E227B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10.4</w:t>
            </w:r>
          </w:p>
        </w:tc>
        <w:tc>
          <w:tcPr>
            <w:tcW w:w="1170" w:type="dxa"/>
            <w:vAlign w:val="center"/>
          </w:tcPr>
          <w:p w14:paraId="661A717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10.85</w:t>
            </w:r>
          </w:p>
        </w:tc>
        <w:tc>
          <w:tcPr>
            <w:tcW w:w="900" w:type="dxa"/>
            <w:vAlign w:val="center"/>
          </w:tcPr>
          <w:p w14:paraId="1F7FE83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0.45</w:t>
            </w:r>
          </w:p>
        </w:tc>
        <w:tc>
          <w:tcPr>
            <w:tcW w:w="1440" w:type="dxa"/>
          </w:tcPr>
          <w:p w14:paraId="08FBE40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w:t>
            </w:r>
          </w:p>
        </w:tc>
      </w:tr>
      <w:tr w:rsidR="00C565FD" w:rsidRPr="00163E69" w14:paraId="0BB481D7" w14:textId="77777777" w:rsidTr="002A2C90">
        <w:trPr>
          <w:trHeight w:val="281"/>
        </w:trPr>
        <w:tc>
          <w:tcPr>
            <w:tcW w:w="720" w:type="dxa"/>
          </w:tcPr>
          <w:p w14:paraId="30047F6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6</w:t>
            </w:r>
          </w:p>
        </w:tc>
        <w:tc>
          <w:tcPr>
            <w:tcW w:w="1710" w:type="dxa"/>
          </w:tcPr>
          <w:p w14:paraId="37979BB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4E3E399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900" w:type="dxa"/>
            <w:vAlign w:val="center"/>
          </w:tcPr>
          <w:p w14:paraId="443320F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7885049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10.5</w:t>
            </w:r>
          </w:p>
        </w:tc>
        <w:tc>
          <w:tcPr>
            <w:tcW w:w="1530" w:type="dxa"/>
            <w:vAlign w:val="center"/>
          </w:tcPr>
          <w:p w14:paraId="220DF2A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6.5</w:t>
            </w:r>
          </w:p>
        </w:tc>
        <w:tc>
          <w:tcPr>
            <w:tcW w:w="1170" w:type="dxa"/>
            <w:vAlign w:val="center"/>
          </w:tcPr>
          <w:p w14:paraId="0C234D7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9.9</w:t>
            </w:r>
          </w:p>
        </w:tc>
        <w:tc>
          <w:tcPr>
            <w:tcW w:w="1170" w:type="dxa"/>
            <w:vAlign w:val="center"/>
          </w:tcPr>
          <w:p w14:paraId="41604CD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10.425</w:t>
            </w:r>
          </w:p>
        </w:tc>
        <w:tc>
          <w:tcPr>
            <w:tcW w:w="900" w:type="dxa"/>
            <w:vAlign w:val="center"/>
          </w:tcPr>
          <w:p w14:paraId="26708FD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0.425</w:t>
            </w:r>
          </w:p>
        </w:tc>
        <w:tc>
          <w:tcPr>
            <w:tcW w:w="1440" w:type="dxa"/>
          </w:tcPr>
          <w:p w14:paraId="474A629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U(0,0.75)</w:t>
            </w:r>
          </w:p>
        </w:tc>
      </w:tr>
      <w:tr w:rsidR="00C565FD" w:rsidRPr="00163E69" w14:paraId="1F48513C" w14:textId="77777777" w:rsidTr="002A2C90">
        <w:trPr>
          <w:trHeight w:val="268"/>
        </w:trPr>
        <w:tc>
          <w:tcPr>
            <w:tcW w:w="720" w:type="dxa"/>
          </w:tcPr>
          <w:p w14:paraId="26E5BFD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w:t>
            </w:r>
          </w:p>
        </w:tc>
        <w:tc>
          <w:tcPr>
            <w:tcW w:w="1710" w:type="dxa"/>
          </w:tcPr>
          <w:p w14:paraId="56FC7CEE"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2F51A5A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900" w:type="dxa"/>
            <w:vAlign w:val="center"/>
          </w:tcPr>
          <w:p w14:paraId="6A4CE6C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233E952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12</w:t>
            </w:r>
          </w:p>
        </w:tc>
        <w:tc>
          <w:tcPr>
            <w:tcW w:w="1530" w:type="dxa"/>
            <w:vAlign w:val="center"/>
          </w:tcPr>
          <w:p w14:paraId="32ED7EE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170" w:type="dxa"/>
            <w:vAlign w:val="center"/>
          </w:tcPr>
          <w:p w14:paraId="5C29DCB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10.8</w:t>
            </w:r>
          </w:p>
        </w:tc>
        <w:tc>
          <w:tcPr>
            <w:tcW w:w="1170" w:type="dxa"/>
            <w:vAlign w:val="center"/>
          </w:tcPr>
          <w:p w14:paraId="4D0594A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11.7</w:t>
            </w:r>
          </w:p>
        </w:tc>
        <w:tc>
          <w:tcPr>
            <w:tcW w:w="900" w:type="dxa"/>
            <w:vAlign w:val="center"/>
          </w:tcPr>
          <w:p w14:paraId="6A239BC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0.9</w:t>
            </w:r>
          </w:p>
        </w:tc>
        <w:tc>
          <w:tcPr>
            <w:tcW w:w="1440" w:type="dxa"/>
          </w:tcPr>
          <w:p w14:paraId="731C49CE"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U(0,2)</w:t>
            </w:r>
          </w:p>
        </w:tc>
      </w:tr>
      <w:tr w:rsidR="00C565FD" w:rsidRPr="00163E69" w14:paraId="5BD3EC29" w14:textId="77777777" w:rsidTr="002A2C90">
        <w:trPr>
          <w:trHeight w:val="268"/>
        </w:trPr>
        <w:tc>
          <w:tcPr>
            <w:tcW w:w="720" w:type="dxa"/>
          </w:tcPr>
          <w:p w14:paraId="346125C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710" w:type="dxa"/>
          </w:tcPr>
          <w:p w14:paraId="0DF2A82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312A5CE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900" w:type="dxa"/>
            <w:vAlign w:val="center"/>
          </w:tcPr>
          <w:p w14:paraId="413AD73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096050C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w:t>
            </w:r>
          </w:p>
        </w:tc>
        <w:tc>
          <w:tcPr>
            <w:tcW w:w="1530" w:type="dxa"/>
            <w:vAlign w:val="center"/>
          </w:tcPr>
          <w:p w14:paraId="4F06867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3</w:t>
            </w:r>
          </w:p>
        </w:tc>
        <w:tc>
          <w:tcPr>
            <w:tcW w:w="1170" w:type="dxa"/>
            <w:vAlign w:val="center"/>
          </w:tcPr>
          <w:p w14:paraId="4860EC8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9.8</w:t>
            </w:r>
          </w:p>
        </w:tc>
        <w:tc>
          <w:tcPr>
            <w:tcW w:w="1170" w:type="dxa"/>
            <w:vAlign w:val="center"/>
          </w:tcPr>
          <w:p w14:paraId="495ECF7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10.85</w:t>
            </w:r>
          </w:p>
        </w:tc>
        <w:tc>
          <w:tcPr>
            <w:tcW w:w="900" w:type="dxa"/>
            <w:vAlign w:val="center"/>
          </w:tcPr>
          <w:p w14:paraId="5549A23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1440" w:type="dxa"/>
          </w:tcPr>
          <w:p w14:paraId="04E18C6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w:t>
            </w:r>
          </w:p>
        </w:tc>
      </w:tr>
      <w:tr w:rsidR="00C565FD" w:rsidRPr="00163E69" w14:paraId="225255EE" w14:textId="77777777" w:rsidTr="002A2C90">
        <w:trPr>
          <w:trHeight w:val="268"/>
        </w:trPr>
        <w:tc>
          <w:tcPr>
            <w:tcW w:w="720" w:type="dxa"/>
          </w:tcPr>
          <w:p w14:paraId="6C17C93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w:t>
            </w:r>
          </w:p>
        </w:tc>
        <w:tc>
          <w:tcPr>
            <w:tcW w:w="1710" w:type="dxa"/>
          </w:tcPr>
          <w:p w14:paraId="678E570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5AACCB7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0.15</w:t>
            </w:r>
          </w:p>
        </w:tc>
        <w:tc>
          <w:tcPr>
            <w:tcW w:w="900" w:type="dxa"/>
            <w:vAlign w:val="center"/>
          </w:tcPr>
          <w:p w14:paraId="3206184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2EDE2E4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13.5</w:t>
            </w:r>
          </w:p>
        </w:tc>
        <w:tc>
          <w:tcPr>
            <w:tcW w:w="1530" w:type="dxa"/>
            <w:vAlign w:val="center"/>
          </w:tcPr>
          <w:p w14:paraId="1CA2A63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9.5</w:t>
            </w:r>
          </w:p>
        </w:tc>
        <w:tc>
          <w:tcPr>
            <w:tcW w:w="1170" w:type="dxa"/>
            <w:vAlign w:val="center"/>
          </w:tcPr>
          <w:p w14:paraId="26CEB9C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10.1</w:t>
            </w:r>
          </w:p>
        </w:tc>
        <w:tc>
          <w:tcPr>
            <w:tcW w:w="1170" w:type="dxa"/>
            <w:vAlign w:val="center"/>
          </w:tcPr>
          <w:p w14:paraId="63BA23E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10.525</w:t>
            </w:r>
          </w:p>
        </w:tc>
        <w:tc>
          <w:tcPr>
            <w:tcW w:w="900" w:type="dxa"/>
            <w:vAlign w:val="center"/>
          </w:tcPr>
          <w:p w14:paraId="76FFD3C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0.425</w:t>
            </w:r>
          </w:p>
        </w:tc>
        <w:tc>
          <w:tcPr>
            <w:tcW w:w="1440" w:type="dxa"/>
          </w:tcPr>
          <w:p w14:paraId="4F6CF72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U(0,0.75)</w:t>
            </w:r>
          </w:p>
        </w:tc>
      </w:tr>
      <w:tr w:rsidR="00C565FD" w:rsidRPr="00163E69" w14:paraId="497CC4EC" w14:textId="77777777" w:rsidTr="002A2C90">
        <w:trPr>
          <w:trHeight w:val="268"/>
        </w:trPr>
        <w:tc>
          <w:tcPr>
            <w:tcW w:w="720" w:type="dxa"/>
          </w:tcPr>
          <w:p w14:paraId="4BB75F3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1710" w:type="dxa"/>
          </w:tcPr>
          <w:p w14:paraId="54CD371E"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5FC86E2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0.15</w:t>
            </w:r>
          </w:p>
        </w:tc>
        <w:tc>
          <w:tcPr>
            <w:tcW w:w="900" w:type="dxa"/>
            <w:vAlign w:val="center"/>
          </w:tcPr>
          <w:p w14:paraId="2737FDA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2A0BD8A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13</w:t>
            </w:r>
          </w:p>
        </w:tc>
        <w:tc>
          <w:tcPr>
            <w:tcW w:w="1530" w:type="dxa"/>
            <w:vAlign w:val="center"/>
          </w:tcPr>
          <w:p w14:paraId="23841DD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w:t>
            </w:r>
          </w:p>
        </w:tc>
        <w:tc>
          <w:tcPr>
            <w:tcW w:w="1170" w:type="dxa"/>
            <w:vAlign w:val="center"/>
          </w:tcPr>
          <w:p w14:paraId="1E7AB04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9.6</w:t>
            </w:r>
          </w:p>
        </w:tc>
        <w:tc>
          <w:tcPr>
            <w:tcW w:w="1170" w:type="dxa"/>
            <w:vAlign w:val="center"/>
          </w:tcPr>
          <w:p w14:paraId="63C888F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10.45</w:t>
            </w:r>
          </w:p>
        </w:tc>
        <w:tc>
          <w:tcPr>
            <w:tcW w:w="900" w:type="dxa"/>
            <w:vAlign w:val="center"/>
          </w:tcPr>
          <w:p w14:paraId="1F3ABC3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0.45</w:t>
            </w:r>
          </w:p>
        </w:tc>
        <w:tc>
          <w:tcPr>
            <w:tcW w:w="1440" w:type="dxa"/>
          </w:tcPr>
          <w:p w14:paraId="2B53D0C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w:t>
            </w:r>
          </w:p>
        </w:tc>
      </w:tr>
      <w:tr w:rsidR="00C565FD" w:rsidRPr="00163E69" w14:paraId="79694740" w14:textId="77777777" w:rsidTr="002A2C90">
        <w:trPr>
          <w:trHeight w:val="268"/>
        </w:trPr>
        <w:tc>
          <w:tcPr>
            <w:tcW w:w="720" w:type="dxa"/>
          </w:tcPr>
          <w:p w14:paraId="529B63C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w:t>
            </w:r>
          </w:p>
        </w:tc>
        <w:tc>
          <w:tcPr>
            <w:tcW w:w="1710" w:type="dxa"/>
          </w:tcPr>
          <w:p w14:paraId="2E4FC58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455985A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0.15</w:t>
            </w:r>
          </w:p>
        </w:tc>
        <w:tc>
          <w:tcPr>
            <w:tcW w:w="900" w:type="dxa"/>
            <w:vAlign w:val="center"/>
          </w:tcPr>
          <w:p w14:paraId="1669986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6C07C85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17</w:t>
            </w:r>
          </w:p>
        </w:tc>
        <w:tc>
          <w:tcPr>
            <w:tcW w:w="1530" w:type="dxa"/>
            <w:vAlign w:val="center"/>
          </w:tcPr>
          <w:p w14:paraId="019D51D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w:t>
            </w:r>
          </w:p>
        </w:tc>
        <w:tc>
          <w:tcPr>
            <w:tcW w:w="1170" w:type="dxa"/>
            <w:vAlign w:val="center"/>
          </w:tcPr>
          <w:p w14:paraId="0B58E9B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10.2</w:t>
            </w:r>
          </w:p>
        </w:tc>
        <w:tc>
          <w:tcPr>
            <w:tcW w:w="1170" w:type="dxa"/>
            <w:vAlign w:val="center"/>
          </w:tcPr>
          <w:p w14:paraId="6D09DD3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11.05</w:t>
            </w:r>
          </w:p>
        </w:tc>
        <w:tc>
          <w:tcPr>
            <w:tcW w:w="900" w:type="dxa"/>
            <w:vAlign w:val="center"/>
          </w:tcPr>
          <w:p w14:paraId="2E77F82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1440" w:type="dxa"/>
          </w:tcPr>
          <w:p w14:paraId="4B78EEA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w:t>
            </w:r>
          </w:p>
        </w:tc>
      </w:tr>
      <w:tr w:rsidR="00C565FD" w:rsidRPr="00163E69" w14:paraId="364DBB47" w14:textId="77777777" w:rsidTr="002A2C90">
        <w:trPr>
          <w:trHeight w:val="268"/>
        </w:trPr>
        <w:tc>
          <w:tcPr>
            <w:tcW w:w="720" w:type="dxa"/>
          </w:tcPr>
          <w:p w14:paraId="56DF4B6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12</w:t>
            </w:r>
          </w:p>
        </w:tc>
        <w:tc>
          <w:tcPr>
            <w:tcW w:w="1710" w:type="dxa"/>
          </w:tcPr>
          <w:p w14:paraId="4F5B75B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02BFF78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0.15</w:t>
            </w:r>
          </w:p>
        </w:tc>
        <w:tc>
          <w:tcPr>
            <w:tcW w:w="900" w:type="dxa"/>
            <w:vAlign w:val="center"/>
          </w:tcPr>
          <w:p w14:paraId="1986B34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5F998DF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16</w:t>
            </w:r>
          </w:p>
        </w:tc>
        <w:tc>
          <w:tcPr>
            <w:tcW w:w="1530" w:type="dxa"/>
            <w:vAlign w:val="center"/>
          </w:tcPr>
          <w:p w14:paraId="20E7B99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170" w:type="dxa"/>
            <w:vAlign w:val="center"/>
          </w:tcPr>
          <w:p w14:paraId="74C7713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9.2</w:t>
            </w:r>
          </w:p>
        </w:tc>
        <w:tc>
          <w:tcPr>
            <w:tcW w:w="1170" w:type="dxa"/>
            <w:vAlign w:val="center"/>
          </w:tcPr>
          <w:p w14:paraId="224EBD3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10.9</w:t>
            </w:r>
          </w:p>
        </w:tc>
        <w:tc>
          <w:tcPr>
            <w:tcW w:w="900" w:type="dxa"/>
            <w:vAlign w:val="center"/>
          </w:tcPr>
          <w:p w14:paraId="41BCF0D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0.9</w:t>
            </w:r>
          </w:p>
        </w:tc>
        <w:tc>
          <w:tcPr>
            <w:tcW w:w="1440" w:type="dxa"/>
          </w:tcPr>
          <w:p w14:paraId="086F70F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U(0,2)</w:t>
            </w:r>
          </w:p>
        </w:tc>
      </w:tr>
      <w:tr w:rsidR="00C565FD" w:rsidRPr="00163E69" w14:paraId="3AF09CD5" w14:textId="77777777" w:rsidTr="002A2C90">
        <w:trPr>
          <w:trHeight w:val="268"/>
        </w:trPr>
        <w:tc>
          <w:tcPr>
            <w:tcW w:w="720" w:type="dxa"/>
          </w:tcPr>
          <w:p w14:paraId="5F165CD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13</w:t>
            </w:r>
          </w:p>
        </w:tc>
        <w:tc>
          <w:tcPr>
            <w:tcW w:w="1710" w:type="dxa"/>
          </w:tcPr>
          <w:p w14:paraId="77F3CFC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5F782B2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0.5</w:t>
            </w:r>
          </w:p>
        </w:tc>
        <w:tc>
          <w:tcPr>
            <w:tcW w:w="900" w:type="dxa"/>
            <w:vAlign w:val="center"/>
          </w:tcPr>
          <w:p w14:paraId="201BD02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660C69D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-7.5</w:t>
            </w:r>
          </w:p>
        </w:tc>
        <w:tc>
          <w:tcPr>
            <w:tcW w:w="1530" w:type="dxa"/>
            <w:vAlign w:val="center"/>
          </w:tcPr>
          <w:p w14:paraId="05452D8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-11.5</w:t>
            </w:r>
          </w:p>
        </w:tc>
        <w:tc>
          <w:tcPr>
            <w:tcW w:w="1170" w:type="dxa"/>
            <w:vAlign w:val="center"/>
          </w:tcPr>
          <w:p w14:paraId="49EF83E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-9.5</w:t>
            </w:r>
          </w:p>
        </w:tc>
        <w:tc>
          <w:tcPr>
            <w:tcW w:w="1170" w:type="dxa"/>
            <w:vAlign w:val="center"/>
          </w:tcPr>
          <w:p w14:paraId="04A33CA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-8.75</w:t>
            </w:r>
          </w:p>
        </w:tc>
        <w:tc>
          <w:tcPr>
            <w:tcW w:w="900" w:type="dxa"/>
            <w:vAlign w:val="center"/>
          </w:tcPr>
          <w:p w14:paraId="055AE4C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0.75</w:t>
            </w:r>
          </w:p>
        </w:tc>
        <w:tc>
          <w:tcPr>
            <w:tcW w:w="1440" w:type="dxa"/>
            <w:vAlign w:val="center"/>
          </w:tcPr>
          <w:p w14:paraId="0B0787C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U(0,1.5)</w:t>
            </w:r>
          </w:p>
        </w:tc>
      </w:tr>
      <w:tr w:rsidR="00C565FD" w:rsidRPr="00163E69" w14:paraId="35ECD73C" w14:textId="77777777" w:rsidTr="002A2C90">
        <w:trPr>
          <w:trHeight w:val="268"/>
        </w:trPr>
        <w:tc>
          <w:tcPr>
            <w:tcW w:w="720" w:type="dxa"/>
          </w:tcPr>
          <w:p w14:paraId="3BBD726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14</w:t>
            </w:r>
          </w:p>
        </w:tc>
        <w:tc>
          <w:tcPr>
            <w:tcW w:w="1710" w:type="dxa"/>
          </w:tcPr>
          <w:p w14:paraId="6DDB40F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0F57681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0.5</w:t>
            </w:r>
          </w:p>
        </w:tc>
        <w:tc>
          <w:tcPr>
            <w:tcW w:w="900" w:type="dxa"/>
            <w:vAlign w:val="center"/>
          </w:tcPr>
          <w:p w14:paraId="2741350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0B9B9B3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-8.5</w:t>
            </w:r>
          </w:p>
        </w:tc>
        <w:tc>
          <w:tcPr>
            <w:tcW w:w="1530" w:type="dxa"/>
            <w:vAlign w:val="center"/>
          </w:tcPr>
          <w:p w14:paraId="6B9D7E3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-12.5</w:t>
            </w:r>
          </w:p>
        </w:tc>
        <w:tc>
          <w:tcPr>
            <w:tcW w:w="1170" w:type="dxa"/>
            <w:vAlign w:val="center"/>
          </w:tcPr>
          <w:p w14:paraId="1400E96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-10.5</w:t>
            </w:r>
          </w:p>
        </w:tc>
        <w:tc>
          <w:tcPr>
            <w:tcW w:w="1170" w:type="dxa"/>
            <w:vAlign w:val="center"/>
          </w:tcPr>
          <w:p w14:paraId="0206654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-9.25</w:t>
            </w:r>
          </w:p>
        </w:tc>
        <w:tc>
          <w:tcPr>
            <w:tcW w:w="900" w:type="dxa"/>
            <w:vAlign w:val="center"/>
          </w:tcPr>
          <w:p w14:paraId="4A68980E"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0.75</w:t>
            </w:r>
          </w:p>
        </w:tc>
        <w:tc>
          <w:tcPr>
            <w:tcW w:w="1440" w:type="dxa"/>
          </w:tcPr>
          <w:p w14:paraId="299E389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U(0,1.5)</w:t>
            </w:r>
          </w:p>
        </w:tc>
      </w:tr>
      <w:tr w:rsidR="00C565FD" w:rsidRPr="00163E69" w14:paraId="0423B272" w14:textId="77777777" w:rsidTr="002A2C90">
        <w:trPr>
          <w:trHeight w:val="268"/>
        </w:trPr>
        <w:tc>
          <w:tcPr>
            <w:tcW w:w="720" w:type="dxa"/>
          </w:tcPr>
          <w:p w14:paraId="5A09FA5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15</w:t>
            </w:r>
          </w:p>
        </w:tc>
        <w:tc>
          <w:tcPr>
            <w:tcW w:w="1710" w:type="dxa"/>
          </w:tcPr>
          <w:p w14:paraId="4BD63B9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74B8009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0.5</w:t>
            </w:r>
          </w:p>
        </w:tc>
        <w:tc>
          <w:tcPr>
            <w:tcW w:w="900" w:type="dxa"/>
            <w:vAlign w:val="center"/>
          </w:tcPr>
          <w:p w14:paraId="51FB95A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3BA9A1D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-5</w:t>
            </w:r>
          </w:p>
        </w:tc>
        <w:tc>
          <w:tcPr>
            <w:tcW w:w="1530" w:type="dxa"/>
            <w:vAlign w:val="center"/>
          </w:tcPr>
          <w:p w14:paraId="75B3152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-13</w:t>
            </w:r>
          </w:p>
        </w:tc>
        <w:tc>
          <w:tcPr>
            <w:tcW w:w="1170" w:type="dxa"/>
            <w:vAlign w:val="center"/>
          </w:tcPr>
          <w:p w14:paraId="723EE3F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w:t>
            </w:r>
          </w:p>
        </w:tc>
        <w:tc>
          <w:tcPr>
            <w:tcW w:w="1170" w:type="dxa"/>
            <w:vAlign w:val="center"/>
          </w:tcPr>
          <w:p w14:paraId="71BC452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-7.5</w:t>
            </w:r>
          </w:p>
        </w:tc>
        <w:tc>
          <w:tcPr>
            <w:tcW w:w="900" w:type="dxa"/>
            <w:vAlign w:val="center"/>
          </w:tcPr>
          <w:p w14:paraId="5EB5116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1.5</w:t>
            </w:r>
          </w:p>
        </w:tc>
        <w:tc>
          <w:tcPr>
            <w:tcW w:w="1440" w:type="dxa"/>
          </w:tcPr>
          <w:p w14:paraId="636A67F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U(0,3)</w:t>
            </w:r>
          </w:p>
        </w:tc>
      </w:tr>
      <w:tr w:rsidR="00C565FD" w:rsidRPr="00163E69" w14:paraId="36E51BC1" w14:textId="77777777" w:rsidTr="002A2C90">
        <w:trPr>
          <w:trHeight w:val="268"/>
        </w:trPr>
        <w:tc>
          <w:tcPr>
            <w:tcW w:w="720" w:type="dxa"/>
          </w:tcPr>
          <w:p w14:paraId="688183F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16</w:t>
            </w:r>
          </w:p>
        </w:tc>
        <w:tc>
          <w:tcPr>
            <w:tcW w:w="1710" w:type="dxa"/>
          </w:tcPr>
          <w:p w14:paraId="4BB0C90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581C64F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0.5</w:t>
            </w:r>
          </w:p>
        </w:tc>
        <w:tc>
          <w:tcPr>
            <w:tcW w:w="900" w:type="dxa"/>
            <w:vAlign w:val="center"/>
          </w:tcPr>
          <w:p w14:paraId="545A084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1CFCA6F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w:t>
            </w:r>
          </w:p>
        </w:tc>
        <w:tc>
          <w:tcPr>
            <w:tcW w:w="1530" w:type="dxa"/>
            <w:vAlign w:val="center"/>
          </w:tcPr>
          <w:p w14:paraId="239E58C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-15</w:t>
            </w:r>
          </w:p>
        </w:tc>
        <w:tc>
          <w:tcPr>
            <w:tcW w:w="1170" w:type="dxa"/>
            <w:vAlign w:val="center"/>
          </w:tcPr>
          <w:p w14:paraId="0CBFA3B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w:t>
            </w:r>
          </w:p>
        </w:tc>
        <w:tc>
          <w:tcPr>
            <w:tcW w:w="1170" w:type="dxa"/>
            <w:vAlign w:val="center"/>
          </w:tcPr>
          <w:p w14:paraId="2EF8F89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-8.5</w:t>
            </w:r>
          </w:p>
        </w:tc>
        <w:tc>
          <w:tcPr>
            <w:tcW w:w="900" w:type="dxa"/>
            <w:vAlign w:val="center"/>
          </w:tcPr>
          <w:p w14:paraId="20650FB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1.5</w:t>
            </w:r>
          </w:p>
        </w:tc>
        <w:tc>
          <w:tcPr>
            <w:tcW w:w="1440" w:type="dxa"/>
          </w:tcPr>
          <w:p w14:paraId="6018EA6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U(0,3)</w:t>
            </w:r>
          </w:p>
        </w:tc>
      </w:tr>
      <w:tr w:rsidR="00C565FD" w:rsidRPr="00163E69" w14:paraId="2FA19D41" w14:textId="77777777" w:rsidTr="002A2C90">
        <w:trPr>
          <w:trHeight w:val="268"/>
        </w:trPr>
        <w:tc>
          <w:tcPr>
            <w:tcW w:w="720" w:type="dxa"/>
          </w:tcPr>
          <w:p w14:paraId="0E6686A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17</w:t>
            </w:r>
          </w:p>
        </w:tc>
        <w:tc>
          <w:tcPr>
            <w:tcW w:w="1710" w:type="dxa"/>
          </w:tcPr>
          <w:p w14:paraId="0E481F0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7FDAA35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900" w:type="dxa"/>
            <w:vAlign w:val="center"/>
          </w:tcPr>
          <w:p w14:paraId="01B8EDA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2E81668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w:t>
            </w:r>
          </w:p>
        </w:tc>
        <w:tc>
          <w:tcPr>
            <w:tcW w:w="1530" w:type="dxa"/>
            <w:vAlign w:val="center"/>
          </w:tcPr>
          <w:p w14:paraId="3545FFA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-13</w:t>
            </w:r>
          </w:p>
        </w:tc>
        <w:tc>
          <w:tcPr>
            <w:tcW w:w="1170" w:type="dxa"/>
            <w:vAlign w:val="center"/>
          </w:tcPr>
          <w:p w14:paraId="596CF77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-9.6</w:t>
            </w:r>
          </w:p>
        </w:tc>
        <w:tc>
          <w:tcPr>
            <w:tcW w:w="1170" w:type="dxa"/>
            <w:vAlign w:val="center"/>
          </w:tcPr>
          <w:p w14:paraId="445E759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-9.15</w:t>
            </w:r>
          </w:p>
        </w:tc>
        <w:tc>
          <w:tcPr>
            <w:tcW w:w="900" w:type="dxa"/>
            <w:vAlign w:val="center"/>
          </w:tcPr>
          <w:p w14:paraId="76D2B24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0.45</w:t>
            </w:r>
          </w:p>
        </w:tc>
        <w:tc>
          <w:tcPr>
            <w:tcW w:w="1440" w:type="dxa"/>
          </w:tcPr>
          <w:p w14:paraId="0C0ED22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w:t>
            </w:r>
          </w:p>
        </w:tc>
      </w:tr>
      <w:tr w:rsidR="00C565FD" w:rsidRPr="00163E69" w14:paraId="70A4D866" w14:textId="77777777" w:rsidTr="002A2C90">
        <w:trPr>
          <w:trHeight w:val="268"/>
        </w:trPr>
        <w:tc>
          <w:tcPr>
            <w:tcW w:w="720" w:type="dxa"/>
          </w:tcPr>
          <w:p w14:paraId="661A941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18</w:t>
            </w:r>
          </w:p>
        </w:tc>
        <w:tc>
          <w:tcPr>
            <w:tcW w:w="1710" w:type="dxa"/>
          </w:tcPr>
          <w:p w14:paraId="24B0092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105BEBFF"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900" w:type="dxa"/>
            <w:vAlign w:val="center"/>
          </w:tcPr>
          <w:p w14:paraId="31794C6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1575298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-9.5</w:t>
            </w:r>
          </w:p>
        </w:tc>
        <w:tc>
          <w:tcPr>
            <w:tcW w:w="1530" w:type="dxa"/>
            <w:vAlign w:val="center"/>
          </w:tcPr>
          <w:p w14:paraId="4AC690D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-13.5</w:t>
            </w:r>
          </w:p>
        </w:tc>
        <w:tc>
          <w:tcPr>
            <w:tcW w:w="1170" w:type="dxa"/>
            <w:vAlign w:val="center"/>
          </w:tcPr>
          <w:p w14:paraId="3EAF1A1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-10.1</w:t>
            </w:r>
          </w:p>
        </w:tc>
        <w:tc>
          <w:tcPr>
            <w:tcW w:w="1170" w:type="dxa"/>
            <w:vAlign w:val="center"/>
          </w:tcPr>
          <w:p w14:paraId="5E88AE9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-9.575</w:t>
            </w:r>
          </w:p>
        </w:tc>
        <w:tc>
          <w:tcPr>
            <w:tcW w:w="900" w:type="dxa"/>
            <w:vAlign w:val="center"/>
          </w:tcPr>
          <w:p w14:paraId="3C9F70B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0.425</w:t>
            </w:r>
          </w:p>
        </w:tc>
        <w:tc>
          <w:tcPr>
            <w:tcW w:w="1440" w:type="dxa"/>
          </w:tcPr>
          <w:p w14:paraId="4BB4C2E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U(0,0.75)</w:t>
            </w:r>
          </w:p>
        </w:tc>
      </w:tr>
      <w:tr w:rsidR="00C565FD" w:rsidRPr="00163E69" w14:paraId="7F85E73D" w14:textId="77777777" w:rsidTr="002A2C90">
        <w:trPr>
          <w:trHeight w:val="268"/>
        </w:trPr>
        <w:tc>
          <w:tcPr>
            <w:tcW w:w="720" w:type="dxa"/>
          </w:tcPr>
          <w:p w14:paraId="7F0EB6C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19</w:t>
            </w:r>
          </w:p>
        </w:tc>
        <w:tc>
          <w:tcPr>
            <w:tcW w:w="1710" w:type="dxa"/>
          </w:tcPr>
          <w:p w14:paraId="728664D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28D6FAF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900" w:type="dxa"/>
            <w:vAlign w:val="center"/>
          </w:tcPr>
          <w:p w14:paraId="5A65FF5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160175E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530" w:type="dxa"/>
            <w:vAlign w:val="center"/>
          </w:tcPr>
          <w:p w14:paraId="511451A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-16</w:t>
            </w:r>
          </w:p>
        </w:tc>
        <w:tc>
          <w:tcPr>
            <w:tcW w:w="1170" w:type="dxa"/>
            <w:vAlign w:val="center"/>
          </w:tcPr>
          <w:p w14:paraId="138DDC8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-9.2</w:t>
            </w:r>
          </w:p>
        </w:tc>
        <w:tc>
          <w:tcPr>
            <w:tcW w:w="1170" w:type="dxa"/>
            <w:vAlign w:val="center"/>
          </w:tcPr>
          <w:p w14:paraId="4452AF0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-8.3</w:t>
            </w:r>
          </w:p>
        </w:tc>
        <w:tc>
          <w:tcPr>
            <w:tcW w:w="900" w:type="dxa"/>
            <w:vAlign w:val="center"/>
          </w:tcPr>
          <w:p w14:paraId="3311033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0.9</w:t>
            </w:r>
          </w:p>
        </w:tc>
        <w:tc>
          <w:tcPr>
            <w:tcW w:w="1440" w:type="dxa"/>
          </w:tcPr>
          <w:p w14:paraId="2EB5623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U(0,2)</w:t>
            </w:r>
          </w:p>
        </w:tc>
      </w:tr>
      <w:tr w:rsidR="00C565FD" w:rsidRPr="00163E69" w14:paraId="7B0A2F89" w14:textId="77777777" w:rsidTr="002A2C90">
        <w:trPr>
          <w:trHeight w:val="268"/>
        </w:trPr>
        <w:tc>
          <w:tcPr>
            <w:tcW w:w="720" w:type="dxa"/>
          </w:tcPr>
          <w:p w14:paraId="4F051AC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20</w:t>
            </w:r>
          </w:p>
        </w:tc>
        <w:tc>
          <w:tcPr>
            <w:tcW w:w="1710" w:type="dxa"/>
          </w:tcPr>
          <w:p w14:paraId="11E020E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5E5A052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900" w:type="dxa"/>
            <w:vAlign w:val="center"/>
          </w:tcPr>
          <w:p w14:paraId="3E84392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719074E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w:t>
            </w:r>
          </w:p>
        </w:tc>
        <w:tc>
          <w:tcPr>
            <w:tcW w:w="1530" w:type="dxa"/>
            <w:vAlign w:val="center"/>
          </w:tcPr>
          <w:p w14:paraId="4DE20B4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-17</w:t>
            </w:r>
          </w:p>
        </w:tc>
        <w:tc>
          <w:tcPr>
            <w:tcW w:w="1170" w:type="dxa"/>
            <w:vAlign w:val="center"/>
          </w:tcPr>
          <w:p w14:paraId="73D672C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-10.2</w:t>
            </w:r>
          </w:p>
        </w:tc>
        <w:tc>
          <w:tcPr>
            <w:tcW w:w="1170" w:type="dxa"/>
            <w:vAlign w:val="center"/>
          </w:tcPr>
          <w:p w14:paraId="04FE6F6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-9.15</w:t>
            </w:r>
          </w:p>
        </w:tc>
        <w:tc>
          <w:tcPr>
            <w:tcW w:w="900" w:type="dxa"/>
            <w:vAlign w:val="center"/>
          </w:tcPr>
          <w:p w14:paraId="30036E2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1440" w:type="dxa"/>
          </w:tcPr>
          <w:p w14:paraId="0EA56B1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w:t>
            </w:r>
          </w:p>
        </w:tc>
      </w:tr>
      <w:tr w:rsidR="00C565FD" w:rsidRPr="00163E69" w14:paraId="656B93FA" w14:textId="77777777" w:rsidTr="002A2C90">
        <w:trPr>
          <w:trHeight w:val="268"/>
        </w:trPr>
        <w:tc>
          <w:tcPr>
            <w:tcW w:w="720" w:type="dxa"/>
          </w:tcPr>
          <w:p w14:paraId="50CEA75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21</w:t>
            </w:r>
          </w:p>
        </w:tc>
        <w:tc>
          <w:tcPr>
            <w:tcW w:w="1710" w:type="dxa"/>
          </w:tcPr>
          <w:p w14:paraId="22F65EC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609F4F5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0.15</w:t>
            </w:r>
          </w:p>
        </w:tc>
        <w:tc>
          <w:tcPr>
            <w:tcW w:w="900" w:type="dxa"/>
            <w:vAlign w:val="center"/>
          </w:tcPr>
          <w:p w14:paraId="5AB37BE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32A5D2DE"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-6.5</w:t>
            </w:r>
          </w:p>
        </w:tc>
        <w:tc>
          <w:tcPr>
            <w:tcW w:w="1530" w:type="dxa"/>
            <w:vAlign w:val="center"/>
          </w:tcPr>
          <w:p w14:paraId="1E97691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-10.5</w:t>
            </w:r>
          </w:p>
        </w:tc>
        <w:tc>
          <w:tcPr>
            <w:tcW w:w="1170" w:type="dxa"/>
            <w:vAlign w:val="center"/>
          </w:tcPr>
          <w:p w14:paraId="31A7540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-9.9</w:t>
            </w:r>
          </w:p>
        </w:tc>
        <w:tc>
          <w:tcPr>
            <w:tcW w:w="1170" w:type="dxa"/>
            <w:vAlign w:val="center"/>
          </w:tcPr>
          <w:p w14:paraId="7B502F2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-9.475</w:t>
            </w:r>
          </w:p>
        </w:tc>
        <w:tc>
          <w:tcPr>
            <w:tcW w:w="900" w:type="dxa"/>
            <w:vAlign w:val="center"/>
          </w:tcPr>
          <w:p w14:paraId="4E2D6FA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0.425</w:t>
            </w:r>
          </w:p>
        </w:tc>
        <w:tc>
          <w:tcPr>
            <w:tcW w:w="1440" w:type="dxa"/>
          </w:tcPr>
          <w:p w14:paraId="4021A2B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U(0,0.75)</w:t>
            </w:r>
          </w:p>
        </w:tc>
      </w:tr>
      <w:tr w:rsidR="00C565FD" w:rsidRPr="00163E69" w14:paraId="206C41F6" w14:textId="77777777" w:rsidTr="002A2C90">
        <w:trPr>
          <w:trHeight w:val="268"/>
        </w:trPr>
        <w:tc>
          <w:tcPr>
            <w:tcW w:w="720" w:type="dxa"/>
          </w:tcPr>
          <w:p w14:paraId="6B18CDB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22</w:t>
            </w:r>
          </w:p>
        </w:tc>
        <w:tc>
          <w:tcPr>
            <w:tcW w:w="1710" w:type="dxa"/>
          </w:tcPr>
          <w:p w14:paraId="3197BA0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24C9216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0.15</w:t>
            </w:r>
          </w:p>
        </w:tc>
        <w:tc>
          <w:tcPr>
            <w:tcW w:w="900" w:type="dxa"/>
            <w:vAlign w:val="center"/>
          </w:tcPr>
          <w:p w14:paraId="5313F58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620" w:type="dxa"/>
            <w:vAlign w:val="center"/>
          </w:tcPr>
          <w:p w14:paraId="3FBE952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-7</w:t>
            </w:r>
          </w:p>
        </w:tc>
        <w:tc>
          <w:tcPr>
            <w:tcW w:w="1530" w:type="dxa"/>
            <w:vAlign w:val="center"/>
          </w:tcPr>
          <w:p w14:paraId="0D6CEEF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w:t>
            </w:r>
          </w:p>
        </w:tc>
        <w:tc>
          <w:tcPr>
            <w:tcW w:w="1170" w:type="dxa"/>
            <w:vAlign w:val="center"/>
          </w:tcPr>
          <w:p w14:paraId="2717F52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-10.4</w:t>
            </w:r>
          </w:p>
        </w:tc>
        <w:tc>
          <w:tcPr>
            <w:tcW w:w="1170" w:type="dxa"/>
            <w:vAlign w:val="center"/>
          </w:tcPr>
          <w:p w14:paraId="5D24FCA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-9.55</w:t>
            </w:r>
          </w:p>
        </w:tc>
        <w:tc>
          <w:tcPr>
            <w:tcW w:w="900" w:type="dxa"/>
            <w:vAlign w:val="center"/>
          </w:tcPr>
          <w:p w14:paraId="6EFDC64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0.45</w:t>
            </w:r>
          </w:p>
        </w:tc>
        <w:tc>
          <w:tcPr>
            <w:tcW w:w="1440" w:type="dxa"/>
          </w:tcPr>
          <w:p w14:paraId="18AC2DF8"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w:t>
            </w:r>
          </w:p>
        </w:tc>
      </w:tr>
      <w:tr w:rsidR="00C565FD" w:rsidRPr="00163E69" w14:paraId="5A734936" w14:textId="77777777" w:rsidTr="002A2C90">
        <w:trPr>
          <w:trHeight w:val="268"/>
        </w:trPr>
        <w:tc>
          <w:tcPr>
            <w:tcW w:w="720" w:type="dxa"/>
          </w:tcPr>
          <w:p w14:paraId="742B3D0D"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23</w:t>
            </w:r>
          </w:p>
        </w:tc>
        <w:tc>
          <w:tcPr>
            <w:tcW w:w="1710" w:type="dxa"/>
          </w:tcPr>
          <w:p w14:paraId="39D20EE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4A91FB59"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0.15</w:t>
            </w:r>
          </w:p>
        </w:tc>
        <w:tc>
          <w:tcPr>
            <w:tcW w:w="900" w:type="dxa"/>
            <w:vAlign w:val="center"/>
          </w:tcPr>
          <w:p w14:paraId="5D6459D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6DD7D5D6"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-3</w:t>
            </w:r>
          </w:p>
        </w:tc>
        <w:tc>
          <w:tcPr>
            <w:tcW w:w="1530" w:type="dxa"/>
            <w:vAlign w:val="center"/>
          </w:tcPr>
          <w:p w14:paraId="0C336430"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-11</w:t>
            </w:r>
          </w:p>
        </w:tc>
        <w:tc>
          <w:tcPr>
            <w:tcW w:w="1170" w:type="dxa"/>
            <w:vAlign w:val="center"/>
          </w:tcPr>
          <w:p w14:paraId="2A97393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-9.8</w:t>
            </w:r>
          </w:p>
        </w:tc>
        <w:tc>
          <w:tcPr>
            <w:tcW w:w="1170" w:type="dxa"/>
            <w:vAlign w:val="center"/>
          </w:tcPr>
          <w:p w14:paraId="067ABA2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-8.95</w:t>
            </w:r>
          </w:p>
        </w:tc>
        <w:tc>
          <w:tcPr>
            <w:tcW w:w="900" w:type="dxa"/>
            <w:vAlign w:val="center"/>
          </w:tcPr>
          <w:p w14:paraId="2D44A62A"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0.85</w:t>
            </w:r>
          </w:p>
        </w:tc>
        <w:tc>
          <w:tcPr>
            <w:tcW w:w="1440" w:type="dxa"/>
          </w:tcPr>
          <w:p w14:paraId="3DA768FB"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U(0,1)</w:t>
            </w:r>
          </w:p>
        </w:tc>
      </w:tr>
      <w:tr w:rsidR="00C565FD" w:rsidRPr="00163E69" w14:paraId="77C1345D" w14:textId="77777777" w:rsidTr="002A2C90">
        <w:trPr>
          <w:trHeight w:val="268"/>
        </w:trPr>
        <w:tc>
          <w:tcPr>
            <w:tcW w:w="720" w:type="dxa"/>
          </w:tcPr>
          <w:p w14:paraId="13CC894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24</w:t>
            </w:r>
          </w:p>
        </w:tc>
        <w:tc>
          <w:tcPr>
            <w:tcW w:w="1710" w:type="dxa"/>
          </w:tcPr>
          <w:p w14:paraId="28BAB7B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w:t>
            </w:r>
          </w:p>
        </w:tc>
        <w:tc>
          <w:tcPr>
            <w:tcW w:w="2070" w:type="dxa"/>
            <w:vAlign w:val="center"/>
          </w:tcPr>
          <w:p w14:paraId="1E26C24C"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0.15</w:t>
            </w:r>
          </w:p>
        </w:tc>
        <w:tc>
          <w:tcPr>
            <w:tcW w:w="900" w:type="dxa"/>
            <w:vAlign w:val="center"/>
          </w:tcPr>
          <w:p w14:paraId="4FF896C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8</w:t>
            </w:r>
          </w:p>
        </w:tc>
        <w:tc>
          <w:tcPr>
            <w:tcW w:w="1620" w:type="dxa"/>
            <w:vAlign w:val="center"/>
          </w:tcPr>
          <w:p w14:paraId="0EBD40D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-4</w:t>
            </w:r>
          </w:p>
        </w:tc>
        <w:tc>
          <w:tcPr>
            <w:tcW w:w="1530" w:type="dxa"/>
            <w:vAlign w:val="center"/>
          </w:tcPr>
          <w:p w14:paraId="0D6D24D7"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-12</w:t>
            </w:r>
          </w:p>
        </w:tc>
        <w:tc>
          <w:tcPr>
            <w:tcW w:w="1170" w:type="dxa"/>
            <w:vAlign w:val="center"/>
          </w:tcPr>
          <w:p w14:paraId="2F2B1071"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-10.8</w:t>
            </w:r>
          </w:p>
        </w:tc>
        <w:tc>
          <w:tcPr>
            <w:tcW w:w="1170" w:type="dxa"/>
            <w:vAlign w:val="center"/>
          </w:tcPr>
          <w:p w14:paraId="22228BB4"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-9.1</w:t>
            </w:r>
          </w:p>
        </w:tc>
        <w:tc>
          <w:tcPr>
            <w:tcW w:w="900" w:type="dxa"/>
            <w:vAlign w:val="center"/>
          </w:tcPr>
          <w:p w14:paraId="22564B43"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0.9</w:t>
            </w:r>
          </w:p>
        </w:tc>
        <w:tc>
          <w:tcPr>
            <w:tcW w:w="1440" w:type="dxa"/>
          </w:tcPr>
          <w:p w14:paraId="63921F22"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U(0,2)</w:t>
            </w:r>
          </w:p>
        </w:tc>
      </w:tr>
      <w:tr w:rsidR="00C565FD" w:rsidRPr="00163E69" w14:paraId="6854F09F" w14:textId="77777777" w:rsidTr="002A2C90">
        <w:trPr>
          <w:trHeight w:val="58"/>
        </w:trPr>
        <w:tc>
          <w:tcPr>
            <w:tcW w:w="13230" w:type="dxa"/>
            <w:gridSpan w:val="10"/>
          </w:tcPr>
          <w:p w14:paraId="4A02CBE5" w14:textId="77777777" w:rsidR="00C565FD" w:rsidRPr="00163E69" w:rsidRDefault="00C565FD" w:rsidP="002A2C90">
            <w:pPr>
              <w:jc w:val="center"/>
              <w:rPr>
                <w:rFonts w:ascii="Times New Roman" w:hAnsi="Times New Roman" w:cs="Times New Roman"/>
                <w:sz w:val="22"/>
                <w:szCs w:val="22"/>
              </w:rPr>
            </w:pPr>
            <w:r w:rsidRPr="00163E69">
              <w:rPr>
                <w:rFonts w:ascii="Times New Roman" w:hAnsi="Times New Roman" w:cs="Times New Roman"/>
                <w:sz w:val="22"/>
                <w:szCs w:val="22"/>
              </w:rPr>
              <w:t xml:space="preserve">The cost of information is randomly drawn from a distribution in increments of $0.25 with values both above and below </w:t>
            </w:r>
            <m:oMath>
              <m:sSup>
                <m:sSupPr>
                  <m:ctrlPr>
                    <w:rPr>
                      <w:rFonts w:ascii="Cambria Math" w:hAnsi="Cambria Math" w:cs="Times New Roman"/>
                      <w:i/>
                      <w:sz w:val="22"/>
                      <w:szCs w:val="22"/>
                    </w:rPr>
                  </m:ctrlPr>
                </m:sSupPr>
                <m:e>
                  <m:r>
                    <w:rPr>
                      <w:rFonts w:ascii="Cambria Math" w:hAnsi="Cambria Math" w:cs="Times New Roman"/>
                      <w:sz w:val="22"/>
                      <w:szCs w:val="22"/>
                    </w:rPr>
                    <m:t>C</m:t>
                  </m:r>
                </m:e>
                <m:sup>
                  <m:r>
                    <w:rPr>
                      <w:rFonts w:ascii="Cambria Math" w:hAnsi="Cambria Math" w:cs="Times New Roman"/>
                      <w:sz w:val="22"/>
                      <w:szCs w:val="22"/>
                    </w:rPr>
                    <m:t>*</m:t>
                  </m:r>
                </m:sup>
              </m:sSup>
            </m:oMath>
            <w:r w:rsidRPr="00163E69">
              <w:rPr>
                <w:rFonts w:ascii="Times New Roman" w:hAnsi="Times New Roman" w:cs="Times New Roman"/>
                <w:sz w:val="22"/>
                <w:szCs w:val="22"/>
              </w:rPr>
              <w:t>.</w:t>
            </w:r>
          </w:p>
        </w:tc>
      </w:tr>
    </w:tbl>
    <w:p w14:paraId="1D9FFB33" w14:textId="77777777" w:rsidR="00C565FD" w:rsidRPr="00163E69" w:rsidRDefault="00C565FD" w:rsidP="00C565FD">
      <w:pPr>
        <w:rPr>
          <w:rFonts w:ascii="Times New Roman" w:hAnsi="Times New Roman" w:cs="Times New Roman"/>
        </w:rPr>
        <w:sectPr w:rsidR="00C565FD" w:rsidRPr="00163E69" w:rsidSect="00FE7549">
          <w:pgSz w:w="15840" w:h="12240" w:orient="landscape" w:code="1"/>
          <w:pgMar w:top="1800" w:right="1440" w:bottom="1800" w:left="1872" w:header="720" w:footer="1440" w:gutter="0"/>
          <w:cols w:space="720"/>
          <w:noEndnote/>
          <w:docGrid w:linePitch="360"/>
        </w:sectPr>
      </w:pPr>
    </w:p>
    <w:p w14:paraId="1D749B89" w14:textId="6EAD5072" w:rsidR="00C565FD" w:rsidRPr="00163E69" w:rsidRDefault="00C565FD" w:rsidP="00C565FD">
      <w:pPr>
        <w:rPr>
          <w:rFonts w:ascii="Times New Roman" w:hAnsi="Times New Roman" w:cs="Times New Roman"/>
        </w:rPr>
      </w:pPr>
      <w:bookmarkStart w:id="98" w:name="_Ref160703390"/>
      <w:bookmarkStart w:id="99" w:name="_Toc160719991"/>
      <w:bookmarkStart w:id="100" w:name="_Toc164862546"/>
      <w:r w:rsidRPr="00163E69">
        <w:rPr>
          <w:rFonts w:ascii="Times New Roman" w:hAnsi="Times New Roman" w:cs="Times New Roman"/>
        </w:rPr>
        <w:lastRenderedPageBreak/>
        <w:t xml:space="preserve">Table </w:t>
      </w:r>
      <w:r w:rsidRPr="00163E69">
        <w:rPr>
          <w:rFonts w:ascii="Times New Roman" w:hAnsi="Times New Roman" w:cs="Times New Roman"/>
        </w:rPr>
        <w:fldChar w:fldCharType="begin"/>
      </w:r>
      <w:r w:rsidRPr="00163E69">
        <w:rPr>
          <w:rFonts w:ascii="Times New Roman" w:hAnsi="Times New Roman" w:cs="Times New Roman"/>
        </w:rPr>
        <w:instrText xml:space="preserve"> SEQ Table \* ARABIC </w:instrText>
      </w:r>
      <w:r w:rsidRPr="00163E69">
        <w:rPr>
          <w:rFonts w:ascii="Times New Roman" w:hAnsi="Times New Roman" w:cs="Times New Roman"/>
        </w:rPr>
        <w:fldChar w:fldCharType="separate"/>
      </w:r>
      <w:r w:rsidR="00142A7E">
        <w:rPr>
          <w:rFonts w:ascii="Times New Roman" w:hAnsi="Times New Roman" w:cs="Times New Roman"/>
          <w:noProof/>
        </w:rPr>
        <w:t>11</w:t>
      </w:r>
      <w:r w:rsidRPr="00163E69">
        <w:rPr>
          <w:rFonts w:ascii="Times New Roman" w:hAnsi="Times New Roman" w:cs="Times New Roman"/>
        </w:rPr>
        <w:fldChar w:fldCharType="end"/>
      </w:r>
      <w:bookmarkEnd w:id="98"/>
      <w:r w:rsidRPr="00163E69">
        <w:rPr>
          <w:rFonts w:ascii="Times New Roman" w:hAnsi="Times New Roman" w:cs="Times New Roman"/>
        </w:rPr>
        <w:t>: Summary Statistics</w:t>
      </w:r>
      <w:bookmarkEnd w:id="99"/>
      <w:bookmarkEnd w:id="100"/>
    </w:p>
    <w:tbl>
      <w:tblPr>
        <w:tblW w:w="9270" w:type="dxa"/>
        <w:jc w:val="center"/>
        <w:tblLook w:val="04A0" w:firstRow="1" w:lastRow="0" w:firstColumn="1" w:lastColumn="0" w:noHBand="0" w:noVBand="1"/>
      </w:tblPr>
      <w:tblGrid>
        <w:gridCol w:w="2790"/>
        <w:gridCol w:w="4463"/>
        <w:gridCol w:w="876"/>
        <w:gridCol w:w="1141"/>
      </w:tblGrid>
      <w:tr w:rsidR="00C565FD" w:rsidRPr="00163E69" w14:paraId="3683494C"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F9F9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Variable</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441A9FB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Definition</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4C6D7E2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Mean</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E709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Std. Dev.</w:t>
            </w:r>
          </w:p>
        </w:tc>
      </w:tr>
      <w:tr w:rsidR="00C565FD" w:rsidRPr="00163E69" w14:paraId="6221E0EE"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FB1A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Number of Quiz Questions Correct</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3A6FA46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Number of the 4 quiz questions answered correctly. Quiz questions were used to assess understanding of the experiment.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680378A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3.5</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6838B26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0.74</w:t>
            </w:r>
          </w:p>
        </w:tc>
      </w:tr>
      <w:tr w:rsidR="00C565FD" w:rsidRPr="00163E69" w14:paraId="1472A46A" w14:textId="77777777" w:rsidTr="002A2C90">
        <w:trPr>
          <w:trHeight w:val="40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EE26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Understood Instructions</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5E0152E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Self-reported understanding of instructions on a Likert Scale from 1 to 5.</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3D54F1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4.6</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59470409"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0.9</w:t>
            </w:r>
          </w:p>
        </w:tc>
      </w:tr>
      <w:tr w:rsidR="00C565FD" w:rsidRPr="00163E69" w14:paraId="00DFD14C" w14:textId="77777777" w:rsidTr="002A2C90">
        <w:trPr>
          <w:trHeight w:val="40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A338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Compensated Fairly</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413689C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Self-reported agreement that participants were compensated fairly for their time on a Likert Scale from 1 to 5.</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645117D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4.3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160CB747"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0.99</w:t>
            </w:r>
          </w:p>
        </w:tc>
      </w:tr>
      <w:tr w:rsidR="00C565FD" w:rsidRPr="00163E69" w14:paraId="6CEAD340"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D146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Age</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64B5357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Age of participant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16D137D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20</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7357086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1.3</w:t>
            </w:r>
          </w:p>
        </w:tc>
      </w:tr>
      <w:tr w:rsidR="00C565FD" w:rsidRPr="00163E69" w14:paraId="64C23A67"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72B2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GPA</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18FE1B4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Grade Point Average for participant coded as the midpoint of range</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6768620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3.5</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2A85A97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0.39</w:t>
            </w:r>
          </w:p>
        </w:tc>
      </w:tr>
      <w:tr w:rsidR="00C565FD" w:rsidRPr="00163E69" w14:paraId="0E846655" w14:textId="77777777" w:rsidTr="002A2C90">
        <w:trPr>
          <w:trHeight w:val="40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75FE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 xml:space="preserve">Economic Courses </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6F36FCA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Number of economic courses participant had taken prior to experiment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2B8692E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64BF0089"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2</w:t>
            </w:r>
          </w:p>
        </w:tc>
      </w:tr>
      <w:tr w:rsidR="00C565FD" w:rsidRPr="00163E69" w14:paraId="4ACE3967"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6873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Female</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7A8D6B77"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Participant identified as female</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1E60C06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0.47</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00C2C36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0.5</w:t>
            </w:r>
          </w:p>
        </w:tc>
      </w:tr>
      <w:tr w:rsidR="00C565FD" w:rsidRPr="00163E69" w14:paraId="0B89FE64"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D041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Male</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2B133D07"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Participant identified as male</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1C18F86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0.52</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04FD7BF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0.5</w:t>
            </w:r>
          </w:p>
        </w:tc>
      </w:tr>
      <w:tr w:rsidR="00C565FD" w:rsidRPr="00163E69" w14:paraId="42F15D70"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0EA4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Freshman</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0058056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Student classification for participant was Freshman</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4BD4EE7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0.23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42CCB96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0.42</w:t>
            </w:r>
          </w:p>
        </w:tc>
      </w:tr>
      <w:tr w:rsidR="00C565FD" w:rsidRPr="00163E69" w14:paraId="638BE28C"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A744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Sophomore</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006C3C9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Student classification for participant was Sophomore</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535D0A1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0.29</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335874F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0.45</w:t>
            </w:r>
          </w:p>
        </w:tc>
      </w:tr>
      <w:tr w:rsidR="00C565FD" w:rsidRPr="00163E69" w14:paraId="64FC6DFA"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7F054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Junior</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0BF953C7"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Student classification for participant was Junior</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70F9F8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0.31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2D670A2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0.46</w:t>
            </w:r>
          </w:p>
        </w:tc>
      </w:tr>
      <w:tr w:rsidR="00C565FD" w:rsidRPr="00163E69" w14:paraId="469F97D3"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3EF6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Senior</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6ED5201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Student classification for participant was Senior</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013DA127"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0.16</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345BF3A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0.37</w:t>
            </w:r>
          </w:p>
        </w:tc>
      </w:tr>
      <w:tr w:rsidR="00C565FD" w:rsidRPr="00163E69" w14:paraId="25F4105B"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0618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Masters</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04FAD23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Student classification for participant was Masters Student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25601F3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0.0065</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739B400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0.081</w:t>
            </w:r>
          </w:p>
        </w:tc>
      </w:tr>
      <w:tr w:rsidR="00C565FD" w:rsidRPr="00163E69" w14:paraId="265F769C" w14:textId="77777777" w:rsidTr="002A2C90">
        <w:trPr>
          <w:trHeight w:val="28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4355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Doctoral</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4B204DD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Student classification for participant was Doctoral Student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3156D9C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0.0065</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6BEE0C6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0.081</w:t>
            </w:r>
          </w:p>
        </w:tc>
      </w:tr>
      <w:tr w:rsidR="00C565FD" w:rsidRPr="00163E69" w14:paraId="2BED5AF1" w14:textId="77777777" w:rsidTr="002A2C90">
        <w:trPr>
          <w:trHeight w:val="40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5FD6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Full Time Student</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78E69A1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Participant was a full-time student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41B1C64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0.99</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5C11A4D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0.081</w:t>
            </w:r>
          </w:p>
        </w:tc>
      </w:tr>
      <w:tr w:rsidR="00C565FD" w:rsidRPr="00163E69" w14:paraId="32DCB0B3" w14:textId="77777777" w:rsidTr="002A2C90">
        <w:trPr>
          <w:trHeight w:val="408"/>
          <w:jc w:val="center"/>
        </w:trPr>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6A80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Part Time Student</w:t>
            </w:r>
          </w:p>
        </w:tc>
        <w:tc>
          <w:tcPr>
            <w:tcW w:w="4463" w:type="dxa"/>
            <w:tcBorders>
              <w:top w:val="single" w:sz="4" w:space="0" w:color="auto"/>
              <w:left w:val="single" w:sz="4" w:space="0" w:color="auto"/>
              <w:bottom w:val="single" w:sz="4" w:space="0" w:color="auto"/>
              <w:right w:val="single" w:sz="4" w:space="0" w:color="auto"/>
            </w:tcBorders>
            <w:shd w:val="clear" w:color="auto" w:fill="auto"/>
            <w:vAlign w:val="center"/>
          </w:tcPr>
          <w:p w14:paraId="1F29755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Participant was a part-time student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1486EE5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0.0065</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177306E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0.081</w:t>
            </w:r>
          </w:p>
        </w:tc>
      </w:tr>
      <w:tr w:rsidR="00C565FD" w:rsidRPr="00163E69" w14:paraId="0559503C" w14:textId="77777777" w:rsidTr="002A2C90">
        <w:trPr>
          <w:trHeight w:val="449"/>
          <w:jc w:val="center"/>
        </w:trPr>
        <w:tc>
          <w:tcPr>
            <w:tcW w:w="9270"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57738244" w14:textId="77777777" w:rsidR="00C565FD" w:rsidRPr="00163E69" w:rsidRDefault="00C565FD" w:rsidP="002A2C90">
            <w:pPr>
              <w:rPr>
                <w:rFonts w:ascii="Times New Roman" w:hAnsi="Times New Roman" w:cs="Times New Roman"/>
                <w:sz w:val="20"/>
                <w:szCs w:val="20"/>
              </w:rPr>
            </w:pPr>
            <w:r w:rsidRPr="00163E69">
              <w:rPr>
                <w:rFonts w:ascii="Times New Roman" w:hAnsi="Times New Roman" w:cs="Times New Roman"/>
              </w:rPr>
              <w:t xml:space="preserve">Data for each variable is available for all 154 participants. </w:t>
            </w:r>
          </w:p>
        </w:tc>
      </w:tr>
    </w:tbl>
    <w:p w14:paraId="4E67C5FE" w14:textId="77777777" w:rsidR="00C565FD" w:rsidRPr="00163E69" w:rsidRDefault="00C565FD" w:rsidP="00C565FD">
      <w:pPr>
        <w:rPr>
          <w:rFonts w:ascii="Times New Roman" w:hAnsi="Times New Roman" w:cs="Times New Roman"/>
        </w:rPr>
      </w:pPr>
    </w:p>
    <w:p w14:paraId="7E2383F3" w14:textId="77777777" w:rsidR="00C565FD" w:rsidRPr="00163E69" w:rsidRDefault="00C565FD" w:rsidP="00C565FD">
      <w:pPr>
        <w:rPr>
          <w:rFonts w:ascii="Times New Roman" w:hAnsi="Times New Roman" w:cs="Times New Roman"/>
        </w:rPr>
      </w:pPr>
      <w:r w:rsidRPr="00163E69">
        <w:rPr>
          <w:rFonts w:ascii="Times New Roman" w:hAnsi="Times New Roman" w:cs="Times New Roman"/>
        </w:rPr>
        <w:br w:type="page"/>
      </w:r>
    </w:p>
    <w:p w14:paraId="338A09F3" w14:textId="1D7558CC" w:rsidR="00C565FD" w:rsidRPr="00163E69" w:rsidRDefault="00C565FD" w:rsidP="00C565FD">
      <w:pPr>
        <w:rPr>
          <w:rFonts w:ascii="Times New Roman" w:hAnsi="Times New Roman" w:cs="Times New Roman"/>
        </w:rPr>
      </w:pPr>
      <w:bookmarkStart w:id="101" w:name="_Ref160712541"/>
      <w:bookmarkStart w:id="102" w:name="_Toc160719992"/>
      <w:bookmarkStart w:id="103" w:name="_Toc164862547"/>
      <w:r w:rsidRPr="00163E69">
        <w:rPr>
          <w:rFonts w:ascii="Times New Roman" w:hAnsi="Times New Roman" w:cs="Times New Roman"/>
        </w:rPr>
        <w:lastRenderedPageBreak/>
        <w:t xml:space="preserve">Table </w:t>
      </w:r>
      <w:r w:rsidRPr="00163E69">
        <w:rPr>
          <w:rFonts w:ascii="Times New Roman" w:hAnsi="Times New Roman" w:cs="Times New Roman"/>
        </w:rPr>
        <w:fldChar w:fldCharType="begin"/>
      </w:r>
      <w:r w:rsidRPr="00163E69">
        <w:rPr>
          <w:rFonts w:ascii="Times New Roman" w:hAnsi="Times New Roman" w:cs="Times New Roman"/>
        </w:rPr>
        <w:instrText xml:space="preserve"> SEQ Table \* ARABIC </w:instrText>
      </w:r>
      <w:r w:rsidRPr="00163E69">
        <w:rPr>
          <w:rFonts w:ascii="Times New Roman" w:hAnsi="Times New Roman" w:cs="Times New Roman"/>
        </w:rPr>
        <w:fldChar w:fldCharType="separate"/>
      </w:r>
      <w:r w:rsidR="00142A7E">
        <w:rPr>
          <w:rFonts w:ascii="Times New Roman" w:hAnsi="Times New Roman" w:cs="Times New Roman"/>
          <w:noProof/>
        </w:rPr>
        <w:t>12</w:t>
      </w:r>
      <w:r w:rsidRPr="00163E69">
        <w:rPr>
          <w:rFonts w:ascii="Times New Roman" w:hAnsi="Times New Roman" w:cs="Times New Roman"/>
        </w:rPr>
        <w:fldChar w:fldCharType="end"/>
      </w:r>
      <w:bookmarkEnd w:id="101"/>
      <w:r w:rsidRPr="00163E69">
        <w:rPr>
          <w:rFonts w:ascii="Times New Roman" w:hAnsi="Times New Roman" w:cs="Times New Roman"/>
        </w:rPr>
        <w:t>: Willingness to Pay Regression Results</w:t>
      </w:r>
      <w:bookmarkEnd w:id="102"/>
      <w:bookmarkEnd w:id="103"/>
      <w:r w:rsidRPr="00163E69">
        <w:rPr>
          <w:rFonts w:ascii="Times New Roman" w:hAnsi="Times New Roman" w:cs="Times New Roman"/>
        </w:rPr>
        <w:t xml:space="preserve"> </w:t>
      </w:r>
    </w:p>
    <w:tbl>
      <w:tblPr>
        <w:tblW w:w="8640" w:type="dxa"/>
        <w:jc w:val="center"/>
        <w:tblLook w:val="04A0" w:firstRow="1" w:lastRow="0" w:firstColumn="1" w:lastColumn="0" w:noHBand="0" w:noVBand="1"/>
      </w:tblPr>
      <w:tblGrid>
        <w:gridCol w:w="1980"/>
        <w:gridCol w:w="2016"/>
        <w:gridCol w:w="2104"/>
        <w:gridCol w:w="2540"/>
      </w:tblGrid>
      <w:tr w:rsidR="00C565FD" w:rsidRPr="00163E69" w14:paraId="7290EEB5" w14:textId="77777777" w:rsidTr="002A2C90">
        <w:trPr>
          <w:trHeight w:val="276"/>
          <w:jc w:val="center"/>
        </w:trPr>
        <w:tc>
          <w:tcPr>
            <w:tcW w:w="1980" w:type="dxa"/>
            <w:tcBorders>
              <w:top w:val="single" w:sz="4" w:space="0" w:color="auto"/>
              <w:left w:val="nil"/>
              <w:bottom w:val="nil"/>
              <w:right w:val="nil"/>
            </w:tcBorders>
            <w:shd w:val="clear" w:color="auto" w:fill="auto"/>
            <w:noWrap/>
            <w:vAlign w:val="bottom"/>
            <w:hideMark/>
          </w:tcPr>
          <w:p w14:paraId="51AC6EBE" w14:textId="77777777" w:rsidR="00C565FD" w:rsidRPr="00163E69" w:rsidRDefault="00C565FD" w:rsidP="002A2C90">
            <w:pPr>
              <w:rPr>
                <w:rFonts w:ascii="Times New Roman" w:hAnsi="Times New Roman" w:cs="Times New Roman"/>
              </w:rPr>
            </w:pPr>
          </w:p>
        </w:tc>
        <w:tc>
          <w:tcPr>
            <w:tcW w:w="2016" w:type="dxa"/>
            <w:tcBorders>
              <w:top w:val="single" w:sz="4" w:space="0" w:color="auto"/>
              <w:left w:val="nil"/>
              <w:bottom w:val="nil"/>
              <w:right w:val="nil"/>
            </w:tcBorders>
            <w:shd w:val="clear" w:color="auto" w:fill="auto"/>
            <w:noWrap/>
            <w:vAlign w:val="bottom"/>
            <w:hideMark/>
          </w:tcPr>
          <w:p w14:paraId="5F214317"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WTP for Information</w:t>
            </w:r>
          </w:p>
        </w:tc>
        <w:tc>
          <w:tcPr>
            <w:tcW w:w="2104" w:type="dxa"/>
            <w:tcBorders>
              <w:top w:val="single" w:sz="4" w:space="0" w:color="auto"/>
              <w:left w:val="nil"/>
              <w:bottom w:val="nil"/>
              <w:right w:val="nil"/>
            </w:tcBorders>
          </w:tcPr>
          <w:p w14:paraId="1A17C1EB" w14:textId="77777777" w:rsidR="00C565FD" w:rsidRPr="00163E69" w:rsidRDefault="00C565FD" w:rsidP="002A2C90">
            <w:pPr>
              <w:jc w:val="center"/>
              <w:rPr>
                <w:rFonts w:ascii="Times New Roman" w:hAnsi="Times New Roman" w:cs="Times New Roman"/>
              </w:rPr>
            </w:pPr>
          </w:p>
          <w:p w14:paraId="1C7711D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Real Option Theory Prediction</w:t>
            </w:r>
          </w:p>
        </w:tc>
        <w:tc>
          <w:tcPr>
            <w:tcW w:w="2540" w:type="dxa"/>
            <w:tcBorders>
              <w:top w:val="single" w:sz="4" w:space="0" w:color="auto"/>
              <w:left w:val="nil"/>
              <w:bottom w:val="nil"/>
              <w:right w:val="nil"/>
            </w:tcBorders>
          </w:tcPr>
          <w:p w14:paraId="1EF3304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Difference Between Estimated and Predicted</w:t>
            </w:r>
          </w:p>
        </w:tc>
      </w:tr>
      <w:tr w:rsidR="00C565FD" w:rsidRPr="00163E69" w14:paraId="1B10F02F" w14:textId="77777777" w:rsidTr="002A2C90">
        <w:trPr>
          <w:trHeight w:val="276"/>
          <w:jc w:val="center"/>
        </w:trPr>
        <w:tc>
          <w:tcPr>
            <w:tcW w:w="1980" w:type="dxa"/>
            <w:tcBorders>
              <w:top w:val="single" w:sz="4" w:space="0" w:color="000000"/>
              <w:left w:val="nil"/>
              <w:bottom w:val="nil"/>
              <w:right w:val="nil"/>
            </w:tcBorders>
            <w:shd w:val="clear" w:color="auto" w:fill="auto"/>
            <w:noWrap/>
            <w:vAlign w:val="bottom"/>
            <w:hideMark/>
          </w:tcPr>
          <w:p w14:paraId="3D2295CF"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w:t>
            </w:r>
          </w:p>
        </w:tc>
        <w:tc>
          <w:tcPr>
            <w:tcW w:w="2016" w:type="dxa"/>
            <w:tcBorders>
              <w:top w:val="single" w:sz="4" w:space="0" w:color="000000"/>
              <w:left w:val="nil"/>
              <w:bottom w:val="nil"/>
              <w:right w:val="nil"/>
            </w:tcBorders>
            <w:shd w:val="clear" w:color="auto" w:fill="auto"/>
            <w:noWrap/>
            <w:vAlign w:val="bottom"/>
            <w:hideMark/>
          </w:tcPr>
          <w:p w14:paraId="72D9EA0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 </w:t>
            </w:r>
          </w:p>
        </w:tc>
        <w:tc>
          <w:tcPr>
            <w:tcW w:w="2104" w:type="dxa"/>
            <w:tcBorders>
              <w:top w:val="single" w:sz="4" w:space="0" w:color="000000"/>
              <w:left w:val="nil"/>
              <w:bottom w:val="nil"/>
              <w:right w:val="nil"/>
            </w:tcBorders>
          </w:tcPr>
          <w:p w14:paraId="2CF33754" w14:textId="77777777" w:rsidR="00C565FD" w:rsidRPr="00163E69" w:rsidRDefault="00C565FD" w:rsidP="002A2C90">
            <w:pPr>
              <w:jc w:val="center"/>
              <w:rPr>
                <w:rFonts w:ascii="Times New Roman" w:hAnsi="Times New Roman" w:cs="Times New Roman"/>
              </w:rPr>
            </w:pPr>
          </w:p>
        </w:tc>
        <w:tc>
          <w:tcPr>
            <w:tcW w:w="2540" w:type="dxa"/>
            <w:tcBorders>
              <w:top w:val="single" w:sz="4" w:space="0" w:color="000000"/>
              <w:left w:val="nil"/>
              <w:bottom w:val="nil"/>
              <w:right w:val="nil"/>
            </w:tcBorders>
          </w:tcPr>
          <w:p w14:paraId="099E5AE0" w14:textId="77777777" w:rsidR="00C565FD" w:rsidRPr="00163E69" w:rsidRDefault="00C565FD" w:rsidP="002A2C90">
            <w:pPr>
              <w:jc w:val="center"/>
              <w:rPr>
                <w:rFonts w:ascii="Times New Roman" w:hAnsi="Times New Roman" w:cs="Times New Roman"/>
              </w:rPr>
            </w:pPr>
          </w:p>
        </w:tc>
      </w:tr>
      <w:tr w:rsidR="00C565FD" w:rsidRPr="00163E69" w14:paraId="57F75227"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73DB0660"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w:t>
            </w:r>
          </w:p>
        </w:tc>
        <w:tc>
          <w:tcPr>
            <w:tcW w:w="2016" w:type="dxa"/>
            <w:tcBorders>
              <w:top w:val="nil"/>
              <w:left w:val="nil"/>
              <w:bottom w:val="nil"/>
              <w:right w:val="nil"/>
            </w:tcBorders>
            <w:shd w:val="clear" w:color="auto" w:fill="auto"/>
            <w:noWrap/>
            <w:vAlign w:val="bottom"/>
            <w:hideMark/>
          </w:tcPr>
          <w:p w14:paraId="34907FC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0.709***</w:t>
            </w:r>
          </w:p>
        </w:tc>
        <w:tc>
          <w:tcPr>
            <w:tcW w:w="2104" w:type="dxa"/>
            <w:tcBorders>
              <w:top w:val="nil"/>
              <w:left w:val="nil"/>
              <w:bottom w:val="nil"/>
              <w:right w:val="nil"/>
            </w:tcBorders>
          </w:tcPr>
          <w:p w14:paraId="26827BD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0.75</w:t>
            </w:r>
          </w:p>
        </w:tc>
        <w:tc>
          <w:tcPr>
            <w:tcW w:w="2540" w:type="dxa"/>
            <w:tcBorders>
              <w:top w:val="nil"/>
              <w:left w:val="nil"/>
              <w:bottom w:val="nil"/>
              <w:right w:val="nil"/>
            </w:tcBorders>
          </w:tcPr>
          <w:p w14:paraId="76D4ACD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-0.041</w:t>
            </w:r>
          </w:p>
        </w:tc>
      </w:tr>
      <w:tr w:rsidR="00C565FD" w:rsidRPr="00163E69" w14:paraId="5E205E39"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461775DD"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0D11750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(0.077)</w:t>
            </w:r>
          </w:p>
        </w:tc>
        <w:tc>
          <w:tcPr>
            <w:tcW w:w="2104" w:type="dxa"/>
            <w:tcBorders>
              <w:top w:val="nil"/>
              <w:left w:val="nil"/>
              <w:bottom w:val="nil"/>
              <w:right w:val="nil"/>
            </w:tcBorders>
          </w:tcPr>
          <w:p w14:paraId="71C27968"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4CB88703" w14:textId="77777777" w:rsidR="00C565FD" w:rsidRPr="00163E69" w:rsidRDefault="00C565FD" w:rsidP="002A2C90">
            <w:pPr>
              <w:jc w:val="center"/>
              <w:rPr>
                <w:rFonts w:ascii="Times New Roman" w:hAnsi="Times New Roman" w:cs="Times New Roman"/>
              </w:rPr>
            </w:pPr>
          </w:p>
        </w:tc>
      </w:tr>
      <w:tr w:rsidR="00C565FD" w:rsidRPr="00163E69" w14:paraId="3532187C"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1ACB8C46"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w:t>
            </w:r>
          </w:p>
        </w:tc>
        <w:tc>
          <w:tcPr>
            <w:tcW w:w="2016" w:type="dxa"/>
            <w:tcBorders>
              <w:top w:val="nil"/>
              <w:left w:val="nil"/>
              <w:bottom w:val="nil"/>
              <w:right w:val="nil"/>
            </w:tcBorders>
            <w:shd w:val="clear" w:color="auto" w:fill="auto"/>
            <w:noWrap/>
            <w:vAlign w:val="bottom"/>
            <w:hideMark/>
          </w:tcPr>
          <w:p w14:paraId="0DD10B8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0.424***</w:t>
            </w:r>
          </w:p>
        </w:tc>
        <w:tc>
          <w:tcPr>
            <w:tcW w:w="2104" w:type="dxa"/>
            <w:tcBorders>
              <w:top w:val="nil"/>
              <w:left w:val="nil"/>
              <w:bottom w:val="nil"/>
              <w:right w:val="nil"/>
            </w:tcBorders>
          </w:tcPr>
          <w:p w14:paraId="27B5344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0.75</w:t>
            </w:r>
          </w:p>
        </w:tc>
        <w:tc>
          <w:tcPr>
            <w:tcW w:w="2540" w:type="dxa"/>
            <w:tcBorders>
              <w:top w:val="nil"/>
              <w:left w:val="nil"/>
              <w:bottom w:val="nil"/>
              <w:right w:val="nil"/>
            </w:tcBorders>
          </w:tcPr>
          <w:p w14:paraId="6DA384F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-0.326***</w:t>
            </w:r>
          </w:p>
        </w:tc>
      </w:tr>
      <w:tr w:rsidR="00C565FD" w:rsidRPr="00163E69" w14:paraId="6CC928B5"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5DE20B9C"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43E4533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(0.077)</w:t>
            </w:r>
          </w:p>
        </w:tc>
        <w:tc>
          <w:tcPr>
            <w:tcW w:w="2104" w:type="dxa"/>
            <w:tcBorders>
              <w:top w:val="nil"/>
              <w:left w:val="nil"/>
              <w:bottom w:val="nil"/>
              <w:right w:val="nil"/>
            </w:tcBorders>
          </w:tcPr>
          <w:p w14:paraId="29591BE8"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5A904C3A" w14:textId="77777777" w:rsidR="00C565FD" w:rsidRPr="00163E69" w:rsidRDefault="00C565FD" w:rsidP="002A2C90">
            <w:pPr>
              <w:jc w:val="center"/>
              <w:rPr>
                <w:rFonts w:ascii="Times New Roman" w:hAnsi="Times New Roman" w:cs="Times New Roman"/>
              </w:rPr>
            </w:pPr>
          </w:p>
        </w:tc>
      </w:tr>
      <w:tr w:rsidR="00C565FD" w:rsidRPr="00163E69" w14:paraId="25FB66C4"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7C2B8736"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3</w:t>
            </w:r>
          </w:p>
        </w:tc>
        <w:tc>
          <w:tcPr>
            <w:tcW w:w="2016" w:type="dxa"/>
            <w:tcBorders>
              <w:top w:val="nil"/>
              <w:left w:val="nil"/>
              <w:bottom w:val="nil"/>
              <w:right w:val="nil"/>
            </w:tcBorders>
            <w:shd w:val="clear" w:color="auto" w:fill="auto"/>
            <w:noWrap/>
            <w:vAlign w:val="bottom"/>
            <w:hideMark/>
          </w:tcPr>
          <w:p w14:paraId="2CEF0C5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1.558***</w:t>
            </w:r>
          </w:p>
        </w:tc>
        <w:tc>
          <w:tcPr>
            <w:tcW w:w="2104" w:type="dxa"/>
            <w:tcBorders>
              <w:top w:val="nil"/>
              <w:left w:val="nil"/>
              <w:bottom w:val="nil"/>
              <w:right w:val="nil"/>
            </w:tcBorders>
          </w:tcPr>
          <w:p w14:paraId="69B94AD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1.5</w:t>
            </w:r>
          </w:p>
        </w:tc>
        <w:tc>
          <w:tcPr>
            <w:tcW w:w="2540" w:type="dxa"/>
            <w:tcBorders>
              <w:top w:val="nil"/>
              <w:left w:val="nil"/>
              <w:bottom w:val="nil"/>
              <w:right w:val="nil"/>
            </w:tcBorders>
          </w:tcPr>
          <w:p w14:paraId="0478B66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0.058</w:t>
            </w:r>
          </w:p>
        </w:tc>
      </w:tr>
      <w:tr w:rsidR="00C565FD" w:rsidRPr="00163E69" w14:paraId="3D053C12"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38A227A6"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3FD7D8D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(0.174)</w:t>
            </w:r>
          </w:p>
        </w:tc>
        <w:tc>
          <w:tcPr>
            <w:tcW w:w="2104" w:type="dxa"/>
            <w:tcBorders>
              <w:top w:val="nil"/>
              <w:left w:val="nil"/>
              <w:bottom w:val="nil"/>
              <w:right w:val="nil"/>
            </w:tcBorders>
          </w:tcPr>
          <w:p w14:paraId="56A72352"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6502F1DB" w14:textId="77777777" w:rsidR="00C565FD" w:rsidRPr="00163E69" w:rsidRDefault="00C565FD" w:rsidP="002A2C90">
            <w:pPr>
              <w:jc w:val="center"/>
              <w:rPr>
                <w:rFonts w:ascii="Times New Roman" w:hAnsi="Times New Roman" w:cs="Times New Roman"/>
              </w:rPr>
            </w:pPr>
          </w:p>
        </w:tc>
      </w:tr>
      <w:tr w:rsidR="00C565FD" w:rsidRPr="00163E69" w14:paraId="4782E1DA"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0CDE4C65"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4</w:t>
            </w:r>
          </w:p>
        </w:tc>
        <w:tc>
          <w:tcPr>
            <w:tcW w:w="2016" w:type="dxa"/>
            <w:tcBorders>
              <w:top w:val="nil"/>
              <w:left w:val="nil"/>
              <w:bottom w:val="nil"/>
              <w:right w:val="nil"/>
            </w:tcBorders>
            <w:shd w:val="clear" w:color="auto" w:fill="auto"/>
            <w:noWrap/>
            <w:vAlign w:val="bottom"/>
            <w:hideMark/>
          </w:tcPr>
          <w:p w14:paraId="4725679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0.984***</w:t>
            </w:r>
          </w:p>
        </w:tc>
        <w:tc>
          <w:tcPr>
            <w:tcW w:w="2104" w:type="dxa"/>
            <w:tcBorders>
              <w:top w:val="nil"/>
              <w:left w:val="nil"/>
              <w:bottom w:val="nil"/>
              <w:right w:val="nil"/>
            </w:tcBorders>
          </w:tcPr>
          <w:p w14:paraId="01045F8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1.5</w:t>
            </w:r>
          </w:p>
        </w:tc>
        <w:tc>
          <w:tcPr>
            <w:tcW w:w="2540" w:type="dxa"/>
            <w:tcBorders>
              <w:top w:val="nil"/>
              <w:left w:val="nil"/>
              <w:bottom w:val="nil"/>
              <w:right w:val="nil"/>
            </w:tcBorders>
          </w:tcPr>
          <w:p w14:paraId="1FD19D0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-0.516***</w:t>
            </w:r>
          </w:p>
        </w:tc>
      </w:tr>
      <w:tr w:rsidR="00C565FD" w:rsidRPr="00163E69" w14:paraId="7AF1BB62"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031F3D48"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607E9D1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(0.090)</w:t>
            </w:r>
          </w:p>
        </w:tc>
        <w:tc>
          <w:tcPr>
            <w:tcW w:w="2104" w:type="dxa"/>
            <w:tcBorders>
              <w:top w:val="nil"/>
              <w:left w:val="nil"/>
              <w:bottom w:val="nil"/>
              <w:right w:val="nil"/>
            </w:tcBorders>
          </w:tcPr>
          <w:p w14:paraId="745E56F2"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623A8AF5" w14:textId="77777777" w:rsidR="00C565FD" w:rsidRPr="00163E69" w:rsidRDefault="00C565FD" w:rsidP="002A2C90">
            <w:pPr>
              <w:jc w:val="center"/>
              <w:rPr>
                <w:rFonts w:ascii="Times New Roman" w:hAnsi="Times New Roman" w:cs="Times New Roman"/>
              </w:rPr>
            </w:pPr>
          </w:p>
        </w:tc>
      </w:tr>
      <w:tr w:rsidR="00C565FD" w:rsidRPr="00163E69" w14:paraId="52CEF24F"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26AE8B66"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5</w:t>
            </w:r>
          </w:p>
        </w:tc>
        <w:tc>
          <w:tcPr>
            <w:tcW w:w="2016" w:type="dxa"/>
            <w:tcBorders>
              <w:top w:val="nil"/>
              <w:left w:val="nil"/>
              <w:bottom w:val="nil"/>
              <w:right w:val="nil"/>
            </w:tcBorders>
            <w:shd w:val="clear" w:color="auto" w:fill="auto"/>
            <w:noWrap/>
            <w:vAlign w:val="bottom"/>
            <w:hideMark/>
          </w:tcPr>
          <w:p w14:paraId="1126980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0.429***</w:t>
            </w:r>
          </w:p>
        </w:tc>
        <w:tc>
          <w:tcPr>
            <w:tcW w:w="2104" w:type="dxa"/>
            <w:tcBorders>
              <w:top w:val="nil"/>
              <w:left w:val="nil"/>
              <w:bottom w:val="nil"/>
              <w:right w:val="nil"/>
            </w:tcBorders>
          </w:tcPr>
          <w:p w14:paraId="10A230F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0.45</w:t>
            </w:r>
          </w:p>
        </w:tc>
        <w:tc>
          <w:tcPr>
            <w:tcW w:w="2540" w:type="dxa"/>
            <w:tcBorders>
              <w:top w:val="nil"/>
              <w:left w:val="nil"/>
              <w:bottom w:val="nil"/>
              <w:right w:val="nil"/>
            </w:tcBorders>
          </w:tcPr>
          <w:p w14:paraId="393C211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-0.021</w:t>
            </w:r>
          </w:p>
        </w:tc>
      </w:tr>
      <w:tr w:rsidR="00C565FD" w:rsidRPr="00163E69" w14:paraId="43A93000"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83290F2"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76EF825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(0.048)</w:t>
            </w:r>
          </w:p>
        </w:tc>
        <w:tc>
          <w:tcPr>
            <w:tcW w:w="2104" w:type="dxa"/>
            <w:tcBorders>
              <w:top w:val="nil"/>
              <w:left w:val="nil"/>
              <w:bottom w:val="nil"/>
              <w:right w:val="nil"/>
            </w:tcBorders>
          </w:tcPr>
          <w:p w14:paraId="5D68D338"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197BF66B" w14:textId="77777777" w:rsidR="00C565FD" w:rsidRPr="00163E69" w:rsidRDefault="00C565FD" w:rsidP="002A2C90">
            <w:pPr>
              <w:jc w:val="center"/>
              <w:rPr>
                <w:rFonts w:ascii="Times New Roman" w:hAnsi="Times New Roman" w:cs="Times New Roman"/>
              </w:rPr>
            </w:pPr>
          </w:p>
        </w:tc>
      </w:tr>
      <w:tr w:rsidR="00C565FD" w:rsidRPr="00163E69" w14:paraId="6D323D5C"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4CA354A1"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6</w:t>
            </w:r>
          </w:p>
        </w:tc>
        <w:tc>
          <w:tcPr>
            <w:tcW w:w="2016" w:type="dxa"/>
            <w:tcBorders>
              <w:top w:val="nil"/>
              <w:left w:val="nil"/>
              <w:bottom w:val="nil"/>
              <w:right w:val="nil"/>
            </w:tcBorders>
            <w:shd w:val="clear" w:color="auto" w:fill="auto"/>
            <w:noWrap/>
            <w:vAlign w:val="bottom"/>
            <w:hideMark/>
          </w:tcPr>
          <w:p w14:paraId="30F27C2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0.245***</w:t>
            </w:r>
          </w:p>
        </w:tc>
        <w:tc>
          <w:tcPr>
            <w:tcW w:w="2104" w:type="dxa"/>
            <w:tcBorders>
              <w:top w:val="nil"/>
              <w:left w:val="nil"/>
              <w:bottom w:val="nil"/>
              <w:right w:val="nil"/>
            </w:tcBorders>
          </w:tcPr>
          <w:p w14:paraId="6191D1F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0.425</w:t>
            </w:r>
          </w:p>
        </w:tc>
        <w:tc>
          <w:tcPr>
            <w:tcW w:w="2540" w:type="dxa"/>
            <w:tcBorders>
              <w:top w:val="nil"/>
              <w:left w:val="nil"/>
              <w:bottom w:val="nil"/>
              <w:right w:val="nil"/>
            </w:tcBorders>
          </w:tcPr>
          <w:p w14:paraId="322FC20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-0.180***</w:t>
            </w:r>
          </w:p>
        </w:tc>
      </w:tr>
      <w:tr w:rsidR="00C565FD" w:rsidRPr="00163E69" w14:paraId="2C69AF86"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3B68D793"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402304A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(0.033)</w:t>
            </w:r>
          </w:p>
        </w:tc>
        <w:tc>
          <w:tcPr>
            <w:tcW w:w="2104" w:type="dxa"/>
            <w:tcBorders>
              <w:top w:val="nil"/>
              <w:left w:val="nil"/>
              <w:bottom w:val="nil"/>
              <w:right w:val="nil"/>
            </w:tcBorders>
          </w:tcPr>
          <w:p w14:paraId="1A7599B7"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2C96B34F" w14:textId="77777777" w:rsidR="00C565FD" w:rsidRPr="00163E69" w:rsidRDefault="00C565FD" w:rsidP="002A2C90">
            <w:pPr>
              <w:jc w:val="center"/>
              <w:rPr>
                <w:rFonts w:ascii="Times New Roman" w:hAnsi="Times New Roman" w:cs="Times New Roman"/>
              </w:rPr>
            </w:pPr>
          </w:p>
        </w:tc>
      </w:tr>
      <w:tr w:rsidR="00C565FD" w:rsidRPr="00163E69" w14:paraId="019F148F"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D7F68A4"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7</w:t>
            </w:r>
          </w:p>
        </w:tc>
        <w:tc>
          <w:tcPr>
            <w:tcW w:w="2016" w:type="dxa"/>
            <w:tcBorders>
              <w:top w:val="nil"/>
              <w:left w:val="nil"/>
              <w:bottom w:val="nil"/>
              <w:right w:val="nil"/>
            </w:tcBorders>
            <w:shd w:val="clear" w:color="auto" w:fill="auto"/>
            <w:noWrap/>
            <w:vAlign w:val="bottom"/>
            <w:hideMark/>
          </w:tcPr>
          <w:p w14:paraId="4BDE47E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0.864***</w:t>
            </w:r>
          </w:p>
        </w:tc>
        <w:tc>
          <w:tcPr>
            <w:tcW w:w="2104" w:type="dxa"/>
            <w:tcBorders>
              <w:top w:val="nil"/>
              <w:left w:val="nil"/>
              <w:bottom w:val="nil"/>
              <w:right w:val="nil"/>
            </w:tcBorders>
          </w:tcPr>
          <w:p w14:paraId="297A1BC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0.9</w:t>
            </w:r>
          </w:p>
        </w:tc>
        <w:tc>
          <w:tcPr>
            <w:tcW w:w="2540" w:type="dxa"/>
            <w:tcBorders>
              <w:top w:val="nil"/>
              <w:left w:val="nil"/>
              <w:bottom w:val="nil"/>
              <w:right w:val="nil"/>
            </w:tcBorders>
          </w:tcPr>
          <w:p w14:paraId="4C87679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-0.036</w:t>
            </w:r>
          </w:p>
        </w:tc>
      </w:tr>
      <w:tr w:rsidR="00C565FD" w:rsidRPr="00163E69" w14:paraId="28E6000D"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4EE4649A"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2AF439B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(0.086)</w:t>
            </w:r>
          </w:p>
        </w:tc>
        <w:tc>
          <w:tcPr>
            <w:tcW w:w="2104" w:type="dxa"/>
            <w:tcBorders>
              <w:top w:val="nil"/>
              <w:left w:val="nil"/>
              <w:bottom w:val="nil"/>
              <w:right w:val="nil"/>
            </w:tcBorders>
          </w:tcPr>
          <w:p w14:paraId="7656271F"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6227B8B6" w14:textId="77777777" w:rsidR="00C565FD" w:rsidRPr="00163E69" w:rsidRDefault="00C565FD" w:rsidP="002A2C90">
            <w:pPr>
              <w:jc w:val="center"/>
              <w:rPr>
                <w:rFonts w:ascii="Times New Roman" w:hAnsi="Times New Roman" w:cs="Times New Roman"/>
              </w:rPr>
            </w:pPr>
          </w:p>
        </w:tc>
      </w:tr>
      <w:tr w:rsidR="00C565FD" w:rsidRPr="00163E69" w14:paraId="6504A8B7"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1A9CB5B6"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8</w:t>
            </w:r>
          </w:p>
        </w:tc>
        <w:tc>
          <w:tcPr>
            <w:tcW w:w="2016" w:type="dxa"/>
            <w:tcBorders>
              <w:top w:val="nil"/>
              <w:left w:val="nil"/>
              <w:bottom w:val="nil"/>
              <w:right w:val="nil"/>
            </w:tcBorders>
            <w:shd w:val="clear" w:color="auto" w:fill="auto"/>
            <w:noWrap/>
            <w:vAlign w:val="bottom"/>
            <w:hideMark/>
          </w:tcPr>
          <w:p w14:paraId="08F3C96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0.437***</w:t>
            </w:r>
          </w:p>
        </w:tc>
        <w:tc>
          <w:tcPr>
            <w:tcW w:w="2104" w:type="dxa"/>
            <w:tcBorders>
              <w:top w:val="nil"/>
              <w:left w:val="nil"/>
              <w:bottom w:val="nil"/>
              <w:right w:val="nil"/>
            </w:tcBorders>
          </w:tcPr>
          <w:p w14:paraId="0B83514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0.85</w:t>
            </w:r>
          </w:p>
        </w:tc>
        <w:tc>
          <w:tcPr>
            <w:tcW w:w="2540" w:type="dxa"/>
            <w:tcBorders>
              <w:top w:val="nil"/>
              <w:left w:val="nil"/>
              <w:bottom w:val="nil"/>
              <w:right w:val="nil"/>
            </w:tcBorders>
          </w:tcPr>
          <w:p w14:paraId="47D22C9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-0.413***</w:t>
            </w:r>
          </w:p>
        </w:tc>
      </w:tr>
      <w:tr w:rsidR="00C565FD" w:rsidRPr="00163E69" w14:paraId="537519FD"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7EC95FD9"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0E6F133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(0.046)</w:t>
            </w:r>
          </w:p>
        </w:tc>
        <w:tc>
          <w:tcPr>
            <w:tcW w:w="2104" w:type="dxa"/>
            <w:tcBorders>
              <w:top w:val="nil"/>
              <w:left w:val="nil"/>
              <w:bottom w:val="nil"/>
              <w:right w:val="nil"/>
            </w:tcBorders>
          </w:tcPr>
          <w:p w14:paraId="56405FAC"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7EA322A5" w14:textId="77777777" w:rsidR="00C565FD" w:rsidRPr="00163E69" w:rsidRDefault="00C565FD" w:rsidP="002A2C90">
            <w:pPr>
              <w:jc w:val="center"/>
              <w:rPr>
                <w:rFonts w:ascii="Times New Roman" w:hAnsi="Times New Roman" w:cs="Times New Roman"/>
              </w:rPr>
            </w:pPr>
          </w:p>
        </w:tc>
      </w:tr>
      <w:tr w:rsidR="00C565FD" w:rsidRPr="00163E69" w14:paraId="477A0154"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4E72D71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9</w:t>
            </w:r>
          </w:p>
        </w:tc>
        <w:tc>
          <w:tcPr>
            <w:tcW w:w="2016" w:type="dxa"/>
            <w:tcBorders>
              <w:top w:val="nil"/>
              <w:left w:val="nil"/>
              <w:bottom w:val="nil"/>
              <w:right w:val="nil"/>
            </w:tcBorders>
            <w:shd w:val="clear" w:color="auto" w:fill="auto"/>
            <w:noWrap/>
            <w:vAlign w:val="bottom"/>
            <w:hideMark/>
          </w:tcPr>
          <w:p w14:paraId="26B2D24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0.387***</w:t>
            </w:r>
          </w:p>
        </w:tc>
        <w:tc>
          <w:tcPr>
            <w:tcW w:w="2104" w:type="dxa"/>
            <w:tcBorders>
              <w:top w:val="nil"/>
              <w:left w:val="nil"/>
              <w:bottom w:val="nil"/>
              <w:right w:val="nil"/>
            </w:tcBorders>
          </w:tcPr>
          <w:p w14:paraId="3539620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0.425</w:t>
            </w:r>
          </w:p>
        </w:tc>
        <w:tc>
          <w:tcPr>
            <w:tcW w:w="2540" w:type="dxa"/>
            <w:tcBorders>
              <w:top w:val="nil"/>
              <w:left w:val="nil"/>
              <w:bottom w:val="nil"/>
              <w:right w:val="nil"/>
            </w:tcBorders>
          </w:tcPr>
          <w:p w14:paraId="757292E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-0.038</w:t>
            </w:r>
          </w:p>
        </w:tc>
      </w:tr>
      <w:tr w:rsidR="00C565FD" w:rsidRPr="00163E69" w14:paraId="3EE16F56"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2E91DEE4"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2D208F7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(0.046)</w:t>
            </w:r>
          </w:p>
        </w:tc>
        <w:tc>
          <w:tcPr>
            <w:tcW w:w="2104" w:type="dxa"/>
            <w:tcBorders>
              <w:top w:val="nil"/>
              <w:left w:val="nil"/>
              <w:bottom w:val="nil"/>
              <w:right w:val="nil"/>
            </w:tcBorders>
          </w:tcPr>
          <w:p w14:paraId="552CC2BD"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3137A5D3" w14:textId="77777777" w:rsidR="00C565FD" w:rsidRPr="00163E69" w:rsidRDefault="00C565FD" w:rsidP="002A2C90">
            <w:pPr>
              <w:jc w:val="center"/>
              <w:rPr>
                <w:rFonts w:ascii="Times New Roman" w:hAnsi="Times New Roman" w:cs="Times New Roman"/>
              </w:rPr>
            </w:pPr>
          </w:p>
        </w:tc>
      </w:tr>
      <w:tr w:rsidR="00C565FD" w:rsidRPr="00163E69" w14:paraId="5E4F895B"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9790E5B"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10</w:t>
            </w:r>
          </w:p>
        </w:tc>
        <w:tc>
          <w:tcPr>
            <w:tcW w:w="2016" w:type="dxa"/>
            <w:tcBorders>
              <w:top w:val="nil"/>
              <w:left w:val="nil"/>
              <w:bottom w:val="nil"/>
              <w:right w:val="nil"/>
            </w:tcBorders>
            <w:shd w:val="clear" w:color="auto" w:fill="auto"/>
            <w:noWrap/>
            <w:vAlign w:val="bottom"/>
            <w:hideMark/>
          </w:tcPr>
          <w:p w14:paraId="6428AA4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0.571***</w:t>
            </w:r>
          </w:p>
        </w:tc>
        <w:tc>
          <w:tcPr>
            <w:tcW w:w="2104" w:type="dxa"/>
            <w:tcBorders>
              <w:top w:val="nil"/>
              <w:left w:val="nil"/>
              <w:bottom w:val="nil"/>
              <w:right w:val="nil"/>
            </w:tcBorders>
          </w:tcPr>
          <w:p w14:paraId="07192AE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0.45</w:t>
            </w:r>
          </w:p>
        </w:tc>
        <w:tc>
          <w:tcPr>
            <w:tcW w:w="2540" w:type="dxa"/>
            <w:tcBorders>
              <w:top w:val="nil"/>
              <w:left w:val="nil"/>
              <w:bottom w:val="nil"/>
              <w:right w:val="nil"/>
            </w:tcBorders>
          </w:tcPr>
          <w:p w14:paraId="6B8EBF5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0.121</w:t>
            </w:r>
          </w:p>
        </w:tc>
      </w:tr>
      <w:tr w:rsidR="00C565FD" w:rsidRPr="00163E69" w14:paraId="44AF47FF"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2C554199"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5DC266B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(0.083)</w:t>
            </w:r>
          </w:p>
        </w:tc>
        <w:tc>
          <w:tcPr>
            <w:tcW w:w="2104" w:type="dxa"/>
            <w:tcBorders>
              <w:top w:val="nil"/>
              <w:left w:val="nil"/>
              <w:bottom w:val="nil"/>
              <w:right w:val="nil"/>
            </w:tcBorders>
          </w:tcPr>
          <w:p w14:paraId="05EC70E7"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5AB3F448" w14:textId="77777777" w:rsidR="00C565FD" w:rsidRPr="00163E69" w:rsidRDefault="00C565FD" w:rsidP="002A2C90">
            <w:pPr>
              <w:jc w:val="center"/>
              <w:rPr>
                <w:rFonts w:ascii="Times New Roman" w:hAnsi="Times New Roman" w:cs="Times New Roman"/>
              </w:rPr>
            </w:pPr>
          </w:p>
        </w:tc>
      </w:tr>
      <w:tr w:rsidR="00C565FD" w:rsidRPr="00163E69" w14:paraId="5AD2E014"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1369D350"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11</w:t>
            </w:r>
          </w:p>
        </w:tc>
        <w:tc>
          <w:tcPr>
            <w:tcW w:w="2016" w:type="dxa"/>
            <w:tcBorders>
              <w:top w:val="nil"/>
              <w:left w:val="nil"/>
              <w:bottom w:val="nil"/>
              <w:right w:val="nil"/>
            </w:tcBorders>
            <w:shd w:val="clear" w:color="auto" w:fill="auto"/>
            <w:noWrap/>
            <w:vAlign w:val="bottom"/>
            <w:hideMark/>
          </w:tcPr>
          <w:p w14:paraId="5DDC571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1.136***</w:t>
            </w:r>
          </w:p>
        </w:tc>
        <w:tc>
          <w:tcPr>
            <w:tcW w:w="2104" w:type="dxa"/>
            <w:tcBorders>
              <w:top w:val="nil"/>
              <w:left w:val="nil"/>
              <w:bottom w:val="nil"/>
              <w:right w:val="nil"/>
            </w:tcBorders>
          </w:tcPr>
          <w:p w14:paraId="6905DB9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0.85</w:t>
            </w:r>
          </w:p>
        </w:tc>
        <w:tc>
          <w:tcPr>
            <w:tcW w:w="2540" w:type="dxa"/>
            <w:tcBorders>
              <w:top w:val="nil"/>
              <w:left w:val="nil"/>
              <w:bottom w:val="nil"/>
              <w:right w:val="nil"/>
            </w:tcBorders>
          </w:tcPr>
          <w:p w14:paraId="20C5AEE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0.286</w:t>
            </w:r>
          </w:p>
        </w:tc>
      </w:tr>
      <w:tr w:rsidR="00C565FD" w:rsidRPr="00163E69" w14:paraId="7246DF93"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6EB4025"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6A08C65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(0.202)</w:t>
            </w:r>
          </w:p>
        </w:tc>
        <w:tc>
          <w:tcPr>
            <w:tcW w:w="2104" w:type="dxa"/>
            <w:tcBorders>
              <w:top w:val="nil"/>
              <w:left w:val="nil"/>
              <w:bottom w:val="nil"/>
              <w:right w:val="nil"/>
            </w:tcBorders>
          </w:tcPr>
          <w:p w14:paraId="6DAD33CB"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28A8E430" w14:textId="77777777" w:rsidR="00C565FD" w:rsidRPr="00163E69" w:rsidRDefault="00C565FD" w:rsidP="002A2C90">
            <w:pPr>
              <w:jc w:val="center"/>
              <w:rPr>
                <w:rFonts w:ascii="Times New Roman" w:hAnsi="Times New Roman" w:cs="Times New Roman"/>
              </w:rPr>
            </w:pPr>
          </w:p>
        </w:tc>
      </w:tr>
      <w:tr w:rsidR="00C565FD" w:rsidRPr="00163E69" w14:paraId="266479C5"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23FBF7F3"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12</w:t>
            </w:r>
          </w:p>
        </w:tc>
        <w:tc>
          <w:tcPr>
            <w:tcW w:w="2016" w:type="dxa"/>
            <w:tcBorders>
              <w:top w:val="nil"/>
              <w:left w:val="nil"/>
              <w:bottom w:val="nil"/>
              <w:right w:val="nil"/>
            </w:tcBorders>
            <w:shd w:val="clear" w:color="auto" w:fill="auto"/>
            <w:noWrap/>
            <w:vAlign w:val="bottom"/>
            <w:hideMark/>
          </w:tcPr>
          <w:p w14:paraId="1463EE5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1.013***</w:t>
            </w:r>
          </w:p>
        </w:tc>
        <w:tc>
          <w:tcPr>
            <w:tcW w:w="2104" w:type="dxa"/>
            <w:tcBorders>
              <w:top w:val="nil"/>
              <w:left w:val="nil"/>
              <w:bottom w:val="nil"/>
              <w:right w:val="nil"/>
            </w:tcBorders>
          </w:tcPr>
          <w:p w14:paraId="58BB108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0.9</w:t>
            </w:r>
          </w:p>
        </w:tc>
        <w:tc>
          <w:tcPr>
            <w:tcW w:w="2540" w:type="dxa"/>
            <w:tcBorders>
              <w:top w:val="nil"/>
              <w:left w:val="nil"/>
              <w:bottom w:val="nil"/>
              <w:right w:val="nil"/>
            </w:tcBorders>
          </w:tcPr>
          <w:p w14:paraId="1B7659E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0.113</w:t>
            </w:r>
          </w:p>
        </w:tc>
      </w:tr>
      <w:tr w:rsidR="00C565FD" w:rsidRPr="00163E69" w14:paraId="7EE1475B"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77A03588"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5832A0B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(0.140)</w:t>
            </w:r>
          </w:p>
        </w:tc>
        <w:tc>
          <w:tcPr>
            <w:tcW w:w="2104" w:type="dxa"/>
            <w:tcBorders>
              <w:top w:val="nil"/>
              <w:left w:val="nil"/>
              <w:bottom w:val="nil"/>
              <w:right w:val="nil"/>
            </w:tcBorders>
          </w:tcPr>
          <w:p w14:paraId="294D2FBA"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112CCDD6" w14:textId="77777777" w:rsidR="00C565FD" w:rsidRPr="00163E69" w:rsidRDefault="00C565FD" w:rsidP="002A2C90">
            <w:pPr>
              <w:jc w:val="center"/>
              <w:rPr>
                <w:rFonts w:ascii="Times New Roman" w:hAnsi="Times New Roman" w:cs="Times New Roman"/>
              </w:rPr>
            </w:pPr>
          </w:p>
        </w:tc>
      </w:tr>
      <w:tr w:rsidR="00C565FD" w:rsidRPr="00163E69" w14:paraId="405F916F"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237B6C3D"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13</w:t>
            </w:r>
          </w:p>
        </w:tc>
        <w:tc>
          <w:tcPr>
            <w:tcW w:w="2016" w:type="dxa"/>
            <w:tcBorders>
              <w:top w:val="nil"/>
              <w:left w:val="nil"/>
              <w:bottom w:val="nil"/>
              <w:right w:val="nil"/>
            </w:tcBorders>
            <w:shd w:val="clear" w:color="auto" w:fill="auto"/>
            <w:noWrap/>
            <w:vAlign w:val="bottom"/>
            <w:hideMark/>
          </w:tcPr>
          <w:p w14:paraId="50F4358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0.846***</w:t>
            </w:r>
          </w:p>
        </w:tc>
        <w:tc>
          <w:tcPr>
            <w:tcW w:w="2104" w:type="dxa"/>
            <w:tcBorders>
              <w:top w:val="nil"/>
              <w:left w:val="nil"/>
              <w:bottom w:val="nil"/>
              <w:right w:val="nil"/>
            </w:tcBorders>
          </w:tcPr>
          <w:p w14:paraId="43B56B6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0.75</w:t>
            </w:r>
          </w:p>
        </w:tc>
        <w:tc>
          <w:tcPr>
            <w:tcW w:w="2540" w:type="dxa"/>
            <w:tcBorders>
              <w:top w:val="nil"/>
              <w:left w:val="nil"/>
              <w:bottom w:val="nil"/>
              <w:right w:val="nil"/>
            </w:tcBorders>
          </w:tcPr>
          <w:p w14:paraId="21E7457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0.096</w:t>
            </w:r>
          </w:p>
        </w:tc>
      </w:tr>
      <w:tr w:rsidR="00C565FD" w:rsidRPr="00163E69" w14:paraId="5CCD628E"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2D5B2E8F"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1E15F89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(0.084)</w:t>
            </w:r>
          </w:p>
        </w:tc>
        <w:tc>
          <w:tcPr>
            <w:tcW w:w="2104" w:type="dxa"/>
            <w:tcBorders>
              <w:top w:val="nil"/>
              <w:left w:val="nil"/>
              <w:bottom w:val="nil"/>
              <w:right w:val="nil"/>
            </w:tcBorders>
          </w:tcPr>
          <w:p w14:paraId="4BEFA8FA"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44326805" w14:textId="77777777" w:rsidR="00C565FD" w:rsidRPr="00163E69" w:rsidRDefault="00C565FD" w:rsidP="002A2C90">
            <w:pPr>
              <w:jc w:val="center"/>
              <w:rPr>
                <w:rFonts w:ascii="Times New Roman" w:hAnsi="Times New Roman" w:cs="Times New Roman"/>
              </w:rPr>
            </w:pPr>
          </w:p>
        </w:tc>
      </w:tr>
      <w:tr w:rsidR="00C565FD" w:rsidRPr="00163E69" w14:paraId="0831E06B"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4E4ABA27"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14</w:t>
            </w:r>
          </w:p>
        </w:tc>
        <w:tc>
          <w:tcPr>
            <w:tcW w:w="2016" w:type="dxa"/>
            <w:tcBorders>
              <w:top w:val="nil"/>
              <w:left w:val="nil"/>
              <w:bottom w:val="nil"/>
              <w:right w:val="nil"/>
            </w:tcBorders>
            <w:shd w:val="clear" w:color="auto" w:fill="auto"/>
            <w:noWrap/>
            <w:vAlign w:val="bottom"/>
            <w:hideMark/>
          </w:tcPr>
          <w:p w14:paraId="23D4387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0.834***</w:t>
            </w:r>
          </w:p>
        </w:tc>
        <w:tc>
          <w:tcPr>
            <w:tcW w:w="2104" w:type="dxa"/>
            <w:tcBorders>
              <w:top w:val="nil"/>
              <w:left w:val="nil"/>
              <w:bottom w:val="nil"/>
              <w:right w:val="nil"/>
            </w:tcBorders>
          </w:tcPr>
          <w:p w14:paraId="1F87265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0.75</w:t>
            </w:r>
          </w:p>
        </w:tc>
        <w:tc>
          <w:tcPr>
            <w:tcW w:w="2540" w:type="dxa"/>
            <w:tcBorders>
              <w:top w:val="nil"/>
              <w:left w:val="nil"/>
              <w:bottom w:val="nil"/>
              <w:right w:val="nil"/>
            </w:tcBorders>
          </w:tcPr>
          <w:p w14:paraId="1ED5B949"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0.084</w:t>
            </w:r>
          </w:p>
        </w:tc>
      </w:tr>
      <w:tr w:rsidR="00C565FD" w:rsidRPr="00163E69" w14:paraId="4ABAFCD1"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7C7B1380"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18A8234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(0.072)</w:t>
            </w:r>
          </w:p>
        </w:tc>
        <w:tc>
          <w:tcPr>
            <w:tcW w:w="2104" w:type="dxa"/>
            <w:tcBorders>
              <w:top w:val="nil"/>
              <w:left w:val="nil"/>
              <w:bottom w:val="nil"/>
              <w:right w:val="nil"/>
            </w:tcBorders>
          </w:tcPr>
          <w:p w14:paraId="055DB4A9"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76E85969" w14:textId="77777777" w:rsidR="00C565FD" w:rsidRPr="00163E69" w:rsidRDefault="00C565FD" w:rsidP="002A2C90">
            <w:pPr>
              <w:jc w:val="center"/>
              <w:rPr>
                <w:rFonts w:ascii="Times New Roman" w:hAnsi="Times New Roman" w:cs="Times New Roman"/>
              </w:rPr>
            </w:pPr>
          </w:p>
        </w:tc>
      </w:tr>
      <w:tr w:rsidR="00C565FD" w:rsidRPr="00163E69" w14:paraId="5D6613B3"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0281B885"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15</w:t>
            </w:r>
          </w:p>
        </w:tc>
        <w:tc>
          <w:tcPr>
            <w:tcW w:w="2016" w:type="dxa"/>
            <w:tcBorders>
              <w:top w:val="nil"/>
              <w:left w:val="nil"/>
              <w:bottom w:val="nil"/>
              <w:right w:val="nil"/>
            </w:tcBorders>
            <w:shd w:val="clear" w:color="auto" w:fill="auto"/>
            <w:noWrap/>
            <w:vAlign w:val="bottom"/>
            <w:hideMark/>
          </w:tcPr>
          <w:p w14:paraId="45906A9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1.789***</w:t>
            </w:r>
          </w:p>
        </w:tc>
        <w:tc>
          <w:tcPr>
            <w:tcW w:w="2104" w:type="dxa"/>
            <w:tcBorders>
              <w:top w:val="nil"/>
              <w:left w:val="nil"/>
              <w:bottom w:val="nil"/>
              <w:right w:val="nil"/>
            </w:tcBorders>
          </w:tcPr>
          <w:p w14:paraId="5055ACA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1.5</w:t>
            </w:r>
          </w:p>
        </w:tc>
        <w:tc>
          <w:tcPr>
            <w:tcW w:w="2540" w:type="dxa"/>
            <w:tcBorders>
              <w:top w:val="nil"/>
              <w:left w:val="nil"/>
              <w:bottom w:val="nil"/>
              <w:right w:val="nil"/>
            </w:tcBorders>
          </w:tcPr>
          <w:p w14:paraId="01CE2B77"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0.289</w:t>
            </w:r>
          </w:p>
        </w:tc>
      </w:tr>
      <w:tr w:rsidR="00C565FD" w:rsidRPr="00163E69" w14:paraId="3DFA09CD"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300E9EF6"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3BF5012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(0.199)</w:t>
            </w:r>
          </w:p>
        </w:tc>
        <w:tc>
          <w:tcPr>
            <w:tcW w:w="2104" w:type="dxa"/>
            <w:tcBorders>
              <w:top w:val="nil"/>
              <w:left w:val="nil"/>
              <w:bottom w:val="nil"/>
              <w:right w:val="nil"/>
            </w:tcBorders>
          </w:tcPr>
          <w:p w14:paraId="413B3C4B"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1884E962" w14:textId="77777777" w:rsidR="00C565FD" w:rsidRPr="00163E69" w:rsidRDefault="00C565FD" w:rsidP="002A2C90">
            <w:pPr>
              <w:jc w:val="center"/>
              <w:rPr>
                <w:rFonts w:ascii="Times New Roman" w:hAnsi="Times New Roman" w:cs="Times New Roman"/>
              </w:rPr>
            </w:pPr>
          </w:p>
        </w:tc>
      </w:tr>
      <w:tr w:rsidR="00C565FD" w:rsidRPr="00163E69" w14:paraId="6E8C225E"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3C56D5F7"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16</w:t>
            </w:r>
          </w:p>
        </w:tc>
        <w:tc>
          <w:tcPr>
            <w:tcW w:w="2016" w:type="dxa"/>
            <w:tcBorders>
              <w:top w:val="nil"/>
              <w:left w:val="nil"/>
              <w:bottom w:val="nil"/>
              <w:right w:val="nil"/>
            </w:tcBorders>
            <w:shd w:val="clear" w:color="auto" w:fill="auto"/>
            <w:noWrap/>
            <w:vAlign w:val="bottom"/>
            <w:hideMark/>
          </w:tcPr>
          <w:p w14:paraId="6A5B2C0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1.544***</w:t>
            </w:r>
          </w:p>
        </w:tc>
        <w:tc>
          <w:tcPr>
            <w:tcW w:w="2104" w:type="dxa"/>
            <w:tcBorders>
              <w:top w:val="nil"/>
              <w:left w:val="nil"/>
              <w:bottom w:val="nil"/>
              <w:right w:val="nil"/>
            </w:tcBorders>
          </w:tcPr>
          <w:p w14:paraId="46B638A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1.5</w:t>
            </w:r>
          </w:p>
        </w:tc>
        <w:tc>
          <w:tcPr>
            <w:tcW w:w="2540" w:type="dxa"/>
            <w:tcBorders>
              <w:top w:val="nil"/>
              <w:left w:val="nil"/>
              <w:bottom w:val="nil"/>
              <w:right w:val="nil"/>
            </w:tcBorders>
          </w:tcPr>
          <w:p w14:paraId="57A84C8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0.044</w:t>
            </w:r>
          </w:p>
        </w:tc>
      </w:tr>
      <w:tr w:rsidR="00C565FD" w:rsidRPr="00163E69" w14:paraId="3B58962E"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110F55C1"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14598C4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(0.127)</w:t>
            </w:r>
          </w:p>
        </w:tc>
        <w:tc>
          <w:tcPr>
            <w:tcW w:w="2104" w:type="dxa"/>
            <w:tcBorders>
              <w:top w:val="nil"/>
              <w:left w:val="nil"/>
              <w:bottom w:val="nil"/>
              <w:right w:val="nil"/>
            </w:tcBorders>
          </w:tcPr>
          <w:p w14:paraId="4A675E5A"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7A9B855F" w14:textId="77777777" w:rsidR="00C565FD" w:rsidRPr="00163E69" w:rsidRDefault="00C565FD" w:rsidP="002A2C90">
            <w:pPr>
              <w:jc w:val="center"/>
              <w:rPr>
                <w:rFonts w:ascii="Times New Roman" w:hAnsi="Times New Roman" w:cs="Times New Roman"/>
              </w:rPr>
            </w:pPr>
          </w:p>
        </w:tc>
      </w:tr>
      <w:tr w:rsidR="00C565FD" w:rsidRPr="00163E69" w14:paraId="14EF13DA"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5086488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17</w:t>
            </w:r>
          </w:p>
        </w:tc>
        <w:tc>
          <w:tcPr>
            <w:tcW w:w="2016" w:type="dxa"/>
            <w:tcBorders>
              <w:top w:val="nil"/>
              <w:left w:val="nil"/>
              <w:bottom w:val="nil"/>
              <w:right w:val="nil"/>
            </w:tcBorders>
            <w:shd w:val="clear" w:color="auto" w:fill="auto"/>
            <w:noWrap/>
            <w:vAlign w:val="bottom"/>
            <w:hideMark/>
          </w:tcPr>
          <w:p w14:paraId="4A99AA3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0.449***</w:t>
            </w:r>
          </w:p>
        </w:tc>
        <w:tc>
          <w:tcPr>
            <w:tcW w:w="2104" w:type="dxa"/>
            <w:tcBorders>
              <w:top w:val="nil"/>
              <w:left w:val="nil"/>
              <w:bottom w:val="nil"/>
              <w:right w:val="nil"/>
            </w:tcBorders>
          </w:tcPr>
          <w:p w14:paraId="04235F17"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0.45</w:t>
            </w:r>
          </w:p>
        </w:tc>
        <w:tc>
          <w:tcPr>
            <w:tcW w:w="2540" w:type="dxa"/>
            <w:tcBorders>
              <w:top w:val="nil"/>
              <w:left w:val="nil"/>
              <w:bottom w:val="nil"/>
              <w:right w:val="nil"/>
            </w:tcBorders>
          </w:tcPr>
          <w:p w14:paraId="5C03B2C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-0.001</w:t>
            </w:r>
          </w:p>
        </w:tc>
      </w:tr>
      <w:tr w:rsidR="00C565FD" w:rsidRPr="00163E69" w14:paraId="05CC6998"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32D96092"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585A9AB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(0.049)</w:t>
            </w:r>
          </w:p>
        </w:tc>
        <w:tc>
          <w:tcPr>
            <w:tcW w:w="2104" w:type="dxa"/>
            <w:tcBorders>
              <w:top w:val="nil"/>
              <w:left w:val="nil"/>
              <w:bottom w:val="nil"/>
              <w:right w:val="nil"/>
            </w:tcBorders>
          </w:tcPr>
          <w:p w14:paraId="26EEBBAC"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2FA270C1" w14:textId="77777777" w:rsidR="00C565FD" w:rsidRPr="00163E69" w:rsidRDefault="00C565FD" w:rsidP="002A2C90">
            <w:pPr>
              <w:jc w:val="center"/>
              <w:rPr>
                <w:rFonts w:ascii="Times New Roman" w:hAnsi="Times New Roman" w:cs="Times New Roman"/>
              </w:rPr>
            </w:pPr>
          </w:p>
        </w:tc>
      </w:tr>
      <w:tr w:rsidR="00C565FD" w:rsidRPr="00163E69" w14:paraId="58333855"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0DFB98A8"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18</w:t>
            </w:r>
          </w:p>
        </w:tc>
        <w:tc>
          <w:tcPr>
            <w:tcW w:w="2016" w:type="dxa"/>
            <w:tcBorders>
              <w:top w:val="nil"/>
              <w:left w:val="nil"/>
              <w:bottom w:val="nil"/>
              <w:right w:val="nil"/>
            </w:tcBorders>
            <w:shd w:val="clear" w:color="auto" w:fill="auto"/>
            <w:noWrap/>
            <w:vAlign w:val="bottom"/>
            <w:hideMark/>
          </w:tcPr>
          <w:p w14:paraId="081C0D7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0.322***</w:t>
            </w:r>
          </w:p>
        </w:tc>
        <w:tc>
          <w:tcPr>
            <w:tcW w:w="2104" w:type="dxa"/>
            <w:tcBorders>
              <w:top w:val="nil"/>
              <w:left w:val="nil"/>
              <w:bottom w:val="nil"/>
              <w:right w:val="nil"/>
            </w:tcBorders>
          </w:tcPr>
          <w:p w14:paraId="373E77E9"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0.425</w:t>
            </w:r>
          </w:p>
        </w:tc>
        <w:tc>
          <w:tcPr>
            <w:tcW w:w="2540" w:type="dxa"/>
            <w:tcBorders>
              <w:top w:val="nil"/>
              <w:left w:val="nil"/>
              <w:bottom w:val="nil"/>
              <w:right w:val="nil"/>
            </w:tcBorders>
          </w:tcPr>
          <w:p w14:paraId="728AF70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-0.103***</w:t>
            </w:r>
          </w:p>
        </w:tc>
      </w:tr>
      <w:tr w:rsidR="00C565FD" w:rsidRPr="00163E69" w14:paraId="08DEC146"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4004F3AA"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190491F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(0.036)</w:t>
            </w:r>
          </w:p>
        </w:tc>
        <w:tc>
          <w:tcPr>
            <w:tcW w:w="2104" w:type="dxa"/>
            <w:tcBorders>
              <w:top w:val="nil"/>
              <w:left w:val="nil"/>
              <w:bottom w:val="nil"/>
              <w:right w:val="nil"/>
            </w:tcBorders>
          </w:tcPr>
          <w:p w14:paraId="5F612020"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2C1A5294" w14:textId="77777777" w:rsidR="00C565FD" w:rsidRPr="00163E69" w:rsidRDefault="00C565FD" w:rsidP="002A2C90">
            <w:pPr>
              <w:jc w:val="center"/>
              <w:rPr>
                <w:rFonts w:ascii="Times New Roman" w:hAnsi="Times New Roman" w:cs="Times New Roman"/>
              </w:rPr>
            </w:pPr>
          </w:p>
        </w:tc>
      </w:tr>
      <w:tr w:rsidR="00C565FD" w:rsidRPr="00163E69" w14:paraId="60D6DBE5"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4A9552C"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19</w:t>
            </w:r>
          </w:p>
        </w:tc>
        <w:tc>
          <w:tcPr>
            <w:tcW w:w="2016" w:type="dxa"/>
            <w:tcBorders>
              <w:top w:val="nil"/>
              <w:left w:val="nil"/>
              <w:bottom w:val="nil"/>
              <w:right w:val="nil"/>
            </w:tcBorders>
            <w:shd w:val="clear" w:color="auto" w:fill="auto"/>
            <w:noWrap/>
            <w:vAlign w:val="bottom"/>
            <w:hideMark/>
          </w:tcPr>
          <w:p w14:paraId="4F35626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1.067***</w:t>
            </w:r>
          </w:p>
        </w:tc>
        <w:tc>
          <w:tcPr>
            <w:tcW w:w="2104" w:type="dxa"/>
            <w:tcBorders>
              <w:top w:val="nil"/>
              <w:left w:val="nil"/>
              <w:bottom w:val="nil"/>
              <w:right w:val="nil"/>
            </w:tcBorders>
          </w:tcPr>
          <w:p w14:paraId="4E0D1F6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0.9</w:t>
            </w:r>
          </w:p>
        </w:tc>
        <w:tc>
          <w:tcPr>
            <w:tcW w:w="2540" w:type="dxa"/>
            <w:tcBorders>
              <w:top w:val="nil"/>
              <w:left w:val="nil"/>
              <w:bottom w:val="nil"/>
              <w:right w:val="nil"/>
            </w:tcBorders>
          </w:tcPr>
          <w:p w14:paraId="687B64C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0.167</w:t>
            </w:r>
          </w:p>
        </w:tc>
      </w:tr>
      <w:tr w:rsidR="00C565FD" w:rsidRPr="00163E69" w14:paraId="604B9912"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2DBECEB6"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0C0CF2E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(0.114)</w:t>
            </w:r>
          </w:p>
        </w:tc>
        <w:tc>
          <w:tcPr>
            <w:tcW w:w="2104" w:type="dxa"/>
            <w:tcBorders>
              <w:top w:val="nil"/>
              <w:left w:val="nil"/>
              <w:bottom w:val="nil"/>
              <w:right w:val="nil"/>
            </w:tcBorders>
          </w:tcPr>
          <w:p w14:paraId="67CEAEFA"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7F1B95B7" w14:textId="77777777" w:rsidR="00C565FD" w:rsidRPr="00163E69" w:rsidRDefault="00C565FD" w:rsidP="002A2C90">
            <w:pPr>
              <w:jc w:val="center"/>
              <w:rPr>
                <w:rFonts w:ascii="Times New Roman" w:hAnsi="Times New Roman" w:cs="Times New Roman"/>
              </w:rPr>
            </w:pPr>
          </w:p>
        </w:tc>
      </w:tr>
      <w:tr w:rsidR="00C565FD" w:rsidRPr="00163E69" w14:paraId="3EA5352A" w14:textId="77777777" w:rsidTr="002A2C90">
        <w:trPr>
          <w:trHeight w:val="276"/>
          <w:jc w:val="center"/>
        </w:trPr>
        <w:tc>
          <w:tcPr>
            <w:tcW w:w="1980" w:type="dxa"/>
            <w:tcBorders>
              <w:top w:val="nil"/>
              <w:left w:val="nil"/>
              <w:bottom w:val="nil"/>
              <w:right w:val="nil"/>
            </w:tcBorders>
            <w:shd w:val="clear" w:color="auto" w:fill="auto"/>
            <w:noWrap/>
            <w:vAlign w:val="bottom"/>
          </w:tcPr>
          <w:p w14:paraId="4F3C30AA" w14:textId="77777777" w:rsidR="00C565FD" w:rsidRPr="00163E69" w:rsidRDefault="00C565FD" w:rsidP="002A2C90">
            <w:pPr>
              <w:rPr>
                <w:rFonts w:ascii="Times New Roman" w:hAnsi="Times New Roman" w:cs="Times New Roman"/>
              </w:rPr>
            </w:pPr>
          </w:p>
        </w:tc>
        <w:tc>
          <w:tcPr>
            <w:tcW w:w="2016" w:type="dxa"/>
            <w:tcBorders>
              <w:top w:val="nil"/>
              <w:left w:val="nil"/>
              <w:bottom w:val="nil"/>
              <w:right w:val="nil"/>
            </w:tcBorders>
            <w:shd w:val="clear" w:color="auto" w:fill="auto"/>
            <w:noWrap/>
            <w:vAlign w:val="bottom"/>
          </w:tcPr>
          <w:p w14:paraId="5323BD87" w14:textId="77777777" w:rsidR="00C565FD" w:rsidRPr="00163E69" w:rsidRDefault="00C565FD" w:rsidP="002A2C90">
            <w:pPr>
              <w:jc w:val="center"/>
              <w:rPr>
                <w:rFonts w:ascii="Times New Roman" w:hAnsi="Times New Roman" w:cs="Times New Roman"/>
              </w:rPr>
            </w:pPr>
          </w:p>
        </w:tc>
        <w:tc>
          <w:tcPr>
            <w:tcW w:w="2104" w:type="dxa"/>
            <w:tcBorders>
              <w:top w:val="nil"/>
              <w:left w:val="nil"/>
              <w:bottom w:val="nil"/>
              <w:right w:val="nil"/>
            </w:tcBorders>
          </w:tcPr>
          <w:p w14:paraId="1D2AC0BB"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0C3093DD" w14:textId="77777777" w:rsidR="00C565FD" w:rsidRPr="00163E69" w:rsidRDefault="00C565FD" w:rsidP="002A2C90">
            <w:pPr>
              <w:jc w:val="center"/>
              <w:rPr>
                <w:rFonts w:ascii="Times New Roman" w:hAnsi="Times New Roman" w:cs="Times New Roman"/>
              </w:rPr>
            </w:pPr>
          </w:p>
        </w:tc>
      </w:tr>
      <w:tr w:rsidR="00C565FD" w:rsidRPr="00163E69" w14:paraId="7BBF3A39" w14:textId="77777777" w:rsidTr="002A2C90">
        <w:trPr>
          <w:trHeight w:val="276"/>
          <w:jc w:val="center"/>
        </w:trPr>
        <w:tc>
          <w:tcPr>
            <w:tcW w:w="8640" w:type="dxa"/>
            <w:gridSpan w:val="4"/>
            <w:tcBorders>
              <w:top w:val="nil"/>
              <w:left w:val="nil"/>
              <w:bottom w:val="nil"/>
              <w:right w:val="nil"/>
            </w:tcBorders>
            <w:shd w:val="clear" w:color="auto" w:fill="auto"/>
            <w:noWrap/>
            <w:vAlign w:val="bottom"/>
          </w:tcPr>
          <w:p w14:paraId="62F568B8" w14:textId="5C869B53" w:rsidR="00C565FD" w:rsidRPr="00163E69" w:rsidRDefault="00C565FD" w:rsidP="002A2C90">
            <w:pPr>
              <w:rPr>
                <w:rFonts w:ascii="Times New Roman" w:hAnsi="Times New Roman" w:cs="Times New Roman"/>
              </w:rPr>
            </w:pPr>
            <w:r w:rsidRPr="00163E69">
              <w:rPr>
                <w:rFonts w:ascii="Times New Roman" w:hAnsi="Times New Roman" w:cs="Times New Roman"/>
              </w:rPr>
              <w:lastRenderedPageBreak/>
              <w:fldChar w:fldCharType="begin"/>
            </w:r>
            <w:r w:rsidRPr="00163E69">
              <w:rPr>
                <w:rFonts w:ascii="Times New Roman" w:hAnsi="Times New Roman" w:cs="Times New Roman"/>
              </w:rPr>
              <w:instrText xml:space="preserve"> REF _Ref160712541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63E69">
              <w:rPr>
                <w:rFonts w:ascii="Times New Roman" w:hAnsi="Times New Roman" w:cs="Times New Roman"/>
              </w:rPr>
              <w:t xml:space="preserve">Table </w:t>
            </w:r>
            <w:r w:rsidR="00142A7E">
              <w:rPr>
                <w:rFonts w:ascii="Times New Roman" w:hAnsi="Times New Roman" w:cs="Times New Roman"/>
                <w:noProof/>
              </w:rPr>
              <w:t>12</w:t>
            </w:r>
            <w:r w:rsidRPr="00163E69">
              <w:rPr>
                <w:rFonts w:ascii="Times New Roman" w:hAnsi="Times New Roman" w:cs="Times New Roman"/>
              </w:rPr>
              <w:fldChar w:fldCharType="end"/>
            </w:r>
            <w:r w:rsidRPr="00163E69">
              <w:rPr>
                <w:rFonts w:ascii="Times New Roman" w:hAnsi="Times New Roman" w:cs="Times New Roman"/>
              </w:rPr>
              <w:t>: Continued</w:t>
            </w:r>
          </w:p>
        </w:tc>
      </w:tr>
      <w:tr w:rsidR="00C565FD" w:rsidRPr="00163E69" w14:paraId="5581DBBF" w14:textId="77777777" w:rsidTr="002A2C90">
        <w:trPr>
          <w:trHeight w:val="276"/>
          <w:jc w:val="center"/>
        </w:trPr>
        <w:tc>
          <w:tcPr>
            <w:tcW w:w="3996" w:type="dxa"/>
            <w:gridSpan w:val="2"/>
            <w:tcBorders>
              <w:top w:val="nil"/>
              <w:left w:val="nil"/>
              <w:bottom w:val="nil"/>
              <w:right w:val="nil"/>
            </w:tcBorders>
            <w:shd w:val="clear" w:color="auto" w:fill="auto"/>
            <w:noWrap/>
            <w:vAlign w:val="bottom"/>
          </w:tcPr>
          <w:p w14:paraId="7229A5AC" w14:textId="77777777" w:rsidR="00C565FD" w:rsidRPr="00163E69" w:rsidRDefault="00C565FD" w:rsidP="002A2C90">
            <w:pPr>
              <w:rPr>
                <w:rFonts w:ascii="Times New Roman" w:hAnsi="Times New Roman" w:cs="Times New Roman"/>
              </w:rPr>
            </w:pPr>
          </w:p>
        </w:tc>
        <w:tc>
          <w:tcPr>
            <w:tcW w:w="2104" w:type="dxa"/>
            <w:tcBorders>
              <w:top w:val="nil"/>
              <w:left w:val="nil"/>
              <w:bottom w:val="nil"/>
              <w:right w:val="nil"/>
            </w:tcBorders>
          </w:tcPr>
          <w:p w14:paraId="42C5B92F" w14:textId="77777777" w:rsidR="00C565FD" w:rsidRPr="00163E69" w:rsidRDefault="00C565FD" w:rsidP="002A2C90">
            <w:pPr>
              <w:rPr>
                <w:rFonts w:ascii="Times New Roman" w:hAnsi="Times New Roman" w:cs="Times New Roman"/>
              </w:rPr>
            </w:pPr>
          </w:p>
        </w:tc>
        <w:tc>
          <w:tcPr>
            <w:tcW w:w="2540" w:type="dxa"/>
            <w:tcBorders>
              <w:top w:val="nil"/>
              <w:left w:val="nil"/>
              <w:bottom w:val="nil"/>
              <w:right w:val="nil"/>
            </w:tcBorders>
          </w:tcPr>
          <w:p w14:paraId="365E2A19" w14:textId="77777777" w:rsidR="00C565FD" w:rsidRPr="00163E69" w:rsidRDefault="00C565FD" w:rsidP="002A2C90">
            <w:pPr>
              <w:rPr>
                <w:rFonts w:ascii="Times New Roman" w:hAnsi="Times New Roman" w:cs="Times New Roman"/>
              </w:rPr>
            </w:pPr>
          </w:p>
        </w:tc>
      </w:tr>
      <w:tr w:rsidR="00C565FD" w:rsidRPr="00163E69" w14:paraId="3825D176" w14:textId="77777777" w:rsidTr="002A2C90">
        <w:trPr>
          <w:trHeight w:val="276"/>
          <w:jc w:val="center"/>
        </w:trPr>
        <w:tc>
          <w:tcPr>
            <w:tcW w:w="1980" w:type="dxa"/>
            <w:tcBorders>
              <w:top w:val="nil"/>
              <w:left w:val="nil"/>
              <w:bottom w:val="nil"/>
              <w:right w:val="nil"/>
            </w:tcBorders>
            <w:shd w:val="clear" w:color="auto" w:fill="auto"/>
            <w:noWrap/>
            <w:vAlign w:val="bottom"/>
          </w:tcPr>
          <w:p w14:paraId="71D7FFFB"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Decision Task 20</w:t>
            </w:r>
          </w:p>
        </w:tc>
        <w:tc>
          <w:tcPr>
            <w:tcW w:w="2016" w:type="dxa"/>
            <w:tcBorders>
              <w:top w:val="nil"/>
              <w:left w:val="nil"/>
              <w:bottom w:val="nil"/>
              <w:right w:val="nil"/>
            </w:tcBorders>
            <w:shd w:val="clear" w:color="auto" w:fill="auto"/>
            <w:noWrap/>
            <w:vAlign w:val="bottom"/>
          </w:tcPr>
          <w:p w14:paraId="068438F9"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0.670***</w:t>
            </w:r>
          </w:p>
        </w:tc>
        <w:tc>
          <w:tcPr>
            <w:tcW w:w="2104" w:type="dxa"/>
            <w:tcBorders>
              <w:top w:val="nil"/>
              <w:left w:val="nil"/>
              <w:bottom w:val="nil"/>
              <w:right w:val="nil"/>
            </w:tcBorders>
          </w:tcPr>
          <w:p w14:paraId="198A547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0.85</w:t>
            </w:r>
          </w:p>
        </w:tc>
        <w:tc>
          <w:tcPr>
            <w:tcW w:w="2540" w:type="dxa"/>
            <w:tcBorders>
              <w:top w:val="nil"/>
              <w:left w:val="nil"/>
              <w:bottom w:val="nil"/>
              <w:right w:val="nil"/>
            </w:tcBorders>
          </w:tcPr>
          <w:p w14:paraId="6AD63E6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-0.180***</w:t>
            </w:r>
          </w:p>
        </w:tc>
      </w:tr>
      <w:tr w:rsidR="00C565FD" w:rsidRPr="00163E69" w14:paraId="17ACA405"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1DE16B12"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6BD544C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(0.061)</w:t>
            </w:r>
          </w:p>
        </w:tc>
        <w:tc>
          <w:tcPr>
            <w:tcW w:w="2104" w:type="dxa"/>
            <w:tcBorders>
              <w:top w:val="nil"/>
              <w:left w:val="nil"/>
              <w:bottom w:val="nil"/>
              <w:right w:val="nil"/>
            </w:tcBorders>
          </w:tcPr>
          <w:p w14:paraId="6FBCDC83"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3B64736B" w14:textId="77777777" w:rsidR="00C565FD" w:rsidRPr="00163E69" w:rsidRDefault="00C565FD" w:rsidP="002A2C90">
            <w:pPr>
              <w:jc w:val="center"/>
              <w:rPr>
                <w:rFonts w:ascii="Times New Roman" w:hAnsi="Times New Roman" w:cs="Times New Roman"/>
              </w:rPr>
            </w:pPr>
          </w:p>
        </w:tc>
      </w:tr>
      <w:tr w:rsidR="00C565FD" w:rsidRPr="00163E69" w14:paraId="262EDD9C"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551D069E"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21</w:t>
            </w:r>
          </w:p>
        </w:tc>
        <w:tc>
          <w:tcPr>
            <w:tcW w:w="2016" w:type="dxa"/>
            <w:tcBorders>
              <w:top w:val="nil"/>
              <w:left w:val="nil"/>
              <w:bottom w:val="nil"/>
              <w:right w:val="nil"/>
            </w:tcBorders>
            <w:shd w:val="clear" w:color="auto" w:fill="auto"/>
            <w:noWrap/>
            <w:vAlign w:val="bottom"/>
            <w:hideMark/>
          </w:tcPr>
          <w:p w14:paraId="5593BB1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0.641***</w:t>
            </w:r>
          </w:p>
        </w:tc>
        <w:tc>
          <w:tcPr>
            <w:tcW w:w="2104" w:type="dxa"/>
            <w:tcBorders>
              <w:top w:val="nil"/>
              <w:left w:val="nil"/>
              <w:bottom w:val="nil"/>
              <w:right w:val="nil"/>
            </w:tcBorders>
          </w:tcPr>
          <w:p w14:paraId="1F7CECB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0.425</w:t>
            </w:r>
          </w:p>
        </w:tc>
        <w:tc>
          <w:tcPr>
            <w:tcW w:w="2540" w:type="dxa"/>
            <w:tcBorders>
              <w:top w:val="nil"/>
              <w:left w:val="nil"/>
              <w:bottom w:val="nil"/>
              <w:right w:val="nil"/>
            </w:tcBorders>
          </w:tcPr>
          <w:p w14:paraId="1693263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0.216***</w:t>
            </w:r>
          </w:p>
        </w:tc>
      </w:tr>
      <w:tr w:rsidR="00C565FD" w:rsidRPr="00163E69" w14:paraId="325E3C05"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EF86F47"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4BD1ED2E"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(0.082)</w:t>
            </w:r>
          </w:p>
        </w:tc>
        <w:tc>
          <w:tcPr>
            <w:tcW w:w="2104" w:type="dxa"/>
            <w:tcBorders>
              <w:top w:val="nil"/>
              <w:left w:val="nil"/>
              <w:bottom w:val="nil"/>
              <w:right w:val="nil"/>
            </w:tcBorders>
          </w:tcPr>
          <w:p w14:paraId="4F84D740"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36428E6A" w14:textId="77777777" w:rsidR="00C565FD" w:rsidRPr="00163E69" w:rsidRDefault="00C565FD" w:rsidP="002A2C90">
            <w:pPr>
              <w:jc w:val="center"/>
              <w:rPr>
                <w:rFonts w:ascii="Times New Roman" w:hAnsi="Times New Roman" w:cs="Times New Roman"/>
              </w:rPr>
            </w:pPr>
          </w:p>
        </w:tc>
      </w:tr>
      <w:tr w:rsidR="00C565FD" w:rsidRPr="00163E69" w14:paraId="0D9BAB49"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431588B"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22</w:t>
            </w:r>
          </w:p>
        </w:tc>
        <w:tc>
          <w:tcPr>
            <w:tcW w:w="2016" w:type="dxa"/>
            <w:tcBorders>
              <w:top w:val="nil"/>
              <w:left w:val="nil"/>
              <w:bottom w:val="nil"/>
              <w:right w:val="nil"/>
            </w:tcBorders>
            <w:shd w:val="clear" w:color="auto" w:fill="auto"/>
            <w:noWrap/>
            <w:vAlign w:val="bottom"/>
            <w:hideMark/>
          </w:tcPr>
          <w:p w14:paraId="541EA65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0.653***</w:t>
            </w:r>
          </w:p>
        </w:tc>
        <w:tc>
          <w:tcPr>
            <w:tcW w:w="2104" w:type="dxa"/>
            <w:tcBorders>
              <w:top w:val="nil"/>
              <w:left w:val="nil"/>
              <w:bottom w:val="nil"/>
              <w:right w:val="nil"/>
            </w:tcBorders>
          </w:tcPr>
          <w:p w14:paraId="36E002E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0.45</w:t>
            </w:r>
          </w:p>
        </w:tc>
        <w:tc>
          <w:tcPr>
            <w:tcW w:w="2540" w:type="dxa"/>
            <w:tcBorders>
              <w:top w:val="nil"/>
              <w:left w:val="nil"/>
              <w:bottom w:val="nil"/>
              <w:right w:val="nil"/>
            </w:tcBorders>
          </w:tcPr>
          <w:p w14:paraId="4ADCA46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0.203**</w:t>
            </w:r>
          </w:p>
        </w:tc>
      </w:tr>
      <w:tr w:rsidR="00C565FD" w:rsidRPr="00163E69" w14:paraId="6F8FF082"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2806B4E9"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24571AA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(0.094)</w:t>
            </w:r>
          </w:p>
        </w:tc>
        <w:tc>
          <w:tcPr>
            <w:tcW w:w="2104" w:type="dxa"/>
            <w:tcBorders>
              <w:top w:val="nil"/>
              <w:left w:val="nil"/>
              <w:bottom w:val="nil"/>
              <w:right w:val="nil"/>
            </w:tcBorders>
          </w:tcPr>
          <w:p w14:paraId="3CA526A5"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26C85C76" w14:textId="77777777" w:rsidR="00C565FD" w:rsidRPr="00163E69" w:rsidRDefault="00C565FD" w:rsidP="002A2C90">
            <w:pPr>
              <w:jc w:val="center"/>
              <w:rPr>
                <w:rFonts w:ascii="Times New Roman" w:hAnsi="Times New Roman" w:cs="Times New Roman"/>
              </w:rPr>
            </w:pPr>
          </w:p>
        </w:tc>
      </w:tr>
      <w:tr w:rsidR="00C565FD" w:rsidRPr="00163E69" w14:paraId="57A192C1"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000A9CAC"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23</w:t>
            </w:r>
          </w:p>
        </w:tc>
        <w:tc>
          <w:tcPr>
            <w:tcW w:w="2016" w:type="dxa"/>
            <w:tcBorders>
              <w:top w:val="nil"/>
              <w:left w:val="nil"/>
              <w:bottom w:val="nil"/>
              <w:right w:val="nil"/>
            </w:tcBorders>
            <w:shd w:val="clear" w:color="auto" w:fill="auto"/>
            <w:noWrap/>
            <w:vAlign w:val="bottom"/>
            <w:hideMark/>
          </w:tcPr>
          <w:p w14:paraId="3229264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0.837***</w:t>
            </w:r>
          </w:p>
        </w:tc>
        <w:tc>
          <w:tcPr>
            <w:tcW w:w="2104" w:type="dxa"/>
            <w:tcBorders>
              <w:top w:val="nil"/>
              <w:left w:val="nil"/>
              <w:bottom w:val="nil"/>
              <w:right w:val="nil"/>
            </w:tcBorders>
          </w:tcPr>
          <w:p w14:paraId="6FAD9F8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0.85</w:t>
            </w:r>
          </w:p>
        </w:tc>
        <w:tc>
          <w:tcPr>
            <w:tcW w:w="2540" w:type="dxa"/>
            <w:tcBorders>
              <w:top w:val="nil"/>
              <w:left w:val="nil"/>
              <w:bottom w:val="nil"/>
              <w:right w:val="nil"/>
            </w:tcBorders>
          </w:tcPr>
          <w:p w14:paraId="72CDAE3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-0.013</w:t>
            </w:r>
          </w:p>
        </w:tc>
      </w:tr>
      <w:tr w:rsidR="00C565FD" w:rsidRPr="00163E69" w14:paraId="3C41557F"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C87CC0E"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30AC1C0A"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(0.090)</w:t>
            </w:r>
          </w:p>
        </w:tc>
        <w:tc>
          <w:tcPr>
            <w:tcW w:w="2104" w:type="dxa"/>
            <w:tcBorders>
              <w:top w:val="nil"/>
              <w:left w:val="nil"/>
              <w:bottom w:val="nil"/>
              <w:right w:val="nil"/>
            </w:tcBorders>
          </w:tcPr>
          <w:p w14:paraId="55BC7549"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39EC6090" w14:textId="77777777" w:rsidR="00C565FD" w:rsidRPr="00163E69" w:rsidRDefault="00C565FD" w:rsidP="002A2C90">
            <w:pPr>
              <w:jc w:val="center"/>
              <w:rPr>
                <w:rFonts w:ascii="Times New Roman" w:hAnsi="Times New Roman" w:cs="Times New Roman"/>
              </w:rPr>
            </w:pPr>
          </w:p>
        </w:tc>
      </w:tr>
      <w:tr w:rsidR="00C565FD" w:rsidRPr="00163E69" w14:paraId="57DD8FF1"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3179B32B"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24</w:t>
            </w:r>
          </w:p>
        </w:tc>
        <w:tc>
          <w:tcPr>
            <w:tcW w:w="2016" w:type="dxa"/>
            <w:tcBorders>
              <w:top w:val="nil"/>
              <w:left w:val="nil"/>
              <w:bottom w:val="nil"/>
              <w:right w:val="nil"/>
            </w:tcBorders>
            <w:shd w:val="clear" w:color="auto" w:fill="auto"/>
            <w:noWrap/>
            <w:vAlign w:val="bottom"/>
            <w:hideMark/>
          </w:tcPr>
          <w:p w14:paraId="24DB3DC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1.424***</w:t>
            </w:r>
          </w:p>
        </w:tc>
        <w:tc>
          <w:tcPr>
            <w:tcW w:w="2104" w:type="dxa"/>
            <w:tcBorders>
              <w:top w:val="nil"/>
              <w:left w:val="nil"/>
              <w:bottom w:val="nil"/>
              <w:right w:val="nil"/>
            </w:tcBorders>
          </w:tcPr>
          <w:p w14:paraId="09DDEE3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0.9</w:t>
            </w:r>
          </w:p>
        </w:tc>
        <w:tc>
          <w:tcPr>
            <w:tcW w:w="2540" w:type="dxa"/>
            <w:tcBorders>
              <w:top w:val="nil"/>
              <w:left w:val="nil"/>
              <w:bottom w:val="nil"/>
              <w:right w:val="nil"/>
            </w:tcBorders>
          </w:tcPr>
          <w:p w14:paraId="22093FB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0.524***</w:t>
            </w:r>
          </w:p>
        </w:tc>
      </w:tr>
      <w:tr w:rsidR="00C565FD" w:rsidRPr="00163E69" w14:paraId="5A6B7BEF"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9E7E930"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00E9D21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(0.133)</w:t>
            </w:r>
          </w:p>
        </w:tc>
        <w:tc>
          <w:tcPr>
            <w:tcW w:w="2104" w:type="dxa"/>
            <w:tcBorders>
              <w:top w:val="nil"/>
              <w:left w:val="nil"/>
              <w:bottom w:val="nil"/>
              <w:right w:val="nil"/>
            </w:tcBorders>
          </w:tcPr>
          <w:p w14:paraId="252CCB24"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nil"/>
              <w:right w:val="nil"/>
            </w:tcBorders>
          </w:tcPr>
          <w:p w14:paraId="4279EC4F" w14:textId="77777777" w:rsidR="00C565FD" w:rsidRPr="00163E69" w:rsidRDefault="00C565FD" w:rsidP="002A2C90">
            <w:pPr>
              <w:jc w:val="center"/>
              <w:rPr>
                <w:rFonts w:ascii="Times New Roman" w:hAnsi="Times New Roman" w:cs="Times New Roman"/>
              </w:rPr>
            </w:pPr>
          </w:p>
        </w:tc>
      </w:tr>
      <w:tr w:rsidR="00C565FD" w:rsidRPr="00163E69" w14:paraId="67B7E9B8" w14:textId="77777777" w:rsidTr="002A2C90">
        <w:trPr>
          <w:trHeight w:val="276"/>
          <w:jc w:val="center"/>
        </w:trPr>
        <w:tc>
          <w:tcPr>
            <w:tcW w:w="1980" w:type="dxa"/>
            <w:tcBorders>
              <w:top w:val="nil"/>
              <w:left w:val="nil"/>
              <w:bottom w:val="nil"/>
              <w:right w:val="nil"/>
            </w:tcBorders>
            <w:shd w:val="clear" w:color="auto" w:fill="auto"/>
            <w:noWrap/>
            <w:vAlign w:val="bottom"/>
            <w:hideMark/>
          </w:tcPr>
          <w:p w14:paraId="687E7143"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55CC17B1" w14:textId="77777777" w:rsidR="00C565FD" w:rsidRPr="00163E69" w:rsidRDefault="00C565FD" w:rsidP="002A2C90">
            <w:pPr>
              <w:rPr>
                <w:rFonts w:ascii="Times New Roman" w:hAnsi="Times New Roman" w:cs="Times New Roman"/>
              </w:rPr>
            </w:pPr>
          </w:p>
        </w:tc>
        <w:tc>
          <w:tcPr>
            <w:tcW w:w="2104" w:type="dxa"/>
            <w:tcBorders>
              <w:top w:val="nil"/>
              <w:left w:val="nil"/>
              <w:bottom w:val="nil"/>
              <w:right w:val="nil"/>
            </w:tcBorders>
          </w:tcPr>
          <w:p w14:paraId="11B5C0EA" w14:textId="77777777" w:rsidR="00C565FD" w:rsidRPr="00163E69" w:rsidRDefault="00C565FD" w:rsidP="002A2C90">
            <w:pPr>
              <w:rPr>
                <w:rFonts w:ascii="Times New Roman" w:hAnsi="Times New Roman" w:cs="Times New Roman"/>
              </w:rPr>
            </w:pPr>
          </w:p>
        </w:tc>
        <w:tc>
          <w:tcPr>
            <w:tcW w:w="2540" w:type="dxa"/>
            <w:tcBorders>
              <w:top w:val="nil"/>
              <w:left w:val="nil"/>
              <w:bottom w:val="nil"/>
              <w:right w:val="nil"/>
            </w:tcBorders>
          </w:tcPr>
          <w:p w14:paraId="04B67BCC" w14:textId="77777777" w:rsidR="00C565FD" w:rsidRPr="00163E69" w:rsidRDefault="00C565FD" w:rsidP="002A2C90">
            <w:pPr>
              <w:rPr>
                <w:rFonts w:ascii="Times New Roman" w:hAnsi="Times New Roman" w:cs="Times New Roman"/>
              </w:rPr>
            </w:pPr>
          </w:p>
        </w:tc>
      </w:tr>
      <w:tr w:rsidR="00C565FD" w:rsidRPr="00163E69" w14:paraId="4C4FA670" w14:textId="77777777" w:rsidTr="002A2C90">
        <w:trPr>
          <w:trHeight w:val="276"/>
          <w:jc w:val="center"/>
        </w:trPr>
        <w:tc>
          <w:tcPr>
            <w:tcW w:w="1980" w:type="dxa"/>
            <w:tcBorders>
              <w:top w:val="nil"/>
              <w:left w:val="nil"/>
              <w:bottom w:val="single" w:sz="4" w:space="0" w:color="000000"/>
              <w:right w:val="nil"/>
            </w:tcBorders>
            <w:shd w:val="clear" w:color="auto" w:fill="auto"/>
            <w:noWrap/>
            <w:vAlign w:val="bottom"/>
            <w:hideMark/>
          </w:tcPr>
          <w:p w14:paraId="158E22EB"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Observations</w:t>
            </w:r>
          </w:p>
        </w:tc>
        <w:tc>
          <w:tcPr>
            <w:tcW w:w="2016" w:type="dxa"/>
            <w:tcBorders>
              <w:top w:val="nil"/>
              <w:left w:val="nil"/>
              <w:bottom w:val="single" w:sz="4" w:space="0" w:color="000000"/>
              <w:right w:val="nil"/>
            </w:tcBorders>
            <w:shd w:val="clear" w:color="auto" w:fill="auto"/>
            <w:noWrap/>
            <w:vAlign w:val="bottom"/>
            <w:hideMark/>
          </w:tcPr>
          <w:p w14:paraId="08DE5A81"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3,696</w:t>
            </w:r>
          </w:p>
        </w:tc>
        <w:tc>
          <w:tcPr>
            <w:tcW w:w="2104" w:type="dxa"/>
            <w:tcBorders>
              <w:top w:val="nil"/>
              <w:left w:val="nil"/>
              <w:bottom w:val="single" w:sz="4" w:space="0" w:color="000000"/>
              <w:right w:val="nil"/>
            </w:tcBorders>
          </w:tcPr>
          <w:p w14:paraId="5542C521" w14:textId="77777777" w:rsidR="00C565FD" w:rsidRPr="00163E69" w:rsidRDefault="00C565FD" w:rsidP="002A2C90">
            <w:pPr>
              <w:jc w:val="center"/>
              <w:rPr>
                <w:rFonts w:ascii="Times New Roman" w:hAnsi="Times New Roman" w:cs="Times New Roman"/>
              </w:rPr>
            </w:pPr>
          </w:p>
        </w:tc>
        <w:tc>
          <w:tcPr>
            <w:tcW w:w="2540" w:type="dxa"/>
            <w:tcBorders>
              <w:top w:val="nil"/>
              <w:left w:val="nil"/>
              <w:bottom w:val="single" w:sz="4" w:space="0" w:color="000000"/>
              <w:right w:val="nil"/>
            </w:tcBorders>
          </w:tcPr>
          <w:p w14:paraId="7D915AA7" w14:textId="77777777" w:rsidR="00C565FD" w:rsidRPr="00163E69" w:rsidRDefault="00C565FD" w:rsidP="002A2C90">
            <w:pPr>
              <w:jc w:val="center"/>
              <w:rPr>
                <w:rFonts w:ascii="Times New Roman" w:hAnsi="Times New Roman" w:cs="Times New Roman"/>
              </w:rPr>
            </w:pPr>
          </w:p>
        </w:tc>
      </w:tr>
      <w:tr w:rsidR="00C565FD" w:rsidRPr="00163E69" w14:paraId="32E867F8" w14:textId="77777777" w:rsidTr="002A2C90">
        <w:trPr>
          <w:trHeight w:val="276"/>
          <w:jc w:val="center"/>
        </w:trPr>
        <w:tc>
          <w:tcPr>
            <w:tcW w:w="8640" w:type="dxa"/>
            <w:gridSpan w:val="4"/>
            <w:tcBorders>
              <w:top w:val="nil"/>
              <w:left w:val="nil"/>
              <w:bottom w:val="nil"/>
              <w:right w:val="nil"/>
            </w:tcBorders>
            <w:shd w:val="clear" w:color="auto" w:fill="auto"/>
            <w:noWrap/>
            <w:vAlign w:val="bottom"/>
            <w:hideMark/>
          </w:tcPr>
          <w:p w14:paraId="7DDAE31F" w14:textId="77777777" w:rsidR="00142A7E" w:rsidRPr="00163E69" w:rsidRDefault="00C565FD" w:rsidP="00C565FD">
            <w:pPr>
              <w:rPr>
                <w:rFonts w:ascii="Times New Roman" w:hAnsi="Times New Roman" w:cs="Times New Roman"/>
              </w:rPr>
            </w:pPr>
            <w:r w:rsidRPr="00163E69">
              <w:rPr>
                <w:rFonts w:ascii="Times New Roman" w:hAnsi="Times New Roman" w:cs="Times New Roman"/>
              </w:rPr>
              <w:t xml:space="preserve">Error variance varies by decision task. Statistical significance of differences between estimated and point predictions come from t-test. Decision task numbers correspond to the labels in </w:t>
            </w:r>
            <w:r w:rsidRPr="00163E69">
              <w:rPr>
                <w:rFonts w:ascii="Times New Roman" w:hAnsi="Times New Roman" w:cs="Times New Roman"/>
              </w:rPr>
              <w:fldChar w:fldCharType="begin"/>
            </w:r>
            <w:r w:rsidRPr="00163E69">
              <w:rPr>
                <w:rFonts w:ascii="Times New Roman" w:hAnsi="Times New Roman" w:cs="Times New Roman"/>
              </w:rPr>
              <w:instrText xml:space="preserve"> REF _Ref160542839 \h  \* MERGEFORMAT </w:instrText>
            </w:r>
            <w:r w:rsidRPr="00163E69">
              <w:rPr>
                <w:rFonts w:ascii="Times New Roman" w:hAnsi="Times New Roman" w:cs="Times New Roman"/>
              </w:rPr>
            </w:r>
            <w:r w:rsidRPr="00163E69">
              <w:rPr>
                <w:rFonts w:ascii="Times New Roman" w:hAnsi="Times New Roman" w:cs="Times New Roman"/>
              </w:rPr>
              <w:fldChar w:fldCharType="separate"/>
            </w:r>
          </w:p>
          <w:p w14:paraId="6DA375BB"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fldChar w:fldCharType="end"/>
            </w:r>
            <w:r w:rsidRPr="00163E69">
              <w:rPr>
                <w:rFonts w:ascii="Times New Roman" w:hAnsi="Times New Roman" w:cs="Times New Roman"/>
              </w:rPr>
              <w:t>.</w:t>
            </w:r>
          </w:p>
        </w:tc>
      </w:tr>
      <w:tr w:rsidR="00C565FD" w:rsidRPr="00163E69" w14:paraId="3A580DF9" w14:textId="77777777" w:rsidTr="002A2C90">
        <w:trPr>
          <w:trHeight w:val="276"/>
          <w:jc w:val="center"/>
        </w:trPr>
        <w:tc>
          <w:tcPr>
            <w:tcW w:w="3996" w:type="dxa"/>
            <w:gridSpan w:val="2"/>
            <w:tcBorders>
              <w:top w:val="nil"/>
              <w:left w:val="nil"/>
              <w:bottom w:val="nil"/>
              <w:right w:val="nil"/>
            </w:tcBorders>
            <w:shd w:val="clear" w:color="auto" w:fill="auto"/>
            <w:noWrap/>
            <w:vAlign w:val="bottom"/>
            <w:hideMark/>
          </w:tcPr>
          <w:p w14:paraId="18E95144"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p&lt;0.01, ** p&lt;0.05, * p&lt;0.1</w:t>
            </w:r>
          </w:p>
        </w:tc>
        <w:tc>
          <w:tcPr>
            <w:tcW w:w="2104" w:type="dxa"/>
            <w:tcBorders>
              <w:top w:val="nil"/>
              <w:left w:val="nil"/>
              <w:bottom w:val="nil"/>
              <w:right w:val="nil"/>
            </w:tcBorders>
          </w:tcPr>
          <w:p w14:paraId="49DF4BB5" w14:textId="77777777" w:rsidR="00C565FD" w:rsidRPr="00163E69" w:rsidRDefault="00C565FD" w:rsidP="002A2C90">
            <w:pPr>
              <w:rPr>
                <w:rFonts w:ascii="Times New Roman" w:hAnsi="Times New Roman" w:cs="Times New Roman"/>
              </w:rPr>
            </w:pPr>
          </w:p>
        </w:tc>
        <w:tc>
          <w:tcPr>
            <w:tcW w:w="2540" w:type="dxa"/>
            <w:tcBorders>
              <w:top w:val="nil"/>
              <w:left w:val="nil"/>
              <w:bottom w:val="nil"/>
              <w:right w:val="nil"/>
            </w:tcBorders>
          </w:tcPr>
          <w:p w14:paraId="16684CD4" w14:textId="77777777" w:rsidR="00C565FD" w:rsidRPr="00163E69" w:rsidRDefault="00C565FD" w:rsidP="002A2C90">
            <w:pPr>
              <w:rPr>
                <w:rFonts w:ascii="Times New Roman" w:hAnsi="Times New Roman" w:cs="Times New Roman"/>
              </w:rPr>
            </w:pPr>
          </w:p>
        </w:tc>
      </w:tr>
    </w:tbl>
    <w:p w14:paraId="5F1CE2B2" w14:textId="77777777" w:rsidR="00C565FD" w:rsidRPr="00163E69" w:rsidRDefault="00C565FD" w:rsidP="00C565FD">
      <w:pPr>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br w:type="page"/>
      </w:r>
    </w:p>
    <w:p w14:paraId="7231AD50" w14:textId="77777777" w:rsidR="00C565FD" w:rsidRPr="00163E69" w:rsidRDefault="00C565FD" w:rsidP="00C565FD">
      <w:pPr>
        <w:rPr>
          <w:rFonts w:ascii="Times New Roman" w:hAnsi="Times New Roman" w:cs="Times New Roman"/>
          <w:b/>
          <w:bCs/>
        </w:rPr>
        <w:sectPr w:rsidR="00C565FD" w:rsidRPr="00163E69" w:rsidSect="00FE7549">
          <w:pgSz w:w="12240" w:h="15840" w:code="1"/>
          <w:pgMar w:top="1440" w:right="1800" w:bottom="1872" w:left="1800" w:header="720" w:footer="1440" w:gutter="0"/>
          <w:cols w:space="720"/>
          <w:noEndnote/>
          <w:docGrid w:linePitch="360"/>
        </w:sectPr>
      </w:pPr>
    </w:p>
    <w:p w14:paraId="76D2D06B" w14:textId="3FDB771C" w:rsidR="00C565FD" w:rsidRPr="00163E69" w:rsidRDefault="00C565FD" w:rsidP="00142A7E">
      <w:pPr>
        <w:pStyle w:val="Caption"/>
      </w:pPr>
      <w:bookmarkStart w:id="104" w:name="_Ref160712996"/>
      <w:bookmarkStart w:id="105" w:name="_Toc160719993"/>
      <w:bookmarkStart w:id="106" w:name="_Toc164862548"/>
      <w:r w:rsidRPr="00163E69">
        <w:lastRenderedPageBreak/>
        <w:t xml:space="preserve">Table </w:t>
      </w:r>
      <w:r w:rsidRPr="00163E69">
        <w:fldChar w:fldCharType="begin"/>
      </w:r>
      <w:r w:rsidRPr="00163E69">
        <w:instrText xml:space="preserve"> SEQ Table \* ARABIC </w:instrText>
      </w:r>
      <w:r w:rsidRPr="00163E69">
        <w:fldChar w:fldCharType="separate"/>
      </w:r>
      <w:r w:rsidR="00142A7E">
        <w:rPr>
          <w:noProof/>
        </w:rPr>
        <w:t>13</w:t>
      </w:r>
      <w:r w:rsidRPr="00163E69">
        <w:fldChar w:fldCharType="end"/>
      </w:r>
      <w:bookmarkEnd w:id="104"/>
      <w:r w:rsidRPr="00163E69">
        <w:t>: Hypothesis Test Results</w:t>
      </w:r>
      <w:bookmarkEnd w:id="105"/>
      <w:bookmarkEnd w:id="106"/>
    </w:p>
    <w:tbl>
      <w:tblPr>
        <w:tblStyle w:val="TableGrid"/>
        <w:tblW w:w="13320" w:type="dxa"/>
        <w:tblInd w:w="-725" w:type="dxa"/>
        <w:tblLook w:val="04A0" w:firstRow="1" w:lastRow="0" w:firstColumn="1" w:lastColumn="0" w:noHBand="0" w:noVBand="1"/>
      </w:tblPr>
      <w:tblGrid>
        <w:gridCol w:w="3420"/>
        <w:gridCol w:w="4569"/>
        <w:gridCol w:w="2262"/>
        <w:gridCol w:w="3069"/>
      </w:tblGrid>
      <w:tr w:rsidR="00C565FD" w:rsidRPr="00163E69" w14:paraId="14E306D5" w14:textId="77777777" w:rsidTr="002A2C90">
        <w:tc>
          <w:tcPr>
            <w:tcW w:w="3420" w:type="dxa"/>
          </w:tcPr>
          <w:p w14:paraId="10928A8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Hypothesis</w:t>
            </w:r>
          </w:p>
        </w:tc>
        <w:tc>
          <w:tcPr>
            <w:tcW w:w="4569" w:type="dxa"/>
          </w:tcPr>
          <w:p w14:paraId="60D998BD"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Testable Hypothesis</w:t>
            </w:r>
          </w:p>
        </w:tc>
        <w:tc>
          <w:tcPr>
            <w:tcW w:w="2262" w:type="dxa"/>
          </w:tcPr>
          <w:p w14:paraId="16C564E0"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Difference in WTP (P-value from T-test)</w:t>
            </w:r>
          </w:p>
        </w:tc>
        <w:tc>
          <w:tcPr>
            <w:tcW w:w="3069" w:type="dxa"/>
          </w:tcPr>
          <w:p w14:paraId="2DBBB387"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Conclusion</w:t>
            </w:r>
          </w:p>
        </w:tc>
      </w:tr>
      <w:tr w:rsidR="00C565FD" w:rsidRPr="00163E69" w14:paraId="374B75EA" w14:textId="77777777" w:rsidTr="002A2C90">
        <w:tc>
          <w:tcPr>
            <w:tcW w:w="3420" w:type="dxa"/>
          </w:tcPr>
          <w:p w14:paraId="6489C31D" w14:textId="77777777" w:rsidR="00C565FD" w:rsidRPr="00163E69" w:rsidRDefault="00C565FD" w:rsidP="002A2C90">
            <w:pPr>
              <w:rPr>
                <w:rFonts w:ascii="Times New Roman" w:hAnsi="Times New Roman" w:cs="Times New Roman"/>
              </w:rPr>
            </w:pPr>
            <w:bookmarkStart w:id="107" w:name="_Hlk160265664"/>
            <w:r w:rsidRPr="00163E69">
              <w:rPr>
                <w:rFonts w:ascii="Times New Roman" w:hAnsi="Times New Roman" w:cs="Times New Roman"/>
              </w:rPr>
              <w:t xml:space="preserve">H1: Participants’ </w:t>
            </w:r>
            <m:oMath>
              <m:r>
                <m:rPr>
                  <m:sty m:val="p"/>
                </m:rPr>
                <w:rPr>
                  <w:rFonts w:ascii="Cambria Math" w:hAnsi="Cambria Math" w:cs="Times New Roman"/>
                </w:rPr>
                <m:t>WTP</m:t>
              </m:r>
            </m:oMath>
            <w:r w:rsidRPr="00163E69">
              <w:rPr>
                <w:rFonts w:ascii="Times New Roman" w:hAnsi="Times New Roman" w:cs="Times New Roman"/>
              </w:rPr>
              <w:t xml:space="preserve"> for information in gains space is equal to their </w:t>
            </w:r>
            <m:oMath>
              <m:r>
                <m:rPr>
                  <m:sty m:val="p"/>
                </m:rPr>
                <w:rPr>
                  <w:rFonts w:ascii="Cambria Math" w:hAnsi="Cambria Math" w:cs="Times New Roman"/>
                </w:rPr>
                <m:t>WTP</m:t>
              </m:r>
            </m:oMath>
            <w:r w:rsidRPr="00163E69">
              <w:rPr>
                <w:rFonts w:ascii="Times New Roman" w:hAnsi="Times New Roman" w:cs="Times New Roman"/>
              </w:rPr>
              <w:t xml:space="preserve"> in loss space.</w:t>
            </w:r>
          </w:p>
        </w:tc>
        <w:tc>
          <w:tcPr>
            <w:tcW w:w="4569" w:type="dxa"/>
          </w:tcPr>
          <w:p w14:paraId="140F100C"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xml:space="preserve">H1: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12</m:t>
                  </m:r>
                </m:den>
              </m:f>
              <m:nary>
                <m:naryPr>
                  <m:chr m:val="∑"/>
                  <m:grow m:val="1"/>
                  <m:supHide m:val="1"/>
                  <m:ctrlPr>
                    <w:rPr>
                      <w:rFonts w:ascii="Cambria Math" w:hAnsi="Cambria Math" w:cs="Times New Roman"/>
                    </w:rPr>
                  </m:ctrlPr>
                </m:naryPr>
                <m:sub>
                  <m:r>
                    <w:rPr>
                      <w:rFonts w:ascii="Cambria Math" w:eastAsia="Cambria Math" w:hAnsi="Cambria Math" w:cs="Times New Roman"/>
                    </w:rPr>
                    <m:t>k∈K</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12</m:t>
                  </m:r>
                </m:den>
              </m:f>
              <m:nary>
                <m:naryPr>
                  <m:chr m:val="∑"/>
                  <m:supHide m:val="1"/>
                  <m:ctrlPr>
                    <w:rPr>
                      <w:rFonts w:ascii="Cambria Math" w:hAnsi="Cambria Math" w:cs="Times New Roman"/>
                    </w:rPr>
                  </m:ctrlPr>
                </m:naryPr>
                <m:sub>
                  <m:r>
                    <w:rPr>
                      <w:rFonts w:ascii="Cambria Math" w:eastAsia="Cambria Math" w:hAnsi="Cambria Math" w:cs="Times New Roman"/>
                    </w:rPr>
                    <m:t>j∈J</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e>
              </m:nary>
              <m:r>
                <w:rPr>
                  <w:rFonts w:ascii="Cambria Math" w:hAnsi="Cambria Math" w:cs="Times New Roman"/>
                </w:rPr>
                <m:t>=0</m:t>
              </m:r>
            </m:oMath>
          </w:p>
          <w:p w14:paraId="20E74E0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Where K is the set of lotteries in gains space and J is the set of lotteries in loss space.</w:t>
            </w:r>
          </w:p>
        </w:tc>
        <w:tc>
          <w:tcPr>
            <w:tcW w:w="2262" w:type="dxa"/>
          </w:tcPr>
          <w:p w14:paraId="64A99984"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-2.312***</w:t>
            </w:r>
          </w:p>
        </w:tc>
        <w:tc>
          <w:tcPr>
            <w:tcW w:w="3069" w:type="dxa"/>
          </w:tcPr>
          <w:p w14:paraId="59734C85" w14:textId="77777777" w:rsidR="00C565FD" w:rsidRPr="00163E69" w:rsidRDefault="00C565FD" w:rsidP="002A2C90">
            <w:pPr>
              <w:rPr>
                <w:rFonts w:ascii="Times New Roman" w:hAnsi="Times New Roman" w:cs="Times New Roman"/>
              </w:rPr>
            </w:pPr>
            <w:r>
              <w:t>I</w:t>
            </w:r>
            <w:r w:rsidRPr="00163E69">
              <w:rPr>
                <w:rFonts w:ascii="Times New Roman" w:hAnsi="Times New Roman" w:cs="Times New Roman"/>
              </w:rPr>
              <w:t xml:space="preserve"> reject the null hypothesis that the WTP is equal. </w:t>
            </w:r>
            <w:r>
              <w:t>I</w:t>
            </w:r>
            <w:r w:rsidRPr="00163E69">
              <w:rPr>
                <w:rFonts w:ascii="Times New Roman" w:hAnsi="Times New Roman" w:cs="Times New Roman"/>
              </w:rPr>
              <w:t xml:space="preserve"> find that participants have a higher WTP in loss space.</w:t>
            </w:r>
          </w:p>
        </w:tc>
      </w:tr>
      <w:tr w:rsidR="00C565FD" w:rsidRPr="00163E69" w14:paraId="3200AD0E" w14:textId="77777777" w:rsidTr="002A2C90">
        <w:tc>
          <w:tcPr>
            <w:tcW w:w="3420" w:type="dxa"/>
          </w:tcPr>
          <w:p w14:paraId="64F7658D"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H2: Increasing the spread of the lottery increases WTP for information</w:t>
            </w:r>
          </w:p>
        </w:tc>
        <w:tc>
          <w:tcPr>
            <w:tcW w:w="4569" w:type="dxa"/>
          </w:tcPr>
          <w:p w14:paraId="01FFC05F"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H2:</w:t>
            </w:r>
            <w:r w:rsidRPr="00163E69">
              <w:rPr>
                <w:rFonts w:ascii="Times New Roman" w:hAnsi="Times New Roman" w:cs="Times New Roman"/>
                <w:i/>
              </w:rPr>
              <w:t xml:space="preserve"> </w:t>
            </w:r>
            <m:oMath>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12</m:t>
                      </m:r>
                    </m:den>
                  </m:f>
                  <m:nary>
                    <m:naryPr>
                      <m:chr m:val="∑"/>
                      <m:grow m:val="1"/>
                      <m:supHide m:val="1"/>
                      <m:ctrlPr>
                        <w:rPr>
                          <w:rFonts w:ascii="Cambria Math" w:hAnsi="Cambria Math" w:cs="Times New Roman"/>
                        </w:rPr>
                      </m:ctrlPr>
                    </m:naryPr>
                    <m:sub>
                      <m:r>
                        <w:rPr>
                          <w:rFonts w:ascii="Cambria Math" w:eastAsia="Cambria Math" w:hAnsi="Cambria Math" w:cs="Times New Roman"/>
                        </w:rPr>
                        <m:t>k∈K</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12</m:t>
                      </m:r>
                    </m:den>
                  </m:f>
                  <m:nary>
                    <m:naryPr>
                      <m:chr m:val="∑"/>
                      <m:supHide m:val="1"/>
                      <m:ctrlPr>
                        <w:rPr>
                          <w:rFonts w:ascii="Cambria Math" w:hAnsi="Cambria Math" w:cs="Times New Roman"/>
                        </w:rPr>
                      </m:ctrlPr>
                    </m:naryPr>
                    <m:sub>
                      <m:r>
                        <w:rPr>
                          <w:rFonts w:ascii="Cambria Math" w:eastAsia="Cambria Math" w:hAnsi="Cambria Math" w:cs="Times New Roman"/>
                        </w:rPr>
                        <m:t>j∈J</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e>
                  </m:nary>
                  <m:r>
                    <w:rPr>
                      <w:rFonts w:ascii="Cambria Math" w:hAnsi="Cambria Math" w:cs="Times New Roman"/>
                    </w:rPr>
                    <m:t xml:space="preserve"> </m:t>
                  </m:r>
                </m:e>
              </m:d>
              <w:bookmarkStart w:id="108" w:name="_Hlk160711392"/>
              <m:r>
                <w:rPr>
                  <w:rFonts w:ascii="Cambria Math" w:hAnsi="Cambria Math"/>
                </w:rPr>
                <m:t>=</m:t>
              </m:r>
              <m:r>
                <w:rPr>
                  <w:rFonts w:ascii="Cambria Math" w:hAnsi="Cambria Math" w:cs="Times New Roman"/>
                </w:rPr>
                <m:t>0</m:t>
              </m:r>
            </m:oMath>
            <w:bookmarkEnd w:id="108"/>
          </w:p>
          <w:p w14:paraId="4B83B070"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Where K is the set of lotteries with high spread and J is the set of lotteries with low spread.</w:t>
            </w:r>
          </w:p>
        </w:tc>
        <w:tc>
          <w:tcPr>
            <w:tcW w:w="2262" w:type="dxa"/>
          </w:tcPr>
          <w:p w14:paraId="16148DD0"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6.814</w:t>
            </w:r>
            <w:r>
              <w:t>***</w:t>
            </w:r>
          </w:p>
        </w:tc>
        <w:tc>
          <w:tcPr>
            <w:tcW w:w="3069" w:type="dxa"/>
          </w:tcPr>
          <w:p w14:paraId="2D9115DE" w14:textId="77777777" w:rsidR="00C565FD" w:rsidRPr="00163E69" w:rsidRDefault="00C565FD" w:rsidP="002A2C90">
            <w:pPr>
              <w:rPr>
                <w:rFonts w:ascii="Times New Roman" w:hAnsi="Times New Roman" w:cs="Times New Roman"/>
              </w:rPr>
            </w:pPr>
            <w:r>
              <w:t>I</w:t>
            </w:r>
            <w:r w:rsidRPr="00163E69">
              <w:rPr>
                <w:rFonts w:ascii="Times New Roman" w:hAnsi="Times New Roman" w:cs="Times New Roman"/>
              </w:rPr>
              <w:t xml:space="preserve"> reject the null hypothesis. Participants’ WTP increases as the spread increases.</w:t>
            </w:r>
          </w:p>
        </w:tc>
      </w:tr>
      <w:tr w:rsidR="00C565FD" w:rsidRPr="00163E69" w14:paraId="581FEAFB" w14:textId="77777777" w:rsidTr="002A2C90">
        <w:tc>
          <w:tcPr>
            <w:tcW w:w="3420" w:type="dxa"/>
          </w:tcPr>
          <w:p w14:paraId="5EFBCFE5"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H3: Changing the expected value of the lottery relative to the outside option will not change WTP for information.</w:t>
            </w:r>
          </w:p>
        </w:tc>
        <w:tc>
          <w:tcPr>
            <w:tcW w:w="4569" w:type="dxa"/>
          </w:tcPr>
          <w:p w14:paraId="7D636DE9"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H3:</w:t>
            </w:r>
            <w:r w:rsidRPr="00163E69">
              <w:rPr>
                <w:rFonts w:ascii="Times New Roman" w:hAnsi="Times New Roman" w:cs="Times New Roman"/>
                <w:i/>
              </w:rPr>
              <w:t xml:space="preserve"> </w:t>
            </w:r>
            <m:oMath>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12</m:t>
                      </m:r>
                    </m:den>
                  </m:f>
                  <m:nary>
                    <m:naryPr>
                      <m:chr m:val="∑"/>
                      <m:grow m:val="1"/>
                      <m:supHide m:val="1"/>
                      <m:ctrlPr>
                        <w:rPr>
                          <w:rFonts w:ascii="Cambria Math" w:hAnsi="Cambria Math" w:cs="Times New Roman"/>
                        </w:rPr>
                      </m:ctrlPr>
                    </m:naryPr>
                    <m:sub>
                      <m:r>
                        <w:rPr>
                          <w:rFonts w:ascii="Cambria Math" w:eastAsia="Cambria Math" w:hAnsi="Cambria Math" w:cs="Times New Roman"/>
                        </w:rPr>
                        <m:t>k∈K</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12</m:t>
                      </m:r>
                    </m:den>
                  </m:f>
                  <m:nary>
                    <m:naryPr>
                      <m:chr m:val="∑"/>
                      <m:supHide m:val="1"/>
                      <m:ctrlPr>
                        <w:rPr>
                          <w:rFonts w:ascii="Cambria Math" w:hAnsi="Cambria Math" w:cs="Times New Roman"/>
                        </w:rPr>
                      </m:ctrlPr>
                    </m:naryPr>
                    <m:sub>
                      <m:r>
                        <w:rPr>
                          <w:rFonts w:ascii="Cambria Math" w:eastAsia="Cambria Math" w:hAnsi="Cambria Math" w:cs="Times New Roman"/>
                        </w:rPr>
                        <m:t>j∈J</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e>
                  </m:nary>
                  <m:r>
                    <w:rPr>
                      <w:rFonts w:ascii="Cambria Math" w:hAnsi="Cambria Math" w:cs="Times New Roman"/>
                    </w:rPr>
                    <m:t xml:space="preserve"> </m:t>
                  </m:r>
                </m:e>
              </m:d>
              <m:r>
                <w:rPr>
                  <w:rFonts w:ascii="Cambria Math" w:hAnsi="Cambria Math" w:cs="Times New Roman"/>
                </w:rPr>
                <m:t>=0</m:t>
              </m:r>
            </m:oMath>
          </w:p>
          <w:p w14:paraId="6A7C8F29"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Where K is the set of lotteries with expected value greater than the outside option and J is the set of lotteries with expected value less than the outside option.</w:t>
            </w:r>
          </w:p>
        </w:tc>
        <w:tc>
          <w:tcPr>
            <w:tcW w:w="2262" w:type="dxa"/>
          </w:tcPr>
          <w:p w14:paraId="478CFA20" w14:textId="77777777" w:rsidR="00C565FD" w:rsidRPr="00163E69" w:rsidRDefault="00C565FD" w:rsidP="002A2C90">
            <w:pPr>
              <w:jc w:val="center"/>
              <w:rPr>
                <w:rFonts w:ascii="Times New Roman" w:hAnsi="Times New Roman" w:cs="Times New Roman"/>
              </w:rPr>
            </w:pPr>
            <m:oMath>
              <m:r>
                <w:rPr>
                  <w:rFonts w:ascii="Cambria Math" w:hAnsi="Cambria Math" w:cs="Times New Roman"/>
                </w:rPr>
                <m:t>1.590</m:t>
              </m:r>
            </m:oMath>
            <w:r w:rsidRPr="00163E69">
              <w:rPr>
                <w:rFonts w:ascii="Times New Roman" w:hAnsi="Times New Roman" w:cs="Times New Roman"/>
              </w:rPr>
              <w:t>***</w:t>
            </w:r>
          </w:p>
          <w:p w14:paraId="06647C7D" w14:textId="77777777" w:rsidR="00C565FD" w:rsidRPr="00163E69" w:rsidRDefault="00C565FD" w:rsidP="002A2C90">
            <w:pPr>
              <w:jc w:val="center"/>
              <w:rPr>
                <w:rFonts w:ascii="Times New Roman" w:hAnsi="Times New Roman" w:cs="Times New Roman"/>
              </w:rPr>
            </w:pPr>
          </w:p>
        </w:tc>
        <w:tc>
          <w:tcPr>
            <w:tcW w:w="3069" w:type="dxa"/>
          </w:tcPr>
          <w:p w14:paraId="5808793D" w14:textId="77777777" w:rsidR="00C565FD" w:rsidRPr="00163E69" w:rsidRDefault="00C565FD" w:rsidP="002A2C90">
            <w:pPr>
              <w:rPr>
                <w:rFonts w:ascii="Times New Roman" w:hAnsi="Times New Roman" w:cs="Times New Roman"/>
              </w:rPr>
            </w:pPr>
            <w:r>
              <w:t xml:space="preserve">I </w:t>
            </w:r>
            <w:r w:rsidRPr="00163E69">
              <w:rPr>
                <w:rFonts w:ascii="Times New Roman" w:hAnsi="Times New Roman" w:cs="Times New Roman"/>
              </w:rPr>
              <w:t>reject the null hypothesis. Participants’ WTP is higher for lotteries with expected value greater than the outside option.</w:t>
            </w:r>
          </w:p>
        </w:tc>
      </w:tr>
      <w:tr w:rsidR="00C565FD" w:rsidRPr="00163E69" w14:paraId="09B572B9" w14:textId="77777777" w:rsidTr="002A2C90">
        <w:tc>
          <w:tcPr>
            <w:tcW w:w="3420" w:type="dxa"/>
          </w:tcPr>
          <w:p w14:paraId="5B868682"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xml:space="preserve">H4: Increasing the probability of the high outcome from </w:t>
            </w:r>
            <m:oMath>
              <m:r>
                <w:rPr>
                  <w:rFonts w:ascii="Cambria Math" w:hAnsi="Cambria Math" w:cs="Times New Roman"/>
                </w:rPr>
                <m:t>p=0.5</m:t>
              </m:r>
            </m:oMath>
            <w:r w:rsidRPr="00163E69">
              <w:rPr>
                <w:rFonts w:ascii="Times New Roman" w:hAnsi="Times New Roman" w:cs="Times New Roman"/>
              </w:rPr>
              <w:t xml:space="preserve"> to </w:t>
            </w:r>
            <m:oMath>
              <m:r>
                <w:rPr>
                  <w:rFonts w:ascii="Cambria Math" w:hAnsi="Cambria Math" w:cs="Times New Roman"/>
                </w:rPr>
                <m:t>p=0.85</m:t>
              </m:r>
            </m:oMath>
            <w:r w:rsidRPr="00163E69">
              <w:rPr>
                <w:rFonts w:ascii="Times New Roman" w:hAnsi="Times New Roman" w:cs="Times New Roman"/>
              </w:rPr>
              <w:t xml:space="preserve"> will decrease WTP.</w:t>
            </w:r>
          </w:p>
        </w:tc>
        <w:tc>
          <w:tcPr>
            <w:tcW w:w="4569" w:type="dxa"/>
          </w:tcPr>
          <w:p w14:paraId="52E31592"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H4:</w:t>
            </w:r>
            <w:r w:rsidRPr="00163E69">
              <w:rPr>
                <w:rFonts w:ascii="Times New Roman" w:hAnsi="Times New Roman" w:cs="Times New Roman"/>
                <w:i/>
              </w:rPr>
              <w:t xml:space="preserve"> </w:t>
            </w:r>
            <m:oMath>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8</m:t>
                      </m:r>
                    </m:den>
                  </m:f>
                  <m:nary>
                    <m:naryPr>
                      <m:chr m:val="∑"/>
                      <m:grow m:val="1"/>
                      <m:supHide m:val="1"/>
                      <m:ctrlPr>
                        <w:rPr>
                          <w:rFonts w:ascii="Cambria Math" w:hAnsi="Cambria Math" w:cs="Times New Roman"/>
                        </w:rPr>
                      </m:ctrlPr>
                    </m:naryPr>
                    <m:sub>
                      <m:r>
                        <w:rPr>
                          <w:rFonts w:ascii="Cambria Math" w:eastAsia="Cambria Math" w:hAnsi="Cambria Math" w:cs="Times New Roman"/>
                        </w:rPr>
                        <m:t>k∈K</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8</m:t>
                      </m:r>
                    </m:den>
                  </m:f>
                  <m:nary>
                    <m:naryPr>
                      <m:chr m:val="∑"/>
                      <m:supHide m:val="1"/>
                      <m:ctrlPr>
                        <w:rPr>
                          <w:rFonts w:ascii="Cambria Math" w:hAnsi="Cambria Math" w:cs="Times New Roman"/>
                        </w:rPr>
                      </m:ctrlPr>
                    </m:naryPr>
                    <m:sub>
                      <m:r>
                        <w:rPr>
                          <w:rFonts w:ascii="Cambria Math" w:eastAsia="Cambria Math" w:hAnsi="Cambria Math" w:cs="Times New Roman"/>
                        </w:rPr>
                        <m:t>j∈J</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e>
                  </m:nary>
                  <m:r>
                    <w:rPr>
                      <w:rFonts w:ascii="Cambria Math" w:hAnsi="Cambria Math" w:cs="Times New Roman"/>
                    </w:rPr>
                    <m:t xml:space="preserve"> </m:t>
                  </m:r>
                </m:e>
              </m:d>
              <m:r>
                <w:rPr>
                  <w:rFonts w:ascii="Cambria Math" w:hAnsi="Cambria Math"/>
                </w:rPr>
                <m:t>=</m:t>
              </m:r>
              <m:r>
                <w:rPr>
                  <w:rFonts w:ascii="Cambria Math" w:hAnsi="Cambria Math" w:cs="Times New Roman"/>
                </w:rPr>
                <m:t>0</m:t>
              </m:r>
            </m:oMath>
          </w:p>
          <w:p w14:paraId="6CBF74E7"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xml:space="preserve">Where K is the set of lotteries with p=0.85 and J is the set of lotteries with equal probabilities </w:t>
            </w:r>
          </w:p>
        </w:tc>
        <w:tc>
          <w:tcPr>
            <w:tcW w:w="2262" w:type="dxa"/>
          </w:tcPr>
          <w:p w14:paraId="07F4AD38" w14:textId="77777777" w:rsidR="00C565FD" w:rsidRPr="00163E69" w:rsidRDefault="00C565FD" w:rsidP="002A2C90">
            <w:pPr>
              <w:jc w:val="center"/>
              <w:rPr>
                <w:rFonts w:ascii="Times New Roman" w:hAnsi="Times New Roman" w:cs="Times New Roman"/>
              </w:rPr>
            </w:pPr>
            <m:oMath>
              <m:r>
                <m:rPr>
                  <m:sty m:val="p"/>
                </m:rPr>
                <w:rPr>
                  <w:rFonts w:ascii="Cambria Math" w:hAnsi="Cambria Math" w:cs="Times New Roman"/>
                </w:rPr>
                <m:t>-4.205</m:t>
              </m:r>
            </m:oMath>
            <w:r>
              <w:t>***</w:t>
            </w:r>
          </w:p>
        </w:tc>
        <w:tc>
          <w:tcPr>
            <w:tcW w:w="3069" w:type="dxa"/>
          </w:tcPr>
          <w:p w14:paraId="50A5F504" w14:textId="77777777" w:rsidR="00C565FD" w:rsidRPr="00163E69" w:rsidRDefault="00C565FD" w:rsidP="002A2C90">
            <w:pPr>
              <w:rPr>
                <w:rFonts w:ascii="Times New Roman" w:hAnsi="Times New Roman" w:cs="Times New Roman"/>
              </w:rPr>
            </w:pPr>
            <w:r>
              <w:t>I</w:t>
            </w:r>
            <w:r w:rsidRPr="00163E69">
              <w:rPr>
                <w:rFonts w:ascii="Times New Roman" w:hAnsi="Times New Roman" w:cs="Times New Roman"/>
              </w:rPr>
              <w:t xml:space="preserve"> reject the null hypothesis. Increasing the probability from p=0.5 to p=0.85 decreases WTP.</w:t>
            </w:r>
          </w:p>
        </w:tc>
      </w:tr>
      <w:tr w:rsidR="00C565FD" w:rsidRPr="00163E69" w14:paraId="234B9054" w14:textId="77777777" w:rsidTr="002A2C90">
        <w:tc>
          <w:tcPr>
            <w:tcW w:w="3420" w:type="dxa"/>
          </w:tcPr>
          <w:p w14:paraId="10FED5A3"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xml:space="preserve">H5: Increasing the probability of the high outcome from </w:t>
            </w:r>
            <m:oMath>
              <m:r>
                <w:rPr>
                  <w:rFonts w:ascii="Cambria Math" w:hAnsi="Cambria Math" w:cs="Times New Roman"/>
                </w:rPr>
                <m:t>p=0.5</m:t>
              </m:r>
            </m:oMath>
            <w:r w:rsidRPr="00163E69">
              <w:rPr>
                <w:rFonts w:ascii="Times New Roman" w:hAnsi="Times New Roman" w:cs="Times New Roman"/>
              </w:rPr>
              <w:t xml:space="preserve"> to </w:t>
            </w:r>
            <m:oMath>
              <m:r>
                <w:rPr>
                  <w:rFonts w:ascii="Cambria Math" w:hAnsi="Cambria Math" w:cs="Times New Roman"/>
                </w:rPr>
                <m:t>p=0.15</m:t>
              </m:r>
            </m:oMath>
            <w:r w:rsidRPr="00163E69">
              <w:rPr>
                <w:rFonts w:ascii="Times New Roman" w:hAnsi="Times New Roman" w:cs="Times New Roman"/>
              </w:rPr>
              <w:t xml:space="preserve"> will increase WTP.</w:t>
            </w:r>
          </w:p>
        </w:tc>
        <w:tc>
          <w:tcPr>
            <w:tcW w:w="4569" w:type="dxa"/>
          </w:tcPr>
          <w:p w14:paraId="1B568B0F"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H5:</w:t>
            </w:r>
            <m:oMath>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8</m:t>
                      </m:r>
                    </m:den>
                  </m:f>
                  <m:nary>
                    <m:naryPr>
                      <m:chr m:val="∑"/>
                      <m:grow m:val="1"/>
                      <m:supHide m:val="1"/>
                      <m:ctrlPr>
                        <w:rPr>
                          <w:rFonts w:ascii="Cambria Math" w:hAnsi="Cambria Math" w:cs="Times New Roman"/>
                        </w:rPr>
                      </m:ctrlPr>
                    </m:naryPr>
                    <m:sub>
                      <m:r>
                        <w:rPr>
                          <w:rFonts w:ascii="Cambria Math" w:eastAsia="Cambria Math" w:hAnsi="Cambria Math" w:cs="Times New Roman"/>
                        </w:rPr>
                        <m:t>k∈K</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k</m:t>
                          </m:r>
                        </m:sub>
                      </m:sSub>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8</m:t>
                      </m:r>
                    </m:den>
                  </m:f>
                  <m:nary>
                    <m:naryPr>
                      <m:chr m:val="∑"/>
                      <m:supHide m:val="1"/>
                      <m:ctrlPr>
                        <w:rPr>
                          <w:rFonts w:ascii="Cambria Math" w:hAnsi="Cambria Math" w:cs="Times New Roman"/>
                        </w:rPr>
                      </m:ctrlPr>
                    </m:naryPr>
                    <m:sub>
                      <m:r>
                        <w:rPr>
                          <w:rFonts w:ascii="Cambria Math" w:eastAsia="Cambria Math" w:hAnsi="Cambria Math" w:cs="Times New Roman"/>
                        </w:rPr>
                        <m:t>j∈J</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e>
                  </m:nary>
                  <m:r>
                    <w:rPr>
                      <w:rFonts w:ascii="Cambria Math" w:hAnsi="Cambria Math" w:cs="Times New Roman"/>
                    </w:rPr>
                    <m:t xml:space="preserve"> </m:t>
                  </m:r>
                </m:e>
              </m:d>
              <m:r>
                <w:rPr>
                  <w:rFonts w:ascii="Cambria Math" w:hAnsi="Cambria Math"/>
                </w:rPr>
                <m:t>=</m:t>
              </m:r>
              <m:r>
                <w:rPr>
                  <w:rFonts w:ascii="Cambria Math" w:hAnsi="Cambria Math" w:cs="Times New Roman"/>
                </w:rPr>
                <m:t>0</m:t>
              </m:r>
            </m:oMath>
          </w:p>
          <w:p w14:paraId="622184CE"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Where K is the set of lotteries where p=0.15 and J is the set of lotteries with equal probabilities</w:t>
            </w:r>
          </w:p>
        </w:tc>
        <w:tc>
          <w:tcPr>
            <w:tcW w:w="2262" w:type="dxa"/>
          </w:tcPr>
          <w:p w14:paraId="3AF0C22E" w14:textId="77777777" w:rsidR="00C565FD" w:rsidRPr="00163E69" w:rsidRDefault="00C565FD" w:rsidP="002A2C90">
            <w:pPr>
              <w:jc w:val="center"/>
              <w:rPr>
                <w:rFonts w:ascii="Cambria Math" w:hAnsi="Cambria Math" w:cs="Times New Roman"/>
                <w:i/>
              </w:rPr>
            </w:pPr>
            <m:oMath>
              <m:r>
                <w:rPr>
                  <w:rFonts w:ascii="Cambria Math" w:hAnsi="Cambria Math" w:cs="Times New Roman"/>
                </w:rPr>
                <m:t>2.026</m:t>
              </m:r>
            </m:oMath>
            <w:r>
              <w:t>***</w:t>
            </w:r>
          </w:p>
        </w:tc>
        <w:tc>
          <w:tcPr>
            <w:tcW w:w="3069" w:type="dxa"/>
          </w:tcPr>
          <w:p w14:paraId="41563567" w14:textId="77777777" w:rsidR="00C565FD" w:rsidRPr="00163E69" w:rsidRDefault="00C565FD" w:rsidP="002A2C90">
            <w:pPr>
              <w:rPr>
                <w:rFonts w:ascii="Times New Roman" w:hAnsi="Times New Roman" w:cs="Times New Roman"/>
              </w:rPr>
            </w:pPr>
            <w:r>
              <w:t>I</w:t>
            </w:r>
            <w:r w:rsidRPr="00163E69">
              <w:rPr>
                <w:rFonts w:ascii="Times New Roman" w:hAnsi="Times New Roman" w:cs="Times New Roman"/>
              </w:rPr>
              <w:t xml:space="preserve"> reject the null hypothesis. Increasing the probability from p=0.15 to p=0. 5 increases WTP.</w:t>
            </w:r>
          </w:p>
        </w:tc>
      </w:tr>
      <w:tr w:rsidR="00C565FD" w:rsidRPr="00163E69" w14:paraId="26BC55D7" w14:textId="77777777" w:rsidTr="002A2C90">
        <w:tc>
          <w:tcPr>
            <w:tcW w:w="13320" w:type="dxa"/>
            <w:gridSpan w:val="4"/>
          </w:tcPr>
          <w:p w14:paraId="24ECAD2D"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p&lt;0.01, ** p&lt;0.05, * p&lt;0.1</w:t>
            </w:r>
          </w:p>
        </w:tc>
      </w:tr>
      <w:bookmarkEnd w:id="107"/>
    </w:tbl>
    <w:p w14:paraId="2235DF51" w14:textId="77777777" w:rsidR="00C565FD" w:rsidRPr="00163E69" w:rsidRDefault="00C565FD" w:rsidP="00C565FD">
      <w:pPr>
        <w:rPr>
          <w:rFonts w:ascii="Times New Roman" w:hAnsi="Times New Roman" w:cs="Times New Roman"/>
        </w:rPr>
      </w:pPr>
    </w:p>
    <w:p w14:paraId="07C4E179" w14:textId="77777777" w:rsidR="00C565FD" w:rsidRPr="00163E69" w:rsidRDefault="00C565FD" w:rsidP="00C565FD">
      <w:pPr>
        <w:rPr>
          <w:rFonts w:ascii="Times New Roman" w:hAnsi="Times New Roman" w:cs="Times New Roman"/>
        </w:rPr>
      </w:pPr>
      <w:r w:rsidRPr="00163E69">
        <w:rPr>
          <w:rFonts w:ascii="Times New Roman" w:hAnsi="Times New Roman" w:cs="Times New Roman"/>
        </w:rPr>
        <w:br w:type="page"/>
      </w:r>
    </w:p>
    <w:p w14:paraId="270A9788" w14:textId="77777777" w:rsidR="00C565FD" w:rsidRPr="00163E69" w:rsidRDefault="00C565FD" w:rsidP="00C565FD">
      <w:pPr>
        <w:rPr>
          <w:rFonts w:ascii="Times New Roman" w:hAnsi="Times New Roman" w:cs="Times New Roman"/>
        </w:rPr>
        <w:sectPr w:rsidR="00C565FD" w:rsidRPr="00163E69" w:rsidSect="00FE7549">
          <w:pgSz w:w="15840" w:h="12240" w:orient="landscape" w:code="1"/>
          <w:pgMar w:top="1800" w:right="1440" w:bottom="1800" w:left="1872" w:header="720" w:footer="1440" w:gutter="0"/>
          <w:cols w:space="720"/>
          <w:noEndnote/>
          <w:docGrid w:linePitch="360"/>
        </w:sectPr>
      </w:pPr>
    </w:p>
    <w:p w14:paraId="5C63F533" w14:textId="0BEDC974" w:rsidR="00C565FD" w:rsidRPr="00163E69" w:rsidRDefault="00C565FD" w:rsidP="00C565FD">
      <w:pPr>
        <w:keepNext/>
        <w:spacing w:line="480" w:lineRule="auto"/>
        <w:rPr>
          <w:rFonts w:ascii="Times New Roman" w:hAnsi="Times New Roman" w:cs="Times New Roman"/>
          <w:bCs/>
        </w:rPr>
      </w:pPr>
      <w:bookmarkStart w:id="109" w:name="_Ref160714627"/>
      <w:bookmarkStart w:id="110" w:name="_Toc160719994"/>
      <w:bookmarkStart w:id="111" w:name="_Toc164862549"/>
      <w:r w:rsidRPr="00163E69">
        <w:rPr>
          <w:rFonts w:ascii="Times New Roman" w:hAnsi="Times New Roman" w:cs="Times New Roman"/>
          <w:bCs/>
        </w:rPr>
        <w:lastRenderedPageBreak/>
        <w:t xml:space="preserve">Table </w:t>
      </w:r>
      <w:r w:rsidRPr="00163E69">
        <w:rPr>
          <w:rFonts w:ascii="Times New Roman" w:hAnsi="Times New Roman" w:cs="Times New Roman"/>
          <w:bCs/>
        </w:rPr>
        <w:fldChar w:fldCharType="begin"/>
      </w:r>
      <w:r w:rsidRPr="00163E69">
        <w:rPr>
          <w:rFonts w:ascii="Times New Roman" w:hAnsi="Times New Roman" w:cs="Times New Roman"/>
          <w:bCs/>
        </w:rPr>
        <w:instrText xml:space="preserve"> SEQ Table \* ARABIC </w:instrText>
      </w:r>
      <w:r w:rsidRPr="00163E69">
        <w:rPr>
          <w:rFonts w:ascii="Times New Roman" w:hAnsi="Times New Roman" w:cs="Times New Roman"/>
          <w:bCs/>
        </w:rPr>
        <w:fldChar w:fldCharType="separate"/>
      </w:r>
      <w:r w:rsidR="00142A7E">
        <w:rPr>
          <w:rFonts w:ascii="Times New Roman" w:hAnsi="Times New Roman" w:cs="Times New Roman"/>
          <w:bCs/>
          <w:noProof/>
        </w:rPr>
        <w:t>14</w:t>
      </w:r>
      <w:r w:rsidRPr="00163E69">
        <w:rPr>
          <w:rFonts w:ascii="Times New Roman" w:hAnsi="Times New Roman" w:cs="Times New Roman"/>
          <w:bCs/>
        </w:rPr>
        <w:fldChar w:fldCharType="end"/>
      </w:r>
      <w:bookmarkEnd w:id="109"/>
      <w:r w:rsidRPr="00163E69">
        <w:rPr>
          <w:rFonts w:ascii="Times New Roman" w:hAnsi="Times New Roman" w:cs="Times New Roman"/>
          <w:bCs/>
        </w:rPr>
        <w:t>: Choice Regression Results</w:t>
      </w:r>
      <w:bookmarkEnd w:id="110"/>
      <w:bookmarkEnd w:id="111"/>
    </w:p>
    <w:tbl>
      <w:tblPr>
        <w:tblW w:w="8568" w:type="dxa"/>
        <w:tblLook w:val="04A0" w:firstRow="1" w:lastRow="0" w:firstColumn="1" w:lastColumn="0" w:noHBand="0" w:noVBand="1"/>
      </w:tblPr>
      <w:tblGrid>
        <w:gridCol w:w="2016"/>
        <w:gridCol w:w="2520"/>
        <w:gridCol w:w="2016"/>
        <w:gridCol w:w="2016"/>
      </w:tblGrid>
      <w:tr w:rsidR="00C565FD" w:rsidRPr="00163E69" w14:paraId="4F7607F6" w14:textId="77777777" w:rsidTr="002A2C90">
        <w:trPr>
          <w:trHeight w:val="276"/>
        </w:trPr>
        <w:tc>
          <w:tcPr>
            <w:tcW w:w="2016" w:type="dxa"/>
            <w:tcBorders>
              <w:top w:val="single" w:sz="4" w:space="0" w:color="000000"/>
              <w:left w:val="nil"/>
              <w:bottom w:val="nil"/>
              <w:right w:val="nil"/>
            </w:tcBorders>
            <w:shd w:val="clear" w:color="auto" w:fill="auto"/>
            <w:noWrap/>
            <w:vAlign w:val="bottom"/>
            <w:hideMark/>
          </w:tcPr>
          <w:p w14:paraId="01C29998"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w:t>
            </w:r>
          </w:p>
        </w:tc>
        <w:tc>
          <w:tcPr>
            <w:tcW w:w="2520" w:type="dxa"/>
            <w:tcBorders>
              <w:top w:val="single" w:sz="4" w:space="0" w:color="000000"/>
              <w:left w:val="nil"/>
              <w:bottom w:val="nil"/>
              <w:right w:val="nil"/>
            </w:tcBorders>
            <w:shd w:val="clear" w:color="auto" w:fill="auto"/>
            <w:noWrap/>
            <w:vAlign w:val="bottom"/>
          </w:tcPr>
          <w:p w14:paraId="218B1D8F"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w:t>
            </w:r>
            <w:r>
              <w:rPr>
                <w:rFonts w:ascii="Times New Roman" w:hAnsi="Times New Roman" w:cs="Times New Roman"/>
              </w:rPr>
              <w:t>1</w:t>
            </w:r>
            <w:r w:rsidRPr="00163E69">
              <w:rPr>
                <w:rFonts w:ascii="Times New Roman" w:hAnsi="Times New Roman" w:cs="Times New Roman"/>
              </w:rPr>
              <w:t>)</w:t>
            </w:r>
          </w:p>
        </w:tc>
        <w:tc>
          <w:tcPr>
            <w:tcW w:w="2016" w:type="dxa"/>
            <w:tcBorders>
              <w:top w:val="single" w:sz="4" w:space="0" w:color="000000"/>
              <w:left w:val="nil"/>
              <w:bottom w:val="nil"/>
              <w:right w:val="nil"/>
            </w:tcBorders>
            <w:shd w:val="clear" w:color="auto" w:fill="auto"/>
            <w:noWrap/>
            <w:vAlign w:val="bottom"/>
          </w:tcPr>
          <w:p w14:paraId="70F9B969"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(2)</w:t>
            </w:r>
          </w:p>
        </w:tc>
        <w:tc>
          <w:tcPr>
            <w:tcW w:w="2016" w:type="dxa"/>
            <w:tcBorders>
              <w:top w:val="single" w:sz="4" w:space="0" w:color="000000"/>
              <w:left w:val="nil"/>
              <w:bottom w:val="nil"/>
              <w:right w:val="nil"/>
            </w:tcBorders>
            <w:vAlign w:val="bottom"/>
          </w:tcPr>
          <w:p w14:paraId="374AE668"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(3)</w:t>
            </w:r>
          </w:p>
        </w:tc>
      </w:tr>
      <w:tr w:rsidR="00C565FD" w:rsidRPr="00163E69" w14:paraId="4A51002F" w14:textId="77777777" w:rsidTr="002A2C90">
        <w:trPr>
          <w:trHeight w:val="276"/>
        </w:trPr>
        <w:tc>
          <w:tcPr>
            <w:tcW w:w="2016" w:type="dxa"/>
            <w:tcBorders>
              <w:top w:val="nil"/>
              <w:left w:val="nil"/>
              <w:bottom w:val="nil"/>
              <w:right w:val="nil"/>
            </w:tcBorders>
            <w:shd w:val="clear" w:color="auto" w:fill="auto"/>
            <w:noWrap/>
            <w:vAlign w:val="bottom"/>
            <w:hideMark/>
          </w:tcPr>
          <w:p w14:paraId="7E1C3C95" w14:textId="77777777" w:rsidR="00C565FD" w:rsidRPr="00163E69" w:rsidRDefault="00C565FD" w:rsidP="002A2C90">
            <w:pP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1C4D26A1" w14:textId="77777777" w:rsidR="00C565FD" w:rsidRPr="00163E69" w:rsidRDefault="00C565FD" w:rsidP="002A2C90">
            <w:pPr>
              <w:jc w:val="center"/>
              <w:rPr>
                <w:rFonts w:ascii="Times New Roman" w:hAnsi="Times New Roman" w:cs="Times New Roman"/>
              </w:rPr>
            </w:pPr>
            <w:r>
              <w:rPr>
                <w:rFonts w:ascii="Times New Roman" w:hAnsi="Times New Roman" w:cs="Times New Roman"/>
              </w:rPr>
              <w:t>Pay for Information</w:t>
            </w:r>
          </w:p>
        </w:tc>
        <w:tc>
          <w:tcPr>
            <w:tcW w:w="2016" w:type="dxa"/>
            <w:tcBorders>
              <w:top w:val="nil"/>
              <w:left w:val="nil"/>
              <w:bottom w:val="nil"/>
              <w:right w:val="nil"/>
            </w:tcBorders>
            <w:shd w:val="clear" w:color="auto" w:fill="auto"/>
            <w:noWrap/>
            <w:vAlign w:val="bottom"/>
          </w:tcPr>
          <w:p w14:paraId="56CFA3C3"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Play Lottery Immediately</w:t>
            </w:r>
          </w:p>
        </w:tc>
        <w:tc>
          <w:tcPr>
            <w:tcW w:w="2016" w:type="dxa"/>
            <w:tcBorders>
              <w:top w:val="nil"/>
              <w:left w:val="nil"/>
              <w:bottom w:val="nil"/>
              <w:right w:val="nil"/>
            </w:tcBorders>
            <w:vAlign w:val="bottom"/>
          </w:tcPr>
          <w:p w14:paraId="76CA4F4C"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Outside Option</w:t>
            </w:r>
          </w:p>
        </w:tc>
      </w:tr>
      <w:tr w:rsidR="00C565FD" w:rsidRPr="00163E69" w14:paraId="268CBD31" w14:textId="77777777" w:rsidTr="002A2C90">
        <w:trPr>
          <w:trHeight w:val="276"/>
        </w:trPr>
        <w:tc>
          <w:tcPr>
            <w:tcW w:w="2016" w:type="dxa"/>
            <w:tcBorders>
              <w:top w:val="single" w:sz="4" w:space="0" w:color="000000"/>
              <w:left w:val="nil"/>
              <w:bottom w:val="nil"/>
              <w:right w:val="nil"/>
            </w:tcBorders>
            <w:shd w:val="clear" w:color="auto" w:fill="auto"/>
            <w:noWrap/>
            <w:vAlign w:val="bottom"/>
            <w:hideMark/>
          </w:tcPr>
          <w:p w14:paraId="2080E25E"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w:t>
            </w:r>
          </w:p>
        </w:tc>
        <w:tc>
          <w:tcPr>
            <w:tcW w:w="2520" w:type="dxa"/>
            <w:tcBorders>
              <w:top w:val="single" w:sz="4" w:space="0" w:color="000000"/>
              <w:left w:val="nil"/>
              <w:bottom w:val="nil"/>
              <w:right w:val="nil"/>
            </w:tcBorders>
            <w:shd w:val="clear" w:color="auto" w:fill="auto"/>
            <w:noWrap/>
            <w:vAlign w:val="bottom"/>
            <w:hideMark/>
          </w:tcPr>
          <w:p w14:paraId="0B78FB1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 </w:t>
            </w:r>
          </w:p>
        </w:tc>
        <w:tc>
          <w:tcPr>
            <w:tcW w:w="2016" w:type="dxa"/>
            <w:tcBorders>
              <w:top w:val="single" w:sz="4" w:space="0" w:color="000000"/>
              <w:left w:val="nil"/>
              <w:bottom w:val="nil"/>
              <w:right w:val="nil"/>
            </w:tcBorders>
            <w:shd w:val="clear" w:color="auto" w:fill="auto"/>
            <w:noWrap/>
            <w:vAlign w:val="bottom"/>
            <w:hideMark/>
          </w:tcPr>
          <w:p w14:paraId="3B44FA52"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 </w:t>
            </w:r>
          </w:p>
        </w:tc>
        <w:tc>
          <w:tcPr>
            <w:tcW w:w="2016" w:type="dxa"/>
            <w:tcBorders>
              <w:top w:val="single" w:sz="4" w:space="0" w:color="000000"/>
              <w:left w:val="nil"/>
              <w:bottom w:val="nil"/>
              <w:right w:val="nil"/>
            </w:tcBorders>
          </w:tcPr>
          <w:p w14:paraId="6043DD46" w14:textId="77777777" w:rsidR="00C565FD" w:rsidRPr="00163E69" w:rsidRDefault="00C565FD" w:rsidP="002A2C90">
            <w:pPr>
              <w:jc w:val="center"/>
              <w:rPr>
                <w:rFonts w:ascii="Times New Roman" w:hAnsi="Times New Roman" w:cs="Times New Roman"/>
              </w:rPr>
            </w:pPr>
          </w:p>
        </w:tc>
      </w:tr>
      <w:tr w:rsidR="00C565FD" w:rsidRPr="00163E69" w14:paraId="737DC9F0" w14:textId="77777777" w:rsidTr="002A2C90">
        <w:trPr>
          <w:trHeight w:val="276"/>
        </w:trPr>
        <w:tc>
          <w:tcPr>
            <w:tcW w:w="2016" w:type="dxa"/>
            <w:tcBorders>
              <w:top w:val="nil"/>
              <w:left w:val="nil"/>
              <w:bottom w:val="nil"/>
              <w:right w:val="nil"/>
            </w:tcBorders>
            <w:shd w:val="clear" w:color="auto" w:fill="auto"/>
            <w:noWrap/>
            <w:vAlign w:val="bottom"/>
            <w:hideMark/>
          </w:tcPr>
          <w:p w14:paraId="0042D6D3"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w:t>
            </w:r>
          </w:p>
        </w:tc>
        <w:tc>
          <w:tcPr>
            <w:tcW w:w="2520" w:type="dxa"/>
            <w:tcBorders>
              <w:top w:val="nil"/>
              <w:left w:val="nil"/>
              <w:bottom w:val="nil"/>
              <w:right w:val="nil"/>
            </w:tcBorders>
            <w:shd w:val="clear" w:color="auto" w:fill="auto"/>
            <w:noWrap/>
            <w:vAlign w:val="bottom"/>
          </w:tcPr>
          <w:p w14:paraId="1F37FDD9" w14:textId="77777777" w:rsidR="00C565FD" w:rsidRPr="00163E69" w:rsidRDefault="00C565FD" w:rsidP="002A2C90">
            <w:pPr>
              <w:jc w:val="center"/>
              <w:rPr>
                <w:rFonts w:ascii="Times New Roman" w:hAnsi="Times New Roman" w:cs="Times New Roman"/>
              </w:rPr>
            </w:pPr>
            <w:r>
              <w:rPr>
                <w:rFonts w:ascii="Times New Roman" w:hAnsi="Times New Roman" w:cs="Times New Roman"/>
              </w:rPr>
              <w:t>-</w:t>
            </w:r>
          </w:p>
        </w:tc>
        <w:tc>
          <w:tcPr>
            <w:tcW w:w="2016" w:type="dxa"/>
            <w:tcBorders>
              <w:top w:val="nil"/>
              <w:left w:val="nil"/>
              <w:bottom w:val="nil"/>
              <w:right w:val="nil"/>
            </w:tcBorders>
            <w:shd w:val="clear" w:color="auto" w:fill="auto"/>
            <w:noWrap/>
            <w:vAlign w:val="bottom"/>
          </w:tcPr>
          <w:p w14:paraId="42123338" w14:textId="77777777" w:rsidR="00C565FD" w:rsidRPr="00163E69" w:rsidRDefault="00C565FD" w:rsidP="002A2C90">
            <w:pPr>
              <w:jc w:val="center"/>
              <w:rPr>
                <w:rFonts w:ascii="Times New Roman" w:hAnsi="Times New Roman" w:cs="Times New Roman"/>
              </w:rPr>
            </w:pPr>
            <w:r>
              <w:rPr>
                <w:rFonts w:ascii="Times New Roman" w:hAnsi="Times New Roman" w:cs="Times New Roman"/>
              </w:rPr>
              <w:t>-</w:t>
            </w:r>
          </w:p>
        </w:tc>
        <w:tc>
          <w:tcPr>
            <w:tcW w:w="2016" w:type="dxa"/>
            <w:tcBorders>
              <w:top w:val="nil"/>
              <w:left w:val="nil"/>
              <w:bottom w:val="nil"/>
              <w:right w:val="nil"/>
            </w:tcBorders>
          </w:tcPr>
          <w:p w14:paraId="4F43B4D9" w14:textId="77777777" w:rsidR="00C565FD" w:rsidRPr="00163E69" w:rsidRDefault="00C565FD" w:rsidP="002A2C90">
            <w:pPr>
              <w:jc w:val="center"/>
              <w:rPr>
                <w:rFonts w:ascii="Times New Roman" w:hAnsi="Times New Roman" w:cs="Times New Roman"/>
              </w:rPr>
            </w:pPr>
            <w:r>
              <w:rPr>
                <w:rFonts w:ascii="Times New Roman" w:hAnsi="Times New Roman" w:cs="Times New Roman"/>
              </w:rPr>
              <w:t>-</w:t>
            </w:r>
          </w:p>
        </w:tc>
      </w:tr>
      <w:tr w:rsidR="00C565FD" w:rsidRPr="00163E69" w14:paraId="12B3285F" w14:textId="77777777" w:rsidTr="002A2C90">
        <w:trPr>
          <w:trHeight w:val="276"/>
        </w:trPr>
        <w:tc>
          <w:tcPr>
            <w:tcW w:w="2016" w:type="dxa"/>
            <w:tcBorders>
              <w:top w:val="nil"/>
              <w:left w:val="nil"/>
              <w:bottom w:val="nil"/>
              <w:right w:val="nil"/>
            </w:tcBorders>
            <w:shd w:val="clear" w:color="auto" w:fill="auto"/>
            <w:noWrap/>
            <w:vAlign w:val="bottom"/>
            <w:hideMark/>
          </w:tcPr>
          <w:p w14:paraId="3BB8E59D"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3F4D8164"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tcPr>
          <w:p w14:paraId="1B69AC80"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tcPr>
          <w:p w14:paraId="400B75CE" w14:textId="77777777" w:rsidR="00C565FD" w:rsidRPr="00163E69" w:rsidRDefault="00C565FD" w:rsidP="002A2C90">
            <w:pPr>
              <w:jc w:val="center"/>
              <w:rPr>
                <w:rFonts w:ascii="Times New Roman" w:hAnsi="Times New Roman" w:cs="Times New Roman"/>
              </w:rPr>
            </w:pPr>
          </w:p>
        </w:tc>
      </w:tr>
      <w:tr w:rsidR="00C565FD" w:rsidRPr="00163E69" w14:paraId="747FDA8E" w14:textId="77777777" w:rsidTr="002A2C90">
        <w:trPr>
          <w:trHeight w:val="276"/>
        </w:trPr>
        <w:tc>
          <w:tcPr>
            <w:tcW w:w="2016" w:type="dxa"/>
            <w:tcBorders>
              <w:top w:val="nil"/>
              <w:left w:val="nil"/>
              <w:bottom w:val="nil"/>
              <w:right w:val="nil"/>
            </w:tcBorders>
            <w:shd w:val="clear" w:color="auto" w:fill="auto"/>
            <w:noWrap/>
            <w:vAlign w:val="bottom"/>
            <w:hideMark/>
          </w:tcPr>
          <w:p w14:paraId="7E207164"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w:t>
            </w:r>
          </w:p>
        </w:tc>
        <w:tc>
          <w:tcPr>
            <w:tcW w:w="2520" w:type="dxa"/>
            <w:tcBorders>
              <w:top w:val="nil"/>
              <w:left w:val="nil"/>
              <w:bottom w:val="nil"/>
              <w:right w:val="nil"/>
            </w:tcBorders>
            <w:shd w:val="clear" w:color="auto" w:fill="auto"/>
            <w:noWrap/>
            <w:vAlign w:val="bottom"/>
          </w:tcPr>
          <w:p w14:paraId="3DAB01F7"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-0.156***</w:t>
            </w:r>
          </w:p>
        </w:tc>
        <w:tc>
          <w:tcPr>
            <w:tcW w:w="2016" w:type="dxa"/>
            <w:tcBorders>
              <w:top w:val="nil"/>
              <w:left w:val="nil"/>
              <w:bottom w:val="nil"/>
              <w:right w:val="nil"/>
            </w:tcBorders>
            <w:shd w:val="clear" w:color="auto" w:fill="auto"/>
            <w:noWrap/>
            <w:vAlign w:val="bottom"/>
          </w:tcPr>
          <w:p w14:paraId="6477254A"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-0.182***</w:t>
            </w:r>
          </w:p>
        </w:tc>
        <w:tc>
          <w:tcPr>
            <w:tcW w:w="2016" w:type="dxa"/>
            <w:tcBorders>
              <w:top w:val="nil"/>
              <w:left w:val="nil"/>
              <w:bottom w:val="nil"/>
              <w:right w:val="nil"/>
            </w:tcBorders>
            <w:vAlign w:val="bottom"/>
          </w:tcPr>
          <w:p w14:paraId="49DE6970"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0.338***</w:t>
            </w:r>
          </w:p>
        </w:tc>
      </w:tr>
      <w:tr w:rsidR="00C565FD" w:rsidRPr="00163E69" w14:paraId="4867334C" w14:textId="77777777" w:rsidTr="002A2C90">
        <w:trPr>
          <w:trHeight w:val="276"/>
        </w:trPr>
        <w:tc>
          <w:tcPr>
            <w:tcW w:w="2016" w:type="dxa"/>
            <w:tcBorders>
              <w:top w:val="nil"/>
              <w:left w:val="nil"/>
              <w:bottom w:val="nil"/>
              <w:right w:val="nil"/>
            </w:tcBorders>
            <w:shd w:val="clear" w:color="auto" w:fill="auto"/>
            <w:noWrap/>
            <w:vAlign w:val="bottom"/>
            <w:hideMark/>
          </w:tcPr>
          <w:p w14:paraId="67F076DD"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0F0CF11A"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(0.0546)</w:t>
            </w:r>
          </w:p>
        </w:tc>
        <w:tc>
          <w:tcPr>
            <w:tcW w:w="2016" w:type="dxa"/>
            <w:tcBorders>
              <w:top w:val="nil"/>
              <w:left w:val="nil"/>
              <w:bottom w:val="nil"/>
              <w:right w:val="nil"/>
            </w:tcBorders>
            <w:shd w:val="clear" w:color="auto" w:fill="auto"/>
            <w:noWrap/>
            <w:vAlign w:val="bottom"/>
          </w:tcPr>
          <w:p w14:paraId="7E8A2CB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(0.0396)</w:t>
            </w:r>
          </w:p>
        </w:tc>
        <w:tc>
          <w:tcPr>
            <w:tcW w:w="2016" w:type="dxa"/>
            <w:tcBorders>
              <w:top w:val="nil"/>
              <w:left w:val="nil"/>
              <w:bottom w:val="nil"/>
              <w:right w:val="nil"/>
            </w:tcBorders>
            <w:vAlign w:val="bottom"/>
          </w:tcPr>
          <w:p w14:paraId="15E334A4"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(0.0523)</w:t>
            </w:r>
          </w:p>
        </w:tc>
      </w:tr>
      <w:tr w:rsidR="00C565FD" w:rsidRPr="00163E69" w14:paraId="15F1D8AD" w14:textId="77777777" w:rsidTr="002A2C90">
        <w:trPr>
          <w:trHeight w:val="276"/>
        </w:trPr>
        <w:tc>
          <w:tcPr>
            <w:tcW w:w="2016" w:type="dxa"/>
            <w:tcBorders>
              <w:top w:val="nil"/>
              <w:left w:val="nil"/>
              <w:bottom w:val="nil"/>
              <w:right w:val="nil"/>
            </w:tcBorders>
            <w:shd w:val="clear" w:color="auto" w:fill="auto"/>
            <w:noWrap/>
            <w:vAlign w:val="bottom"/>
            <w:hideMark/>
          </w:tcPr>
          <w:p w14:paraId="3A27BB88"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3</w:t>
            </w:r>
          </w:p>
        </w:tc>
        <w:tc>
          <w:tcPr>
            <w:tcW w:w="2520" w:type="dxa"/>
            <w:tcBorders>
              <w:top w:val="nil"/>
              <w:left w:val="nil"/>
              <w:bottom w:val="nil"/>
              <w:right w:val="nil"/>
            </w:tcBorders>
            <w:shd w:val="clear" w:color="auto" w:fill="auto"/>
            <w:noWrap/>
            <w:vAlign w:val="bottom"/>
          </w:tcPr>
          <w:p w14:paraId="215230D7"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0.182***</w:t>
            </w:r>
          </w:p>
        </w:tc>
        <w:tc>
          <w:tcPr>
            <w:tcW w:w="2016" w:type="dxa"/>
            <w:tcBorders>
              <w:top w:val="nil"/>
              <w:left w:val="nil"/>
              <w:bottom w:val="nil"/>
              <w:right w:val="nil"/>
            </w:tcBorders>
            <w:shd w:val="clear" w:color="auto" w:fill="auto"/>
            <w:noWrap/>
            <w:vAlign w:val="bottom"/>
          </w:tcPr>
          <w:p w14:paraId="6928792D"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-0.0195</w:t>
            </w:r>
          </w:p>
        </w:tc>
        <w:tc>
          <w:tcPr>
            <w:tcW w:w="2016" w:type="dxa"/>
            <w:tcBorders>
              <w:top w:val="nil"/>
              <w:left w:val="nil"/>
              <w:bottom w:val="nil"/>
              <w:right w:val="nil"/>
            </w:tcBorders>
            <w:vAlign w:val="bottom"/>
          </w:tcPr>
          <w:p w14:paraId="50BDA1B7"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-0.162***</w:t>
            </w:r>
          </w:p>
        </w:tc>
      </w:tr>
      <w:tr w:rsidR="00C565FD" w:rsidRPr="00163E69" w14:paraId="43BF5009" w14:textId="77777777" w:rsidTr="002A2C90">
        <w:trPr>
          <w:trHeight w:val="276"/>
        </w:trPr>
        <w:tc>
          <w:tcPr>
            <w:tcW w:w="2016" w:type="dxa"/>
            <w:tcBorders>
              <w:top w:val="nil"/>
              <w:left w:val="nil"/>
              <w:bottom w:val="nil"/>
              <w:right w:val="nil"/>
            </w:tcBorders>
            <w:shd w:val="clear" w:color="auto" w:fill="auto"/>
            <w:noWrap/>
            <w:vAlign w:val="bottom"/>
            <w:hideMark/>
          </w:tcPr>
          <w:p w14:paraId="7A122D9A"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266C5519"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(0.0500)</w:t>
            </w:r>
          </w:p>
        </w:tc>
        <w:tc>
          <w:tcPr>
            <w:tcW w:w="2016" w:type="dxa"/>
            <w:tcBorders>
              <w:top w:val="nil"/>
              <w:left w:val="nil"/>
              <w:bottom w:val="nil"/>
              <w:right w:val="nil"/>
            </w:tcBorders>
            <w:shd w:val="clear" w:color="auto" w:fill="auto"/>
            <w:noWrap/>
            <w:vAlign w:val="bottom"/>
          </w:tcPr>
          <w:p w14:paraId="25096624"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(0.0456)</w:t>
            </w:r>
          </w:p>
        </w:tc>
        <w:tc>
          <w:tcPr>
            <w:tcW w:w="2016" w:type="dxa"/>
            <w:tcBorders>
              <w:top w:val="nil"/>
              <w:left w:val="nil"/>
              <w:bottom w:val="nil"/>
              <w:right w:val="nil"/>
            </w:tcBorders>
            <w:vAlign w:val="bottom"/>
          </w:tcPr>
          <w:p w14:paraId="74A0468C"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(0.0396)</w:t>
            </w:r>
          </w:p>
        </w:tc>
      </w:tr>
      <w:tr w:rsidR="00C565FD" w:rsidRPr="00163E69" w14:paraId="30CD8570" w14:textId="77777777" w:rsidTr="002A2C90">
        <w:trPr>
          <w:trHeight w:val="276"/>
        </w:trPr>
        <w:tc>
          <w:tcPr>
            <w:tcW w:w="2016" w:type="dxa"/>
            <w:tcBorders>
              <w:top w:val="nil"/>
              <w:left w:val="nil"/>
              <w:bottom w:val="nil"/>
              <w:right w:val="nil"/>
            </w:tcBorders>
            <w:shd w:val="clear" w:color="auto" w:fill="auto"/>
            <w:noWrap/>
            <w:vAlign w:val="bottom"/>
            <w:hideMark/>
          </w:tcPr>
          <w:p w14:paraId="1D6E47C2"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4</w:t>
            </w:r>
          </w:p>
        </w:tc>
        <w:tc>
          <w:tcPr>
            <w:tcW w:w="2520" w:type="dxa"/>
            <w:tcBorders>
              <w:top w:val="nil"/>
              <w:left w:val="nil"/>
              <w:bottom w:val="nil"/>
              <w:right w:val="nil"/>
            </w:tcBorders>
            <w:shd w:val="clear" w:color="auto" w:fill="auto"/>
            <w:noWrap/>
            <w:vAlign w:val="bottom"/>
          </w:tcPr>
          <w:p w14:paraId="2AC392D4"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0.0584</w:t>
            </w:r>
          </w:p>
        </w:tc>
        <w:tc>
          <w:tcPr>
            <w:tcW w:w="2016" w:type="dxa"/>
            <w:tcBorders>
              <w:top w:val="nil"/>
              <w:left w:val="nil"/>
              <w:bottom w:val="nil"/>
              <w:right w:val="nil"/>
            </w:tcBorders>
            <w:shd w:val="clear" w:color="auto" w:fill="auto"/>
            <w:noWrap/>
            <w:vAlign w:val="bottom"/>
          </w:tcPr>
          <w:p w14:paraId="2BE48F15"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-0.169***</w:t>
            </w:r>
          </w:p>
        </w:tc>
        <w:tc>
          <w:tcPr>
            <w:tcW w:w="2016" w:type="dxa"/>
            <w:tcBorders>
              <w:top w:val="nil"/>
              <w:left w:val="nil"/>
              <w:bottom w:val="nil"/>
              <w:right w:val="nil"/>
            </w:tcBorders>
            <w:vAlign w:val="bottom"/>
          </w:tcPr>
          <w:p w14:paraId="7A51D7B7"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0.110**</w:t>
            </w:r>
          </w:p>
        </w:tc>
      </w:tr>
      <w:tr w:rsidR="00C565FD" w:rsidRPr="00163E69" w14:paraId="2DDE1658" w14:textId="77777777" w:rsidTr="002A2C90">
        <w:trPr>
          <w:trHeight w:val="276"/>
        </w:trPr>
        <w:tc>
          <w:tcPr>
            <w:tcW w:w="2016" w:type="dxa"/>
            <w:tcBorders>
              <w:top w:val="nil"/>
              <w:left w:val="nil"/>
              <w:bottom w:val="nil"/>
              <w:right w:val="nil"/>
            </w:tcBorders>
            <w:shd w:val="clear" w:color="auto" w:fill="auto"/>
            <w:noWrap/>
            <w:vAlign w:val="bottom"/>
            <w:hideMark/>
          </w:tcPr>
          <w:p w14:paraId="5784DA33"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1EB3BF6E"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(0.0523)</w:t>
            </w:r>
          </w:p>
        </w:tc>
        <w:tc>
          <w:tcPr>
            <w:tcW w:w="2016" w:type="dxa"/>
            <w:tcBorders>
              <w:top w:val="nil"/>
              <w:left w:val="nil"/>
              <w:bottom w:val="nil"/>
              <w:right w:val="nil"/>
            </w:tcBorders>
            <w:shd w:val="clear" w:color="auto" w:fill="auto"/>
            <w:noWrap/>
            <w:vAlign w:val="bottom"/>
          </w:tcPr>
          <w:p w14:paraId="70C39DD3"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(0.0410)</w:t>
            </w:r>
          </w:p>
        </w:tc>
        <w:tc>
          <w:tcPr>
            <w:tcW w:w="2016" w:type="dxa"/>
            <w:tcBorders>
              <w:top w:val="nil"/>
              <w:left w:val="nil"/>
              <w:bottom w:val="nil"/>
              <w:right w:val="nil"/>
            </w:tcBorders>
            <w:vAlign w:val="bottom"/>
          </w:tcPr>
          <w:p w14:paraId="1B8A90B4"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(0.0501)</w:t>
            </w:r>
          </w:p>
        </w:tc>
      </w:tr>
      <w:tr w:rsidR="00C565FD" w:rsidRPr="00163E69" w14:paraId="3E46F2B8" w14:textId="77777777" w:rsidTr="002A2C90">
        <w:trPr>
          <w:trHeight w:val="276"/>
        </w:trPr>
        <w:tc>
          <w:tcPr>
            <w:tcW w:w="2016" w:type="dxa"/>
            <w:tcBorders>
              <w:top w:val="nil"/>
              <w:left w:val="nil"/>
              <w:bottom w:val="nil"/>
              <w:right w:val="nil"/>
            </w:tcBorders>
            <w:shd w:val="clear" w:color="auto" w:fill="auto"/>
            <w:noWrap/>
            <w:vAlign w:val="bottom"/>
            <w:hideMark/>
          </w:tcPr>
          <w:p w14:paraId="3C0BF65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5</w:t>
            </w:r>
          </w:p>
        </w:tc>
        <w:tc>
          <w:tcPr>
            <w:tcW w:w="2520" w:type="dxa"/>
            <w:tcBorders>
              <w:top w:val="nil"/>
              <w:left w:val="nil"/>
              <w:bottom w:val="nil"/>
              <w:right w:val="nil"/>
            </w:tcBorders>
            <w:shd w:val="clear" w:color="auto" w:fill="auto"/>
            <w:noWrap/>
            <w:vAlign w:val="bottom"/>
          </w:tcPr>
          <w:p w14:paraId="31F6A001"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-0.0390</w:t>
            </w:r>
          </w:p>
        </w:tc>
        <w:tc>
          <w:tcPr>
            <w:tcW w:w="2016" w:type="dxa"/>
            <w:tcBorders>
              <w:top w:val="nil"/>
              <w:left w:val="nil"/>
              <w:bottom w:val="nil"/>
              <w:right w:val="nil"/>
            </w:tcBorders>
            <w:shd w:val="clear" w:color="auto" w:fill="auto"/>
            <w:noWrap/>
            <w:vAlign w:val="bottom"/>
          </w:tcPr>
          <w:p w14:paraId="5D6520E0"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-0.0584</w:t>
            </w:r>
          </w:p>
        </w:tc>
        <w:tc>
          <w:tcPr>
            <w:tcW w:w="2016" w:type="dxa"/>
            <w:tcBorders>
              <w:top w:val="nil"/>
              <w:left w:val="nil"/>
              <w:bottom w:val="nil"/>
              <w:right w:val="nil"/>
            </w:tcBorders>
            <w:vAlign w:val="bottom"/>
          </w:tcPr>
          <w:p w14:paraId="0BAB1B67"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0.0974*</w:t>
            </w:r>
          </w:p>
        </w:tc>
      </w:tr>
      <w:tr w:rsidR="00C565FD" w:rsidRPr="00163E69" w14:paraId="49B8F1FB" w14:textId="77777777" w:rsidTr="002A2C90">
        <w:trPr>
          <w:trHeight w:val="276"/>
        </w:trPr>
        <w:tc>
          <w:tcPr>
            <w:tcW w:w="2016" w:type="dxa"/>
            <w:tcBorders>
              <w:top w:val="nil"/>
              <w:left w:val="nil"/>
              <w:bottom w:val="nil"/>
              <w:right w:val="nil"/>
            </w:tcBorders>
            <w:shd w:val="clear" w:color="auto" w:fill="auto"/>
            <w:noWrap/>
            <w:vAlign w:val="bottom"/>
            <w:hideMark/>
          </w:tcPr>
          <w:p w14:paraId="42DA4E71"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4C001779"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(0.0536)</w:t>
            </w:r>
          </w:p>
        </w:tc>
        <w:tc>
          <w:tcPr>
            <w:tcW w:w="2016" w:type="dxa"/>
            <w:tcBorders>
              <w:top w:val="nil"/>
              <w:left w:val="nil"/>
              <w:bottom w:val="nil"/>
              <w:right w:val="nil"/>
            </w:tcBorders>
            <w:shd w:val="clear" w:color="auto" w:fill="auto"/>
            <w:noWrap/>
            <w:vAlign w:val="bottom"/>
          </w:tcPr>
          <w:p w14:paraId="3A914F4E"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(0.0404)</w:t>
            </w:r>
          </w:p>
        </w:tc>
        <w:tc>
          <w:tcPr>
            <w:tcW w:w="2016" w:type="dxa"/>
            <w:tcBorders>
              <w:top w:val="nil"/>
              <w:left w:val="nil"/>
              <w:bottom w:val="nil"/>
              <w:right w:val="nil"/>
            </w:tcBorders>
            <w:vAlign w:val="bottom"/>
          </w:tcPr>
          <w:p w14:paraId="739C2EB6"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(0.0511)</w:t>
            </w:r>
          </w:p>
        </w:tc>
      </w:tr>
      <w:tr w:rsidR="00C565FD" w:rsidRPr="00163E69" w14:paraId="48268B33" w14:textId="77777777" w:rsidTr="002A2C90">
        <w:trPr>
          <w:trHeight w:val="276"/>
        </w:trPr>
        <w:tc>
          <w:tcPr>
            <w:tcW w:w="2016" w:type="dxa"/>
            <w:tcBorders>
              <w:top w:val="nil"/>
              <w:left w:val="nil"/>
              <w:bottom w:val="nil"/>
              <w:right w:val="nil"/>
            </w:tcBorders>
            <w:shd w:val="clear" w:color="auto" w:fill="auto"/>
            <w:noWrap/>
            <w:vAlign w:val="bottom"/>
            <w:hideMark/>
          </w:tcPr>
          <w:p w14:paraId="5727F962"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6</w:t>
            </w:r>
          </w:p>
        </w:tc>
        <w:tc>
          <w:tcPr>
            <w:tcW w:w="2520" w:type="dxa"/>
            <w:tcBorders>
              <w:top w:val="nil"/>
              <w:left w:val="nil"/>
              <w:bottom w:val="nil"/>
              <w:right w:val="nil"/>
            </w:tcBorders>
            <w:shd w:val="clear" w:color="auto" w:fill="auto"/>
            <w:noWrap/>
            <w:vAlign w:val="bottom"/>
          </w:tcPr>
          <w:p w14:paraId="3396FE38"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-0.0714</w:t>
            </w:r>
          </w:p>
        </w:tc>
        <w:tc>
          <w:tcPr>
            <w:tcW w:w="2016" w:type="dxa"/>
            <w:tcBorders>
              <w:top w:val="nil"/>
              <w:left w:val="nil"/>
              <w:bottom w:val="nil"/>
              <w:right w:val="nil"/>
            </w:tcBorders>
            <w:shd w:val="clear" w:color="auto" w:fill="auto"/>
            <w:noWrap/>
            <w:vAlign w:val="bottom"/>
          </w:tcPr>
          <w:p w14:paraId="42A3671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-0.149***</w:t>
            </w:r>
          </w:p>
        </w:tc>
        <w:tc>
          <w:tcPr>
            <w:tcW w:w="2016" w:type="dxa"/>
            <w:tcBorders>
              <w:top w:val="nil"/>
              <w:left w:val="nil"/>
              <w:bottom w:val="nil"/>
              <w:right w:val="nil"/>
            </w:tcBorders>
            <w:vAlign w:val="bottom"/>
          </w:tcPr>
          <w:p w14:paraId="11B782ED"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0.221***</w:t>
            </w:r>
          </w:p>
        </w:tc>
      </w:tr>
      <w:tr w:rsidR="00C565FD" w:rsidRPr="00163E69" w14:paraId="21E27019" w14:textId="77777777" w:rsidTr="002A2C90">
        <w:trPr>
          <w:trHeight w:val="276"/>
        </w:trPr>
        <w:tc>
          <w:tcPr>
            <w:tcW w:w="2016" w:type="dxa"/>
            <w:tcBorders>
              <w:top w:val="nil"/>
              <w:left w:val="nil"/>
              <w:bottom w:val="nil"/>
              <w:right w:val="nil"/>
            </w:tcBorders>
            <w:shd w:val="clear" w:color="auto" w:fill="auto"/>
            <w:noWrap/>
            <w:vAlign w:val="bottom"/>
            <w:hideMark/>
          </w:tcPr>
          <w:p w14:paraId="09B6F9D9"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4B9BB6E6"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(0.0569)</w:t>
            </w:r>
          </w:p>
        </w:tc>
        <w:tc>
          <w:tcPr>
            <w:tcW w:w="2016" w:type="dxa"/>
            <w:tcBorders>
              <w:top w:val="nil"/>
              <w:left w:val="nil"/>
              <w:bottom w:val="nil"/>
              <w:right w:val="nil"/>
            </w:tcBorders>
            <w:shd w:val="clear" w:color="auto" w:fill="auto"/>
            <w:noWrap/>
            <w:vAlign w:val="bottom"/>
          </w:tcPr>
          <w:p w14:paraId="2FC470D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(0.0430)</w:t>
            </w:r>
          </w:p>
        </w:tc>
        <w:tc>
          <w:tcPr>
            <w:tcW w:w="2016" w:type="dxa"/>
            <w:tcBorders>
              <w:top w:val="nil"/>
              <w:left w:val="nil"/>
              <w:bottom w:val="nil"/>
              <w:right w:val="nil"/>
            </w:tcBorders>
            <w:vAlign w:val="bottom"/>
          </w:tcPr>
          <w:p w14:paraId="1E28E4E9"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(0.0531)</w:t>
            </w:r>
          </w:p>
        </w:tc>
      </w:tr>
      <w:tr w:rsidR="00C565FD" w:rsidRPr="00163E69" w14:paraId="5517513B" w14:textId="77777777" w:rsidTr="002A2C90">
        <w:trPr>
          <w:trHeight w:val="276"/>
        </w:trPr>
        <w:tc>
          <w:tcPr>
            <w:tcW w:w="2016" w:type="dxa"/>
            <w:tcBorders>
              <w:top w:val="nil"/>
              <w:left w:val="nil"/>
              <w:bottom w:val="nil"/>
              <w:right w:val="nil"/>
            </w:tcBorders>
            <w:shd w:val="clear" w:color="auto" w:fill="auto"/>
            <w:noWrap/>
            <w:vAlign w:val="bottom"/>
            <w:hideMark/>
          </w:tcPr>
          <w:p w14:paraId="06F3446E"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7</w:t>
            </w:r>
          </w:p>
        </w:tc>
        <w:tc>
          <w:tcPr>
            <w:tcW w:w="2520" w:type="dxa"/>
            <w:tcBorders>
              <w:top w:val="nil"/>
              <w:left w:val="nil"/>
              <w:bottom w:val="nil"/>
              <w:right w:val="nil"/>
            </w:tcBorders>
            <w:shd w:val="clear" w:color="auto" w:fill="auto"/>
            <w:noWrap/>
            <w:vAlign w:val="bottom"/>
          </w:tcPr>
          <w:p w14:paraId="3D94DF2B"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-0.0195</w:t>
            </w:r>
          </w:p>
        </w:tc>
        <w:tc>
          <w:tcPr>
            <w:tcW w:w="2016" w:type="dxa"/>
            <w:tcBorders>
              <w:top w:val="nil"/>
              <w:left w:val="nil"/>
              <w:bottom w:val="nil"/>
              <w:right w:val="nil"/>
            </w:tcBorders>
            <w:shd w:val="clear" w:color="auto" w:fill="auto"/>
            <w:noWrap/>
            <w:vAlign w:val="bottom"/>
          </w:tcPr>
          <w:p w14:paraId="134238B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0.0455</w:t>
            </w:r>
          </w:p>
        </w:tc>
        <w:tc>
          <w:tcPr>
            <w:tcW w:w="2016" w:type="dxa"/>
            <w:tcBorders>
              <w:top w:val="nil"/>
              <w:left w:val="nil"/>
              <w:bottom w:val="nil"/>
              <w:right w:val="nil"/>
            </w:tcBorders>
            <w:vAlign w:val="bottom"/>
          </w:tcPr>
          <w:p w14:paraId="6E873C0A"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-0.0260</w:t>
            </w:r>
          </w:p>
        </w:tc>
      </w:tr>
      <w:tr w:rsidR="00C565FD" w:rsidRPr="00163E69" w14:paraId="6102CE89" w14:textId="77777777" w:rsidTr="002A2C90">
        <w:trPr>
          <w:trHeight w:val="276"/>
        </w:trPr>
        <w:tc>
          <w:tcPr>
            <w:tcW w:w="2016" w:type="dxa"/>
            <w:tcBorders>
              <w:top w:val="nil"/>
              <w:left w:val="nil"/>
              <w:bottom w:val="nil"/>
              <w:right w:val="nil"/>
            </w:tcBorders>
            <w:shd w:val="clear" w:color="auto" w:fill="auto"/>
            <w:noWrap/>
            <w:vAlign w:val="bottom"/>
            <w:hideMark/>
          </w:tcPr>
          <w:p w14:paraId="7A94192D"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1E96BDE6"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(0.0556)</w:t>
            </w:r>
          </w:p>
        </w:tc>
        <w:tc>
          <w:tcPr>
            <w:tcW w:w="2016" w:type="dxa"/>
            <w:tcBorders>
              <w:top w:val="nil"/>
              <w:left w:val="nil"/>
              <w:bottom w:val="nil"/>
              <w:right w:val="nil"/>
            </w:tcBorders>
            <w:shd w:val="clear" w:color="auto" w:fill="auto"/>
            <w:noWrap/>
            <w:vAlign w:val="bottom"/>
          </w:tcPr>
          <w:p w14:paraId="17FFDF6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(0.0499)</w:t>
            </w:r>
          </w:p>
        </w:tc>
        <w:tc>
          <w:tcPr>
            <w:tcW w:w="2016" w:type="dxa"/>
            <w:tcBorders>
              <w:top w:val="nil"/>
              <w:left w:val="nil"/>
              <w:bottom w:val="nil"/>
              <w:right w:val="nil"/>
            </w:tcBorders>
            <w:vAlign w:val="bottom"/>
          </w:tcPr>
          <w:p w14:paraId="4E2AF4EC"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(0.0478)</w:t>
            </w:r>
          </w:p>
        </w:tc>
      </w:tr>
      <w:tr w:rsidR="00C565FD" w:rsidRPr="00163E69" w14:paraId="21A9B660" w14:textId="77777777" w:rsidTr="002A2C90">
        <w:trPr>
          <w:trHeight w:val="276"/>
        </w:trPr>
        <w:tc>
          <w:tcPr>
            <w:tcW w:w="2016" w:type="dxa"/>
            <w:tcBorders>
              <w:top w:val="nil"/>
              <w:left w:val="nil"/>
              <w:bottom w:val="nil"/>
              <w:right w:val="nil"/>
            </w:tcBorders>
            <w:shd w:val="clear" w:color="auto" w:fill="auto"/>
            <w:noWrap/>
            <w:vAlign w:val="bottom"/>
            <w:hideMark/>
          </w:tcPr>
          <w:p w14:paraId="43BA3E94"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8</w:t>
            </w:r>
          </w:p>
        </w:tc>
        <w:tc>
          <w:tcPr>
            <w:tcW w:w="2520" w:type="dxa"/>
            <w:tcBorders>
              <w:top w:val="nil"/>
              <w:left w:val="nil"/>
              <w:bottom w:val="nil"/>
              <w:right w:val="nil"/>
            </w:tcBorders>
            <w:shd w:val="clear" w:color="auto" w:fill="auto"/>
            <w:noWrap/>
            <w:vAlign w:val="bottom"/>
          </w:tcPr>
          <w:p w14:paraId="5AFF8151"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0.00649</w:t>
            </w:r>
          </w:p>
        </w:tc>
        <w:tc>
          <w:tcPr>
            <w:tcW w:w="2016" w:type="dxa"/>
            <w:tcBorders>
              <w:top w:val="nil"/>
              <w:left w:val="nil"/>
              <w:bottom w:val="nil"/>
              <w:right w:val="nil"/>
            </w:tcBorders>
            <w:shd w:val="clear" w:color="auto" w:fill="auto"/>
            <w:noWrap/>
            <w:vAlign w:val="bottom"/>
          </w:tcPr>
          <w:p w14:paraId="1710DA31"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-0.143***</w:t>
            </w:r>
          </w:p>
        </w:tc>
        <w:tc>
          <w:tcPr>
            <w:tcW w:w="2016" w:type="dxa"/>
            <w:tcBorders>
              <w:top w:val="nil"/>
              <w:left w:val="nil"/>
              <w:bottom w:val="nil"/>
              <w:right w:val="nil"/>
            </w:tcBorders>
            <w:vAlign w:val="bottom"/>
          </w:tcPr>
          <w:p w14:paraId="7C8F5480"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0.136***</w:t>
            </w:r>
          </w:p>
        </w:tc>
      </w:tr>
      <w:tr w:rsidR="00C565FD" w:rsidRPr="00163E69" w14:paraId="2C9D6F9A" w14:textId="77777777" w:rsidTr="002A2C90">
        <w:trPr>
          <w:trHeight w:val="276"/>
        </w:trPr>
        <w:tc>
          <w:tcPr>
            <w:tcW w:w="2016" w:type="dxa"/>
            <w:tcBorders>
              <w:top w:val="nil"/>
              <w:left w:val="nil"/>
              <w:bottom w:val="nil"/>
              <w:right w:val="nil"/>
            </w:tcBorders>
            <w:shd w:val="clear" w:color="auto" w:fill="auto"/>
            <w:noWrap/>
            <w:vAlign w:val="bottom"/>
            <w:hideMark/>
          </w:tcPr>
          <w:p w14:paraId="06C64EBB"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00C704D9"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(0.0500)</w:t>
            </w:r>
          </w:p>
        </w:tc>
        <w:tc>
          <w:tcPr>
            <w:tcW w:w="2016" w:type="dxa"/>
            <w:tcBorders>
              <w:top w:val="nil"/>
              <w:left w:val="nil"/>
              <w:bottom w:val="nil"/>
              <w:right w:val="nil"/>
            </w:tcBorders>
            <w:shd w:val="clear" w:color="auto" w:fill="auto"/>
            <w:noWrap/>
            <w:vAlign w:val="bottom"/>
          </w:tcPr>
          <w:p w14:paraId="6E11B30D"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(0.0396)</w:t>
            </w:r>
          </w:p>
        </w:tc>
        <w:tc>
          <w:tcPr>
            <w:tcW w:w="2016" w:type="dxa"/>
            <w:tcBorders>
              <w:top w:val="nil"/>
              <w:left w:val="nil"/>
              <w:bottom w:val="nil"/>
              <w:right w:val="nil"/>
            </w:tcBorders>
            <w:vAlign w:val="bottom"/>
          </w:tcPr>
          <w:p w14:paraId="380ED8BC"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(0.0505)</w:t>
            </w:r>
          </w:p>
        </w:tc>
      </w:tr>
      <w:tr w:rsidR="00C565FD" w:rsidRPr="00163E69" w14:paraId="1516BB8F" w14:textId="77777777" w:rsidTr="002A2C90">
        <w:trPr>
          <w:trHeight w:val="276"/>
        </w:trPr>
        <w:tc>
          <w:tcPr>
            <w:tcW w:w="2016" w:type="dxa"/>
            <w:tcBorders>
              <w:top w:val="nil"/>
              <w:left w:val="nil"/>
              <w:bottom w:val="nil"/>
              <w:right w:val="nil"/>
            </w:tcBorders>
            <w:shd w:val="clear" w:color="auto" w:fill="auto"/>
            <w:noWrap/>
            <w:vAlign w:val="bottom"/>
            <w:hideMark/>
          </w:tcPr>
          <w:p w14:paraId="2ECF2F7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9</w:t>
            </w:r>
          </w:p>
        </w:tc>
        <w:tc>
          <w:tcPr>
            <w:tcW w:w="2520" w:type="dxa"/>
            <w:tcBorders>
              <w:top w:val="nil"/>
              <w:left w:val="nil"/>
              <w:bottom w:val="nil"/>
              <w:right w:val="nil"/>
            </w:tcBorders>
            <w:shd w:val="clear" w:color="auto" w:fill="auto"/>
            <w:noWrap/>
            <w:vAlign w:val="bottom"/>
          </w:tcPr>
          <w:p w14:paraId="5D5D2E90"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0.0390</w:t>
            </w:r>
          </w:p>
        </w:tc>
        <w:tc>
          <w:tcPr>
            <w:tcW w:w="2016" w:type="dxa"/>
            <w:tcBorders>
              <w:top w:val="nil"/>
              <w:left w:val="nil"/>
              <w:bottom w:val="nil"/>
              <w:right w:val="nil"/>
            </w:tcBorders>
            <w:shd w:val="clear" w:color="auto" w:fill="auto"/>
            <w:noWrap/>
            <w:vAlign w:val="bottom"/>
          </w:tcPr>
          <w:p w14:paraId="5AD042F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w:t>
            </w:r>
            <w:r>
              <w:rPr>
                <w:rFonts w:ascii="Times New Roman" w:hAnsi="Times New Roman" w:cs="Times New Roman"/>
              </w:rPr>
              <w:t>.000</w:t>
            </w:r>
          </w:p>
        </w:tc>
        <w:tc>
          <w:tcPr>
            <w:tcW w:w="2016" w:type="dxa"/>
            <w:tcBorders>
              <w:top w:val="nil"/>
              <w:left w:val="nil"/>
              <w:bottom w:val="nil"/>
              <w:right w:val="nil"/>
            </w:tcBorders>
            <w:vAlign w:val="bottom"/>
          </w:tcPr>
          <w:p w14:paraId="02A528B1"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-0.0390</w:t>
            </w:r>
          </w:p>
        </w:tc>
      </w:tr>
      <w:tr w:rsidR="00C565FD" w:rsidRPr="00163E69" w14:paraId="5159FB40" w14:textId="77777777" w:rsidTr="002A2C90">
        <w:trPr>
          <w:trHeight w:val="276"/>
        </w:trPr>
        <w:tc>
          <w:tcPr>
            <w:tcW w:w="2016" w:type="dxa"/>
            <w:tcBorders>
              <w:top w:val="nil"/>
              <w:left w:val="nil"/>
              <w:bottom w:val="nil"/>
              <w:right w:val="nil"/>
            </w:tcBorders>
            <w:shd w:val="clear" w:color="auto" w:fill="auto"/>
            <w:noWrap/>
            <w:vAlign w:val="bottom"/>
            <w:hideMark/>
          </w:tcPr>
          <w:p w14:paraId="24262BB4"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67675F3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(0.0589)</w:t>
            </w:r>
          </w:p>
        </w:tc>
        <w:tc>
          <w:tcPr>
            <w:tcW w:w="2016" w:type="dxa"/>
            <w:tcBorders>
              <w:top w:val="nil"/>
              <w:left w:val="nil"/>
              <w:bottom w:val="nil"/>
              <w:right w:val="nil"/>
            </w:tcBorders>
            <w:shd w:val="clear" w:color="auto" w:fill="auto"/>
            <w:noWrap/>
            <w:vAlign w:val="bottom"/>
          </w:tcPr>
          <w:p w14:paraId="03BBF3F5"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(0.0513)</w:t>
            </w:r>
          </w:p>
        </w:tc>
        <w:tc>
          <w:tcPr>
            <w:tcW w:w="2016" w:type="dxa"/>
            <w:tcBorders>
              <w:top w:val="nil"/>
              <w:left w:val="nil"/>
              <w:bottom w:val="nil"/>
              <w:right w:val="nil"/>
            </w:tcBorders>
            <w:vAlign w:val="bottom"/>
          </w:tcPr>
          <w:p w14:paraId="5C8ABBF8"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(0.0460)</w:t>
            </w:r>
          </w:p>
        </w:tc>
      </w:tr>
      <w:tr w:rsidR="00C565FD" w:rsidRPr="00163E69" w14:paraId="6DD262E1" w14:textId="77777777" w:rsidTr="002A2C90">
        <w:trPr>
          <w:trHeight w:val="276"/>
        </w:trPr>
        <w:tc>
          <w:tcPr>
            <w:tcW w:w="2016" w:type="dxa"/>
            <w:tcBorders>
              <w:top w:val="nil"/>
              <w:left w:val="nil"/>
              <w:bottom w:val="nil"/>
              <w:right w:val="nil"/>
            </w:tcBorders>
            <w:shd w:val="clear" w:color="auto" w:fill="auto"/>
            <w:noWrap/>
            <w:vAlign w:val="bottom"/>
            <w:hideMark/>
          </w:tcPr>
          <w:p w14:paraId="04089E25"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10</w:t>
            </w:r>
          </w:p>
        </w:tc>
        <w:tc>
          <w:tcPr>
            <w:tcW w:w="2520" w:type="dxa"/>
            <w:tcBorders>
              <w:top w:val="nil"/>
              <w:left w:val="nil"/>
              <w:bottom w:val="nil"/>
              <w:right w:val="nil"/>
            </w:tcBorders>
            <w:shd w:val="clear" w:color="auto" w:fill="auto"/>
            <w:noWrap/>
            <w:vAlign w:val="bottom"/>
          </w:tcPr>
          <w:p w14:paraId="59A7A763"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0.0584</w:t>
            </w:r>
          </w:p>
        </w:tc>
        <w:tc>
          <w:tcPr>
            <w:tcW w:w="2016" w:type="dxa"/>
            <w:tcBorders>
              <w:top w:val="nil"/>
              <w:left w:val="nil"/>
              <w:bottom w:val="nil"/>
              <w:right w:val="nil"/>
            </w:tcBorders>
            <w:shd w:val="clear" w:color="auto" w:fill="auto"/>
            <w:noWrap/>
            <w:vAlign w:val="bottom"/>
          </w:tcPr>
          <w:p w14:paraId="0FCD78C7"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-0.0649</w:t>
            </w:r>
          </w:p>
        </w:tc>
        <w:tc>
          <w:tcPr>
            <w:tcW w:w="2016" w:type="dxa"/>
            <w:tcBorders>
              <w:top w:val="nil"/>
              <w:left w:val="nil"/>
              <w:bottom w:val="nil"/>
              <w:right w:val="nil"/>
            </w:tcBorders>
            <w:vAlign w:val="bottom"/>
          </w:tcPr>
          <w:p w14:paraId="589F2EC7"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0.00649</w:t>
            </w:r>
          </w:p>
        </w:tc>
      </w:tr>
      <w:tr w:rsidR="00C565FD" w:rsidRPr="00163E69" w14:paraId="324C639F" w14:textId="77777777" w:rsidTr="002A2C90">
        <w:trPr>
          <w:trHeight w:val="276"/>
        </w:trPr>
        <w:tc>
          <w:tcPr>
            <w:tcW w:w="2016" w:type="dxa"/>
            <w:tcBorders>
              <w:top w:val="nil"/>
              <w:left w:val="nil"/>
              <w:bottom w:val="nil"/>
              <w:right w:val="nil"/>
            </w:tcBorders>
            <w:shd w:val="clear" w:color="auto" w:fill="auto"/>
            <w:noWrap/>
            <w:vAlign w:val="bottom"/>
            <w:hideMark/>
          </w:tcPr>
          <w:p w14:paraId="3B2842BB"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1294D67B"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(0.0531)</w:t>
            </w:r>
          </w:p>
        </w:tc>
        <w:tc>
          <w:tcPr>
            <w:tcW w:w="2016" w:type="dxa"/>
            <w:tcBorders>
              <w:top w:val="nil"/>
              <w:left w:val="nil"/>
              <w:bottom w:val="nil"/>
              <w:right w:val="nil"/>
            </w:tcBorders>
            <w:shd w:val="clear" w:color="auto" w:fill="auto"/>
            <w:noWrap/>
            <w:vAlign w:val="bottom"/>
          </w:tcPr>
          <w:p w14:paraId="72F4D84A"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(0.0467)</w:t>
            </w:r>
          </w:p>
        </w:tc>
        <w:tc>
          <w:tcPr>
            <w:tcW w:w="2016" w:type="dxa"/>
            <w:tcBorders>
              <w:top w:val="nil"/>
              <w:left w:val="nil"/>
              <w:bottom w:val="nil"/>
              <w:right w:val="nil"/>
            </w:tcBorders>
            <w:vAlign w:val="bottom"/>
          </w:tcPr>
          <w:p w14:paraId="361A8426"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(0.0456)</w:t>
            </w:r>
          </w:p>
        </w:tc>
      </w:tr>
      <w:tr w:rsidR="00C565FD" w:rsidRPr="00163E69" w14:paraId="7DAB8DBF" w14:textId="77777777" w:rsidTr="002A2C90">
        <w:trPr>
          <w:trHeight w:val="276"/>
        </w:trPr>
        <w:tc>
          <w:tcPr>
            <w:tcW w:w="2016" w:type="dxa"/>
            <w:tcBorders>
              <w:top w:val="nil"/>
              <w:left w:val="nil"/>
              <w:bottom w:val="nil"/>
              <w:right w:val="nil"/>
            </w:tcBorders>
            <w:shd w:val="clear" w:color="auto" w:fill="auto"/>
            <w:noWrap/>
            <w:vAlign w:val="bottom"/>
            <w:hideMark/>
          </w:tcPr>
          <w:p w14:paraId="37969EFB"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11</w:t>
            </w:r>
          </w:p>
        </w:tc>
        <w:tc>
          <w:tcPr>
            <w:tcW w:w="2520" w:type="dxa"/>
            <w:tcBorders>
              <w:top w:val="nil"/>
              <w:left w:val="nil"/>
              <w:bottom w:val="nil"/>
              <w:right w:val="nil"/>
            </w:tcBorders>
            <w:shd w:val="clear" w:color="auto" w:fill="auto"/>
            <w:noWrap/>
            <w:vAlign w:val="bottom"/>
          </w:tcPr>
          <w:p w14:paraId="285DE35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0.227***</w:t>
            </w:r>
          </w:p>
        </w:tc>
        <w:tc>
          <w:tcPr>
            <w:tcW w:w="2016" w:type="dxa"/>
            <w:tcBorders>
              <w:top w:val="nil"/>
              <w:left w:val="nil"/>
              <w:bottom w:val="nil"/>
              <w:right w:val="nil"/>
            </w:tcBorders>
            <w:shd w:val="clear" w:color="auto" w:fill="auto"/>
            <w:noWrap/>
            <w:vAlign w:val="bottom"/>
          </w:tcPr>
          <w:p w14:paraId="34E675FD"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-0.0779</w:t>
            </w:r>
          </w:p>
        </w:tc>
        <w:tc>
          <w:tcPr>
            <w:tcW w:w="2016" w:type="dxa"/>
            <w:tcBorders>
              <w:top w:val="nil"/>
              <w:left w:val="nil"/>
              <w:bottom w:val="nil"/>
              <w:right w:val="nil"/>
            </w:tcBorders>
            <w:vAlign w:val="bottom"/>
          </w:tcPr>
          <w:p w14:paraId="08494367"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-0.149***</w:t>
            </w:r>
          </w:p>
        </w:tc>
      </w:tr>
      <w:tr w:rsidR="00C565FD" w:rsidRPr="00163E69" w14:paraId="166D8C6C" w14:textId="77777777" w:rsidTr="002A2C90">
        <w:trPr>
          <w:trHeight w:val="276"/>
        </w:trPr>
        <w:tc>
          <w:tcPr>
            <w:tcW w:w="2016" w:type="dxa"/>
            <w:tcBorders>
              <w:top w:val="nil"/>
              <w:left w:val="nil"/>
              <w:bottom w:val="nil"/>
              <w:right w:val="nil"/>
            </w:tcBorders>
            <w:shd w:val="clear" w:color="auto" w:fill="auto"/>
            <w:noWrap/>
            <w:vAlign w:val="bottom"/>
            <w:hideMark/>
          </w:tcPr>
          <w:p w14:paraId="3969D598"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2C33EFC7"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(0.0549)</w:t>
            </w:r>
          </w:p>
        </w:tc>
        <w:tc>
          <w:tcPr>
            <w:tcW w:w="2016" w:type="dxa"/>
            <w:tcBorders>
              <w:top w:val="nil"/>
              <w:left w:val="nil"/>
              <w:bottom w:val="nil"/>
              <w:right w:val="nil"/>
            </w:tcBorders>
            <w:shd w:val="clear" w:color="auto" w:fill="auto"/>
            <w:noWrap/>
            <w:vAlign w:val="bottom"/>
          </w:tcPr>
          <w:p w14:paraId="5F826AAD"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(0.0475)</w:t>
            </w:r>
          </w:p>
        </w:tc>
        <w:tc>
          <w:tcPr>
            <w:tcW w:w="2016" w:type="dxa"/>
            <w:tcBorders>
              <w:top w:val="nil"/>
              <w:left w:val="nil"/>
              <w:bottom w:val="nil"/>
              <w:right w:val="nil"/>
            </w:tcBorders>
            <w:vAlign w:val="bottom"/>
          </w:tcPr>
          <w:p w14:paraId="29435055"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(0.0410)</w:t>
            </w:r>
          </w:p>
        </w:tc>
      </w:tr>
      <w:tr w:rsidR="00C565FD" w:rsidRPr="00163E69" w14:paraId="6C28B12F" w14:textId="77777777" w:rsidTr="002A2C90">
        <w:trPr>
          <w:trHeight w:val="276"/>
        </w:trPr>
        <w:tc>
          <w:tcPr>
            <w:tcW w:w="2016" w:type="dxa"/>
            <w:tcBorders>
              <w:top w:val="nil"/>
              <w:left w:val="nil"/>
              <w:bottom w:val="nil"/>
              <w:right w:val="nil"/>
            </w:tcBorders>
            <w:shd w:val="clear" w:color="auto" w:fill="auto"/>
            <w:noWrap/>
            <w:vAlign w:val="bottom"/>
            <w:hideMark/>
          </w:tcPr>
          <w:p w14:paraId="03B0BFE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12</w:t>
            </w:r>
          </w:p>
        </w:tc>
        <w:tc>
          <w:tcPr>
            <w:tcW w:w="2520" w:type="dxa"/>
            <w:tcBorders>
              <w:top w:val="nil"/>
              <w:left w:val="nil"/>
              <w:bottom w:val="nil"/>
              <w:right w:val="nil"/>
            </w:tcBorders>
            <w:shd w:val="clear" w:color="auto" w:fill="auto"/>
            <w:noWrap/>
            <w:vAlign w:val="bottom"/>
          </w:tcPr>
          <w:p w14:paraId="2EBF1BB9"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0.0390</w:t>
            </w:r>
          </w:p>
        </w:tc>
        <w:tc>
          <w:tcPr>
            <w:tcW w:w="2016" w:type="dxa"/>
            <w:tcBorders>
              <w:top w:val="nil"/>
              <w:left w:val="nil"/>
              <w:bottom w:val="nil"/>
              <w:right w:val="nil"/>
            </w:tcBorders>
            <w:shd w:val="clear" w:color="auto" w:fill="auto"/>
            <w:noWrap/>
            <w:vAlign w:val="bottom"/>
          </w:tcPr>
          <w:p w14:paraId="74974605"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-0.104***</w:t>
            </w:r>
          </w:p>
        </w:tc>
        <w:tc>
          <w:tcPr>
            <w:tcW w:w="2016" w:type="dxa"/>
            <w:tcBorders>
              <w:top w:val="nil"/>
              <w:left w:val="nil"/>
              <w:bottom w:val="nil"/>
              <w:right w:val="nil"/>
            </w:tcBorders>
            <w:vAlign w:val="bottom"/>
          </w:tcPr>
          <w:p w14:paraId="6A662866"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0.0649</w:t>
            </w:r>
          </w:p>
        </w:tc>
      </w:tr>
      <w:tr w:rsidR="00C565FD" w:rsidRPr="00163E69" w14:paraId="5F983551" w14:textId="77777777" w:rsidTr="002A2C90">
        <w:trPr>
          <w:trHeight w:val="276"/>
        </w:trPr>
        <w:tc>
          <w:tcPr>
            <w:tcW w:w="2016" w:type="dxa"/>
            <w:tcBorders>
              <w:top w:val="nil"/>
              <w:left w:val="nil"/>
              <w:bottom w:val="nil"/>
              <w:right w:val="nil"/>
            </w:tcBorders>
            <w:shd w:val="clear" w:color="auto" w:fill="auto"/>
            <w:noWrap/>
            <w:vAlign w:val="bottom"/>
            <w:hideMark/>
          </w:tcPr>
          <w:p w14:paraId="702259FF"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70E38AA3"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(0.0512)</w:t>
            </w:r>
          </w:p>
        </w:tc>
        <w:tc>
          <w:tcPr>
            <w:tcW w:w="2016" w:type="dxa"/>
            <w:tcBorders>
              <w:top w:val="nil"/>
              <w:left w:val="nil"/>
              <w:bottom w:val="nil"/>
              <w:right w:val="nil"/>
            </w:tcBorders>
            <w:shd w:val="clear" w:color="auto" w:fill="auto"/>
            <w:noWrap/>
            <w:vAlign w:val="bottom"/>
          </w:tcPr>
          <w:p w14:paraId="644A8AEB"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(0.0382)</w:t>
            </w:r>
          </w:p>
        </w:tc>
        <w:tc>
          <w:tcPr>
            <w:tcW w:w="2016" w:type="dxa"/>
            <w:tcBorders>
              <w:top w:val="nil"/>
              <w:left w:val="nil"/>
              <w:bottom w:val="nil"/>
              <w:right w:val="nil"/>
            </w:tcBorders>
            <w:vAlign w:val="bottom"/>
          </w:tcPr>
          <w:p w14:paraId="1AC05561"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(0.0502)</w:t>
            </w:r>
          </w:p>
        </w:tc>
      </w:tr>
      <w:tr w:rsidR="00C565FD" w:rsidRPr="00163E69" w14:paraId="52382EF3" w14:textId="77777777" w:rsidTr="002A2C90">
        <w:trPr>
          <w:trHeight w:val="276"/>
        </w:trPr>
        <w:tc>
          <w:tcPr>
            <w:tcW w:w="2016" w:type="dxa"/>
            <w:tcBorders>
              <w:top w:val="nil"/>
              <w:left w:val="nil"/>
              <w:bottom w:val="nil"/>
              <w:right w:val="nil"/>
            </w:tcBorders>
            <w:shd w:val="clear" w:color="auto" w:fill="auto"/>
            <w:noWrap/>
            <w:vAlign w:val="bottom"/>
            <w:hideMark/>
          </w:tcPr>
          <w:p w14:paraId="6D423E6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13</w:t>
            </w:r>
          </w:p>
        </w:tc>
        <w:tc>
          <w:tcPr>
            <w:tcW w:w="2520" w:type="dxa"/>
            <w:tcBorders>
              <w:top w:val="nil"/>
              <w:left w:val="nil"/>
              <w:bottom w:val="nil"/>
              <w:right w:val="nil"/>
            </w:tcBorders>
            <w:shd w:val="clear" w:color="auto" w:fill="auto"/>
            <w:noWrap/>
            <w:vAlign w:val="bottom"/>
          </w:tcPr>
          <w:p w14:paraId="2161481E"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0.0649</w:t>
            </w:r>
          </w:p>
        </w:tc>
        <w:tc>
          <w:tcPr>
            <w:tcW w:w="2016" w:type="dxa"/>
            <w:tcBorders>
              <w:top w:val="nil"/>
              <w:left w:val="nil"/>
              <w:bottom w:val="nil"/>
              <w:right w:val="nil"/>
            </w:tcBorders>
            <w:shd w:val="clear" w:color="auto" w:fill="auto"/>
            <w:noWrap/>
            <w:vAlign w:val="bottom"/>
          </w:tcPr>
          <w:p w14:paraId="2C18780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0.0519</w:t>
            </w:r>
          </w:p>
        </w:tc>
        <w:tc>
          <w:tcPr>
            <w:tcW w:w="2016" w:type="dxa"/>
            <w:tcBorders>
              <w:top w:val="nil"/>
              <w:left w:val="nil"/>
              <w:bottom w:val="nil"/>
              <w:right w:val="nil"/>
            </w:tcBorders>
            <w:vAlign w:val="bottom"/>
          </w:tcPr>
          <w:p w14:paraId="41C23356"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-0.117***</w:t>
            </w:r>
          </w:p>
        </w:tc>
      </w:tr>
      <w:tr w:rsidR="00C565FD" w:rsidRPr="00163E69" w14:paraId="2812B4D5" w14:textId="77777777" w:rsidTr="002A2C90">
        <w:trPr>
          <w:trHeight w:val="276"/>
        </w:trPr>
        <w:tc>
          <w:tcPr>
            <w:tcW w:w="2016" w:type="dxa"/>
            <w:tcBorders>
              <w:top w:val="nil"/>
              <w:left w:val="nil"/>
              <w:bottom w:val="nil"/>
              <w:right w:val="nil"/>
            </w:tcBorders>
            <w:shd w:val="clear" w:color="auto" w:fill="auto"/>
            <w:noWrap/>
            <w:vAlign w:val="bottom"/>
            <w:hideMark/>
          </w:tcPr>
          <w:p w14:paraId="506E0FC5"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295FDD3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(0.0519)</w:t>
            </w:r>
          </w:p>
        </w:tc>
        <w:tc>
          <w:tcPr>
            <w:tcW w:w="2016" w:type="dxa"/>
            <w:tcBorders>
              <w:top w:val="nil"/>
              <w:left w:val="nil"/>
              <w:bottom w:val="nil"/>
              <w:right w:val="nil"/>
            </w:tcBorders>
            <w:shd w:val="clear" w:color="auto" w:fill="auto"/>
            <w:noWrap/>
            <w:vAlign w:val="bottom"/>
          </w:tcPr>
          <w:p w14:paraId="5DB59ED4"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(0.0468)</w:t>
            </w:r>
          </w:p>
        </w:tc>
        <w:tc>
          <w:tcPr>
            <w:tcW w:w="2016" w:type="dxa"/>
            <w:tcBorders>
              <w:top w:val="nil"/>
              <w:left w:val="nil"/>
              <w:bottom w:val="nil"/>
              <w:right w:val="nil"/>
            </w:tcBorders>
            <w:vAlign w:val="bottom"/>
          </w:tcPr>
          <w:p w14:paraId="1B9B18CA"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(0.0432)</w:t>
            </w:r>
          </w:p>
        </w:tc>
      </w:tr>
      <w:tr w:rsidR="00C565FD" w:rsidRPr="00163E69" w14:paraId="1BCBEEA7" w14:textId="77777777" w:rsidTr="002A2C90">
        <w:trPr>
          <w:trHeight w:val="276"/>
        </w:trPr>
        <w:tc>
          <w:tcPr>
            <w:tcW w:w="2016" w:type="dxa"/>
            <w:tcBorders>
              <w:top w:val="nil"/>
              <w:left w:val="nil"/>
              <w:bottom w:val="nil"/>
              <w:right w:val="nil"/>
            </w:tcBorders>
            <w:shd w:val="clear" w:color="auto" w:fill="auto"/>
            <w:noWrap/>
            <w:vAlign w:val="bottom"/>
            <w:hideMark/>
          </w:tcPr>
          <w:p w14:paraId="70B012BD"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14</w:t>
            </w:r>
          </w:p>
        </w:tc>
        <w:tc>
          <w:tcPr>
            <w:tcW w:w="2520" w:type="dxa"/>
            <w:tcBorders>
              <w:top w:val="nil"/>
              <w:left w:val="nil"/>
              <w:bottom w:val="nil"/>
              <w:right w:val="nil"/>
            </w:tcBorders>
            <w:shd w:val="clear" w:color="auto" w:fill="auto"/>
            <w:noWrap/>
            <w:vAlign w:val="bottom"/>
          </w:tcPr>
          <w:p w14:paraId="2DCBC1D1"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0.0325</w:t>
            </w:r>
          </w:p>
        </w:tc>
        <w:tc>
          <w:tcPr>
            <w:tcW w:w="2016" w:type="dxa"/>
            <w:tcBorders>
              <w:top w:val="nil"/>
              <w:left w:val="nil"/>
              <w:bottom w:val="nil"/>
              <w:right w:val="nil"/>
            </w:tcBorders>
            <w:shd w:val="clear" w:color="auto" w:fill="auto"/>
            <w:noWrap/>
            <w:vAlign w:val="bottom"/>
          </w:tcPr>
          <w:p w14:paraId="7CD72ACA"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-0.0909**</w:t>
            </w:r>
          </w:p>
        </w:tc>
        <w:tc>
          <w:tcPr>
            <w:tcW w:w="2016" w:type="dxa"/>
            <w:tcBorders>
              <w:top w:val="nil"/>
              <w:left w:val="nil"/>
              <w:bottom w:val="nil"/>
              <w:right w:val="nil"/>
            </w:tcBorders>
            <w:vAlign w:val="bottom"/>
          </w:tcPr>
          <w:p w14:paraId="65918C9A"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0.0584</w:t>
            </w:r>
          </w:p>
        </w:tc>
      </w:tr>
      <w:tr w:rsidR="00C565FD" w:rsidRPr="00163E69" w14:paraId="03A25FF3" w14:textId="77777777" w:rsidTr="002A2C90">
        <w:trPr>
          <w:trHeight w:val="276"/>
        </w:trPr>
        <w:tc>
          <w:tcPr>
            <w:tcW w:w="2016" w:type="dxa"/>
            <w:tcBorders>
              <w:top w:val="nil"/>
              <w:left w:val="nil"/>
              <w:bottom w:val="nil"/>
              <w:right w:val="nil"/>
            </w:tcBorders>
            <w:shd w:val="clear" w:color="auto" w:fill="auto"/>
            <w:noWrap/>
            <w:vAlign w:val="bottom"/>
            <w:hideMark/>
          </w:tcPr>
          <w:p w14:paraId="798F360F"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0619E2E6"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(0.0564)</w:t>
            </w:r>
          </w:p>
        </w:tc>
        <w:tc>
          <w:tcPr>
            <w:tcW w:w="2016" w:type="dxa"/>
            <w:tcBorders>
              <w:top w:val="nil"/>
              <w:left w:val="nil"/>
              <w:bottom w:val="nil"/>
              <w:right w:val="nil"/>
            </w:tcBorders>
            <w:shd w:val="clear" w:color="auto" w:fill="auto"/>
            <w:noWrap/>
            <w:vAlign w:val="bottom"/>
          </w:tcPr>
          <w:p w14:paraId="2A22585D"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(0.0436)</w:t>
            </w:r>
          </w:p>
        </w:tc>
        <w:tc>
          <w:tcPr>
            <w:tcW w:w="2016" w:type="dxa"/>
            <w:tcBorders>
              <w:top w:val="nil"/>
              <w:left w:val="nil"/>
              <w:bottom w:val="nil"/>
              <w:right w:val="nil"/>
            </w:tcBorders>
            <w:vAlign w:val="bottom"/>
          </w:tcPr>
          <w:p w14:paraId="02A4B437"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(0.0523)</w:t>
            </w:r>
          </w:p>
        </w:tc>
      </w:tr>
      <w:tr w:rsidR="00C565FD" w:rsidRPr="00163E69" w14:paraId="77F49581" w14:textId="77777777" w:rsidTr="002A2C90">
        <w:trPr>
          <w:trHeight w:val="276"/>
        </w:trPr>
        <w:tc>
          <w:tcPr>
            <w:tcW w:w="2016" w:type="dxa"/>
            <w:tcBorders>
              <w:top w:val="nil"/>
              <w:left w:val="nil"/>
              <w:bottom w:val="nil"/>
              <w:right w:val="nil"/>
            </w:tcBorders>
            <w:shd w:val="clear" w:color="auto" w:fill="auto"/>
            <w:noWrap/>
            <w:vAlign w:val="bottom"/>
            <w:hideMark/>
          </w:tcPr>
          <w:p w14:paraId="0747A914"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15</w:t>
            </w:r>
          </w:p>
        </w:tc>
        <w:tc>
          <w:tcPr>
            <w:tcW w:w="2520" w:type="dxa"/>
            <w:tcBorders>
              <w:top w:val="nil"/>
              <w:left w:val="nil"/>
              <w:bottom w:val="nil"/>
              <w:right w:val="nil"/>
            </w:tcBorders>
            <w:shd w:val="clear" w:color="auto" w:fill="auto"/>
            <w:noWrap/>
            <w:vAlign w:val="bottom"/>
          </w:tcPr>
          <w:p w14:paraId="632E066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0.247***</w:t>
            </w:r>
          </w:p>
        </w:tc>
        <w:tc>
          <w:tcPr>
            <w:tcW w:w="2016" w:type="dxa"/>
            <w:tcBorders>
              <w:top w:val="nil"/>
              <w:left w:val="nil"/>
              <w:bottom w:val="nil"/>
              <w:right w:val="nil"/>
            </w:tcBorders>
            <w:shd w:val="clear" w:color="auto" w:fill="auto"/>
            <w:noWrap/>
            <w:vAlign w:val="bottom"/>
          </w:tcPr>
          <w:p w14:paraId="77B94795"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-0.0325</w:t>
            </w:r>
          </w:p>
        </w:tc>
        <w:tc>
          <w:tcPr>
            <w:tcW w:w="2016" w:type="dxa"/>
            <w:tcBorders>
              <w:top w:val="nil"/>
              <w:left w:val="nil"/>
              <w:bottom w:val="nil"/>
              <w:right w:val="nil"/>
            </w:tcBorders>
            <w:vAlign w:val="bottom"/>
          </w:tcPr>
          <w:p w14:paraId="19FC1D16"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-0.214***</w:t>
            </w:r>
          </w:p>
        </w:tc>
      </w:tr>
      <w:tr w:rsidR="00C565FD" w:rsidRPr="00163E69" w14:paraId="5C4E4FB5" w14:textId="77777777" w:rsidTr="002A2C90">
        <w:trPr>
          <w:trHeight w:val="276"/>
        </w:trPr>
        <w:tc>
          <w:tcPr>
            <w:tcW w:w="2016" w:type="dxa"/>
            <w:tcBorders>
              <w:top w:val="nil"/>
              <w:left w:val="nil"/>
              <w:bottom w:val="nil"/>
              <w:right w:val="nil"/>
            </w:tcBorders>
            <w:shd w:val="clear" w:color="auto" w:fill="auto"/>
            <w:noWrap/>
            <w:vAlign w:val="bottom"/>
            <w:hideMark/>
          </w:tcPr>
          <w:p w14:paraId="7D185EC2"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2AF8441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(0.0516)</w:t>
            </w:r>
          </w:p>
        </w:tc>
        <w:tc>
          <w:tcPr>
            <w:tcW w:w="2016" w:type="dxa"/>
            <w:tcBorders>
              <w:top w:val="nil"/>
              <w:left w:val="nil"/>
              <w:bottom w:val="nil"/>
              <w:right w:val="nil"/>
            </w:tcBorders>
            <w:shd w:val="clear" w:color="auto" w:fill="auto"/>
            <w:noWrap/>
            <w:vAlign w:val="bottom"/>
          </w:tcPr>
          <w:p w14:paraId="1158294E"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(0.0436)</w:t>
            </w:r>
          </w:p>
        </w:tc>
        <w:tc>
          <w:tcPr>
            <w:tcW w:w="2016" w:type="dxa"/>
            <w:tcBorders>
              <w:top w:val="nil"/>
              <w:left w:val="nil"/>
              <w:bottom w:val="nil"/>
              <w:right w:val="nil"/>
            </w:tcBorders>
            <w:vAlign w:val="bottom"/>
          </w:tcPr>
          <w:p w14:paraId="7E3542BD"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(0.0412)</w:t>
            </w:r>
          </w:p>
        </w:tc>
      </w:tr>
      <w:tr w:rsidR="00C565FD" w:rsidRPr="00163E69" w14:paraId="73502F90" w14:textId="77777777" w:rsidTr="002A2C90">
        <w:trPr>
          <w:trHeight w:val="276"/>
        </w:trPr>
        <w:tc>
          <w:tcPr>
            <w:tcW w:w="2016" w:type="dxa"/>
            <w:tcBorders>
              <w:top w:val="nil"/>
              <w:left w:val="nil"/>
              <w:bottom w:val="nil"/>
              <w:right w:val="nil"/>
            </w:tcBorders>
            <w:shd w:val="clear" w:color="auto" w:fill="auto"/>
            <w:noWrap/>
            <w:vAlign w:val="bottom"/>
            <w:hideMark/>
          </w:tcPr>
          <w:p w14:paraId="4354C71E"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16</w:t>
            </w:r>
          </w:p>
        </w:tc>
        <w:tc>
          <w:tcPr>
            <w:tcW w:w="2520" w:type="dxa"/>
            <w:tcBorders>
              <w:top w:val="nil"/>
              <w:left w:val="nil"/>
              <w:bottom w:val="nil"/>
              <w:right w:val="nil"/>
            </w:tcBorders>
            <w:shd w:val="clear" w:color="auto" w:fill="auto"/>
            <w:noWrap/>
            <w:vAlign w:val="bottom"/>
          </w:tcPr>
          <w:p w14:paraId="2667A71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0.247***</w:t>
            </w:r>
          </w:p>
        </w:tc>
        <w:tc>
          <w:tcPr>
            <w:tcW w:w="2016" w:type="dxa"/>
            <w:tcBorders>
              <w:top w:val="nil"/>
              <w:left w:val="nil"/>
              <w:bottom w:val="nil"/>
              <w:right w:val="nil"/>
            </w:tcBorders>
            <w:shd w:val="clear" w:color="auto" w:fill="auto"/>
            <w:noWrap/>
            <w:vAlign w:val="bottom"/>
          </w:tcPr>
          <w:p w14:paraId="7182B58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-0.175***</w:t>
            </w:r>
          </w:p>
        </w:tc>
        <w:tc>
          <w:tcPr>
            <w:tcW w:w="2016" w:type="dxa"/>
            <w:tcBorders>
              <w:top w:val="nil"/>
              <w:left w:val="nil"/>
              <w:bottom w:val="nil"/>
              <w:right w:val="nil"/>
            </w:tcBorders>
            <w:vAlign w:val="bottom"/>
          </w:tcPr>
          <w:p w14:paraId="3E7A4259"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-0.0714</w:t>
            </w:r>
          </w:p>
        </w:tc>
      </w:tr>
      <w:tr w:rsidR="00C565FD" w:rsidRPr="00163E69" w14:paraId="36CEC17C" w14:textId="77777777" w:rsidTr="002A2C90">
        <w:trPr>
          <w:trHeight w:val="276"/>
        </w:trPr>
        <w:tc>
          <w:tcPr>
            <w:tcW w:w="2016" w:type="dxa"/>
            <w:tcBorders>
              <w:top w:val="nil"/>
              <w:left w:val="nil"/>
              <w:bottom w:val="nil"/>
              <w:right w:val="nil"/>
            </w:tcBorders>
            <w:shd w:val="clear" w:color="auto" w:fill="auto"/>
            <w:noWrap/>
            <w:vAlign w:val="bottom"/>
            <w:hideMark/>
          </w:tcPr>
          <w:p w14:paraId="663DA258"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6589EDB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(0.0516)</w:t>
            </w:r>
          </w:p>
        </w:tc>
        <w:tc>
          <w:tcPr>
            <w:tcW w:w="2016" w:type="dxa"/>
            <w:tcBorders>
              <w:top w:val="nil"/>
              <w:left w:val="nil"/>
              <w:bottom w:val="nil"/>
              <w:right w:val="nil"/>
            </w:tcBorders>
            <w:shd w:val="clear" w:color="auto" w:fill="auto"/>
            <w:noWrap/>
            <w:vAlign w:val="bottom"/>
          </w:tcPr>
          <w:p w14:paraId="7770BCC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(0.0370)</w:t>
            </w:r>
          </w:p>
        </w:tc>
        <w:tc>
          <w:tcPr>
            <w:tcW w:w="2016" w:type="dxa"/>
            <w:tcBorders>
              <w:top w:val="nil"/>
              <w:left w:val="nil"/>
              <w:bottom w:val="nil"/>
              <w:right w:val="nil"/>
            </w:tcBorders>
            <w:vAlign w:val="bottom"/>
          </w:tcPr>
          <w:p w14:paraId="3B07D6F8"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(0.0471)</w:t>
            </w:r>
          </w:p>
        </w:tc>
      </w:tr>
      <w:tr w:rsidR="00C565FD" w:rsidRPr="00163E69" w14:paraId="3E3D71D4" w14:textId="77777777" w:rsidTr="002A2C90">
        <w:trPr>
          <w:trHeight w:val="276"/>
        </w:trPr>
        <w:tc>
          <w:tcPr>
            <w:tcW w:w="2016" w:type="dxa"/>
            <w:tcBorders>
              <w:top w:val="nil"/>
              <w:left w:val="nil"/>
              <w:bottom w:val="nil"/>
              <w:right w:val="nil"/>
            </w:tcBorders>
            <w:shd w:val="clear" w:color="auto" w:fill="auto"/>
            <w:noWrap/>
            <w:vAlign w:val="bottom"/>
            <w:hideMark/>
          </w:tcPr>
          <w:p w14:paraId="34E18046"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17</w:t>
            </w:r>
          </w:p>
        </w:tc>
        <w:tc>
          <w:tcPr>
            <w:tcW w:w="2520" w:type="dxa"/>
            <w:tcBorders>
              <w:top w:val="nil"/>
              <w:left w:val="nil"/>
              <w:bottom w:val="nil"/>
              <w:right w:val="nil"/>
            </w:tcBorders>
            <w:shd w:val="clear" w:color="auto" w:fill="auto"/>
            <w:noWrap/>
            <w:vAlign w:val="bottom"/>
          </w:tcPr>
          <w:p w14:paraId="4A02C92F"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-0.0260</w:t>
            </w:r>
          </w:p>
        </w:tc>
        <w:tc>
          <w:tcPr>
            <w:tcW w:w="2016" w:type="dxa"/>
            <w:tcBorders>
              <w:top w:val="nil"/>
              <w:left w:val="nil"/>
              <w:bottom w:val="nil"/>
              <w:right w:val="nil"/>
            </w:tcBorders>
            <w:shd w:val="clear" w:color="auto" w:fill="auto"/>
            <w:noWrap/>
            <w:vAlign w:val="bottom"/>
          </w:tcPr>
          <w:p w14:paraId="67ECDC0D"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0.117***</w:t>
            </w:r>
          </w:p>
        </w:tc>
        <w:tc>
          <w:tcPr>
            <w:tcW w:w="2016" w:type="dxa"/>
            <w:tcBorders>
              <w:top w:val="nil"/>
              <w:left w:val="nil"/>
              <w:bottom w:val="nil"/>
              <w:right w:val="nil"/>
            </w:tcBorders>
            <w:vAlign w:val="bottom"/>
          </w:tcPr>
          <w:p w14:paraId="04C2BF9C"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-0.0909**</w:t>
            </w:r>
          </w:p>
        </w:tc>
      </w:tr>
      <w:tr w:rsidR="00C565FD" w:rsidRPr="00163E69" w14:paraId="2D3A9CD4" w14:textId="77777777" w:rsidTr="002A2C90">
        <w:trPr>
          <w:trHeight w:val="276"/>
        </w:trPr>
        <w:tc>
          <w:tcPr>
            <w:tcW w:w="2016" w:type="dxa"/>
            <w:tcBorders>
              <w:top w:val="nil"/>
              <w:left w:val="nil"/>
              <w:bottom w:val="nil"/>
              <w:right w:val="nil"/>
            </w:tcBorders>
            <w:shd w:val="clear" w:color="auto" w:fill="auto"/>
            <w:noWrap/>
            <w:vAlign w:val="bottom"/>
            <w:hideMark/>
          </w:tcPr>
          <w:p w14:paraId="5644A7A8"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22E0C97A"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(0.0504)</w:t>
            </w:r>
          </w:p>
        </w:tc>
        <w:tc>
          <w:tcPr>
            <w:tcW w:w="2016" w:type="dxa"/>
            <w:tcBorders>
              <w:top w:val="nil"/>
              <w:left w:val="nil"/>
              <w:bottom w:val="nil"/>
              <w:right w:val="nil"/>
            </w:tcBorders>
            <w:shd w:val="clear" w:color="auto" w:fill="auto"/>
            <w:noWrap/>
            <w:vAlign w:val="bottom"/>
          </w:tcPr>
          <w:p w14:paraId="249E00F3"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(0.0441)</w:t>
            </w:r>
          </w:p>
        </w:tc>
        <w:tc>
          <w:tcPr>
            <w:tcW w:w="2016" w:type="dxa"/>
            <w:tcBorders>
              <w:top w:val="nil"/>
              <w:left w:val="nil"/>
              <w:bottom w:val="nil"/>
              <w:right w:val="nil"/>
            </w:tcBorders>
            <w:vAlign w:val="bottom"/>
          </w:tcPr>
          <w:p w14:paraId="5C972385"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(0.0436)</w:t>
            </w:r>
          </w:p>
        </w:tc>
      </w:tr>
      <w:tr w:rsidR="00C565FD" w:rsidRPr="00163E69" w14:paraId="45448BFD" w14:textId="77777777" w:rsidTr="002A2C90">
        <w:trPr>
          <w:trHeight w:val="276"/>
        </w:trPr>
        <w:tc>
          <w:tcPr>
            <w:tcW w:w="2016" w:type="dxa"/>
            <w:tcBorders>
              <w:top w:val="nil"/>
              <w:left w:val="nil"/>
              <w:bottom w:val="nil"/>
              <w:right w:val="nil"/>
            </w:tcBorders>
            <w:shd w:val="clear" w:color="auto" w:fill="auto"/>
            <w:noWrap/>
            <w:vAlign w:val="bottom"/>
            <w:hideMark/>
          </w:tcPr>
          <w:p w14:paraId="3C9F3FFE"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18</w:t>
            </w:r>
          </w:p>
        </w:tc>
        <w:tc>
          <w:tcPr>
            <w:tcW w:w="2520" w:type="dxa"/>
            <w:tcBorders>
              <w:top w:val="nil"/>
              <w:left w:val="nil"/>
              <w:bottom w:val="nil"/>
              <w:right w:val="nil"/>
            </w:tcBorders>
            <w:shd w:val="clear" w:color="auto" w:fill="auto"/>
            <w:noWrap/>
            <w:vAlign w:val="bottom"/>
          </w:tcPr>
          <w:p w14:paraId="4466B7F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0.0260</w:t>
            </w:r>
          </w:p>
        </w:tc>
        <w:tc>
          <w:tcPr>
            <w:tcW w:w="2016" w:type="dxa"/>
            <w:tcBorders>
              <w:top w:val="nil"/>
              <w:left w:val="nil"/>
              <w:bottom w:val="nil"/>
              <w:right w:val="nil"/>
            </w:tcBorders>
            <w:shd w:val="clear" w:color="auto" w:fill="auto"/>
            <w:noWrap/>
            <w:vAlign w:val="bottom"/>
          </w:tcPr>
          <w:p w14:paraId="33AD07AE"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-0.0519</w:t>
            </w:r>
          </w:p>
        </w:tc>
        <w:tc>
          <w:tcPr>
            <w:tcW w:w="2016" w:type="dxa"/>
            <w:tcBorders>
              <w:top w:val="nil"/>
              <w:left w:val="nil"/>
              <w:bottom w:val="nil"/>
              <w:right w:val="nil"/>
            </w:tcBorders>
            <w:vAlign w:val="bottom"/>
          </w:tcPr>
          <w:p w14:paraId="100C5C7B"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0.0260</w:t>
            </w:r>
          </w:p>
        </w:tc>
      </w:tr>
      <w:tr w:rsidR="00C565FD" w:rsidRPr="00163E69" w14:paraId="2B8218D4" w14:textId="77777777" w:rsidTr="002A2C90">
        <w:trPr>
          <w:trHeight w:val="276"/>
        </w:trPr>
        <w:tc>
          <w:tcPr>
            <w:tcW w:w="2016" w:type="dxa"/>
            <w:tcBorders>
              <w:top w:val="nil"/>
              <w:left w:val="nil"/>
              <w:bottom w:val="nil"/>
              <w:right w:val="nil"/>
            </w:tcBorders>
            <w:shd w:val="clear" w:color="auto" w:fill="auto"/>
            <w:noWrap/>
            <w:vAlign w:val="bottom"/>
            <w:hideMark/>
          </w:tcPr>
          <w:p w14:paraId="71BB3050"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3539713D"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(0.0537)</w:t>
            </w:r>
          </w:p>
        </w:tc>
        <w:tc>
          <w:tcPr>
            <w:tcW w:w="2016" w:type="dxa"/>
            <w:tcBorders>
              <w:top w:val="nil"/>
              <w:left w:val="nil"/>
              <w:bottom w:val="nil"/>
              <w:right w:val="nil"/>
            </w:tcBorders>
            <w:shd w:val="clear" w:color="auto" w:fill="auto"/>
            <w:noWrap/>
            <w:vAlign w:val="bottom"/>
          </w:tcPr>
          <w:p w14:paraId="77B9F485"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(0.0449)</w:t>
            </w:r>
          </w:p>
        </w:tc>
        <w:tc>
          <w:tcPr>
            <w:tcW w:w="2016" w:type="dxa"/>
            <w:tcBorders>
              <w:top w:val="nil"/>
              <w:left w:val="nil"/>
              <w:bottom w:val="nil"/>
              <w:right w:val="nil"/>
            </w:tcBorders>
            <w:vAlign w:val="bottom"/>
          </w:tcPr>
          <w:p w14:paraId="33E67778"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(0.0504)</w:t>
            </w:r>
          </w:p>
        </w:tc>
      </w:tr>
      <w:tr w:rsidR="00C565FD" w:rsidRPr="00163E69" w14:paraId="3005F55D" w14:textId="77777777" w:rsidTr="002A2C90">
        <w:trPr>
          <w:trHeight w:val="276"/>
        </w:trPr>
        <w:tc>
          <w:tcPr>
            <w:tcW w:w="2016" w:type="dxa"/>
            <w:tcBorders>
              <w:top w:val="nil"/>
              <w:left w:val="nil"/>
              <w:bottom w:val="nil"/>
              <w:right w:val="nil"/>
            </w:tcBorders>
            <w:shd w:val="clear" w:color="auto" w:fill="auto"/>
            <w:noWrap/>
            <w:vAlign w:val="bottom"/>
            <w:hideMark/>
          </w:tcPr>
          <w:p w14:paraId="38FF3583"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19</w:t>
            </w:r>
          </w:p>
        </w:tc>
        <w:tc>
          <w:tcPr>
            <w:tcW w:w="2520" w:type="dxa"/>
            <w:tcBorders>
              <w:top w:val="nil"/>
              <w:left w:val="nil"/>
              <w:bottom w:val="nil"/>
              <w:right w:val="nil"/>
            </w:tcBorders>
            <w:shd w:val="clear" w:color="auto" w:fill="auto"/>
            <w:noWrap/>
            <w:vAlign w:val="bottom"/>
          </w:tcPr>
          <w:p w14:paraId="31B4BAC8"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0.0390</w:t>
            </w:r>
          </w:p>
        </w:tc>
        <w:tc>
          <w:tcPr>
            <w:tcW w:w="2016" w:type="dxa"/>
            <w:tcBorders>
              <w:top w:val="nil"/>
              <w:left w:val="nil"/>
              <w:bottom w:val="nil"/>
              <w:right w:val="nil"/>
            </w:tcBorders>
            <w:shd w:val="clear" w:color="auto" w:fill="auto"/>
            <w:noWrap/>
            <w:vAlign w:val="bottom"/>
          </w:tcPr>
          <w:p w14:paraId="7D6E5C79"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0.0390</w:t>
            </w:r>
          </w:p>
        </w:tc>
        <w:tc>
          <w:tcPr>
            <w:tcW w:w="2016" w:type="dxa"/>
            <w:tcBorders>
              <w:top w:val="nil"/>
              <w:left w:val="nil"/>
              <w:bottom w:val="nil"/>
              <w:right w:val="nil"/>
            </w:tcBorders>
            <w:vAlign w:val="bottom"/>
          </w:tcPr>
          <w:p w14:paraId="0DDE9BA6"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-0.0779*</w:t>
            </w:r>
          </w:p>
        </w:tc>
      </w:tr>
      <w:tr w:rsidR="00C565FD" w:rsidRPr="00163E69" w14:paraId="22A102DA" w14:textId="77777777" w:rsidTr="002A2C90">
        <w:trPr>
          <w:trHeight w:val="276"/>
        </w:trPr>
        <w:tc>
          <w:tcPr>
            <w:tcW w:w="2016" w:type="dxa"/>
            <w:tcBorders>
              <w:top w:val="nil"/>
              <w:left w:val="nil"/>
              <w:bottom w:val="nil"/>
              <w:right w:val="nil"/>
            </w:tcBorders>
            <w:shd w:val="clear" w:color="auto" w:fill="auto"/>
            <w:noWrap/>
            <w:vAlign w:val="bottom"/>
            <w:hideMark/>
          </w:tcPr>
          <w:p w14:paraId="6FA2C441"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524FD8CA"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(0.0567)</w:t>
            </w:r>
          </w:p>
        </w:tc>
        <w:tc>
          <w:tcPr>
            <w:tcW w:w="2016" w:type="dxa"/>
            <w:tcBorders>
              <w:top w:val="nil"/>
              <w:left w:val="nil"/>
              <w:bottom w:val="nil"/>
              <w:right w:val="nil"/>
            </w:tcBorders>
            <w:shd w:val="clear" w:color="auto" w:fill="auto"/>
            <w:noWrap/>
            <w:vAlign w:val="bottom"/>
          </w:tcPr>
          <w:p w14:paraId="5C3C9BDE"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(0.0504)</w:t>
            </w:r>
          </w:p>
        </w:tc>
        <w:tc>
          <w:tcPr>
            <w:tcW w:w="2016" w:type="dxa"/>
            <w:tcBorders>
              <w:top w:val="nil"/>
              <w:left w:val="nil"/>
              <w:bottom w:val="nil"/>
              <w:right w:val="nil"/>
            </w:tcBorders>
            <w:vAlign w:val="bottom"/>
          </w:tcPr>
          <w:p w14:paraId="1C346F5D"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(0.0456)</w:t>
            </w:r>
          </w:p>
        </w:tc>
      </w:tr>
    </w:tbl>
    <w:p w14:paraId="15F7244A" w14:textId="7A5E994E" w:rsidR="00C565FD" w:rsidRPr="00163E69" w:rsidRDefault="00C565FD" w:rsidP="00C565FD">
      <w:pPr>
        <w:rPr>
          <w:rFonts w:ascii="Times New Roman" w:hAnsi="Times New Roman" w:cs="Times New Roman"/>
        </w:rPr>
      </w:pPr>
      <w:r w:rsidRPr="00163E69">
        <w:rPr>
          <w:rFonts w:ascii="Times New Roman" w:hAnsi="Times New Roman" w:cs="Times New Roman"/>
        </w:rPr>
        <w:lastRenderedPageBreak/>
        <w:fldChar w:fldCharType="begin"/>
      </w:r>
      <w:r w:rsidRPr="00163E69">
        <w:rPr>
          <w:rFonts w:ascii="Times New Roman" w:hAnsi="Times New Roman" w:cs="Times New Roman"/>
        </w:rPr>
        <w:instrText xml:space="preserve"> REF _Ref160714627 \h  \* MERGEFORMAT </w:instrText>
      </w:r>
      <w:r w:rsidRPr="00163E69">
        <w:rPr>
          <w:rFonts w:ascii="Times New Roman" w:hAnsi="Times New Roman" w:cs="Times New Roman"/>
        </w:rPr>
      </w:r>
      <w:r w:rsidRPr="00163E69">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14</w:t>
      </w:r>
      <w:r w:rsidRPr="00163E69">
        <w:rPr>
          <w:rFonts w:ascii="Times New Roman" w:hAnsi="Times New Roman" w:cs="Times New Roman"/>
        </w:rPr>
        <w:fldChar w:fldCharType="end"/>
      </w:r>
      <w:r w:rsidRPr="00163E69">
        <w:rPr>
          <w:rFonts w:ascii="Times New Roman" w:hAnsi="Times New Roman" w:cs="Times New Roman"/>
        </w:rPr>
        <w:t>: Continued</w:t>
      </w:r>
    </w:p>
    <w:tbl>
      <w:tblPr>
        <w:tblW w:w="10872" w:type="dxa"/>
        <w:tblLook w:val="04A0" w:firstRow="1" w:lastRow="0" w:firstColumn="1" w:lastColumn="0" w:noHBand="0" w:noVBand="1"/>
      </w:tblPr>
      <w:tblGrid>
        <w:gridCol w:w="2016"/>
        <w:gridCol w:w="2520"/>
        <w:gridCol w:w="2016"/>
        <w:gridCol w:w="2016"/>
        <w:gridCol w:w="288"/>
        <w:gridCol w:w="2016"/>
      </w:tblGrid>
      <w:tr w:rsidR="00C565FD" w:rsidRPr="00163E69" w14:paraId="700E9EBC"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tcPr>
          <w:p w14:paraId="4537DC1C"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20</w:t>
            </w:r>
          </w:p>
        </w:tc>
        <w:tc>
          <w:tcPr>
            <w:tcW w:w="2520" w:type="dxa"/>
            <w:tcBorders>
              <w:top w:val="nil"/>
              <w:left w:val="nil"/>
              <w:bottom w:val="nil"/>
              <w:right w:val="nil"/>
            </w:tcBorders>
            <w:shd w:val="clear" w:color="auto" w:fill="auto"/>
            <w:noWrap/>
            <w:vAlign w:val="bottom"/>
          </w:tcPr>
          <w:p w14:paraId="0B0404FA"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0.123**</w:t>
            </w:r>
          </w:p>
        </w:tc>
        <w:tc>
          <w:tcPr>
            <w:tcW w:w="2016" w:type="dxa"/>
            <w:tcBorders>
              <w:top w:val="nil"/>
              <w:left w:val="nil"/>
              <w:bottom w:val="nil"/>
              <w:right w:val="nil"/>
            </w:tcBorders>
            <w:shd w:val="clear" w:color="auto" w:fill="auto"/>
            <w:noWrap/>
            <w:vAlign w:val="bottom"/>
          </w:tcPr>
          <w:p w14:paraId="343FA664"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-0.104**</w:t>
            </w:r>
          </w:p>
        </w:tc>
        <w:tc>
          <w:tcPr>
            <w:tcW w:w="2016" w:type="dxa"/>
            <w:tcBorders>
              <w:top w:val="nil"/>
              <w:left w:val="nil"/>
              <w:bottom w:val="nil"/>
              <w:right w:val="nil"/>
            </w:tcBorders>
            <w:vAlign w:val="bottom"/>
          </w:tcPr>
          <w:p w14:paraId="08DF0D51"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-0.0195</w:t>
            </w:r>
          </w:p>
        </w:tc>
      </w:tr>
      <w:tr w:rsidR="00C565FD" w:rsidRPr="00163E69" w14:paraId="2FE4FB3A"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tcPr>
          <w:p w14:paraId="7BEC88FB" w14:textId="77777777" w:rsidR="00C565FD" w:rsidRPr="00163E69" w:rsidRDefault="00C565FD" w:rsidP="002A2C90">
            <w:pP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3C4FFA99"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(0.0563)</w:t>
            </w:r>
          </w:p>
        </w:tc>
        <w:tc>
          <w:tcPr>
            <w:tcW w:w="2016" w:type="dxa"/>
            <w:tcBorders>
              <w:top w:val="nil"/>
              <w:left w:val="nil"/>
              <w:bottom w:val="nil"/>
              <w:right w:val="nil"/>
            </w:tcBorders>
            <w:shd w:val="clear" w:color="auto" w:fill="auto"/>
            <w:noWrap/>
            <w:vAlign w:val="bottom"/>
          </w:tcPr>
          <w:p w14:paraId="634D8B55"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(0.0462)</w:t>
            </w:r>
          </w:p>
        </w:tc>
        <w:tc>
          <w:tcPr>
            <w:tcW w:w="2016" w:type="dxa"/>
            <w:tcBorders>
              <w:top w:val="nil"/>
              <w:left w:val="nil"/>
              <w:bottom w:val="nil"/>
              <w:right w:val="nil"/>
            </w:tcBorders>
            <w:vAlign w:val="bottom"/>
          </w:tcPr>
          <w:p w14:paraId="30E72E39"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(0.0483)</w:t>
            </w:r>
          </w:p>
        </w:tc>
      </w:tr>
      <w:tr w:rsidR="00C565FD" w:rsidRPr="00163E69" w14:paraId="4269839D"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7E86B496"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21</w:t>
            </w:r>
          </w:p>
        </w:tc>
        <w:tc>
          <w:tcPr>
            <w:tcW w:w="2520" w:type="dxa"/>
            <w:tcBorders>
              <w:top w:val="nil"/>
              <w:left w:val="nil"/>
              <w:bottom w:val="nil"/>
              <w:right w:val="nil"/>
            </w:tcBorders>
            <w:shd w:val="clear" w:color="auto" w:fill="auto"/>
            <w:noWrap/>
            <w:vAlign w:val="bottom"/>
          </w:tcPr>
          <w:p w14:paraId="10CADA80"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0.175***</w:t>
            </w:r>
          </w:p>
        </w:tc>
        <w:tc>
          <w:tcPr>
            <w:tcW w:w="2016" w:type="dxa"/>
            <w:tcBorders>
              <w:top w:val="nil"/>
              <w:left w:val="nil"/>
              <w:bottom w:val="nil"/>
              <w:right w:val="nil"/>
            </w:tcBorders>
            <w:shd w:val="clear" w:color="auto" w:fill="auto"/>
            <w:noWrap/>
            <w:vAlign w:val="bottom"/>
          </w:tcPr>
          <w:p w14:paraId="512D2BA7"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0.0325</w:t>
            </w:r>
          </w:p>
        </w:tc>
        <w:tc>
          <w:tcPr>
            <w:tcW w:w="2016" w:type="dxa"/>
            <w:tcBorders>
              <w:top w:val="nil"/>
              <w:left w:val="nil"/>
              <w:bottom w:val="nil"/>
              <w:right w:val="nil"/>
            </w:tcBorders>
            <w:vAlign w:val="bottom"/>
          </w:tcPr>
          <w:p w14:paraId="4CF086A0"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-0.208***</w:t>
            </w:r>
          </w:p>
        </w:tc>
      </w:tr>
      <w:tr w:rsidR="00C565FD" w:rsidRPr="00163E69" w14:paraId="1A266A9E"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64EAEF8E"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23F50C67"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(0.0546)</w:t>
            </w:r>
          </w:p>
        </w:tc>
        <w:tc>
          <w:tcPr>
            <w:tcW w:w="2016" w:type="dxa"/>
            <w:tcBorders>
              <w:top w:val="nil"/>
              <w:left w:val="nil"/>
              <w:bottom w:val="nil"/>
              <w:right w:val="nil"/>
            </w:tcBorders>
            <w:shd w:val="clear" w:color="auto" w:fill="auto"/>
            <w:noWrap/>
            <w:vAlign w:val="bottom"/>
          </w:tcPr>
          <w:p w14:paraId="0AE9A1E4"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(0.0474)</w:t>
            </w:r>
          </w:p>
        </w:tc>
        <w:tc>
          <w:tcPr>
            <w:tcW w:w="2016" w:type="dxa"/>
            <w:tcBorders>
              <w:top w:val="nil"/>
              <w:left w:val="nil"/>
              <w:bottom w:val="nil"/>
              <w:right w:val="nil"/>
            </w:tcBorders>
            <w:vAlign w:val="bottom"/>
          </w:tcPr>
          <w:p w14:paraId="3FF44C78"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(0.0387)</w:t>
            </w:r>
          </w:p>
        </w:tc>
      </w:tr>
      <w:tr w:rsidR="00C565FD" w:rsidRPr="00163E69" w14:paraId="5A58B447"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4ED4ECC4"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22</w:t>
            </w:r>
          </w:p>
        </w:tc>
        <w:tc>
          <w:tcPr>
            <w:tcW w:w="2520" w:type="dxa"/>
            <w:tcBorders>
              <w:top w:val="nil"/>
              <w:left w:val="nil"/>
              <w:bottom w:val="nil"/>
              <w:right w:val="nil"/>
            </w:tcBorders>
            <w:shd w:val="clear" w:color="auto" w:fill="auto"/>
            <w:noWrap/>
            <w:vAlign w:val="bottom"/>
          </w:tcPr>
          <w:p w14:paraId="598BEBF9"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0.0844</w:t>
            </w:r>
          </w:p>
        </w:tc>
        <w:tc>
          <w:tcPr>
            <w:tcW w:w="2016" w:type="dxa"/>
            <w:tcBorders>
              <w:top w:val="nil"/>
              <w:left w:val="nil"/>
              <w:bottom w:val="nil"/>
              <w:right w:val="nil"/>
            </w:tcBorders>
            <w:shd w:val="clear" w:color="auto" w:fill="auto"/>
            <w:noWrap/>
            <w:vAlign w:val="bottom"/>
          </w:tcPr>
          <w:p w14:paraId="67E8A850"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-0.0649</w:t>
            </w:r>
          </w:p>
        </w:tc>
        <w:tc>
          <w:tcPr>
            <w:tcW w:w="2016" w:type="dxa"/>
            <w:tcBorders>
              <w:top w:val="nil"/>
              <w:left w:val="nil"/>
              <w:bottom w:val="nil"/>
              <w:right w:val="nil"/>
            </w:tcBorders>
            <w:vAlign w:val="bottom"/>
          </w:tcPr>
          <w:p w14:paraId="638E04BD"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-0.0195</w:t>
            </w:r>
          </w:p>
        </w:tc>
      </w:tr>
      <w:tr w:rsidR="00C565FD" w:rsidRPr="00163E69" w14:paraId="57BB8ACE"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1808FE08"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2C064483"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(0.0537)</w:t>
            </w:r>
          </w:p>
        </w:tc>
        <w:tc>
          <w:tcPr>
            <w:tcW w:w="2016" w:type="dxa"/>
            <w:tcBorders>
              <w:top w:val="nil"/>
              <w:left w:val="nil"/>
              <w:bottom w:val="nil"/>
              <w:right w:val="nil"/>
            </w:tcBorders>
            <w:shd w:val="clear" w:color="auto" w:fill="auto"/>
            <w:noWrap/>
            <w:vAlign w:val="bottom"/>
          </w:tcPr>
          <w:p w14:paraId="077F13A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(0.0467)</w:t>
            </w:r>
          </w:p>
        </w:tc>
        <w:tc>
          <w:tcPr>
            <w:tcW w:w="2016" w:type="dxa"/>
            <w:tcBorders>
              <w:top w:val="nil"/>
              <w:left w:val="nil"/>
              <w:bottom w:val="nil"/>
              <w:right w:val="nil"/>
            </w:tcBorders>
            <w:vAlign w:val="bottom"/>
          </w:tcPr>
          <w:p w14:paraId="3120F09D"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(0.0456)</w:t>
            </w:r>
          </w:p>
        </w:tc>
      </w:tr>
      <w:tr w:rsidR="00C565FD" w:rsidRPr="00163E69" w14:paraId="444A691C"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50C8DD86"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23</w:t>
            </w:r>
          </w:p>
        </w:tc>
        <w:tc>
          <w:tcPr>
            <w:tcW w:w="2520" w:type="dxa"/>
            <w:tcBorders>
              <w:top w:val="nil"/>
              <w:left w:val="nil"/>
              <w:bottom w:val="nil"/>
              <w:right w:val="nil"/>
            </w:tcBorders>
            <w:shd w:val="clear" w:color="auto" w:fill="auto"/>
            <w:noWrap/>
            <w:vAlign w:val="bottom"/>
          </w:tcPr>
          <w:p w14:paraId="44E72B9B"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0.201***</w:t>
            </w:r>
          </w:p>
        </w:tc>
        <w:tc>
          <w:tcPr>
            <w:tcW w:w="2016" w:type="dxa"/>
            <w:tcBorders>
              <w:top w:val="nil"/>
              <w:left w:val="nil"/>
              <w:bottom w:val="nil"/>
              <w:right w:val="nil"/>
            </w:tcBorders>
            <w:shd w:val="clear" w:color="auto" w:fill="auto"/>
            <w:noWrap/>
            <w:vAlign w:val="bottom"/>
          </w:tcPr>
          <w:p w14:paraId="7380AF8C"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-0.0260</w:t>
            </w:r>
          </w:p>
        </w:tc>
        <w:tc>
          <w:tcPr>
            <w:tcW w:w="2016" w:type="dxa"/>
            <w:tcBorders>
              <w:top w:val="nil"/>
              <w:left w:val="nil"/>
              <w:bottom w:val="nil"/>
              <w:right w:val="nil"/>
            </w:tcBorders>
            <w:vAlign w:val="bottom"/>
          </w:tcPr>
          <w:p w14:paraId="2ADB90B0"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-0.175***</w:t>
            </w:r>
          </w:p>
        </w:tc>
      </w:tr>
      <w:tr w:rsidR="00C565FD" w:rsidRPr="00163E69" w14:paraId="1FEA1CEB"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75AF2159"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5A9F4CCA"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(0.0540)</w:t>
            </w:r>
          </w:p>
        </w:tc>
        <w:tc>
          <w:tcPr>
            <w:tcW w:w="2016" w:type="dxa"/>
            <w:tcBorders>
              <w:top w:val="nil"/>
              <w:left w:val="nil"/>
              <w:bottom w:val="nil"/>
              <w:right w:val="nil"/>
            </w:tcBorders>
            <w:shd w:val="clear" w:color="auto" w:fill="auto"/>
            <w:noWrap/>
            <w:vAlign w:val="bottom"/>
          </w:tcPr>
          <w:p w14:paraId="2C51CC28"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(0.0422)</w:t>
            </w:r>
          </w:p>
        </w:tc>
        <w:tc>
          <w:tcPr>
            <w:tcW w:w="2016" w:type="dxa"/>
            <w:tcBorders>
              <w:top w:val="nil"/>
              <w:left w:val="nil"/>
              <w:bottom w:val="nil"/>
              <w:right w:val="nil"/>
            </w:tcBorders>
            <w:vAlign w:val="bottom"/>
          </w:tcPr>
          <w:p w14:paraId="5911EE26"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(0.0424)</w:t>
            </w:r>
          </w:p>
        </w:tc>
      </w:tr>
      <w:tr w:rsidR="00C565FD" w:rsidRPr="00163E69" w14:paraId="25083298"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73643989"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Decision Task 24</w:t>
            </w:r>
          </w:p>
        </w:tc>
        <w:tc>
          <w:tcPr>
            <w:tcW w:w="2520" w:type="dxa"/>
            <w:tcBorders>
              <w:top w:val="nil"/>
              <w:left w:val="nil"/>
              <w:bottom w:val="nil"/>
              <w:right w:val="nil"/>
            </w:tcBorders>
            <w:shd w:val="clear" w:color="auto" w:fill="auto"/>
            <w:noWrap/>
            <w:vAlign w:val="bottom"/>
          </w:tcPr>
          <w:p w14:paraId="670038A0"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0.162***</w:t>
            </w:r>
          </w:p>
        </w:tc>
        <w:tc>
          <w:tcPr>
            <w:tcW w:w="2016" w:type="dxa"/>
            <w:tcBorders>
              <w:top w:val="nil"/>
              <w:left w:val="nil"/>
              <w:bottom w:val="nil"/>
              <w:right w:val="nil"/>
            </w:tcBorders>
            <w:shd w:val="clear" w:color="auto" w:fill="auto"/>
            <w:noWrap/>
            <w:vAlign w:val="bottom"/>
          </w:tcPr>
          <w:p w14:paraId="0E8935B5"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-0.130***</w:t>
            </w:r>
          </w:p>
        </w:tc>
        <w:tc>
          <w:tcPr>
            <w:tcW w:w="2016" w:type="dxa"/>
            <w:tcBorders>
              <w:top w:val="nil"/>
              <w:left w:val="nil"/>
              <w:bottom w:val="nil"/>
              <w:right w:val="nil"/>
            </w:tcBorders>
            <w:vAlign w:val="bottom"/>
          </w:tcPr>
          <w:p w14:paraId="40DE2397"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-0.0325</w:t>
            </w:r>
          </w:p>
        </w:tc>
      </w:tr>
      <w:tr w:rsidR="00C565FD" w:rsidRPr="00163E69" w14:paraId="0837D1C0"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4689C9C9"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tcPr>
          <w:p w14:paraId="2F0EF25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(0.0533)</w:t>
            </w:r>
          </w:p>
        </w:tc>
        <w:tc>
          <w:tcPr>
            <w:tcW w:w="2016" w:type="dxa"/>
            <w:tcBorders>
              <w:top w:val="nil"/>
              <w:left w:val="nil"/>
              <w:bottom w:val="nil"/>
              <w:right w:val="nil"/>
            </w:tcBorders>
            <w:shd w:val="clear" w:color="auto" w:fill="auto"/>
            <w:noWrap/>
            <w:vAlign w:val="bottom"/>
          </w:tcPr>
          <w:p w14:paraId="6B730682" w14:textId="77777777" w:rsidR="00C565FD" w:rsidRPr="00163E69" w:rsidRDefault="00C565FD" w:rsidP="002A2C90">
            <w:pPr>
              <w:jc w:val="center"/>
              <w:rPr>
                <w:rFonts w:ascii="Times New Roman" w:hAnsi="Times New Roman" w:cs="Times New Roman"/>
              </w:rPr>
            </w:pPr>
            <w:r w:rsidRPr="00C67892">
              <w:rPr>
                <w:rFonts w:ascii="Times New Roman" w:hAnsi="Times New Roman" w:cs="Times New Roman"/>
              </w:rPr>
              <w:t>(0.0429)</w:t>
            </w:r>
          </w:p>
        </w:tc>
        <w:tc>
          <w:tcPr>
            <w:tcW w:w="2016" w:type="dxa"/>
            <w:tcBorders>
              <w:top w:val="nil"/>
              <w:left w:val="nil"/>
              <w:bottom w:val="nil"/>
              <w:right w:val="nil"/>
            </w:tcBorders>
            <w:vAlign w:val="bottom"/>
          </w:tcPr>
          <w:p w14:paraId="36CD9772" w14:textId="77777777" w:rsidR="00C565FD" w:rsidRPr="00C67892" w:rsidRDefault="00C565FD" w:rsidP="002A2C90">
            <w:pPr>
              <w:jc w:val="center"/>
              <w:rPr>
                <w:rFonts w:ascii="Times New Roman" w:hAnsi="Times New Roman" w:cs="Times New Roman"/>
              </w:rPr>
            </w:pPr>
            <w:r w:rsidRPr="00C67892">
              <w:rPr>
                <w:rFonts w:ascii="Times New Roman" w:hAnsi="Times New Roman" w:cs="Times New Roman"/>
              </w:rPr>
              <w:t>(0.0455)</w:t>
            </w:r>
          </w:p>
        </w:tc>
      </w:tr>
      <w:tr w:rsidR="00C565FD" w:rsidRPr="00163E69" w14:paraId="32AA11D3" w14:textId="77777777" w:rsidTr="002A2C90">
        <w:trPr>
          <w:gridAfter w:val="2"/>
          <w:wAfter w:w="2304" w:type="dxa"/>
          <w:trHeight w:val="276"/>
        </w:trPr>
        <w:tc>
          <w:tcPr>
            <w:tcW w:w="2016" w:type="dxa"/>
            <w:tcBorders>
              <w:top w:val="nil"/>
              <w:left w:val="nil"/>
              <w:bottom w:val="nil"/>
              <w:right w:val="nil"/>
            </w:tcBorders>
            <w:shd w:val="clear" w:color="auto" w:fill="auto"/>
            <w:noWrap/>
            <w:vAlign w:val="bottom"/>
            <w:hideMark/>
          </w:tcPr>
          <w:p w14:paraId="6076645A" w14:textId="77777777" w:rsidR="00C565FD" w:rsidRPr="00163E69" w:rsidRDefault="00C565FD" w:rsidP="002A2C90">
            <w:pPr>
              <w:jc w:val="center"/>
              <w:rPr>
                <w:rFonts w:ascii="Times New Roman" w:hAnsi="Times New Roman" w:cs="Times New Roman"/>
              </w:rPr>
            </w:pPr>
          </w:p>
        </w:tc>
        <w:tc>
          <w:tcPr>
            <w:tcW w:w="2520" w:type="dxa"/>
            <w:tcBorders>
              <w:top w:val="nil"/>
              <w:left w:val="nil"/>
              <w:bottom w:val="nil"/>
              <w:right w:val="nil"/>
            </w:tcBorders>
            <w:shd w:val="clear" w:color="auto" w:fill="auto"/>
            <w:noWrap/>
            <w:vAlign w:val="bottom"/>
            <w:hideMark/>
          </w:tcPr>
          <w:p w14:paraId="38F4B3FA"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1EA94B26" w14:textId="77777777" w:rsidR="00C565FD" w:rsidRPr="00163E69" w:rsidRDefault="00C565FD" w:rsidP="002A2C90">
            <w:pPr>
              <w:jc w:val="center"/>
              <w:rPr>
                <w:rFonts w:ascii="Times New Roman" w:hAnsi="Times New Roman" w:cs="Times New Roman"/>
              </w:rPr>
            </w:pPr>
          </w:p>
        </w:tc>
        <w:tc>
          <w:tcPr>
            <w:tcW w:w="2016" w:type="dxa"/>
            <w:tcBorders>
              <w:top w:val="nil"/>
              <w:left w:val="nil"/>
              <w:bottom w:val="nil"/>
              <w:right w:val="nil"/>
            </w:tcBorders>
          </w:tcPr>
          <w:p w14:paraId="5FB4B5AA" w14:textId="77777777" w:rsidR="00C565FD" w:rsidRPr="00163E69" w:rsidRDefault="00C565FD" w:rsidP="002A2C90">
            <w:pPr>
              <w:jc w:val="center"/>
              <w:rPr>
                <w:rFonts w:ascii="Times New Roman" w:hAnsi="Times New Roman" w:cs="Times New Roman"/>
              </w:rPr>
            </w:pPr>
          </w:p>
        </w:tc>
      </w:tr>
      <w:tr w:rsidR="00C565FD" w:rsidRPr="00163E69" w14:paraId="0E27B71D" w14:textId="77777777" w:rsidTr="002A2C90">
        <w:trPr>
          <w:gridAfter w:val="2"/>
          <w:wAfter w:w="2304" w:type="dxa"/>
          <w:trHeight w:val="276"/>
        </w:trPr>
        <w:tc>
          <w:tcPr>
            <w:tcW w:w="2016" w:type="dxa"/>
            <w:tcBorders>
              <w:top w:val="nil"/>
              <w:left w:val="nil"/>
              <w:bottom w:val="single" w:sz="4" w:space="0" w:color="000000"/>
              <w:right w:val="nil"/>
            </w:tcBorders>
            <w:shd w:val="clear" w:color="auto" w:fill="auto"/>
            <w:noWrap/>
            <w:vAlign w:val="bottom"/>
            <w:hideMark/>
          </w:tcPr>
          <w:p w14:paraId="417AA80A"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Observations</w:t>
            </w:r>
          </w:p>
        </w:tc>
        <w:tc>
          <w:tcPr>
            <w:tcW w:w="2520" w:type="dxa"/>
            <w:tcBorders>
              <w:top w:val="nil"/>
              <w:left w:val="nil"/>
              <w:bottom w:val="single" w:sz="4" w:space="0" w:color="000000"/>
              <w:right w:val="nil"/>
            </w:tcBorders>
            <w:shd w:val="clear" w:color="auto" w:fill="auto"/>
            <w:noWrap/>
            <w:vAlign w:val="bottom"/>
            <w:hideMark/>
          </w:tcPr>
          <w:p w14:paraId="198D600D"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3,696</w:t>
            </w:r>
          </w:p>
        </w:tc>
        <w:tc>
          <w:tcPr>
            <w:tcW w:w="2016" w:type="dxa"/>
            <w:tcBorders>
              <w:top w:val="nil"/>
              <w:left w:val="nil"/>
              <w:bottom w:val="single" w:sz="4" w:space="0" w:color="000000"/>
              <w:right w:val="nil"/>
            </w:tcBorders>
            <w:shd w:val="clear" w:color="auto" w:fill="auto"/>
            <w:noWrap/>
            <w:vAlign w:val="bottom"/>
            <w:hideMark/>
          </w:tcPr>
          <w:p w14:paraId="5FAA9316"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3,696</w:t>
            </w:r>
          </w:p>
        </w:tc>
        <w:tc>
          <w:tcPr>
            <w:tcW w:w="2016" w:type="dxa"/>
            <w:tcBorders>
              <w:top w:val="nil"/>
              <w:left w:val="nil"/>
              <w:bottom w:val="single" w:sz="4" w:space="0" w:color="000000"/>
              <w:right w:val="nil"/>
            </w:tcBorders>
          </w:tcPr>
          <w:p w14:paraId="2DD98DF5" w14:textId="77777777" w:rsidR="00C565FD" w:rsidRPr="00163E69" w:rsidRDefault="00C565FD" w:rsidP="002A2C90">
            <w:pPr>
              <w:jc w:val="center"/>
              <w:rPr>
                <w:rFonts w:ascii="Times New Roman" w:hAnsi="Times New Roman" w:cs="Times New Roman"/>
              </w:rPr>
            </w:pPr>
            <w:r w:rsidRPr="00163E69">
              <w:rPr>
                <w:rFonts w:ascii="Times New Roman" w:hAnsi="Times New Roman" w:cs="Times New Roman"/>
              </w:rPr>
              <w:t>3,696</w:t>
            </w:r>
          </w:p>
        </w:tc>
      </w:tr>
      <w:tr w:rsidR="00C565FD" w:rsidRPr="00163E69" w14:paraId="1EF3ADF2" w14:textId="77777777" w:rsidTr="002A2C90">
        <w:trPr>
          <w:trHeight w:val="276"/>
        </w:trPr>
        <w:tc>
          <w:tcPr>
            <w:tcW w:w="2016" w:type="dxa"/>
            <w:tcBorders>
              <w:top w:val="nil"/>
              <w:left w:val="nil"/>
              <w:bottom w:val="nil"/>
              <w:right w:val="nil"/>
            </w:tcBorders>
          </w:tcPr>
          <w:p w14:paraId="24A89579" w14:textId="77777777" w:rsidR="00C565FD" w:rsidRPr="00163E69" w:rsidRDefault="00C565FD" w:rsidP="002A2C90">
            <w:pPr>
              <w:rPr>
                <w:rFonts w:ascii="Times New Roman" w:hAnsi="Times New Roman" w:cs="Times New Roman"/>
              </w:rPr>
            </w:pPr>
          </w:p>
        </w:tc>
        <w:tc>
          <w:tcPr>
            <w:tcW w:w="6840" w:type="dxa"/>
            <w:gridSpan w:val="4"/>
            <w:tcBorders>
              <w:top w:val="nil"/>
              <w:left w:val="nil"/>
              <w:bottom w:val="nil"/>
              <w:right w:val="nil"/>
            </w:tcBorders>
            <w:shd w:val="clear" w:color="auto" w:fill="auto"/>
            <w:noWrap/>
            <w:vAlign w:val="bottom"/>
          </w:tcPr>
          <w:p w14:paraId="727B16CD" w14:textId="77777777" w:rsidR="00C565FD" w:rsidRPr="00163E69" w:rsidRDefault="00C565FD" w:rsidP="002A2C90">
            <w:pPr>
              <w:rPr>
                <w:rFonts w:ascii="Times New Roman" w:hAnsi="Times New Roman" w:cs="Times New Roman"/>
              </w:rPr>
            </w:pPr>
          </w:p>
        </w:tc>
        <w:tc>
          <w:tcPr>
            <w:tcW w:w="2016" w:type="dxa"/>
            <w:tcBorders>
              <w:top w:val="nil"/>
              <w:left w:val="nil"/>
              <w:bottom w:val="nil"/>
              <w:right w:val="nil"/>
            </w:tcBorders>
            <w:shd w:val="clear" w:color="auto" w:fill="auto"/>
            <w:noWrap/>
            <w:vAlign w:val="bottom"/>
            <w:hideMark/>
          </w:tcPr>
          <w:p w14:paraId="77269A20" w14:textId="77777777" w:rsidR="00C565FD" w:rsidRPr="00163E69" w:rsidRDefault="00C565FD" w:rsidP="002A2C90">
            <w:pPr>
              <w:rPr>
                <w:rFonts w:ascii="Times New Roman" w:hAnsi="Times New Roman" w:cs="Times New Roman"/>
              </w:rPr>
            </w:pPr>
          </w:p>
        </w:tc>
      </w:tr>
      <w:tr w:rsidR="00C565FD" w:rsidRPr="00163E69" w14:paraId="7073D179" w14:textId="77777777" w:rsidTr="002A2C90">
        <w:trPr>
          <w:trHeight w:val="276"/>
        </w:trPr>
        <w:tc>
          <w:tcPr>
            <w:tcW w:w="8856" w:type="dxa"/>
            <w:gridSpan w:val="5"/>
            <w:tcBorders>
              <w:top w:val="nil"/>
              <w:left w:val="nil"/>
              <w:bottom w:val="nil"/>
              <w:right w:val="nil"/>
            </w:tcBorders>
            <w:vAlign w:val="bottom"/>
          </w:tcPr>
          <w:p w14:paraId="0564DB2F"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Standard errors clustered at the individual level.</w:t>
            </w:r>
          </w:p>
          <w:p w14:paraId="09394B61" w14:textId="2E3D7789" w:rsidR="00C565FD" w:rsidRDefault="00C565FD" w:rsidP="002A2C90">
            <w:pPr>
              <w:rPr>
                <w:rFonts w:ascii="Times New Roman" w:hAnsi="Times New Roman" w:cs="Times New Roman"/>
              </w:rPr>
            </w:pPr>
            <w:r w:rsidRPr="00163E69">
              <w:rPr>
                <w:rFonts w:ascii="Times New Roman" w:hAnsi="Times New Roman" w:cs="Times New Roman"/>
              </w:rPr>
              <w:t>Decision task numbers correspond to the labels in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REF _Ref164680688 \h </w:instrText>
            </w:r>
            <w:r>
              <w:rPr>
                <w:rFonts w:ascii="Times New Roman" w:hAnsi="Times New Roman" w:cs="Times New Roman"/>
              </w:rPr>
            </w:r>
            <w:r>
              <w:rPr>
                <w:rFonts w:ascii="Times New Roman" w:hAnsi="Times New Roman" w:cs="Times New Roman"/>
              </w:rPr>
              <w:fldChar w:fldCharType="separate"/>
            </w:r>
            <w:r w:rsidR="00142A7E" w:rsidRPr="00163E69">
              <w:rPr>
                <w:rFonts w:ascii="Times New Roman" w:hAnsi="Times New Roman" w:cs="Times New Roman"/>
                <w:bCs/>
              </w:rPr>
              <w:t xml:space="preserve">Table </w:t>
            </w:r>
            <w:r w:rsidR="00142A7E">
              <w:rPr>
                <w:rFonts w:ascii="Times New Roman" w:hAnsi="Times New Roman" w:cs="Times New Roman"/>
                <w:bCs/>
                <w:noProof/>
              </w:rPr>
              <w:t>10</w:t>
            </w:r>
            <w:r>
              <w:rPr>
                <w:rFonts w:ascii="Times New Roman" w:hAnsi="Times New Roman" w:cs="Times New Roman"/>
              </w:rPr>
              <w:fldChar w:fldCharType="end"/>
            </w:r>
            <w:r>
              <w:rPr>
                <w:rFonts w:ascii="Times New Roman" w:hAnsi="Times New Roman" w:cs="Times New Roman"/>
              </w:rPr>
              <w:t>.</w:t>
            </w:r>
          </w:p>
          <w:p w14:paraId="760D8FA4" w14:textId="77777777" w:rsidR="00C565FD" w:rsidRPr="00163E69" w:rsidRDefault="00C565FD" w:rsidP="002A2C90">
            <w:pPr>
              <w:rPr>
                <w:rFonts w:ascii="Times New Roman" w:hAnsi="Times New Roman" w:cs="Times New Roman"/>
              </w:rPr>
            </w:pPr>
            <w:r>
              <w:rPr>
                <w:rFonts w:ascii="Times New Roman" w:hAnsi="Times New Roman" w:cs="Times New Roman"/>
              </w:rPr>
              <w:t>Reported values are the marginal effects compared to the base scenario under decision task 1.</w:t>
            </w:r>
          </w:p>
        </w:tc>
        <w:tc>
          <w:tcPr>
            <w:tcW w:w="2016" w:type="dxa"/>
            <w:tcBorders>
              <w:top w:val="nil"/>
              <w:left w:val="nil"/>
              <w:bottom w:val="nil"/>
              <w:right w:val="nil"/>
            </w:tcBorders>
            <w:shd w:val="clear" w:color="auto" w:fill="auto"/>
            <w:noWrap/>
            <w:vAlign w:val="bottom"/>
            <w:hideMark/>
          </w:tcPr>
          <w:p w14:paraId="014C8AC1" w14:textId="77777777" w:rsidR="00C565FD" w:rsidRPr="00163E69" w:rsidRDefault="00C565FD" w:rsidP="002A2C90">
            <w:pPr>
              <w:rPr>
                <w:rFonts w:ascii="Times New Roman" w:hAnsi="Times New Roman" w:cs="Times New Roman"/>
              </w:rPr>
            </w:pPr>
          </w:p>
        </w:tc>
      </w:tr>
      <w:tr w:rsidR="00C565FD" w:rsidRPr="00163E69" w14:paraId="5810129E" w14:textId="77777777" w:rsidTr="002A2C90">
        <w:trPr>
          <w:trHeight w:val="276"/>
        </w:trPr>
        <w:tc>
          <w:tcPr>
            <w:tcW w:w="8856" w:type="dxa"/>
            <w:gridSpan w:val="5"/>
            <w:tcBorders>
              <w:top w:val="nil"/>
              <w:left w:val="nil"/>
              <w:bottom w:val="nil"/>
              <w:right w:val="nil"/>
            </w:tcBorders>
            <w:vAlign w:val="bottom"/>
          </w:tcPr>
          <w:p w14:paraId="2637F41D" w14:textId="77777777" w:rsidR="00C565FD" w:rsidRPr="00163E69" w:rsidRDefault="00C565FD" w:rsidP="002A2C90">
            <w:pPr>
              <w:rPr>
                <w:rFonts w:ascii="Times New Roman" w:hAnsi="Times New Roman" w:cs="Times New Roman"/>
              </w:rPr>
            </w:pPr>
            <w:r w:rsidRPr="00163E69">
              <w:rPr>
                <w:rFonts w:ascii="Times New Roman" w:hAnsi="Times New Roman" w:cs="Times New Roman"/>
              </w:rPr>
              <w:t>*** p&lt;0.01, ** p&lt;0.05, * p&lt;0.1</w:t>
            </w:r>
          </w:p>
        </w:tc>
        <w:tc>
          <w:tcPr>
            <w:tcW w:w="2016" w:type="dxa"/>
            <w:tcBorders>
              <w:top w:val="nil"/>
              <w:left w:val="nil"/>
              <w:bottom w:val="nil"/>
              <w:right w:val="nil"/>
            </w:tcBorders>
            <w:shd w:val="clear" w:color="auto" w:fill="auto"/>
            <w:noWrap/>
            <w:vAlign w:val="bottom"/>
          </w:tcPr>
          <w:p w14:paraId="4B9CC3CB" w14:textId="77777777" w:rsidR="00C565FD" w:rsidRPr="00163E69" w:rsidRDefault="00C565FD" w:rsidP="002A2C90">
            <w:pPr>
              <w:rPr>
                <w:rFonts w:ascii="Times New Roman" w:hAnsi="Times New Roman" w:cs="Times New Roman"/>
              </w:rPr>
            </w:pPr>
          </w:p>
        </w:tc>
      </w:tr>
    </w:tbl>
    <w:p w14:paraId="7BA7295C" w14:textId="77777777" w:rsidR="00C565FD" w:rsidRPr="00163E69" w:rsidRDefault="00C565FD" w:rsidP="00C565FD">
      <w:pPr>
        <w:rPr>
          <w:rFonts w:ascii="Times New Roman" w:hAnsi="Times New Roman" w:cs="Times New Roman"/>
        </w:rPr>
      </w:pPr>
      <w:r w:rsidRPr="00163E69">
        <w:rPr>
          <w:rFonts w:ascii="Times New Roman" w:hAnsi="Times New Roman" w:cs="Times New Roman"/>
        </w:rPr>
        <w:t xml:space="preserve"> </w:t>
      </w:r>
      <w:r w:rsidRPr="00163E69">
        <w:rPr>
          <w:rFonts w:ascii="Times New Roman" w:hAnsi="Times New Roman" w:cs="Times New Roman"/>
        </w:rPr>
        <w:br w:type="page"/>
      </w:r>
    </w:p>
    <w:p w14:paraId="56EAB930" w14:textId="77777777" w:rsidR="00C565FD" w:rsidRPr="00163E69" w:rsidRDefault="00C565FD" w:rsidP="00C565FD">
      <w:pPr>
        <w:keepNext/>
        <w:spacing w:line="480" w:lineRule="auto"/>
        <w:rPr>
          <w:rFonts w:ascii="Times New Roman" w:hAnsi="Times New Roman" w:cs="Times New Roman"/>
          <w:bCs/>
        </w:rPr>
        <w:sectPr w:rsidR="00C565FD" w:rsidRPr="00163E69" w:rsidSect="00FE7549">
          <w:pgSz w:w="12240" w:h="15840" w:code="1"/>
          <w:pgMar w:top="1440" w:right="1800" w:bottom="1872" w:left="1800" w:header="720" w:footer="1440" w:gutter="0"/>
          <w:cols w:space="720"/>
          <w:noEndnote/>
          <w:docGrid w:linePitch="360"/>
        </w:sectPr>
      </w:pPr>
    </w:p>
    <w:p w14:paraId="05CF4F91" w14:textId="77777777" w:rsidR="00C565FD" w:rsidRPr="00163E69" w:rsidRDefault="00C565FD" w:rsidP="00C565FD">
      <w:pPr>
        <w:keepNext/>
        <w:spacing w:before="240" w:after="60" w:line="480" w:lineRule="auto"/>
        <w:outlineLvl w:val="2"/>
        <w:rPr>
          <w:rFonts w:ascii="Times New Roman" w:hAnsi="Times New Roman" w:cs="Times New Roman"/>
          <w:b/>
          <w:bCs/>
          <w:i/>
        </w:rPr>
      </w:pPr>
      <w:bookmarkStart w:id="112" w:name="_Toc160720152"/>
      <w:bookmarkStart w:id="113" w:name="_Toc164862519"/>
      <w:r w:rsidRPr="00163E69">
        <w:rPr>
          <w:rFonts w:ascii="Times New Roman" w:hAnsi="Times New Roman" w:cs="Times New Roman"/>
          <w:b/>
          <w:bCs/>
          <w:i/>
        </w:rPr>
        <w:lastRenderedPageBreak/>
        <w:t xml:space="preserve">APPENDIX: THEORETICAL </w:t>
      </w:r>
      <w:bookmarkEnd w:id="112"/>
      <w:r w:rsidRPr="00163E69">
        <w:rPr>
          <w:rFonts w:ascii="Times New Roman" w:hAnsi="Times New Roman" w:cs="Times New Roman"/>
          <w:b/>
          <w:bCs/>
          <w:i/>
        </w:rPr>
        <w:t>EQUIVALENCE</w:t>
      </w:r>
      <w:bookmarkEnd w:id="113"/>
    </w:p>
    <w:p w14:paraId="7D2C1B14"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It may be unclear how the theoretical setup is equivalent to Dixit and Pindyck’s (1994) real option theory exposition. In this section, I walk through Dixit and Pindyck’s (1994) simple model to show how it is mathematically equivalent to </w:t>
      </w:r>
      <w:r>
        <w:rPr>
          <w:rFonts w:ascii="Times New Roman" w:hAnsi="Times New Roman" w:cs="Times New Roman"/>
          <w:bCs/>
        </w:rPr>
        <w:t>the</w:t>
      </w:r>
      <w:r w:rsidRPr="00163E69">
        <w:rPr>
          <w:rFonts w:ascii="Times New Roman" w:hAnsi="Times New Roman" w:cs="Times New Roman"/>
          <w:bCs/>
        </w:rPr>
        <w:t xml:space="preserve"> theoretical model. </w:t>
      </w:r>
    </w:p>
    <w:p w14:paraId="2017D151"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Consider investing in a factory which produces one unit of output which can be sold at a price, </w:t>
      </w:r>
      <m:oMath>
        <m:r>
          <m:rPr>
            <m:sty m:val="bi"/>
          </m:rPr>
          <w:rPr>
            <w:rFonts w:ascii="Cambria Math" w:hAnsi="Cambria Math" w:cs="Times New Roman"/>
          </w:rPr>
          <m:t>P</m:t>
        </m:r>
      </m:oMath>
      <w:r w:rsidRPr="00163E69">
        <w:rPr>
          <w:rFonts w:ascii="Times New Roman" w:hAnsi="Times New Roman" w:cs="Times New Roman"/>
          <w:bCs/>
        </w:rPr>
        <w:t xml:space="preserve">. At period 0, the price of the output is known with certainty, </w:t>
      </w:r>
      <m:oMath>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oMath>
      <w:r w:rsidRPr="00163E69">
        <w:rPr>
          <w:rFonts w:ascii="Times New Roman" w:hAnsi="Times New Roman" w:cs="Times New Roman"/>
          <w:bCs/>
        </w:rPr>
        <w:t xml:space="preserve">. In period 1, the price could increase to </w:t>
      </w:r>
      <m:oMath>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1</m:t>
            </m:r>
          </m:sub>
        </m:sSub>
        <m:r>
          <m:rPr>
            <m:sty m:val="bi"/>
          </m:rPr>
          <w:rPr>
            <w:rFonts w:ascii="Cambria Math" w:hAnsi="Cambria Math" w:cs="Times New Roman"/>
          </w:rPr>
          <m:t>=1.5</m:t>
        </m:r>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oMath>
      <w:r w:rsidRPr="00163E69">
        <w:rPr>
          <w:rFonts w:ascii="Times New Roman" w:hAnsi="Times New Roman" w:cs="Times New Roman"/>
          <w:bCs/>
        </w:rPr>
        <w:t xml:space="preserve"> with probability </w:t>
      </w:r>
      <m:oMath>
        <m:r>
          <m:rPr>
            <m:sty m:val="bi"/>
          </m:rPr>
          <w:rPr>
            <w:rFonts w:ascii="Cambria Math" w:hAnsi="Cambria Math" w:cs="Times New Roman"/>
          </w:rPr>
          <m:t>q=0.5</m:t>
        </m:r>
      </m:oMath>
      <w:r w:rsidRPr="00163E69">
        <w:rPr>
          <w:rFonts w:ascii="Times New Roman" w:hAnsi="Times New Roman" w:cs="Times New Roman"/>
          <w:bCs/>
        </w:rPr>
        <w:t xml:space="preserve">, or decrease to </w:t>
      </w:r>
      <m:oMath>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1</m:t>
            </m:r>
          </m:sub>
        </m:sSub>
        <m:r>
          <m:rPr>
            <m:sty m:val="bi"/>
          </m:rPr>
          <w:rPr>
            <w:rFonts w:ascii="Cambria Math" w:hAnsi="Cambria Math" w:cs="Times New Roman"/>
          </w:rPr>
          <m:t>=0.5</m:t>
        </m:r>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oMath>
      <w:r w:rsidRPr="00163E69">
        <w:rPr>
          <w:rFonts w:ascii="Times New Roman" w:hAnsi="Times New Roman" w:cs="Times New Roman"/>
          <w:bCs/>
        </w:rPr>
        <w:t xml:space="preserve"> with probability </w:t>
      </w:r>
      <m:oMath>
        <m:r>
          <m:rPr>
            <m:sty m:val="bi"/>
          </m:rPr>
          <w:rPr>
            <w:rFonts w:ascii="Cambria Math" w:hAnsi="Cambria Math" w:cs="Times New Roman"/>
          </w:rPr>
          <m:t>1-q=0.5</m:t>
        </m:r>
      </m:oMath>
      <w:r w:rsidRPr="00163E69">
        <w:rPr>
          <w:rFonts w:ascii="Times New Roman" w:hAnsi="Times New Roman" w:cs="Times New Roman"/>
          <w:bCs/>
        </w:rPr>
        <w:t xml:space="preserve">. For all periods after period 1, the price will not change; that is </w:t>
      </w:r>
      <m:oMath>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1</m:t>
            </m:r>
          </m:sub>
        </m:sSub>
        <m:r>
          <m:rPr>
            <m:sty m:val="bi"/>
          </m:rPr>
          <w:rPr>
            <w:rFonts w:ascii="Cambria Math" w:hAnsi="Cambria Math" w:cs="Times New Roman"/>
          </w:rPr>
          <m:t>=</m:t>
        </m:r>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2</m:t>
            </m:r>
          </m:sub>
        </m:sSub>
        <m:r>
          <m:rPr>
            <m:sty m:val="bi"/>
          </m:rPr>
          <w:rPr>
            <w:rFonts w:ascii="Cambria Math" w:hAnsi="Cambria Math" w:cs="Times New Roman"/>
          </w:rPr>
          <m:t>=</m:t>
        </m:r>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3</m:t>
            </m:r>
          </m:sub>
        </m:sSub>
        <m:r>
          <m:rPr>
            <m:sty m:val="bi"/>
          </m:rPr>
          <w:rPr>
            <w:rFonts w:ascii="Cambria Math" w:hAnsi="Cambria Math" w:cs="Times New Roman"/>
          </w:rPr>
          <m:t>=…</m:t>
        </m:r>
      </m:oMath>
      <w:r w:rsidRPr="00163E69">
        <w:rPr>
          <w:rFonts w:ascii="Times New Roman" w:hAnsi="Times New Roman" w:cs="Times New Roman"/>
          <w:bCs/>
        </w:rPr>
        <w:t xml:space="preserve">. The cost of investing in this factory is </w:t>
      </w:r>
      <m:oMath>
        <m:r>
          <m:rPr>
            <m:sty m:val="bi"/>
          </m:rPr>
          <w:rPr>
            <w:rFonts w:ascii="Cambria Math" w:hAnsi="Cambria Math" w:cs="Times New Roman"/>
          </w:rPr>
          <m:t>I</m:t>
        </m:r>
      </m:oMath>
      <w:r w:rsidRPr="00163E69">
        <w:rPr>
          <w:rFonts w:ascii="Times New Roman" w:hAnsi="Times New Roman" w:cs="Times New Roman"/>
          <w:bCs/>
        </w:rPr>
        <w:t xml:space="preserve">, and the investment is irreversible in that </w:t>
      </w:r>
      <m:oMath>
        <m:r>
          <m:rPr>
            <m:sty m:val="bi"/>
          </m:rPr>
          <w:rPr>
            <w:rFonts w:ascii="Cambria Math" w:hAnsi="Cambria Math" w:cs="Times New Roman"/>
          </w:rPr>
          <m:t>I</m:t>
        </m:r>
      </m:oMath>
      <w:r w:rsidRPr="00163E69">
        <w:rPr>
          <w:rFonts w:ascii="Times New Roman" w:hAnsi="Times New Roman" w:cs="Times New Roman"/>
          <w:bCs/>
        </w:rPr>
        <w:t xml:space="preserve"> is entirely a sunk cost. Let </w:t>
      </w:r>
      <m:oMath>
        <m:r>
          <m:rPr>
            <m:sty m:val="bi"/>
          </m:rPr>
          <w:rPr>
            <w:rFonts w:ascii="Cambria Math" w:hAnsi="Cambria Math" w:cs="Times New Roman"/>
          </w:rPr>
          <m:t>r</m:t>
        </m:r>
      </m:oMath>
      <w:r w:rsidRPr="00163E69">
        <w:rPr>
          <w:rFonts w:ascii="Times New Roman" w:hAnsi="Times New Roman" w:cs="Times New Roman"/>
          <w:bCs/>
        </w:rPr>
        <w:t xml:space="preserve"> be the discount rate. </w:t>
      </w:r>
    </w:p>
    <w:p w14:paraId="4CC5DE6D"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The decision problem in period 0 is to invest or wait until period 1. If </w:t>
      </w:r>
      <w:r>
        <w:rPr>
          <w:rFonts w:ascii="Times New Roman" w:hAnsi="Times New Roman" w:cs="Times New Roman"/>
          <w:bCs/>
        </w:rPr>
        <w:t>they</w:t>
      </w:r>
      <w:r w:rsidRPr="00163E69">
        <w:rPr>
          <w:rFonts w:ascii="Times New Roman" w:hAnsi="Times New Roman" w:cs="Times New Roman"/>
          <w:bCs/>
        </w:rPr>
        <w:t xml:space="preserve"> invest in period 0, then </w:t>
      </w:r>
      <w:r>
        <w:rPr>
          <w:rFonts w:ascii="Times New Roman" w:hAnsi="Times New Roman" w:cs="Times New Roman"/>
          <w:bCs/>
        </w:rPr>
        <w:t>they</w:t>
      </w:r>
      <w:r w:rsidRPr="00163E69">
        <w:rPr>
          <w:rFonts w:ascii="Times New Roman" w:hAnsi="Times New Roman" w:cs="Times New Roman"/>
          <w:bCs/>
        </w:rPr>
        <w:t xml:space="preserve"> earn a profit of </w:t>
      </w:r>
    </w:p>
    <w:p w14:paraId="5DF2D8CF"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sSub>
                <m:sSubPr>
                  <m:ctrlPr>
                    <w:rPr>
                      <w:rFonts w:ascii="Cambria Math" w:hAnsi="Cambria Math" w:cs="Times New Roman"/>
                      <w:bCs/>
                    </w:rPr>
                  </m:ctrlPr>
                </m:sSubPr>
                <m:e>
                  <m:r>
                    <m:rPr>
                      <m:sty m:val="bi"/>
                    </m:rPr>
                    <w:rPr>
                      <w:rFonts w:ascii="Cambria Math" w:hAnsi="Cambria Math" w:cs="Times New Roman"/>
                    </w:rPr>
                    <m:t>V</m:t>
                  </m:r>
                </m:e>
                <m:sub>
                  <m:r>
                    <m:rPr>
                      <m:sty m:val="b"/>
                    </m:rPr>
                    <w:rPr>
                      <w:rFonts w:ascii="Cambria Math" w:hAnsi="Cambria Math" w:cs="Times New Roman"/>
                    </w:rPr>
                    <m:t>0</m:t>
                  </m:r>
                </m:sub>
              </m:sSub>
              <m:r>
                <m:rPr>
                  <m:sty m:val="p"/>
                </m:rPr>
                <w:rPr>
                  <w:rFonts w:ascii="Cambria Math" w:hAnsi="Cambria Math" w:cs="Times New Roman"/>
                </w:rPr>
                <m:t>=</m:t>
              </m:r>
              <m:r>
                <m:rPr>
                  <m:sty m:val="bi"/>
                </m:rPr>
                <w:rPr>
                  <w:rFonts w:ascii="Cambria Math" w:hAnsi="Cambria Math" w:cs="Times New Roman"/>
                </w:rPr>
                <m:t>P</m:t>
              </m:r>
            </m:e>
            <m:sub>
              <m:r>
                <m:rPr>
                  <m:sty m:val="b"/>
                </m:rPr>
                <w:rPr>
                  <w:rFonts w:ascii="Cambria Math" w:hAnsi="Cambria Math" w:cs="Times New Roman"/>
                </w:rPr>
                <m:t>0</m:t>
              </m:r>
            </m:sub>
          </m:sSub>
          <m:r>
            <m:rPr>
              <m:sty m:val="p"/>
            </m:rPr>
            <w:rPr>
              <w:rFonts w:ascii="Cambria Math" w:hAnsi="Cambria Math" w:cs="Times New Roman"/>
            </w:rPr>
            <m:t>+</m:t>
          </m:r>
          <m:nary>
            <m:naryPr>
              <m:chr m:val="∑"/>
              <m:limLoc m:val="undOvr"/>
              <m:ctrlPr>
                <w:rPr>
                  <w:rFonts w:ascii="Cambria Math" w:hAnsi="Cambria Math" w:cs="Times New Roman"/>
                  <w:bCs/>
                </w:rPr>
              </m:ctrlPr>
            </m:naryPr>
            <m:sub>
              <m:r>
                <m:rPr>
                  <m:sty m:val="bi"/>
                </m:rPr>
                <w:rPr>
                  <w:rFonts w:ascii="Cambria Math" w:hAnsi="Cambria Math" w:cs="Times New Roman"/>
                </w:rPr>
                <m:t>t</m:t>
              </m:r>
              <m:r>
                <m:rPr>
                  <m:sty m:val="p"/>
                </m:rPr>
                <w:rPr>
                  <w:rFonts w:ascii="Cambria Math" w:hAnsi="Cambria Math" w:cs="Times New Roman"/>
                </w:rPr>
                <m:t>=</m:t>
              </m:r>
              <m:r>
                <m:rPr>
                  <m:sty m:val="b"/>
                </m:rPr>
                <w:rPr>
                  <w:rFonts w:ascii="Cambria Math" w:hAnsi="Cambria Math" w:cs="Times New Roman"/>
                </w:rPr>
                <m:t>1</m:t>
              </m:r>
            </m:sub>
            <m:sup>
              <m:r>
                <m:rPr>
                  <m:sty m:val="bi"/>
                </m:rPr>
                <w:rPr>
                  <w:rFonts w:ascii="Cambria Math" w:hAnsi="Cambria Math" w:cs="Times New Roman"/>
                </w:rPr>
                <m:t>t</m:t>
              </m:r>
              <m:r>
                <m:rPr>
                  <m:sty m:val="p"/>
                </m:rPr>
                <w:rPr>
                  <w:rFonts w:ascii="Cambria Math" w:hAnsi="Cambria Math" w:cs="Times New Roman"/>
                </w:rPr>
                <m:t>=∞</m:t>
              </m:r>
            </m:sup>
            <m:e>
              <m:f>
                <m:fPr>
                  <m:ctrlPr>
                    <w:rPr>
                      <w:rFonts w:ascii="Cambria Math" w:hAnsi="Cambria Math" w:cs="Times New Roman"/>
                      <w:bCs/>
                    </w:rPr>
                  </m:ctrlPr>
                </m:fPr>
                <m:num>
                  <m:r>
                    <m:rPr>
                      <m:sty m:val="bi"/>
                    </m:rPr>
                    <w:rPr>
                      <w:rFonts w:ascii="Cambria Math" w:hAnsi="Cambria Math" w:cs="Times New Roman"/>
                    </w:rPr>
                    <m:t>EV</m:t>
                  </m:r>
                  <m:d>
                    <m:dPr>
                      <m:begChr m:val="["/>
                      <m:endChr m:val="]"/>
                      <m:ctrlPr>
                        <w:rPr>
                          <w:rFonts w:ascii="Cambria Math" w:hAnsi="Cambria Math" w:cs="Times New Roman"/>
                          <w:bCs/>
                        </w:rPr>
                      </m:ctrlPr>
                    </m:dPr>
                    <m:e>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1</m:t>
                          </m:r>
                        </m:sub>
                      </m:sSub>
                    </m:e>
                  </m:d>
                </m:num>
                <m:den>
                  <m:sSup>
                    <m:sSupPr>
                      <m:ctrlPr>
                        <w:rPr>
                          <w:rFonts w:ascii="Cambria Math" w:hAnsi="Cambria Math" w:cs="Times New Roman"/>
                          <w:bCs/>
                        </w:rPr>
                      </m:ctrlPr>
                    </m:sSupPr>
                    <m:e>
                      <m:r>
                        <m:rPr>
                          <m:sty m:val="p"/>
                        </m:rPr>
                        <w:rPr>
                          <w:rFonts w:ascii="Cambria Math" w:hAnsi="Cambria Math" w:cs="Times New Roman"/>
                        </w:rPr>
                        <m:t>(</m:t>
                      </m:r>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r>
                        <m:rPr>
                          <m:sty m:val="p"/>
                        </m:rPr>
                        <w:rPr>
                          <w:rFonts w:ascii="Cambria Math" w:hAnsi="Cambria Math" w:cs="Times New Roman"/>
                        </w:rPr>
                        <m:t>)</m:t>
                      </m:r>
                    </m:e>
                    <m:sup>
                      <m:r>
                        <m:rPr>
                          <m:sty m:val="bi"/>
                        </m:rPr>
                        <w:rPr>
                          <w:rFonts w:ascii="Cambria Math" w:hAnsi="Cambria Math" w:cs="Times New Roman"/>
                        </w:rPr>
                        <m:t>t</m:t>
                      </m:r>
                    </m:sup>
                  </m:sSup>
                </m:den>
              </m:f>
            </m:e>
          </m:nary>
          <m:r>
            <m:rPr>
              <m:sty m:val="p"/>
            </m:rPr>
            <w:rPr>
              <w:rFonts w:ascii="Cambria Math" w:hAnsi="Cambria Math" w:cs="Times New Roman"/>
            </w:rPr>
            <m:t>-</m:t>
          </m:r>
          <m:r>
            <m:rPr>
              <m:sty m:val="bi"/>
            </m:rPr>
            <w:rPr>
              <w:rFonts w:ascii="Cambria Math" w:hAnsi="Cambria Math" w:cs="Times New Roman"/>
            </w:rPr>
            <m:t>I</m:t>
          </m:r>
        </m:oMath>
      </m:oMathPara>
    </w:p>
    <w:p w14:paraId="4874558A"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where the expected value of </w:t>
      </w:r>
      <m:oMath>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1</m:t>
            </m:r>
          </m:sub>
        </m:sSub>
      </m:oMath>
      <w:r w:rsidRPr="00163E69">
        <w:rPr>
          <w:rFonts w:ascii="Times New Roman" w:hAnsi="Times New Roman" w:cs="Times New Roman"/>
          <w:bCs/>
        </w:rPr>
        <w:t xml:space="preserve"> is </w:t>
      </w:r>
      <m:oMath>
        <m:r>
          <m:rPr>
            <m:sty m:val="b"/>
          </m:rPr>
          <w:rPr>
            <w:rFonts w:ascii="Cambria Math" w:hAnsi="Cambria Math" w:cs="Times New Roman"/>
          </w:rPr>
          <m:t>0.5</m:t>
        </m:r>
        <m:d>
          <m:dPr>
            <m:ctrlPr>
              <w:rPr>
                <w:rFonts w:ascii="Cambria Math" w:hAnsi="Cambria Math" w:cs="Times New Roman"/>
                <w:bCs/>
              </w:rPr>
            </m:ctrlPr>
          </m:dPr>
          <m:e>
            <m:r>
              <m:rPr>
                <m:sty m:val="b"/>
              </m:rPr>
              <w:rPr>
                <w:rFonts w:ascii="Cambria Math" w:hAnsi="Cambria Math" w:cs="Times New Roman"/>
              </w:rPr>
              <m:t>0.5</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e>
        </m:d>
        <m:r>
          <m:rPr>
            <m:sty m:val="b"/>
          </m:rPr>
          <w:rPr>
            <w:rFonts w:ascii="Cambria Math" w:hAnsi="Cambria Math" w:cs="Times New Roman"/>
          </w:rPr>
          <m:t>+0.5</m:t>
        </m:r>
        <m:d>
          <m:dPr>
            <m:ctrlPr>
              <w:rPr>
                <w:rFonts w:ascii="Cambria Math" w:hAnsi="Cambria Math" w:cs="Times New Roman"/>
                <w:bCs/>
              </w:rPr>
            </m:ctrlPr>
          </m:dPr>
          <m:e>
            <m:r>
              <m:rPr>
                <m:sty m:val="b"/>
              </m:rPr>
              <w:rPr>
                <w:rFonts w:ascii="Cambria Math" w:hAnsi="Cambria Math" w:cs="Times New Roman"/>
              </w:rPr>
              <m:t>1.5</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e>
        </m:d>
        <m:r>
          <m:rPr>
            <m:sty m:val="b"/>
          </m:rPr>
          <w:rPr>
            <w:rFonts w:ascii="Cambria Math" w:hAnsi="Cambria Math" w:cs="Times New Roman"/>
          </w:rPr>
          <m:t>=</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oMath>
      <w:r w:rsidRPr="00163E69">
        <w:rPr>
          <w:rFonts w:ascii="Times New Roman" w:hAnsi="Times New Roman" w:cs="Times New Roman"/>
          <w:bCs/>
        </w:rPr>
        <w:t xml:space="preserve">. Thus, </w:t>
      </w:r>
      <w:r>
        <w:rPr>
          <w:rFonts w:ascii="Times New Roman" w:hAnsi="Times New Roman" w:cs="Times New Roman"/>
          <w:bCs/>
        </w:rPr>
        <w:t>the</w:t>
      </w:r>
      <w:r w:rsidRPr="00163E69">
        <w:rPr>
          <w:rFonts w:ascii="Times New Roman" w:hAnsi="Times New Roman" w:cs="Times New Roman"/>
          <w:bCs/>
        </w:rPr>
        <w:t xml:space="preserve"> profit is</w:t>
      </w:r>
    </w:p>
    <w:p w14:paraId="32026EE4"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sSub>
                <m:sSubPr>
                  <m:ctrlPr>
                    <w:rPr>
                      <w:rFonts w:ascii="Cambria Math" w:hAnsi="Cambria Math" w:cs="Times New Roman"/>
                      <w:bCs/>
                    </w:rPr>
                  </m:ctrlPr>
                </m:sSubPr>
                <m:e>
                  <m:r>
                    <m:rPr>
                      <m:sty m:val="bi"/>
                    </m:rPr>
                    <w:rPr>
                      <w:rFonts w:ascii="Cambria Math" w:hAnsi="Cambria Math" w:cs="Times New Roman"/>
                    </w:rPr>
                    <m:t>V</m:t>
                  </m:r>
                </m:e>
                <m:sub>
                  <m:r>
                    <m:rPr>
                      <m:sty m:val="b"/>
                    </m:rPr>
                    <w:rPr>
                      <w:rFonts w:ascii="Cambria Math" w:hAnsi="Cambria Math" w:cs="Times New Roman"/>
                    </w:rPr>
                    <m:t>0</m:t>
                  </m:r>
                </m:sub>
              </m:sSub>
              <m:r>
                <m:rPr>
                  <m:sty m:val="p"/>
                </m:rPr>
                <w:rPr>
                  <w:rFonts w:ascii="Cambria Math" w:hAnsi="Cambria Math" w:cs="Times New Roman"/>
                </w:rPr>
                <m:t>=</m:t>
              </m:r>
              <m:r>
                <m:rPr>
                  <m:sty m:val="bi"/>
                </m:rPr>
                <w:rPr>
                  <w:rFonts w:ascii="Cambria Math" w:hAnsi="Cambria Math" w:cs="Times New Roman"/>
                </w:rPr>
                <m:t>P</m:t>
              </m:r>
            </m:e>
            <m:sub>
              <m:r>
                <m:rPr>
                  <m:sty m:val="b"/>
                </m:rPr>
                <w:rPr>
                  <w:rFonts w:ascii="Cambria Math" w:hAnsi="Cambria Math" w:cs="Times New Roman"/>
                </w:rPr>
                <m:t>0</m:t>
              </m:r>
            </m:sub>
          </m:sSub>
          <m:r>
            <m:rPr>
              <m:sty m:val="p"/>
            </m:rPr>
            <w:rPr>
              <w:rFonts w:ascii="Cambria Math" w:hAnsi="Cambria Math" w:cs="Times New Roman"/>
            </w:rPr>
            <m:t>+</m:t>
          </m:r>
          <m:nary>
            <m:naryPr>
              <m:chr m:val="∑"/>
              <m:limLoc m:val="undOvr"/>
              <m:ctrlPr>
                <w:rPr>
                  <w:rFonts w:ascii="Cambria Math" w:hAnsi="Cambria Math" w:cs="Times New Roman"/>
                  <w:bCs/>
                </w:rPr>
              </m:ctrlPr>
            </m:naryPr>
            <m:sub>
              <m:r>
                <m:rPr>
                  <m:sty m:val="bi"/>
                </m:rPr>
                <w:rPr>
                  <w:rFonts w:ascii="Cambria Math" w:hAnsi="Cambria Math" w:cs="Times New Roman"/>
                </w:rPr>
                <m:t>t</m:t>
              </m:r>
              <m:r>
                <m:rPr>
                  <m:sty m:val="p"/>
                </m:rPr>
                <w:rPr>
                  <w:rFonts w:ascii="Cambria Math" w:hAnsi="Cambria Math" w:cs="Times New Roman"/>
                </w:rPr>
                <m:t>=</m:t>
              </m:r>
              <m:r>
                <m:rPr>
                  <m:sty m:val="b"/>
                </m:rPr>
                <w:rPr>
                  <w:rFonts w:ascii="Cambria Math" w:hAnsi="Cambria Math" w:cs="Times New Roman"/>
                </w:rPr>
                <m:t>1</m:t>
              </m:r>
            </m:sub>
            <m:sup>
              <m:r>
                <m:rPr>
                  <m:sty m:val="bi"/>
                </m:rPr>
                <w:rPr>
                  <w:rFonts w:ascii="Cambria Math" w:hAnsi="Cambria Math" w:cs="Times New Roman"/>
                </w:rPr>
                <m:t>t</m:t>
              </m:r>
              <m:r>
                <m:rPr>
                  <m:sty m:val="p"/>
                </m:rPr>
                <w:rPr>
                  <w:rFonts w:ascii="Cambria Math" w:hAnsi="Cambria Math" w:cs="Times New Roman"/>
                </w:rPr>
                <m:t>=∞</m:t>
              </m:r>
            </m:sup>
            <m:e>
              <m:f>
                <m:fPr>
                  <m:ctrlPr>
                    <w:rPr>
                      <w:rFonts w:ascii="Cambria Math" w:hAnsi="Cambria Math" w:cs="Times New Roman"/>
                      <w:bCs/>
                    </w:rPr>
                  </m:ctrlPr>
                </m:fPr>
                <m:num>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num>
                <m:den>
                  <m:sSup>
                    <m:sSupPr>
                      <m:ctrlPr>
                        <w:rPr>
                          <w:rFonts w:ascii="Cambria Math" w:hAnsi="Cambria Math" w:cs="Times New Roman"/>
                          <w:bCs/>
                        </w:rPr>
                      </m:ctrlPr>
                    </m:sSupPr>
                    <m:e>
                      <m:r>
                        <m:rPr>
                          <m:sty m:val="p"/>
                        </m:rPr>
                        <w:rPr>
                          <w:rFonts w:ascii="Cambria Math" w:hAnsi="Cambria Math" w:cs="Times New Roman"/>
                        </w:rPr>
                        <m:t>(</m:t>
                      </m:r>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r>
                        <m:rPr>
                          <m:sty m:val="p"/>
                        </m:rPr>
                        <w:rPr>
                          <w:rFonts w:ascii="Cambria Math" w:hAnsi="Cambria Math" w:cs="Times New Roman"/>
                        </w:rPr>
                        <m:t>)</m:t>
                      </m:r>
                    </m:e>
                    <m:sup>
                      <m:r>
                        <m:rPr>
                          <m:sty m:val="bi"/>
                        </m:rPr>
                        <w:rPr>
                          <w:rFonts w:ascii="Cambria Math" w:hAnsi="Cambria Math" w:cs="Times New Roman"/>
                        </w:rPr>
                        <m:t>t</m:t>
                      </m:r>
                    </m:sup>
                  </m:sSup>
                </m:den>
              </m:f>
            </m:e>
          </m:nary>
          <m:r>
            <m:rPr>
              <m:sty m:val="p"/>
            </m:rPr>
            <w:rPr>
              <w:rFonts w:ascii="Cambria Math" w:hAnsi="Cambria Math" w:cs="Times New Roman"/>
            </w:rPr>
            <m:t>-</m:t>
          </m:r>
          <m:r>
            <m:rPr>
              <m:sty m:val="bi"/>
            </m:rPr>
            <w:rPr>
              <w:rFonts w:ascii="Cambria Math" w:hAnsi="Cambria Math" w:cs="Times New Roman"/>
            </w:rPr>
            <m:t>I</m:t>
          </m:r>
        </m:oMath>
      </m:oMathPara>
    </w:p>
    <w:p w14:paraId="2264FFEA"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sSub>
                <m:sSubPr>
                  <m:ctrlPr>
                    <w:rPr>
                      <w:rFonts w:ascii="Cambria Math" w:hAnsi="Cambria Math" w:cs="Times New Roman"/>
                      <w:bCs/>
                    </w:rPr>
                  </m:ctrlPr>
                </m:sSubPr>
                <m:e>
                  <m:r>
                    <m:rPr>
                      <m:sty m:val="bi"/>
                    </m:rPr>
                    <w:rPr>
                      <w:rFonts w:ascii="Cambria Math" w:hAnsi="Cambria Math" w:cs="Times New Roman"/>
                    </w:rPr>
                    <m:t>V</m:t>
                  </m:r>
                </m:e>
                <m:sub>
                  <m:r>
                    <m:rPr>
                      <m:sty m:val="b"/>
                    </m:rPr>
                    <w:rPr>
                      <w:rFonts w:ascii="Cambria Math" w:hAnsi="Cambria Math" w:cs="Times New Roman"/>
                    </w:rPr>
                    <m:t>0</m:t>
                  </m:r>
                </m:sub>
              </m:sSub>
              <m:r>
                <m:rPr>
                  <m:sty m:val="p"/>
                </m:rPr>
                <w:rPr>
                  <w:rFonts w:ascii="Cambria Math" w:hAnsi="Cambria Math" w:cs="Times New Roman"/>
                </w:rPr>
                <m:t>=</m:t>
              </m:r>
              <m:r>
                <m:rPr>
                  <m:sty m:val="bi"/>
                </m:rPr>
                <w:rPr>
                  <w:rFonts w:ascii="Cambria Math" w:hAnsi="Cambria Math" w:cs="Times New Roman"/>
                </w:rPr>
                <m:t>P</m:t>
              </m:r>
            </m:e>
            <m:sub>
              <m:r>
                <m:rPr>
                  <m:sty m:val="b"/>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bCs/>
                </w:rPr>
              </m:ctrlPr>
            </m:fPr>
            <m:num>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num>
            <m:den>
              <m:r>
                <m:rPr>
                  <m:sty m:val="bi"/>
                </m:rPr>
                <w:rPr>
                  <w:rFonts w:ascii="Cambria Math" w:hAnsi="Cambria Math" w:cs="Times New Roman"/>
                </w:rPr>
                <m:t>r</m:t>
              </m:r>
            </m:den>
          </m:f>
          <m:r>
            <m:rPr>
              <m:sty m:val="p"/>
            </m:rPr>
            <w:rPr>
              <w:rFonts w:ascii="Cambria Math" w:hAnsi="Cambria Math" w:cs="Times New Roman"/>
            </w:rPr>
            <m:t>-</m:t>
          </m:r>
          <m:r>
            <m:rPr>
              <m:sty m:val="bi"/>
            </m:rPr>
            <w:rPr>
              <w:rFonts w:ascii="Cambria Math" w:hAnsi="Cambria Math" w:cs="Times New Roman"/>
            </w:rPr>
            <m:t>I</m:t>
          </m:r>
        </m:oMath>
      </m:oMathPara>
    </w:p>
    <w:p w14:paraId="17BA7ABE"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If </w:t>
      </w:r>
      <w:r>
        <w:rPr>
          <w:rFonts w:ascii="Times New Roman" w:hAnsi="Times New Roman" w:cs="Times New Roman"/>
          <w:bCs/>
        </w:rPr>
        <w:t>they</w:t>
      </w:r>
      <w:r w:rsidRPr="00163E69">
        <w:rPr>
          <w:rFonts w:ascii="Times New Roman" w:hAnsi="Times New Roman" w:cs="Times New Roman"/>
          <w:bCs/>
        </w:rPr>
        <w:t xml:space="preserve"> wait until period 1, then </w:t>
      </w:r>
      <w:r>
        <w:rPr>
          <w:rFonts w:ascii="Times New Roman" w:hAnsi="Times New Roman" w:cs="Times New Roman"/>
          <w:bCs/>
        </w:rPr>
        <w:t>they</w:t>
      </w:r>
      <w:r w:rsidRPr="00163E69">
        <w:rPr>
          <w:rFonts w:ascii="Times New Roman" w:hAnsi="Times New Roman" w:cs="Times New Roman"/>
          <w:bCs/>
        </w:rPr>
        <w:t xml:space="preserve"> know </w:t>
      </w:r>
      <m:oMath>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1</m:t>
            </m:r>
          </m:sub>
        </m:sSub>
      </m:oMath>
      <w:r w:rsidRPr="00163E69">
        <w:rPr>
          <w:rFonts w:ascii="Times New Roman" w:hAnsi="Times New Roman" w:cs="Times New Roman"/>
          <w:bCs/>
        </w:rPr>
        <w:t xml:space="preserve"> with certainty. As in Dixit and Pindyck (1994), assume that if the price falls, then the discounted stream of future profits does not justify the cost of investment, or </w:t>
      </w:r>
      <m:oMath>
        <m:f>
          <m:fPr>
            <m:ctrlPr>
              <w:rPr>
                <w:rFonts w:ascii="Cambria Math" w:hAnsi="Cambria Math" w:cs="Times New Roman"/>
                <w:bCs/>
                <w:i/>
              </w:rPr>
            </m:ctrlPr>
          </m:fPr>
          <m:num>
            <m:sSub>
              <m:sSubPr>
                <m:ctrlPr>
                  <w:rPr>
                    <w:rFonts w:ascii="Cambria Math" w:hAnsi="Cambria Math" w:cs="Times New Roman"/>
                    <w:bCs/>
                    <w:i/>
                  </w:rPr>
                </m:ctrlPr>
              </m:sSubPr>
              <m:e>
                <m:r>
                  <m:rPr>
                    <m:sty m:val="bi"/>
                  </m:rPr>
                  <w:rPr>
                    <w:rFonts w:ascii="Cambria Math" w:hAnsi="Cambria Math" w:cs="Times New Roman"/>
                  </w:rPr>
                  <m:t>0.5</m:t>
                </m:r>
                <m:r>
                  <m:rPr>
                    <m:sty m:val="bi"/>
                  </m:rPr>
                  <w:rPr>
                    <w:rFonts w:ascii="Cambria Math" w:hAnsi="Cambria Math" w:cs="Times New Roman"/>
                  </w:rPr>
                  <m:t>P</m:t>
                </m:r>
              </m:e>
              <m:sub>
                <m:r>
                  <m:rPr>
                    <m:sty m:val="bi"/>
                  </m:rPr>
                  <w:rPr>
                    <w:rFonts w:ascii="Cambria Math" w:hAnsi="Cambria Math" w:cs="Times New Roman"/>
                  </w:rPr>
                  <m:t>0</m:t>
                </m:r>
              </m:sub>
            </m:sSub>
          </m:num>
          <m:den>
            <m:r>
              <m:rPr>
                <m:sty m:val="bi"/>
              </m:rPr>
              <w:rPr>
                <w:rFonts w:ascii="Cambria Math" w:hAnsi="Cambria Math" w:cs="Times New Roman"/>
              </w:rPr>
              <m:t>r</m:t>
            </m:r>
          </m:den>
        </m:f>
        <m:r>
          <m:rPr>
            <m:sty m:val="bi"/>
          </m:rPr>
          <w:rPr>
            <w:rFonts w:ascii="Cambria Math" w:hAnsi="Cambria Math" w:cs="Times New Roman"/>
          </w:rPr>
          <m:t>&lt;</m:t>
        </m:r>
        <m:f>
          <m:fPr>
            <m:ctrlPr>
              <w:rPr>
                <w:rFonts w:ascii="Cambria Math" w:hAnsi="Cambria Math" w:cs="Times New Roman"/>
                <w:bCs/>
                <w:i/>
              </w:rPr>
            </m:ctrlPr>
          </m:fPr>
          <m:num>
            <m:r>
              <m:rPr>
                <m:sty m:val="bi"/>
              </m:rPr>
              <w:rPr>
                <w:rFonts w:ascii="Cambria Math" w:hAnsi="Cambria Math" w:cs="Times New Roman"/>
              </w:rPr>
              <m:t>I</m:t>
            </m:r>
          </m:num>
          <m:den>
            <m:r>
              <m:rPr>
                <m:sty m:val="bi"/>
              </m:rPr>
              <w:rPr>
                <w:rFonts w:ascii="Cambria Math" w:hAnsi="Cambria Math" w:cs="Times New Roman"/>
              </w:rPr>
              <m:t>1+r</m:t>
            </m:r>
          </m:den>
        </m:f>
      </m:oMath>
      <w:r w:rsidRPr="00163E69">
        <w:rPr>
          <w:rFonts w:ascii="Times New Roman" w:hAnsi="Times New Roman" w:cs="Times New Roman"/>
          <w:bCs/>
        </w:rPr>
        <w:t xml:space="preserve"> . This means that if the price falls, </w:t>
      </w:r>
      <w:r>
        <w:rPr>
          <w:rFonts w:ascii="Times New Roman" w:hAnsi="Times New Roman" w:cs="Times New Roman"/>
          <w:bCs/>
        </w:rPr>
        <w:t>they</w:t>
      </w:r>
      <w:r w:rsidRPr="00163E69">
        <w:rPr>
          <w:rFonts w:ascii="Times New Roman" w:hAnsi="Times New Roman" w:cs="Times New Roman"/>
          <w:bCs/>
        </w:rPr>
        <w:t xml:space="preserve"> will </w:t>
      </w:r>
      <w:r w:rsidRPr="00163E69">
        <w:rPr>
          <w:rFonts w:ascii="Times New Roman" w:hAnsi="Times New Roman" w:cs="Times New Roman"/>
          <w:bCs/>
        </w:rPr>
        <w:lastRenderedPageBreak/>
        <w:t xml:space="preserve">not invest in the factory. When </w:t>
      </w:r>
      <w:r>
        <w:rPr>
          <w:rFonts w:ascii="Times New Roman" w:hAnsi="Times New Roman" w:cs="Times New Roman"/>
          <w:bCs/>
        </w:rPr>
        <w:t>they</w:t>
      </w:r>
      <w:r w:rsidRPr="00163E69">
        <w:rPr>
          <w:rFonts w:ascii="Times New Roman" w:hAnsi="Times New Roman" w:cs="Times New Roman"/>
          <w:bCs/>
        </w:rPr>
        <w:t xml:space="preserve"> wait until period 1, then </w:t>
      </w:r>
      <w:r>
        <w:rPr>
          <w:rFonts w:ascii="Times New Roman" w:hAnsi="Times New Roman" w:cs="Times New Roman"/>
          <w:bCs/>
        </w:rPr>
        <w:t>they</w:t>
      </w:r>
      <w:r w:rsidRPr="00163E69">
        <w:rPr>
          <w:rFonts w:ascii="Times New Roman" w:hAnsi="Times New Roman" w:cs="Times New Roman"/>
          <w:bCs/>
        </w:rPr>
        <w:t xml:space="preserve"> forgo the profits in period 0 but the cost of investment is lower due to discounting. These two components make up the primary source of opportunity cost in the model. The manager must decide whether to invest immediately or forgo potential additional profits to wait. The expected profits of waiting until period 1 is</w:t>
      </w:r>
    </w:p>
    <w:p w14:paraId="6803907B"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r>
                <m:rPr>
                  <m:sty m:val="bi"/>
                </m:rPr>
                <w:rPr>
                  <w:rFonts w:ascii="Cambria Math" w:hAnsi="Cambria Math" w:cs="Times New Roman"/>
                </w:rPr>
                <m:t>F</m:t>
              </m:r>
            </m:e>
            <m:sub>
              <m:r>
                <m:rPr>
                  <m:sty m:val="bi"/>
                </m:rPr>
                <w:rPr>
                  <w:rFonts w:ascii="Cambria Math" w:hAnsi="Cambria Math" w:cs="Times New Roman"/>
                </w:rPr>
                <m:t>o</m:t>
              </m:r>
            </m:sub>
          </m:sSub>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d>
            <m:dPr>
              <m:ctrlPr>
                <w:rPr>
                  <w:rFonts w:ascii="Cambria Math" w:hAnsi="Cambria Math" w:cs="Times New Roman"/>
                  <w:bCs/>
                </w:rPr>
              </m:ctrlPr>
            </m:dPr>
            <m:e>
              <m:nary>
                <m:naryPr>
                  <m:chr m:val="∑"/>
                  <m:limLoc m:val="undOvr"/>
                  <m:ctrlPr>
                    <w:rPr>
                      <w:rFonts w:ascii="Cambria Math" w:hAnsi="Cambria Math" w:cs="Times New Roman"/>
                      <w:bCs/>
                    </w:rPr>
                  </m:ctrlPr>
                </m:naryPr>
                <m:sub>
                  <m:r>
                    <m:rPr>
                      <m:sty m:val="bi"/>
                    </m:rPr>
                    <w:rPr>
                      <w:rFonts w:ascii="Cambria Math" w:hAnsi="Cambria Math" w:cs="Times New Roman"/>
                    </w:rPr>
                    <m:t>t</m:t>
                  </m:r>
                  <m:r>
                    <m:rPr>
                      <m:sty m:val="p"/>
                    </m:rPr>
                    <w:rPr>
                      <w:rFonts w:ascii="Cambria Math" w:hAnsi="Cambria Math" w:cs="Times New Roman"/>
                    </w:rPr>
                    <m:t>=</m:t>
                  </m:r>
                  <m:r>
                    <m:rPr>
                      <m:sty m:val="b"/>
                    </m:rPr>
                    <w:rPr>
                      <w:rFonts w:ascii="Cambria Math" w:hAnsi="Cambria Math" w:cs="Times New Roman"/>
                    </w:rPr>
                    <m:t>1</m:t>
                  </m:r>
                </m:sub>
                <m:sup>
                  <m:r>
                    <m:rPr>
                      <m:sty m:val="bi"/>
                    </m:rPr>
                    <w:rPr>
                      <w:rFonts w:ascii="Cambria Math" w:hAnsi="Cambria Math" w:cs="Times New Roman"/>
                    </w:rPr>
                    <m:t>t</m:t>
                  </m:r>
                  <m:r>
                    <m:rPr>
                      <m:sty m:val="p"/>
                    </m:rPr>
                    <w:rPr>
                      <w:rFonts w:ascii="Cambria Math" w:hAnsi="Cambria Math" w:cs="Times New Roman"/>
                    </w:rPr>
                    <m:t>=∞</m:t>
                  </m:r>
                </m:sup>
                <m:e>
                  <m:f>
                    <m:fPr>
                      <m:ctrlPr>
                        <w:rPr>
                          <w:rFonts w:ascii="Cambria Math" w:hAnsi="Cambria Math" w:cs="Times New Roman"/>
                          <w:bCs/>
                        </w:rPr>
                      </m:ctrlPr>
                    </m:fPr>
                    <m:num>
                      <m:r>
                        <m:rPr>
                          <m:sty m:val="b"/>
                        </m:rPr>
                        <w:rPr>
                          <w:rFonts w:ascii="Cambria Math" w:hAnsi="Cambria Math" w:cs="Times New Roman"/>
                        </w:rPr>
                        <m:t>1</m:t>
                      </m:r>
                      <m:r>
                        <m:rPr>
                          <m:sty m:val="p"/>
                        </m:rPr>
                        <w:rPr>
                          <w:rFonts w:ascii="Cambria Math" w:hAnsi="Cambria Math" w:cs="Times New Roman"/>
                        </w:rPr>
                        <m:t>.</m:t>
                      </m:r>
                      <m:r>
                        <m:rPr>
                          <m:sty m:val="b"/>
                        </m:rPr>
                        <w:rPr>
                          <w:rFonts w:ascii="Cambria Math" w:hAnsi="Cambria Math" w:cs="Times New Roman"/>
                        </w:rPr>
                        <m:t>5</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num>
                    <m:den>
                      <m:sSup>
                        <m:sSupPr>
                          <m:ctrlPr>
                            <w:rPr>
                              <w:rFonts w:ascii="Cambria Math" w:hAnsi="Cambria Math" w:cs="Times New Roman"/>
                              <w:bCs/>
                            </w:rPr>
                          </m:ctrlPr>
                        </m:sSupPr>
                        <m:e>
                          <m:d>
                            <m:dPr>
                              <m:ctrlPr>
                                <w:rPr>
                                  <w:rFonts w:ascii="Cambria Math" w:hAnsi="Cambria Math" w:cs="Times New Roman"/>
                                  <w:bCs/>
                                </w:rPr>
                              </m:ctrlPr>
                            </m:dPr>
                            <m:e>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e>
                          </m:d>
                        </m:e>
                        <m:sup>
                          <m:r>
                            <m:rPr>
                              <m:sty m:val="bi"/>
                            </m:rPr>
                            <w:rPr>
                              <w:rFonts w:ascii="Cambria Math" w:hAnsi="Cambria Math" w:cs="Times New Roman"/>
                            </w:rPr>
                            <m:t>t</m:t>
                          </m:r>
                        </m:sup>
                      </m:sSup>
                    </m:den>
                  </m:f>
                </m:e>
              </m:nary>
              <m:r>
                <m:rPr>
                  <m:sty m:val="p"/>
                </m:rPr>
                <w:rPr>
                  <w:rFonts w:ascii="Cambria Math" w:hAnsi="Cambria Math" w:cs="Times New Roman"/>
                </w:rPr>
                <m:t>-</m:t>
              </m:r>
              <m:f>
                <m:fPr>
                  <m:ctrlPr>
                    <w:rPr>
                      <w:rFonts w:ascii="Cambria Math" w:hAnsi="Cambria Math" w:cs="Times New Roman"/>
                      <w:bCs/>
                    </w:rPr>
                  </m:ctrlPr>
                </m:fPr>
                <m:num>
                  <m:r>
                    <m:rPr>
                      <m:sty m:val="bi"/>
                    </m:rPr>
                    <w:rPr>
                      <w:rFonts w:ascii="Cambria Math" w:hAnsi="Cambria Math" w:cs="Times New Roman"/>
                    </w:rPr>
                    <m:t>I</m:t>
                  </m:r>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den>
              </m:f>
            </m:e>
          </m:d>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d>
            <m:dPr>
              <m:ctrlPr>
                <w:rPr>
                  <w:rFonts w:ascii="Cambria Math" w:hAnsi="Cambria Math" w:cs="Times New Roman"/>
                  <w:bCs/>
                </w:rPr>
              </m:ctrlPr>
            </m:dPr>
            <m:e>
              <m:f>
                <m:fPr>
                  <m:ctrlPr>
                    <w:rPr>
                      <w:rFonts w:ascii="Cambria Math" w:hAnsi="Cambria Math" w:cs="Times New Roman"/>
                      <w:bCs/>
                    </w:rPr>
                  </m:ctrlPr>
                </m:fPr>
                <m:num>
                  <m:r>
                    <m:rPr>
                      <m:sty m:val="b"/>
                    </m:rPr>
                    <w:rPr>
                      <w:rFonts w:ascii="Cambria Math" w:hAnsi="Cambria Math" w:cs="Times New Roman"/>
                    </w:rPr>
                    <m:t>1</m:t>
                  </m:r>
                  <m:r>
                    <m:rPr>
                      <m:sty m:val="p"/>
                    </m:rPr>
                    <w:rPr>
                      <w:rFonts w:ascii="Cambria Math" w:hAnsi="Cambria Math" w:cs="Times New Roman"/>
                    </w:rPr>
                    <m:t>.</m:t>
                  </m:r>
                  <m:r>
                    <m:rPr>
                      <m:sty m:val="b"/>
                    </m:rPr>
                    <w:rPr>
                      <w:rFonts w:ascii="Cambria Math" w:hAnsi="Cambria Math" w:cs="Times New Roman"/>
                    </w:rPr>
                    <m:t>5</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num>
                <m:den>
                  <m:r>
                    <m:rPr>
                      <m:sty m:val="bi"/>
                    </m:rPr>
                    <w:rPr>
                      <w:rFonts w:ascii="Cambria Math" w:hAnsi="Cambria Math" w:cs="Times New Roman"/>
                    </w:rPr>
                    <m:t>r</m:t>
                  </m:r>
                </m:den>
              </m:f>
              <m:r>
                <m:rPr>
                  <m:sty m:val="p"/>
                </m:rPr>
                <w:rPr>
                  <w:rFonts w:ascii="Cambria Math" w:hAnsi="Cambria Math" w:cs="Times New Roman"/>
                </w:rPr>
                <m:t>-</m:t>
              </m:r>
              <m:f>
                <m:fPr>
                  <m:ctrlPr>
                    <w:rPr>
                      <w:rFonts w:ascii="Cambria Math" w:hAnsi="Cambria Math" w:cs="Times New Roman"/>
                      <w:bCs/>
                    </w:rPr>
                  </m:ctrlPr>
                </m:fPr>
                <m:num>
                  <m:r>
                    <m:rPr>
                      <m:sty m:val="bi"/>
                    </m:rPr>
                    <w:rPr>
                      <w:rFonts w:ascii="Cambria Math" w:hAnsi="Cambria Math" w:cs="Times New Roman"/>
                    </w:rPr>
                    <m:t>I</m:t>
                  </m:r>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den>
              </m:f>
            </m:e>
          </m:d>
        </m:oMath>
      </m:oMathPara>
    </w:p>
    <w:p w14:paraId="6BCAA722"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Note that the probability of the price rising is </w:t>
      </w:r>
      <m:oMath>
        <m:r>
          <m:rPr>
            <m:sty m:val="bi"/>
          </m:rPr>
          <w:rPr>
            <w:rFonts w:ascii="Cambria Math" w:hAnsi="Cambria Math" w:cs="Times New Roman"/>
          </w:rPr>
          <m:t>q=0.5</m:t>
        </m:r>
      </m:oMath>
      <w:r w:rsidRPr="00163E69">
        <w:rPr>
          <w:rFonts w:ascii="Times New Roman" w:hAnsi="Times New Roman" w:cs="Times New Roman"/>
          <w:bCs/>
        </w:rPr>
        <w:t xml:space="preserve">, and the cost of investment is only incurred if the price rises. </w:t>
      </w:r>
    </w:p>
    <w:p w14:paraId="587AA522"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Dixit and Pindyck (1994) define the option value as </w:t>
      </w:r>
      <m:oMath>
        <m:sSub>
          <m:sSubPr>
            <m:ctrlPr>
              <w:rPr>
                <w:rFonts w:ascii="Cambria Math" w:hAnsi="Cambria Math" w:cs="Times New Roman"/>
                <w:bCs/>
                <w:i/>
              </w:rPr>
            </m:ctrlPr>
          </m:sSubPr>
          <m:e>
            <m:r>
              <m:rPr>
                <m:sty m:val="bi"/>
              </m:rPr>
              <w:rPr>
                <w:rFonts w:ascii="Cambria Math" w:hAnsi="Cambria Math" w:cs="Times New Roman"/>
              </w:rPr>
              <m:t>F</m:t>
            </m:r>
          </m:e>
          <m:sub>
            <m:r>
              <m:rPr>
                <m:sty m:val="bi"/>
              </m:rPr>
              <w:rPr>
                <w:rFonts w:ascii="Cambria Math" w:hAnsi="Cambria Math" w:cs="Times New Roman"/>
              </w:rPr>
              <m:t>0</m:t>
            </m:r>
          </m:sub>
        </m:sSub>
        <m:r>
          <m:rPr>
            <m:sty m:val="bi"/>
          </m:rPr>
          <w:rPr>
            <w:rFonts w:ascii="Cambria Math" w:hAnsi="Cambria Math" w:cs="Times New Roman"/>
          </w:rPr>
          <m:t>-</m:t>
        </m:r>
        <m:sSub>
          <m:sSubPr>
            <m:ctrlPr>
              <w:rPr>
                <w:rFonts w:ascii="Cambria Math" w:hAnsi="Cambria Math" w:cs="Times New Roman"/>
                <w:bCs/>
                <w:i/>
              </w:rPr>
            </m:ctrlPr>
          </m:sSubPr>
          <m:e>
            <m:r>
              <m:rPr>
                <m:sty m:val="bi"/>
              </m:rPr>
              <w:rPr>
                <w:rFonts w:ascii="Cambria Math" w:hAnsi="Cambria Math" w:cs="Times New Roman"/>
              </w:rPr>
              <m:t>V</m:t>
            </m:r>
          </m:e>
          <m:sub>
            <m:r>
              <m:rPr>
                <m:sty m:val="bi"/>
              </m:rPr>
              <w:rPr>
                <w:rFonts w:ascii="Cambria Math" w:hAnsi="Cambria Math" w:cs="Times New Roman"/>
              </w:rPr>
              <m:t>0</m:t>
            </m:r>
          </m:sub>
        </m:sSub>
      </m:oMath>
      <w:r w:rsidRPr="00163E69">
        <w:rPr>
          <w:rFonts w:ascii="Times New Roman" w:hAnsi="Times New Roman" w:cs="Times New Roman"/>
          <w:bCs/>
        </w:rPr>
        <w:t>.</w:t>
      </w:r>
    </w:p>
    <w:p w14:paraId="741DE4D6"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r>
                <m:rPr>
                  <m:sty m:val="bi"/>
                </m:rPr>
                <w:rPr>
                  <w:rFonts w:ascii="Cambria Math" w:hAnsi="Cambria Math" w:cs="Times New Roman"/>
                </w:rPr>
                <m:t>F</m:t>
              </m:r>
            </m:e>
            <m:sub>
              <m:r>
                <m:rPr>
                  <m:sty m:val="b"/>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bCs/>
                </w:rPr>
              </m:ctrlPr>
            </m:sSubPr>
            <m:e>
              <m:r>
                <m:rPr>
                  <m:sty m:val="bi"/>
                </m:rPr>
                <w:rPr>
                  <w:rFonts w:ascii="Cambria Math" w:hAnsi="Cambria Math" w:cs="Times New Roman"/>
                </w:rPr>
                <m:t>V</m:t>
              </m:r>
            </m:e>
            <m:sub>
              <m:r>
                <m:rPr>
                  <m:sty m:val="b"/>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d>
            <m:dPr>
              <m:ctrlPr>
                <w:rPr>
                  <w:rFonts w:ascii="Cambria Math" w:hAnsi="Cambria Math" w:cs="Times New Roman"/>
                  <w:bCs/>
                </w:rPr>
              </m:ctrlPr>
            </m:dPr>
            <m:e>
              <m:f>
                <m:fPr>
                  <m:ctrlPr>
                    <w:rPr>
                      <w:rFonts w:ascii="Cambria Math" w:hAnsi="Cambria Math" w:cs="Times New Roman"/>
                      <w:bCs/>
                    </w:rPr>
                  </m:ctrlPr>
                </m:fPr>
                <m:num>
                  <m:r>
                    <m:rPr>
                      <m:sty m:val="b"/>
                    </m:rPr>
                    <w:rPr>
                      <w:rFonts w:ascii="Cambria Math" w:hAnsi="Cambria Math" w:cs="Times New Roman"/>
                    </w:rPr>
                    <m:t>1</m:t>
                  </m:r>
                  <m:r>
                    <m:rPr>
                      <m:sty m:val="p"/>
                    </m:rPr>
                    <w:rPr>
                      <w:rFonts w:ascii="Cambria Math" w:hAnsi="Cambria Math" w:cs="Times New Roman"/>
                    </w:rPr>
                    <m:t>.</m:t>
                  </m:r>
                  <m:r>
                    <m:rPr>
                      <m:sty m:val="b"/>
                    </m:rPr>
                    <w:rPr>
                      <w:rFonts w:ascii="Cambria Math" w:hAnsi="Cambria Math" w:cs="Times New Roman"/>
                    </w:rPr>
                    <m:t>5</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num>
                <m:den>
                  <m:r>
                    <m:rPr>
                      <m:sty m:val="bi"/>
                    </m:rPr>
                    <w:rPr>
                      <w:rFonts w:ascii="Cambria Math" w:hAnsi="Cambria Math" w:cs="Times New Roman"/>
                    </w:rPr>
                    <m:t>r</m:t>
                  </m:r>
                </m:den>
              </m:f>
              <m:r>
                <m:rPr>
                  <m:sty m:val="p"/>
                </m:rPr>
                <w:rPr>
                  <w:rFonts w:ascii="Cambria Math" w:hAnsi="Cambria Math" w:cs="Times New Roman"/>
                </w:rPr>
                <m:t>-</m:t>
              </m:r>
              <m:f>
                <m:fPr>
                  <m:ctrlPr>
                    <w:rPr>
                      <w:rFonts w:ascii="Cambria Math" w:hAnsi="Cambria Math" w:cs="Times New Roman"/>
                      <w:bCs/>
                    </w:rPr>
                  </m:ctrlPr>
                </m:fPr>
                <m:num>
                  <m:r>
                    <m:rPr>
                      <m:sty m:val="bi"/>
                    </m:rPr>
                    <w:rPr>
                      <w:rFonts w:ascii="Cambria Math" w:hAnsi="Cambria Math" w:cs="Times New Roman"/>
                    </w:rPr>
                    <m:t>I</m:t>
                  </m:r>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den>
              </m:f>
            </m:e>
          </m:d>
          <m:r>
            <m:rPr>
              <m:sty m:val="p"/>
            </m:rPr>
            <w:rPr>
              <w:rFonts w:ascii="Cambria Math" w:hAnsi="Cambria Math" w:cs="Times New Roman"/>
            </w:rPr>
            <m:t>-</m:t>
          </m:r>
          <m:d>
            <m:dPr>
              <m:ctrlPr>
                <w:rPr>
                  <w:rFonts w:ascii="Cambria Math" w:hAnsi="Cambria Math" w:cs="Times New Roman"/>
                  <w:bCs/>
                </w:rPr>
              </m:ctrlPr>
            </m:dPr>
            <m:e>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bCs/>
                    </w:rPr>
                  </m:ctrlPr>
                </m:fPr>
                <m:num>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num>
                <m:den>
                  <m:r>
                    <m:rPr>
                      <m:sty m:val="bi"/>
                    </m:rPr>
                    <w:rPr>
                      <w:rFonts w:ascii="Cambria Math" w:hAnsi="Cambria Math" w:cs="Times New Roman"/>
                    </w:rPr>
                    <m:t>r</m:t>
                  </m:r>
                </m:den>
              </m:f>
              <m:r>
                <m:rPr>
                  <m:sty m:val="p"/>
                </m:rPr>
                <w:rPr>
                  <w:rFonts w:ascii="Cambria Math" w:hAnsi="Cambria Math" w:cs="Times New Roman"/>
                </w:rPr>
                <m:t>-</m:t>
              </m:r>
              <m:r>
                <m:rPr>
                  <m:sty m:val="bi"/>
                </m:rPr>
                <w:rPr>
                  <w:rFonts w:ascii="Cambria Math" w:hAnsi="Cambria Math" w:cs="Times New Roman"/>
                </w:rPr>
                <m:t>I</m:t>
              </m:r>
            </m:e>
          </m:d>
        </m:oMath>
      </m:oMathPara>
    </w:p>
    <w:p w14:paraId="39E0DDA1"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r>
                <m:rPr>
                  <m:sty m:val="bi"/>
                </m:rPr>
                <w:rPr>
                  <w:rFonts w:ascii="Cambria Math" w:hAnsi="Cambria Math" w:cs="Times New Roman"/>
                </w:rPr>
                <m:t>F</m:t>
              </m:r>
            </m:e>
            <m:sub>
              <m:r>
                <m:rPr>
                  <m:sty m:val="b"/>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bCs/>
                </w:rPr>
              </m:ctrlPr>
            </m:sSubPr>
            <m:e>
              <m:r>
                <m:rPr>
                  <m:sty m:val="bi"/>
                </m:rPr>
                <w:rPr>
                  <w:rFonts w:ascii="Cambria Math" w:hAnsi="Cambria Math" w:cs="Times New Roman"/>
                </w:rPr>
                <m:t>V</m:t>
              </m:r>
            </m:e>
            <m:sub>
              <m:r>
                <m:rPr>
                  <m:sty m:val="b"/>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bCs/>
                </w:rPr>
              </m:ctrlPr>
            </m:fPr>
            <m:num>
              <m:r>
                <m:rPr>
                  <m:sty m:val="bi"/>
                </m:rPr>
                <w:rPr>
                  <w:rFonts w:ascii="Cambria Math" w:hAnsi="Cambria Math" w:cs="Times New Roman"/>
                </w:rPr>
                <m:t>Ir</m:t>
              </m:r>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I</m:t>
              </m:r>
            </m:num>
            <m:den>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den>
          </m:f>
          <m:r>
            <m:rPr>
              <m:sty m:val="p"/>
            </m:rPr>
            <w:rPr>
              <w:rFonts w:ascii="Cambria Math" w:hAnsi="Cambria Math" w:cs="Times New Roman"/>
            </w:rPr>
            <m:t>-</m:t>
          </m:r>
          <m:f>
            <m:fPr>
              <m:ctrlPr>
                <w:rPr>
                  <w:rFonts w:ascii="Cambria Math" w:hAnsi="Cambria Math" w:cs="Times New Roman"/>
                  <w:bCs/>
                </w:rPr>
              </m:ctrlPr>
            </m:fPr>
            <m:num>
              <m:r>
                <m:rPr>
                  <m:sty m:val="bi"/>
                </m:rPr>
                <w:rPr>
                  <w:rFonts w:ascii="Cambria Math" w:hAnsi="Cambria Math" w:cs="Times New Roman"/>
                </w:rPr>
                <m:t>r</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r>
                <m:rPr>
                  <m:sty m:val="p"/>
                </m:rPr>
                <w:rPr>
                  <w:rFonts w:ascii="Cambria Math" w:hAnsi="Cambria Math" w:cs="Times New Roman"/>
                </w:rPr>
                <m:t>+</m:t>
              </m:r>
              <m:r>
                <m:rPr>
                  <m:sty m:val="b"/>
                </m:rPr>
                <w:rPr>
                  <w:rFonts w:ascii="Cambria Math" w:hAnsi="Cambria Math" w:cs="Times New Roman"/>
                </w:rPr>
                <m:t>0</m:t>
              </m:r>
              <m:r>
                <m:rPr>
                  <m:sty m:val="p"/>
                </m:rPr>
                <w:rPr>
                  <w:rFonts w:ascii="Cambria Math" w:hAnsi="Cambria Math" w:cs="Times New Roman"/>
                </w:rPr>
                <m:t>.</m:t>
              </m:r>
              <m:r>
                <m:rPr>
                  <m:sty m:val="b"/>
                </m:rPr>
                <w:rPr>
                  <w:rFonts w:ascii="Cambria Math" w:hAnsi="Cambria Math" w:cs="Times New Roman"/>
                </w:rPr>
                <m:t>25</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num>
            <m:den>
              <m:r>
                <m:rPr>
                  <m:sty m:val="bi"/>
                </m:rPr>
                <w:rPr>
                  <w:rFonts w:ascii="Cambria Math" w:hAnsi="Cambria Math" w:cs="Times New Roman"/>
                </w:rPr>
                <m:t>r</m:t>
              </m:r>
            </m:den>
          </m:f>
        </m:oMath>
      </m:oMathPara>
    </w:p>
    <w:p w14:paraId="02A334F2"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The key piece of this simplified model is that there is an opportunity cost to wait until period 1. This comes from the fact that the factory starts earning revenue, </w:t>
      </w:r>
      <m:oMath>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oMath>
      <w:r w:rsidRPr="00163E69">
        <w:rPr>
          <w:rFonts w:ascii="Times New Roman" w:hAnsi="Times New Roman" w:cs="Times New Roman"/>
          <w:bCs/>
        </w:rPr>
        <w:t xml:space="preserve">, immediately in period 0, but it’s mitigated by the fact that the investment cost is discounted if </w:t>
      </w:r>
      <w:r>
        <w:rPr>
          <w:rFonts w:ascii="Times New Roman" w:hAnsi="Times New Roman" w:cs="Times New Roman"/>
          <w:bCs/>
        </w:rPr>
        <w:t>they</w:t>
      </w:r>
      <w:r w:rsidRPr="00163E69">
        <w:rPr>
          <w:rFonts w:ascii="Times New Roman" w:hAnsi="Times New Roman" w:cs="Times New Roman"/>
          <w:bCs/>
        </w:rPr>
        <w:t xml:space="preserve"> wait until period 1. </w:t>
      </w:r>
    </w:p>
    <w:p w14:paraId="4A32D805"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Now let us consider how </w:t>
      </w:r>
      <w:r>
        <w:rPr>
          <w:rFonts w:ascii="Times New Roman" w:hAnsi="Times New Roman" w:cs="Times New Roman"/>
          <w:bCs/>
        </w:rPr>
        <w:t>the</w:t>
      </w:r>
      <w:r w:rsidRPr="00163E69">
        <w:rPr>
          <w:rFonts w:ascii="Times New Roman" w:hAnsi="Times New Roman" w:cs="Times New Roman"/>
          <w:bCs/>
        </w:rPr>
        <w:t xml:space="preserve"> simple model is equivalent to Dixit and Pindyck (1994). First, let </w:t>
      </w:r>
      <m:oMath>
        <m:r>
          <m:rPr>
            <m:sty m:val="bi"/>
          </m:rPr>
          <w:rPr>
            <w:rFonts w:ascii="Cambria Math" w:hAnsi="Cambria Math" w:cs="Times New Roman"/>
          </w:rPr>
          <m:t>H=</m:t>
        </m:r>
        <m:f>
          <m:fPr>
            <m:ctrlPr>
              <w:rPr>
                <w:rFonts w:ascii="Cambria Math" w:hAnsi="Cambria Math" w:cs="Times New Roman"/>
                <w:bCs/>
                <w:i/>
              </w:rPr>
            </m:ctrlPr>
          </m:fPr>
          <m:num>
            <m:r>
              <m:rPr>
                <m:sty m:val="bi"/>
              </m:rPr>
              <w:rPr>
                <w:rFonts w:ascii="Cambria Math" w:hAnsi="Cambria Math" w:cs="Times New Roman"/>
              </w:rPr>
              <m:t>1.5</m:t>
            </m:r>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num>
          <m:den>
            <m:r>
              <m:rPr>
                <m:sty m:val="bi"/>
              </m:rPr>
              <w:rPr>
                <w:rFonts w:ascii="Cambria Math" w:hAnsi="Cambria Math" w:cs="Times New Roman"/>
              </w:rPr>
              <m:t>r</m:t>
            </m:r>
          </m:den>
        </m:f>
        <m:r>
          <m:rPr>
            <m:sty m:val="bi"/>
          </m:rPr>
          <w:rPr>
            <w:rFonts w:ascii="Cambria Math" w:hAnsi="Cambria Math" w:cs="Times New Roman"/>
          </w:rPr>
          <m:t>-2</m:t>
        </m:r>
        <m:r>
          <m:rPr>
            <m:sty m:val="bi"/>
          </m:rPr>
          <w:rPr>
            <w:rFonts w:ascii="Cambria Math" w:hAnsi="Cambria Math" w:cs="Times New Roman"/>
          </w:rPr>
          <m:t>I+2</m:t>
        </m:r>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oMath>
      <w:r w:rsidRPr="00163E69">
        <w:rPr>
          <w:rFonts w:ascii="Times New Roman" w:hAnsi="Times New Roman" w:cs="Times New Roman"/>
          <w:bCs/>
        </w:rPr>
        <w:t xml:space="preserve"> be the high outcome of the lottery, and </w:t>
      </w:r>
      <m:oMath>
        <m:r>
          <m:rPr>
            <m:sty m:val="bi"/>
          </m:rPr>
          <w:rPr>
            <w:rFonts w:ascii="Cambria Math" w:hAnsi="Cambria Math" w:cs="Times New Roman"/>
          </w:rPr>
          <m:t>L=</m:t>
        </m:r>
        <m:f>
          <m:fPr>
            <m:ctrlPr>
              <w:rPr>
                <w:rFonts w:ascii="Cambria Math" w:hAnsi="Cambria Math" w:cs="Times New Roman"/>
                <w:bCs/>
                <w:i/>
              </w:rPr>
            </m:ctrlPr>
          </m:fPr>
          <m:num>
            <m:r>
              <m:rPr>
                <m:sty m:val="bi"/>
              </m:rPr>
              <w:rPr>
                <w:rFonts w:ascii="Cambria Math" w:hAnsi="Cambria Math" w:cs="Times New Roman"/>
              </w:rPr>
              <m:t>0.5</m:t>
            </m:r>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num>
          <m:den>
            <m:r>
              <m:rPr>
                <m:sty m:val="bi"/>
              </m:rPr>
              <w:rPr>
                <w:rFonts w:ascii="Cambria Math" w:hAnsi="Cambria Math" w:cs="Times New Roman"/>
              </w:rPr>
              <m:t>r</m:t>
            </m:r>
          </m:den>
        </m:f>
        <m:r>
          <m:rPr>
            <m:sty m:val="bi"/>
          </m:rPr>
          <w:rPr>
            <w:rFonts w:ascii="Cambria Math" w:hAnsi="Cambria Math" w:cs="Times New Roman"/>
          </w:rPr>
          <m:t>-2</m:t>
        </m:r>
        <m:r>
          <m:rPr>
            <m:sty m:val="bi"/>
          </m:rPr>
          <w:rPr>
            <w:rFonts w:ascii="Cambria Math" w:hAnsi="Cambria Math" w:cs="Times New Roman"/>
          </w:rPr>
          <m:t>I+</m:t>
        </m:r>
        <m:r>
          <m:rPr>
            <m:sty m:val="bi"/>
          </m:rPr>
          <w:rPr>
            <w:rFonts w:ascii="Cambria Math" w:hAnsi="Cambria Math" w:cs="Times New Roman"/>
          </w:rPr>
          <w:lastRenderedPageBreak/>
          <m:t>2</m:t>
        </m:r>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oMath>
      <w:r w:rsidRPr="00163E69">
        <w:rPr>
          <w:rFonts w:ascii="Times New Roman" w:hAnsi="Times New Roman" w:cs="Times New Roman"/>
          <w:bCs/>
        </w:rPr>
        <w:t xml:space="preserve"> be the low outcome of the lottery. Then the expected profit from investing immediately in Dixit and Pindyck (1994) becomes </w:t>
      </w:r>
    </w:p>
    <w:p w14:paraId="1B9602D3"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r>
                <m:rPr>
                  <m:sty m:val="bi"/>
                </m:rPr>
                <w:rPr>
                  <w:rFonts w:ascii="Cambria Math" w:hAnsi="Cambria Math" w:cs="Times New Roman"/>
                </w:rPr>
                <m:t>V</m:t>
              </m:r>
            </m:e>
            <m:sub>
              <m:r>
                <m:rPr>
                  <m:sty m:val="b"/>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H</m:t>
          </m:r>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L</m:t>
          </m:r>
        </m:oMath>
      </m:oMathPara>
    </w:p>
    <w:p w14:paraId="64F71C50"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The expected payoff of investing in the factory immediately is the expected value of the lottery. If </w:t>
      </w:r>
      <w:r>
        <w:rPr>
          <w:rFonts w:ascii="Times New Roman" w:hAnsi="Times New Roman" w:cs="Times New Roman"/>
          <w:bCs/>
        </w:rPr>
        <w:t>they</w:t>
      </w:r>
      <w:r w:rsidRPr="00163E69">
        <w:rPr>
          <w:rFonts w:ascii="Times New Roman" w:hAnsi="Times New Roman" w:cs="Times New Roman"/>
          <w:bCs/>
        </w:rPr>
        <w:t xml:space="preserve"> wait until period 1, then the expected payoff is</w:t>
      </w:r>
    </w:p>
    <w:p w14:paraId="770603B9"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r>
                <m:rPr>
                  <m:sty m:val="bi"/>
                </m:rPr>
                <w:rPr>
                  <w:rFonts w:ascii="Cambria Math" w:hAnsi="Cambria Math" w:cs="Times New Roman"/>
                </w:rPr>
                <m:t>F</m:t>
              </m:r>
            </m:e>
            <m:sub>
              <m:r>
                <m:rPr>
                  <m:sty m:val="bi"/>
                </m:rPr>
                <w:rPr>
                  <w:rFonts w:ascii="Cambria Math" w:hAnsi="Cambria Math" w:cs="Times New Roman"/>
                </w:rPr>
                <m:t>o</m:t>
              </m:r>
            </m:sub>
          </m:sSub>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d>
            <m:dPr>
              <m:ctrlPr>
                <w:rPr>
                  <w:rFonts w:ascii="Cambria Math" w:hAnsi="Cambria Math" w:cs="Times New Roman"/>
                  <w:bCs/>
                </w:rPr>
              </m:ctrlPr>
            </m:dPr>
            <m:e>
              <m:r>
                <m:rPr>
                  <m:sty m:val="bi"/>
                </m:rPr>
                <w:rPr>
                  <w:rFonts w:ascii="Cambria Math" w:hAnsi="Cambria Math" w:cs="Times New Roman"/>
                </w:rPr>
                <m:t>H</m:t>
              </m:r>
              <m:r>
                <m:rPr>
                  <m:sty m:val="p"/>
                </m:rPr>
                <w:rPr>
                  <w:rFonts w:ascii="Cambria Math" w:hAnsi="Cambria Math" w:cs="Times New Roman"/>
                </w:rPr>
                <m:t>+</m:t>
              </m:r>
              <m:f>
                <m:fPr>
                  <m:ctrlPr>
                    <w:rPr>
                      <w:rFonts w:ascii="Cambria Math" w:hAnsi="Cambria Math" w:cs="Times New Roman"/>
                      <w:bCs/>
                    </w:rPr>
                  </m:ctrlPr>
                </m:fPr>
                <m:num>
                  <m:r>
                    <m:rPr>
                      <m:sty m:val="bi"/>
                    </m:rPr>
                    <w:rPr>
                      <w:rFonts w:ascii="Cambria Math" w:hAnsi="Cambria Math" w:cs="Times New Roman"/>
                    </w:rPr>
                    <m:t>I</m:t>
                  </m:r>
                  <m:r>
                    <m:rPr>
                      <m:sty m:val="p"/>
                    </m:rPr>
                    <w:rPr>
                      <w:rFonts w:ascii="Cambria Math" w:hAnsi="Cambria Math" w:cs="Times New Roman"/>
                    </w:rPr>
                    <m:t>+</m:t>
                  </m:r>
                  <m:r>
                    <m:rPr>
                      <m:sty m:val="b"/>
                    </m:rPr>
                    <w:rPr>
                      <w:rFonts w:ascii="Cambria Math" w:hAnsi="Cambria Math" w:cs="Times New Roman"/>
                    </w:rPr>
                    <m:t>2</m:t>
                  </m:r>
                  <m:r>
                    <m:rPr>
                      <m:sty m:val="bi"/>
                    </m:rPr>
                    <w:rPr>
                      <w:rFonts w:ascii="Cambria Math" w:hAnsi="Cambria Math" w:cs="Times New Roman"/>
                    </w:rPr>
                    <m:t>rI</m:t>
                  </m:r>
                </m:num>
                <m:den>
                  <m:r>
                    <m:rPr>
                      <m:sty m:val="p"/>
                    </m:rPr>
                    <w:rPr>
                      <w:rFonts w:ascii="Cambria Math" w:hAnsi="Cambria Math" w:cs="Times New Roman"/>
                    </w:rPr>
                    <m:t>(</m:t>
                  </m:r>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r>
                    <m:rPr>
                      <m:sty m:val="p"/>
                    </m:rPr>
                    <w:rPr>
                      <w:rFonts w:ascii="Cambria Math" w:hAnsi="Cambria Math" w:cs="Times New Roman"/>
                    </w:rPr>
                    <m:t>)</m:t>
                  </m:r>
                </m:den>
              </m:f>
              <m:r>
                <m:rPr>
                  <m:sty m:val="p"/>
                </m:rPr>
                <w:rPr>
                  <w:rFonts w:ascii="Cambria Math" w:hAnsi="Cambria Math" w:cs="Times New Roman"/>
                </w:rPr>
                <m:t>-</m:t>
              </m:r>
              <m:r>
                <m:rPr>
                  <m:sty m:val="b"/>
                </m:rPr>
                <w:rPr>
                  <w:rFonts w:ascii="Cambria Math" w:hAnsi="Cambria Math" w:cs="Times New Roman"/>
                </w:rPr>
                <m:t>2</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e>
          </m:d>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H</m:t>
          </m:r>
          <m:r>
            <m:rPr>
              <m:sty m:val="p"/>
            </m:rPr>
            <w:rPr>
              <w:rFonts w:ascii="Cambria Math" w:hAnsi="Cambria Math" w:cs="Times New Roman"/>
            </w:rPr>
            <m:t>+</m:t>
          </m:r>
          <m:f>
            <m:fPr>
              <m:ctrlPr>
                <w:rPr>
                  <w:rFonts w:ascii="Cambria Math" w:hAnsi="Cambria Math" w:cs="Times New Roman"/>
                  <w:bCs/>
                </w:rPr>
              </m:ctrlPr>
            </m:fPr>
            <m:num>
              <m:r>
                <m:rPr>
                  <m:sty m:val="bi"/>
                </m:rPr>
                <w:rPr>
                  <w:rFonts w:ascii="Cambria Math" w:hAnsi="Cambria Math" w:cs="Times New Roman"/>
                </w:rPr>
                <m:t>I</m:t>
              </m:r>
              <m:r>
                <m:rPr>
                  <m:sty m:val="p"/>
                </m:rPr>
                <w:rPr>
                  <w:rFonts w:ascii="Cambria Math" w:hAnsi="Cambria Math" w:cs="Times New Roman"/>
                </w:rPr>
                <m:t>+</m:t>
              </m:r>
              <m:r>
                <m:rPr>
                  <m:sty m:val="b"/>
                </m:rPr>
                <w:rPr>
                  <w:rFonts w:ascii="Cambria Math" w:hAnsi="Cambria Math" w:cs="Times New Roman"/>
                </w:rPr>
                <m:t>2</m:t>
              </m:r>
              <m:r>
                <m:rPr>
                  <m:sty m:val="bi"/>
                </m:rPr>
                <w:rPr>
                  <w:rFonts w:ascii="Cambria Math" w:hAnsi="Cambria Math" w:cs="Times New Roman"/>
                </w:rPr>
                <m:t>rI</m:t>
              </m:r>
            </m:num>
            <m:den>
              <m:r>
                <m:rPr>
                  <m:sty m:val="b"/>
                </m:rPr>
                <w:rPr>
                  <w:rFonts w:ascii="Cambria Math" w:hAnsi="Cambria Math" w:cs="Times New Roman"/>
                </w:rPr>
                <m:t>2</m:t>
              </m:r>
              <m:r>
                <m:rPr>
                  <m:sty m:val="p"/>
                </m:rPr>
                <w:rPr>
                  <w:rFonts w:ascii="Cambria Math" w:hAnsi="Cambria Math" w:cs="Times New Roman"/>
                </w:rPr>
                <m:t>(</m:t>
              </m:r>
              <m:r>
                <m:rPr>
                  <m:sty m:val="b"/>
                </m:rPr>
                <w:rPr>
                  <w:rFonts w:ascii="Cambria Math" w:hAnsi="Cambria Math" w:cs="Times New Roman"/>
                </w:rPr>
                <m:t>1</m:t>
              </m:r>
              <m:r>
                <m:rPr>
                  <m:sty m:val="p"/>
                </m:rPr>
                <w:rPr>
                  <w:rFonts w:ascii="Cambria Math" w:hAnsi="Cambria Math" w:cs="Times New Roman"/>
                </w:rPr>
                <m:t>+</m:t>
              </m:r>
              <m:r>
                <m:rPr>
                  <m:sty m:val="bi"/>
                </m:rPr>
                <w:rPr>
                  <w:rFonts w:ascii="Cambria Math" w:hAnsi="Cambria Math" w:cs="Times New Roman"/>
                </w:rPr>
                <m:t>r</m:t>
              </m:r>
              <m:r>
                <m:rPr>
                  <m:sty m:val="p"/>
                </m:rPr>
                <w:rPr>
                  <w:rFonts w:ascii="Cambria Math" w:hAnsi="Cambria Math" w:cs="Times New Roman"/>
                </w:rPr>
                <m:t>)</m:t>
              </m:r>
            </m:den>
          </m:f>
          <m:r>
            <m:rPr>
              <m:sty m:val="p"/>
            </m:rPr>
            <w:rPr>
              <w:rFonts w:ascii="Cambria Math" w:hAnsi="Cambria Math" w:cs="Times New Roman"/>
            </w:rPr>
            <m:t>-</m:t>
          </m:r>
          <m:sSub>
            <m:sSubPr>
              <m:ctrlPr>
                <w:rPr>
                  <w:rFonts w:ascii="Cambria Math" w:hAnsi="Cambria Math" w:cs="Times New Roman"/>
                  <w:bCs/>
                </w:rPr>
              </m:ctrlPr>
            </m:sSubPr>
            <m:e>
              <m:r>
                <m:rPr>
                  <m:sty m:val="bi"/>
                </m:rPr>
                <w:rPr>
                  <w:rFonts w:ascii="Cambria Math" w:hAnsi="Cambria Math" w:cs="Times New Roman"/>
                </w:rPr>
                <m:t>P</m:t>
              </m:r>
            </m:e>
            <m:sub>
              <m:r>
                <m:rPr>
                  <m:sty m:val="b"/>
                </m:rPr>
                <w:rPr>
                  <w:rFonts w:ascii="Cambria Math" w:hAnsi="Cambria Math" w:cs="Times New Roman"/>
                </w:rPr>
                <m:t>0</m:t>
              </m:r>
            </m:sub>
          </m:sSub>
        </m:oMath>
      </m:oMathPara>
    </w:p>
    <w:p w14:paraId="3CC9C82B"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Let </w:t>
      </w:r>
      <m:oMath>
        <m:r>
          <m:rPr>
            <m:sty m:val="bi"/>
          </m:rPr>
          <w:rPr>
            <w:rFonts w:ascii="Cambria Math" w:hAnsi="Cambria Math" w:cs="Times New Roman"/>
          </w:rPr>
          <m:t>C</m:t>
        </m:r>
      </m:oMath>
      <w:r w:rsidRPr="00163E69">
        <w:rPr>
          <w:rFonts w:ascii="Times New Roman" w:hAnsi="Times New Roman" w:cs="Times New Roman"/>
          <w:bCs/>
        </w:rPr>
        <w:t>=</w:t>
      </w:r>
      <m:oMath>
        <m:sSub>
          <m:sSubPr>
            <m:ctrlPr>
              <w:rPr>
                <w:rFonts w:ascii="Cambria Math" w:hAnsi="Cambria Math" w:cs="Times New Roman"/>
                <w:bCs/>
                <w:i/>
              </w:rPr>
            </m:ctrlPr>
          </m:sSubPr>
          <m:e>
            <m:r>
              <m:rPr>
                <m:sty m:val="bi"/>
              </m:rPr>
              <w:rPr>
                <w:rFonts w:ascii="Cambria Math" w:hAnsi="Cambria Math" w:cs="Times New Roman"/>
              </w:rPr>
              <m:t>P</m:t>
            </m:r>
          </m:e>
          <m:sub>
            <m:r>
              <m:rPr>
                <m:sty m:val="bi"/>
              </m:rPr>
              <w:rPr>
                <w:rFonts w:ascii="Cambria Math" w:hAnsi="Cambria Math" w:cs="Times New Roman"/>
              </w:rPr>
              <m:t>0</m:t>
            </m:r>
          </m:sub>
        </m:sSub>
        <m:r>
          <m:rPr>
            <m:sty m:val="bi"/>
          </m:rPr>
          <w:rPr>
            <w:rFonts w:ascii="Cambria Math" w:hAnsi="Cambria Math" w:cs="Times New Roman"/>
          </w:rPr>
          <m:t>-</m:t>
        </m:r>
        <m:f>
          <m:fPr>
            <m:ctrlPr>
              <w:rPr>
                <w:rFonts w:ascii="Cambria Math" w:hAnsi="Cambria Math" w:cs="Times New Roman"/>
                <w:bCs/>
                <w:i/>
              </w:rPr>
            </m:ctrlPr>
          </m:fPr>
          <m:num>
            <m:r>
              <m:rPr>
                <m:sty m:val="bi"/>
              </m:rPr>
              <w:rPr>
                <w:rFonts w:ascii="Cambria Math" w:hAnsi="Cambria Math" w:cs="Times New Roman"/>
              </w:rPr>
              <m:t>I+2</m:t>
            </m:r>
            <m:r>
              <m:rPr>
                <m:sty m:val="bi"/>
              </m:rPr>
              <w:rPr>
                <w:rFonts w:ascii="Cambria Math" w:hAnsi="Cambria Math" w:cs="Times New Roman"/>
              </w:rPr>
              <m:t>rI</m:t>
            </m:r>
          </m:num>
          <m:den>
            <m:r>
              <m:rPr>
                <m:sty m:val="bi"/>
              </m:rPr>
              <w:rPr>
                <w:rFonts w:ascii="Cambria Math" w:hAnsi="Cambria Math" w:cs="Times New Roman"/>
              </w:rPr>
              <m:t>2(1+r)</m:t>
            </m:r>
          </m:den>
        </m:f>
      </m:oMath>
      <w:r w:rsidRPr="00163E69">
        <w:rPr>
          <w:rFonts w:ascii="Times New Roman" w:hAnsi="Times New Roman" w:cs="Times New Roman"/>
          <w:bCs/>
        </w:rPr>
        <w:t xml:space="preserve"> be the cost of waiting until period 1 to invest. Then </w:t>
      </w:r>
    </w:p>
    <w:p w14:paraId="2410EC1F"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r>
                <m:rPr>
                  <m:sty m:val="bi"/>
                </m:rPr>
                <w:rPr>
                  <w:rFonts w:ascii="Cambria Math" w:hAnsi="Cambria Math" w:cs="Times New Roman"/>
                </w:rPr>
                <m:t>F</m:t>
              </m:r>
            </m:e>
            <m:sub>
              <m:r>
                <m:rPr>
                  <m:sty m:val="bi"/>
                </m:rPr>
                <w:rPr>
                  <w:rFonts w:ascii="Cambria Math" w:hAnsi="Cambria Math" w:cs="Times New Roman"/>
                </w:rPr>
                <m:t>o</m:t>
              </m:r>
            </m:sub>
          </m:sSub>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H</m:t>
          </m:r>
          <m:r>
            <m:rPr>
              <m:sty m:val="p"/>
            </m:rPr>
            <w:rPr>
              <w:rFonts w:ascii="Cambria Math" w:hAnsi="Cambria Math" w:cs="Times New Roman"/>
            </w:rPr>
            <m:t>-</m:t>
          </m:r>
          <m:r>
            <m:rPr>
              <m:sty m:val="bi"/>
            </m:rPr>
            <w:rPr>
              <w:rFonts w:ascii="Cambria Math" w:hAnsi="Cambria Math" w:cs="Times New Roman"/>
            </w:rPr>
            <m:t>C</m:t>
          </m:r>
        </m:oMath>
      </m:oMathPara>
    </w:p>
    <w:p w14:paraId="383F1437" w14:textId="77777777" w:rsidR="00C565FD" w:rsidRPr="00163E69" w:rsidRDefault="00C565FD" w:rsidP="00C565FD">
      <w:pPr>
        <w:keepNext/>
        <w:spacing w:line="480" w:lineRule="auto"/>
        <w:rPr>
          <w:rFonts w:ascii="Times New Roman" w:hAnsi="Times New Roman" w:cs="Times New Roman"/>
          <w:b/>
          <w:bCs/>
        </w:rPr>
      </w:pPr>
      <w:r w:rsidRPr="00163E69">
        <w:rPr>
          <w:rFonts w:ascii="Times New Roman" w:hAnsi="Times New Roman" w:cs="Times New Roman"/>
          <w:bCs/>
        </w:rPr>
        <w:t xml:space="preserve">Assume the option value is non-negative. This implies that the low outcome of the lottery is sufficiently negative. This assumption is not critical, but simply reflects the primary lottery parameterizations and simplifies the mathematical exposition. The option value can be written </w:t>
      </w:r>
    </w:p>
    <w:p w14:paraId="66F7493C" w14:textId="77777777" w:rsidR="00C565FD" w:rsidRPr="00163E69" w:rsidRDefault="00000000" w:rsidP="00C565FD">
      <w:pPr>
        <w:keepNext/>
        <w:spacing w:line="480" w:lineRule="auto"/>
        <w:rPr>
          <w:rFonts w:ascii="Times New Roman" w:hAnsi="Times New Roman" w:cs="Times New Roman"/>
          <w:bCs/>
        </w:rPr>
      </w:pPr>
      <m:oMathPara>
        <m:oMath>
          <m:sSub>
            <m:sSubPr>
              <m:ctrlPr>
                <w:rPr>
                  <w:rFonts w:ascii="Cambria Math" w:hAnsi="Cambria Math" w:cs="Times New Roman"/>
                  <w:bCs/>
                </w:rPr>
              </m:ctrlPr>
            </m:sSubPr>
            <m:e>
              <m:r>
                <m:rPr>
                  <m:sty m:val="bi"/>
                </m:rPr>
                <w:rPr>
                  <w:rFonts w:ascii="Cambria Math" w:hAnsi="Cambria Math" w:cs="Times New Roman"/>
                </w:rPr>
                <m:t>F</m:t>
              </m:r>
            </m:e>
            <m:sub>
              <m:r>
                <m:rPr>
                  <m:sty m:val="b"/>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bCs/>
                </w:rPr>
              </m:ctrlPr>
            </m:sSubPr>
            <m:e>
              <m:r>
                <m:rPr>
                  <m:sty m:val="bi"/>
                </m:rPr>
                <w:rPr>
                  <w:rFonts w:ascii="Cambria Math" w:hAnsi="Cambria Math" w:cs="Times New Roman"/>
                </w:rPr>
                <m:t>V</m:t>
              </m:r>
            </m:e>
            <m:sub>
              <m:r>
                <m:rPr>
                  <m:sty m:val="b"/>
                </m:rPr>
                <w:rPr>
                  <w:rFonts w:ascii="Cambria Math" w:hAnsi="Cambria Math" w:cs="Times New Roman"/>
                </w:rPr>
                <m:t>0</m:t>
              </m:r>
            </m:sub>
          </m:sSub>
          <m:r>
            <m:rPr>
              <m:sty m:val="p"/>
            </m:rPr>
            <w:rPr>
              <w:rFonts w:ascii="Cambria Math" w:hAnsi="Cambria Math" w:cs="Times New Roman"/>
            </w:rPr>
            <m:t>=-</m:t>
          </m:r>
          <m:r>
            <m:rPr>
              <m:sty m:val="bi"/>
            </m:rPr>
            <w:rPr>
              <w:rFonts w:ascii="Cambria Math" w:hAnsi="Cambria Math" w:cs="Times New Roman"/>
            </w:rPr>
            <m:t>C</m:t>
          </m:r>
          <m:r>
            <m:rPr>
              <m:sty m:val="p"/>
            </m:rPr>
            <w:rPr>
              <w:rFonts w:ascii="Cambria Math" w:hAnsi="Cambria Math" w:cs="Times New Roman"/>
            </w:rPr>
            <m:t>-</m:t>
          </m:r>
          <m:f>
            <m:fPr>
              <m:ctrlPr>
                <w:rPr>
                  <w:rFonts w:ascii="Cambria Math" w:hAnsi="Cambria Math" w:cs="Times New Roman"/>
                  <w:bCs/>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L</m:t>
          </m:r>
        </m:oMath>
      </m:oMathPara>
    </w:p>
    <w:p w14:paraId="37C17909" w14:textId="77777777" w:rsidR="00C565FD" w:rsidRPr="00163E69" w:rsidRDefault="00C565FD" w:rsidP="00C565FD">
      <w:pPr>
        <w:keepNext/>
        <w:spacing w:line="480" w:lineRule="auto"/>
        <w:rPr>
          <w:rFonts w:ascii="Times New Roman" w:hAnsi="Times New Roman" w:cs="Times New Roman"/>
          <w:bCs/>
        </w:rPr>
      </w:pPr>
      <w:r w:rsidRPr="00163E69">
        <w:rPr>
          <w:rFonts w:ascii="Times New Roman" w:hAnsi="Times New Roman" w:cs="Times New Roman"/>
          <w:bCs/>
        </w:rPr>
        <w:t xml:space="preserve">From this </w:t>
      </w:r>
      <w:r>
        <w:rPr>
          <w:rFonts w:ascii="Times New Roman" w:hAnsi="Times New Roman" w:cs="Times New Roman"/>
          <w:bCs/>
        </w:rPr>
        <w:t>I</w:t>
      </w:r>
      <w:r w:rsidRPr="00163E69">
        <w:rPr>
          <w:rFonts w:ascii="Times New Roman" w:hAnsi="Times New Roman" w:cs="Times New Roman"/>
          <w:bCs/>
        </w:rPr>
        <w:t xml:space="preserve"> can see that this is equivalent to a simple lottery with outcomes </w:t>
      </w:r>
      <m:oMath>
        <m:r>
          <m:rPr>
            <m:sty m:val="bi"/>
          </m:rPr>
          <w:rPr>
            <w:rFonts w:ascii="Cambria Math" w:hAnsi="Cambria Math" w:cs="Times New Roman"/>
          </w:rPr>
          <m:t>H,L</m:t>
        </m:r>
      </m:oMath>
      <w:r w:rsidRPr="00163E69">
        <w:rPr>
          <w:rFonts w:ascii="Times New Roman" w:hAnsi="Times New Roman" w:cs="Times New Roman"/>
          <w:bCs/>
        </w:rPr>
        <w:t xml:space="preserve"> and some cost to observe the realization of the lottery outcomes, </w:t>
      </w:r>
      <m:oMath>
        <m:r>
          <m:rPr>
            <m:sty m:val="bi"/>
          </m:rPr>
          <w:rPr>
            <w:rFonts w:ascii="Cambria Math" w:hAnsi="Cambria Math" w:cs="Times New Roman"/>
          </w:rPr>
          <m:t>C</m:t>
        </m:r>
      </m:oMath>
      <w:r w:rsidRPr="00163E69">
        <w:rPr>
          <w:rFonts w:ascii="Times New Roman" w:hAnsi="Times New Roman" w:cs="Times New Roman"/>
          <w:bCs/>
        </w:rPr>
        <w:t xml:space="preserve">. Mathematically, the two models are equivalent, but there are some experimental benefits to using </w:t>
      </w:r>
      <w:r>
        <w:rPr>
          <w:rFonts w:ascii="Times New Roman" w:hAnsi="Times New Roman" w:cs="Times New Roman"/>
          <w:bCs/>
        </w:rPr>
        <w:t>the</w:t>
      </w:r>
      <w:r w:rsidRPr="00163E69">
        <w:rPr>
          <w:rFonts w:ascii="Times New Roman" w:hAnsi="Times New Roman" w:cs="Times New Roman"/>
          <w:bCs/>
        </w:rPr>
        <w:t xml:space="preserve"> model. Most importantly, </w:t>
      </w:r>
      <w:r>
        <w:rPr>
          <w:rFonts w:ascii="Times New Roman" w:hAnsi="Times New Roman" w:cs="Times New Roman"/>
          <w:bCs/>
        </w:rPr>
        <w:t>the</w:t>
      </w:r>
      <w:r w:rsidRPr="00163E69">
        <w:rPr>
          <w:rFonts w:ascii="Times New Roman" w:hAnsi="Times New Roman" w:cs="Times New Roman"/>
          <w:bCs/>
        </w:rPr>
        <w:t xml:space="preserve"> setup is simpler for participants to understand. There is a single lottery that they are considering whose outcomes are not changing across periods. They are faced with a choice to take the lottery immediately, not take the lottery and keep their current earnings, or pay some cost, </w:t>
      </w:r>
      <m:oMath>
        <m:r>
          <m:rPr>
            <m:sty m:val="bi"/>
          </m:rPr>
          <w:rPr>
            <w:rFonts w:ascii="Cambria Math" w:hAnsi="Cambria Math" w:cs="Times New Roman"/>
          </w:rPr>
          <m:t>C</m:t>
        </m:r>
      </m:oMath>
      <w:r w:rsidRPr="00163E69">
        <w:rPr>
          <w:rFonts w:ascii="Times New Roman" w:hAnsi="Times New Roman" w:cs="Times New Roman"/>
          <w:bCs/>
        </w:rPr>
        <w:t xml:space="preserve">, to see the realization of the lottery and then make </w:t>
      </w:r>
      <w:r w:rsidRPr="00163E69">
        <w:rPr>
          <w:rFonts w:ascii="Times New Roman" w:hAnsi="Times New Roman" w:cs="Times New Roman"/>
          <w:bCs/>
        </w:rPr>
        <w:lastRenderedPageBreak/>
        <w:t xml:space="preserve">their decision. This adds one more decision compared to List and Haigh (2010). However, I avoid changing lottery values in the two periods of the same game, simplifying the mental calculations individuals must perform. I also gain additional information from this extra choice which allows us to test additional hypotheses. This setup also draws a close analogy to willingness to pay studies, as this cost can be thought of as a bound on the individuals’ willingness to pay for the option to wait. For these reasons, I prefer </w:t>
      </w:r>
      <w:r>
        <w:rPr>
          <w:rFonts w:ascii="Times New Roman" w:hAnsi="Times New Roman" w:cs="Times New Roman"/>
          <w:bCs/>
        </w:rPr>
        <w:t>my</w:t>
      </w:r>
      <w:r w:rsidRPr="00163E69">
        <w:rPr>
          <w:rFonts w:ascii="Times New Roman" w:hAnsi="Times New Roman" w:cs="Times New Roman"/>
          <w:bCs/>
        </w:rPr>
        <w:t xml:space="preserve"> model setup compared to Dixit and Pindyck (1994) and List and Haigh (2010).  </w:t>
      </w:r>
    </w:p>
    <w:p w14:paraId="144D19E0" w14:textId="77777777" w:rsidR="00C565FD" w:rsidRPr="00163E69" w:rsidRDefault="00C565FD" w:rsidP="00C565FD">
      <w:pPr>
        <w:keepNext/>
        <w:spacing w:before="240" w:after="60" w:line="480" w:lineRule="auto"/>
        <w:outlineLvl w:val="2"/>
        <w:rPr>
          <w:rFonts w:ascii="Times New Roman" w:hAnsi="Times New Roman" w:cs="Times New Roman"/>
          <w:b/>
          <w:bCs/>
          <w:i/>
        </w:rPr>
      </w:pPr>
      <w:bookmarkStart w:id="114" w:name="_Toc164862520"/>
      <w:r w:rsidRPr="00163E69">
        <w:rPr>
          <w:rFonts w:ascii="Times New Roman" w:hAnsi="Times New Roman" w:cs="Times New Roman"/>
          <w:b/>
          <w:bCs/>
          <w:i/>
        </w:rPr>
        <w:t>APPENDIX: EXPERIMENTAL INSTRUCTIONS</w:t>
      </w:r>
      <w:bookmarkEnd w:id="114"/>
    </w:p>
    <w:p w14:paraId="6CE6646A" w14:textId="77777777" w:rsidR="00C565FD" w:rsidRPr="00163E69" w:rsidRDefault="00C565FD" w:rsidP="00C565FD">
      <w:pPr>
        <w:spacing w:line="259" w:lineRule="auto"/>
        <w:rPr>
          <w:rFonts w:ascii="Times New Roman" w:eastAsia="Calibri" w:hAnsi="Times New Roman" w:cs="Times New Roman"/>
          <w:b/>
          <w:bCs/>
        </w:rPr>
      </w:pPr>
      <w:r w:rsidRPr="00163E69">
        <w:rPr>
          <w:rFonts w:ascii="Times New Roman" w:eastAsia="Calibri" w:hAnsi="Times New Roman" w:cs="Times New Roman"/>
          <w:b/>
          <w:bCs/>
        </w:rPr>
        <w:t xml:space="preserve">Introduction </w:t>
      </w:r>
    </w:p>
    <w:p w14:paraId="5DA71FA1"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Thank you for participating in this study.  </w:t>
      </w:r>
    </w:p>
    <w:p w14:paraId="6F755DB2"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The study has four parts: Experiment 1, Experiment 2, Experiment 3 and a short questionnaire. We will proceed through the written materials together. Please do not enter any decisions on the computer until instructed to do so. Please follow along with your copy as I read the instructions aloud. Do not hesitate to stop me at any time to ask a question.</w:t>
      </w:r>
    </w:p>
    <w:p w14:paraId="04985953"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There are two important protocols in experimental economics that we would like you to be aware of. First, we are forbidden from providing you with misleading or false information. The instructions contain only true information. There are no hidden tasks, and the experiment works exactly as stated in the instructions. </w:t>
      </w:r>
    </w:p>
    <w:p w14:paraId="63A768BE"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Second, your decisions are confidential. You have been randomly assigned an ID number. You will never be asked to reveal your identity to anyone. All decisions you make will be associated with this ID number and not your name. When we analyze the data and present results your name in no way will be affiliated with this study. </w:t>
      </w:r>
    </w:p>
    <w:p w14:paraId="286A2594"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We have provided everyone with a pencil, calculator, and paper. Use these items, if you wish, as you make your decisions. Also, feel free to write on the instructions. </w:t>
      </w:r>
    </w:p>
    <w:p w14:paraId="0B306F78"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In this study you will be asked to make a series of market-like decisions. There are no right and wrong decisions. However, your earnings from this study are based on the decisions you make. This means that different people will earn different amounts, and some decisions will lead to higher earnings than others. You will be paid privately, and in cash, after the study is completed.</w:t>
      </w:r>
    </w:p>
    <w:p w14:paraId="5C30F3C2"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The decisions we ask you to make may be unfamiliar to you. This is normal. In writing the instructions for this experiment, we have done our very best to clearly describe to you </w:t>
      </w:r>
      <w:r w:rsidRPr="00163E69">
        <w:rPr>
          <w:rFonts w:ascii="Times New Roman" w:eastAsia="Calibri" w:hAnsi="Times New Roman" w:cs="Times New Roman"/>
        </w:rPr>
        <w:lastRenderedPageBreak/>
        <w:t>all relevant information for you to make your decision. It is important for the integrity of this research that you understand the instructions and we encourage you to ask questions as we go through the instructions.</w:t>
      </w:r>
    </w:p>
    <w:p w14:paraId="5D0436E9" w14:textId="77777777" w:rsidR="00C565FD" w:rsidRPr="00163E69" w:rsidRDefault="00C565FD" w:rsidP="00C565FD">
      <w:pPr>
        <w:spacing w:line="259" w:lineRule="auto"/>
        <w:rPr>
          <w:rFonts w:ascii="Times New Roman" w:eastAsia="Calibri" w:hAnsi="Times New Roman" w:cs="Times New Roman"/>
          <w:b/>
          <w:bCs/>
        </w:rPr>
      </w:pPr>
    </w:p>
    <w:p w14:paraId="05BB75E5" w14:textId="77777777" w:rsidR="00C565FD" w:rsidRPr="00163E69" w:rsidRDefault="00C565FD" w:rsidP="00C565FD">
      <w:pPr>
        <w:spacing w:line="259" w:lineRule="auto"/>
        <w:rPr>
          <w:rFonts w:ascii="Times New Roman" w:eastAsia="Calibri" w:hAnsi="Times New Roman" w:cs="Times New Roman"/>
          <w:b/>
          <w:bCs/>
        </w:rPr>
      </w:pPr>
      <w:r w:rsidRPr="00163E69">
        <w:rPr>
          <w:rFonts w:ascii="Times New Roman" w:eastAsia="Calibri" w:hAnsi="Times New Roman" w:cs="Times New Roman"/>
          <w:b/>
          <w:bCs/>
        </w:rPr>
        <w:t xml:space="preserve">Instructions for Experiment 1 </w:t>
      </w:r>
    </w:p>
    <w:p w14:paraId="03A67F3A"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Please refer to your computer screen while we read the instructions. </w:t>
      </w:r>
    </w:p>
    <w:p w14:paraId="256B8DEB"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We would like you to make a decision for each of 10 scenarios. Each scenario involves a choice between playing a lottery that pays either $4 or $0 according to specified chances (Option A) or receiving $2 for sure (Option B). All money amounts are denominated in US Dollars ($).</w:t>
      </w:r>
    </w:p>
    <w:p w14:paraId="2A302C8A"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You will notice that the only differences across scenarios are the chances of receiving the high or low payout for the lottery. At the end of today’s study, ONE of the 10 scenarios will be selected at random, and you will be paid according to your decision for this selected scenario ONLY. Each scenario has an equal chance of being selected. </w:t>
      </w:r>
    </w:p>
    <w:p w14:paraId="15297E81"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Please consider your choice for each scenario carefully. Since you do not know which scenario will be played out, it is in your best interest to treat each scenario as if it will be the one used to determine your earnings. </w:t>
      </w:r>
    </w:p>
    <w:p w14:paraId="73E6E291" w14:textId="77777777" w:rsidR="00C565FD" w:rsidRPr="00163E69" w:rsidRDefault="00C565FD" w:rsidP="00C565FD">
      <w:pPr>
        <w:spacing w:line="259" w:lineRule="auto"/>
        <w:rPr>
          <w:rFonts w:ascii="Times New Roman" w:eastAsia="Calibri" w:hAnsi="Times New Roman" w:cs="Times New Roman"/>
        </w:rPr>
      </w:pPr>
    </w:p>
    <w:p w14:paraId="7B8ECE5B" w14:textId="77777777" w:rsidR="00C565FD" w:rsidRPr="00163E69" w:rsidRDefault="00C565FD" w:rsidP="00C565FD">
      <w:pPr>
        <w:spacing w:line="259" w:lineRule="auto"/>
        <w:rPr>
          <w:rFonts w:ascii="Times New Roman" w:eastAsia="Calibri" w:hAnsi="Times New Roman" w:cs="Times New Roman"/>
          <w:b/>
          <w:bCs/>
        </w:rPr>
      </w:pPr>
      <w:r w:rsidRPr="00163E69">
        <w:rPr>
          <w:rFonts w:ascii="Times New Roman" w:eastAsia="Calibri" w:hAnsi="Times New Roman" w:cs="Times New Roman"/>
          <w:b/>
          <w:bCs/>
        </w:rPr>
        <w:t>Instructions for Experiment 2</w:t>
      </w:r>
    </w:p>
    <w:p w14:paraId="308F78AA"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Now we would like you to make a decision for each of the following 6 scenarios. Each scenario involves a choice between playing a lottery or not.</w:t>
      </w:r>
    </w:p>
    <w:p w14:paraId="0B14D220"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In each scenario, if you choose to play the lottery (Option A), there is a 50% chance you will win $3 and a 50% chance you will lose a specified amount. If you do not play the lottery (Option B), you earn $0.</w:t>
      </w:r>
    </w:p>
    <w:p w14:paraId="38CDCA3A"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You will notice that the only difference across scenarios is the amount at stake to lose by playing the lottery. </w:t>
      </w:r>
    </w:p>
    <w:p w14:paraId="49D3DA2D"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At the end of today's session, ONE of the 6 scenarios will be selected at random and you will be paid according to your decision for this selected scenario ONLY. Each scenario has an equal chance of being selected. Please consider your choice for each scenario carefully. Since you do not know which scenario will be played out, it is in your best interest to treat each scenario as if it will be used to determine your earnings.</w:t>
      </w:r>
    </w:p>
    <w:p w14:paraId="5F65D8A5"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Note that, in contrast to the previous task, if you choose to play the lottery there is a 50% chance of losing money. If this happens, the amount of the loss will be subtracted from your overall earnings in the session.</w:t>
      </w:r>
    </w:p>
    <w:p w14:paraId="61352C26" w14:textId="77777777" w:rsidR="00C565FD" w:rsidRPr="00163E69" w:rsidRDefault="00C565FD" w:rsidP="00C565FD">
      <w:pPr>
        <w:spacing w:line="259" w:lineRule="auto"/>
        <w:rPr>
          <w:rFonts w:ascii="Times New Roman" w:eastAsia="Calibri" w:hAnsi="Times New Roman" w:cs="Times New Roman"/>
        </w:rPr>
      </w:pPr>
    </w:p>
    <w:p w14:paraId="4FEB9175" w14:textId="77777777" w:rsidR="00C565FD" w:rsidRPr="00163E69" w:rsidRDefault="00C565FD" w:rsidP="00C565FD">
      <w:pPr>
        <w:spacing w:line="259" w:lineRule="auto"/>
        <w:rPr>
          <w:rFonts w:ascii="Times New Roman" w:eastAsia="Calibri" w:hAnsi="Times New Roman" w:cs="Times New Roman"/>
          <w:b/>
          <w:bCs/>
        </w:rPr>
      </w:pPr>
      <w:r w:rsidRPr="00163E69">
        <w:rPr>
          <w:rFonts w:ascii="Times New Roman" w:eastAsia="Calibri" w:hAnsi="Times New Roman" w:cs="Times New Roman"/>
          <w:b/>
          <w:bCs/>
        </w:rPr>
        <w:t>Instructions for Experiment 3</w:t>
      </w:r>
    </w:p>
    <w:p w14:paraId="1B3825AD" w14:textId="77777777" w:rsidR="00C565FD" w:rsidRPr="00163E69" w:rsidRDefault="00C565FD" w:rsidP="00C565FD">
      <w:pPr>
        <w:rPr>
          <w:rFonts w:ascii="Times New Roman" w:hAnsi="Times New Roman" w:cs="Times New Roman"/>
        </w:rPr>
      </w:pPr>
      <w:r w:rsidRPr="00163E69">
        <w:rPr>
          <w:rFonts w:ascii="Times New Roman" w:eastAsia="Calibri" w:hAnsi="Times New Roman" w:cs="Times New Roman"/>
        </w:rPr>
        <w:t xml:space="preserve">This experiment involves a sequence of 24 scenarios. </w:t>
      </w:r>
      <w:r w:rsidRPr="00163E69">
        <w:rPr>
          <w:rFonts w:ascii="Times New Roman" w:hAnsi="Times New Roman" w:cs="Times New Roman"/>
        </w:rPr>
        <w:t>Half of the scenarios involve losing money and the other half involve earning money. After you complete the experiment, you will be paid based off TWO randomly selected scenarios involving earning money and ONE randomly selected scenario involving losing money.</w:t>
      </w:r>
      <w:r w:rsidRPr="00163E69">
        <w:rPr>
          <w:rFonts w:ascii="Times New Roman" w:eastAsia="Calibri" w:hAnsi="Times New Roman" w:cs="Times New Roman"/>
        </w:rPr>
        <w:t xml:space="preserve"> You will not know beforehand which scenarios will be selected, and so it is best to make decisions for all scenarios carefully. </w:t>
      </w:r>
    </w:p>
    <w:p w14:paraId="540A0E1A"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lastRenderedPageBreak/>
        <w:t>Each scenario is independent, in the sense that the decisions you make in one scenario will not affect the payoff or earnings of any other scenario. All money amounts are denominated in US Dollars ($).</w:t>
      </w:r>
    </w:p>
    <w:p w14:paraId="20CBD463"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In each scenario, you will have the option to play a lottery. The lottery will result in either a high or low payout according to specified chances.  </w:t>
      </w:r>
    </w:p>
    <w:p w14:paraId="469FA4BE"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You can pay a cost to learn whether you will receive the high or the low payout if you play the lottery. If you do not pay the cost, you will not know the payoff of the lottery until after you decide whether to play the lottery. If you pay the cost, you will learn the payout from the lottery before you make the choice of whether to play the lottery. </w:t>
      </w:r>
    </w:p>
    <w:p w14:paraId="757FF180"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The alternative to playing the lottery is to receive a certain amount of money. </w:t>
      </w:r>
    </w:p>
    <w:p w14:paraId="4860AB98"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Given the possibilities described above, we summarize your options as follows. </w:t>
      </w:r>
    </w:p>
    <w:p w14:paraId="3FA3B5DE" w14:textId="77777777" w:rsidR="00C565FD" w:rsidRPr="00163E69" w:rsidRDefault="00C565FD" w:rsidP="00C565FD">
      <w:pPr>
        <w:numPr>
          <w:ilvl w:val="0"/>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b/>
          <w:bCs/>
        </w:rPr>
        <w:t>Choose the alternative payout immediately</w:t>
      </w:r>
      <w:r w:rsidRPr="00163E69">
        <w:rPr>
          <w:rFonts w:ascii="Times New Roman" w:eastAsia="Cambria" w:hAnsi="Times New Roman" w:cs="Times New Roman"/>
        </w:rPr>
        <w:t>: If you choose this option, you will receive the alternative payout and proceed to the next scenario.</w:t>
      </w:r>
    </w:p>
    <w:p w14:paraId="0684E2B7" w14:textId="77777777" w:rsidR="00C565FD" w:rsidRPr="00163E69" w:rsidRDefault="00C565FD" w:rsidP="00C565FD">
      <w:pPr>
        <w:numPr>
          <w:ilvl w:val="0"/>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b/>
          <w:bCs/>
        </w:rPr>
        <w:t>Play the lottery immediately</w:t>
      </w:r>
      <w:r w:rsidRPr="00163E69">
        <w:rPr>
          <w:rFonts w:ascii="Times New Roman" w:eastAsia="Cambria" w:hAnsi="Times New Roman" w:cs="Times New Roman"/>
        </w:rPr>
        <w:t xml:space="preserve">: If you choose this option you will lock in your choice to play the lottery. You will then receive either the low or high payout based on the stated chances. </w:t>
      </w:r>
    </w:p>
    <w:p w14:paraId="32FA2A86" w14:textId="77777777" w:rsidR="00C565FD" w:rsidRPr="00163E69" w:rsidRDefault="00C565FD" w:rsidP="00C565FD">
      <w:pPr>
        <w:numPr>
          <w:ilvl w:val="0"/>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b/>
          <w:bCs/>
        </w:rPr>
        <w:t>Pay to see the payoff of the lottery, and then decide whether to play the lottery or take the alternative payout</w:t>
      </w:r>
      <w:r w:rsidRPr="00163E69">
        <w:rPr>
          <w:rFonts w:ascii="Times New Roman" w:eastAsia="Cambria" w:hAnsi="Times New Roman" w:cs="Times New Roman"/>
        </w:rPr>
        <w:t xml:space="preserve">: If you choose this option, you will pay the specified cost and be shown the payoff of the lottery. Only after seeing this payoff will you be asked to choose between playing the lottery or taking the alternative payout. </w:t>
      </w:r>
    </w:p>
    <w:p w14:paraId="423E1851" w14:textId="77777777" w:rsidR="00C565FD" w:rsidRPr="00163E69" w:rsidRDefault="00C565FD" w:rsidP="00C565FD">
      <w:pPr>
        <w:spacing w:line="259" w:lineRule="auto"/>
        <w:rPr>
          <w:rFonts w:ascii="Times New Roman" w:eastAsia="Calibri" w:hAnsi="Times New Roman" w:cs="Times New Roman"/>
          <w:b/>
          <w:bCs/>
        </w:rPr>
      </w:pPr>
      <w:r w:rsidRPr="00163E69">
        <w:rPr>
          <w:rFonts w:ascii="Times New Roman" w:eastAsia="Calibri" w:hAnsi="Times New Roman" w:cs="Times New Roman"/>
        </w:rPr>
        <w:t>The possible lottery payout amounts, the chances of receiving either payout, the cost of obtaining information, and the alternative payout amount will all be known at the start of each scenario. These figures vary from one scenario to the next, so please pay close attention before making any decision.</w:t>
      </w:r>
    </w:p>
    <w:p w14:paraId="6337B9C2"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b/>
          <w:bCs/>
        </w:rPr>
        <w:t xml:space="preserve">It is possible for you to lose money. </w:t>
      </w:r>
      <w:r w:rsidRPr="00163E69">
        <w:rPr>
          <w:rFonts w:ascii="Times New Roman" w:eastAsia="Calibri" w:hAnsi="Times New Roman" w:cs="Times New Roman"/>
        </w:rPr>
        <w:t xml:space="preserve">In all scenarios, one or more payouts are negative. If your choice(s) result in a negative payout for a given scenario, and this scenario is selected by the computer to be paid out, this amount will in fact be subtracted from your overall earnings for this study. The study is designed so that if you make careful choices you will earn a positive and significant amount of money from your participation. </w:t>
      </w:r>
    </w:p>
    <w:p w14:paraId="6BDE3B9D" w14:textId="77777777" w:rsidR="00C565FD" w:rsidRPr="00163E69" w:rsidRDefault="00C565FD" w:rsidP="00C565FD">
      <w:pPr>
        <w:spacing w:line="259" w:lineRule="auto"/>
        <w:rPr>
          <w:rFonts w:ascii="Times New Roman" w:eastAsia="Calibri" w:hAnsi="Times New Roman" w:cs="Times New Roman"/>
          <w:b/>
          <w:bCs/>
        </w:rPr>
      </w:pPr>
      <w:r w:rsidRPr="00163E69">
        <w:rPr>
          <w:rFonts w:ascii="Times New Roman" w:eastAsia="Calibri" w:hAnsi="Times New Roman" w:cs="Times New Roman"/>
          <w:b/>
          <w:bCs/>
        </w:rPr>
        <w:t xml:space="preserve">Example: </w:t>
      </w:r>
    </w:p>
    <w:p w14:paraId="47A1E4B4"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 xml:space="preserve">Let’s work through an example scenario. From the image below, you should notice that the high lottery payout is $15, and the low payout is -$5. There is a 15% chance of receiving the high payout, and an 85% chance of the low payout. You can pay $1 to see the payoff of the lottery before you make your choice. You have an alternative option of receiving $0 for sure. </w:t>
      </w:r>
    </w:p>
    <w:p w14:paraId="28CFB22C"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noProof/>
        </w:rPr>
        <w:lastRenderedPageBreak/>
        <w:drawing>
          <wp:inline distT="0" distB="0" distL="0" distR="0" wp14:anchorId="29F5EA0C" wp14:editId="5A2099D0">
            <wp:extent cx="5943600" cy="1719580"/>
            <wp:effectExtent l="0" t="0" r="0" b="0"/>
            <wp:docPr id="491474423" name="Picture 1" descr="A screenshot of a lottery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74423" name="Picture 1" descr="A screenshot of a lottery game&#10;&#10;Description automatically generated"/>
                    <pic:cNvPicPr/>
                  </pic:nvPicPr>
                  <pic:blipFill>
                    <a:blip r:embed="rId19"/>
                    <a:stretch>
                      <a:fillRect/>
                    </a:stretch>
                  </pic:blipFill>
                  <pic:spPr>
                    <a:xfrm>
                      <a:off x="0" y="0"/>
                      <a:ext cx="5943600" cy="1719580"/>
                    </a:xfrm>
                    <a:prstGeom prst="rect">
                      <a:avLst/>
                    </a:prstGeom>
                  </pic:spPr>
                </pic:pic>
              </a:graphicData>
            </a:graphic>
          </wp:inline>
        </w:drawing>
      </w:r>
    </w:p>
    <w:p w14:paraId="42F30139" w14:textId="77777777" w:rsidR="00C565FD" w:rsidRPr="00163E69" w:rsidRDefault="00C565FD" w:rsidP="00C565FD">
      <w:pPr>
        <w:spacing w:line="259" w:lineRule="auto"/>
        <w:rPr>
          <w:rFonts w:ascii="Times New Roman" w:eastAsia="Calibri" w:hAnsi="Times New Roman" w:cs="Times New Roman"/>
        </w:rPr>
      </w:pPr>
      <w:r w:rsidRPr="00163E69">
        <w:rPr>
          <w:rFonts w:ascii="Times New Roman" w:eastAsia="Calibri" w:hAnsi="Times New Roman" w:cs="Times New Roman"/>
        </w:rPr>
        <w:t>Let’s consider your three choices and your earnings if the lottery payoff is $15 or -$5:</w:t>
      </w:r>
    </w:p>
    <w:p w14:paraId="7F82CD3B" w14:textId="77777777" w:rsidR="00C565FD" w:rsidRPr="00163E69" w:rsidRDefault="00C565FD" w:rsidP="00C565FD">
      <w:pPr>
        <w:numPr>
          <w:ilvl w:val="0"/>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b/>
          <w:bCs/>
        </w:rPr>
        <w:t>Choose the alternative payout immediately</w:t>
      </w:r>
      <w:r w:rsidRPr="00163E69">
        <w:rPr>
          <w:rFonts w:ascii="Times New Roman" w:eastAsia="Cambria" w:hAnsi="Times New Roman" w:cs="Times New Roman"/>
        </w:rPr>
        <w:t>: You will receive $0 and proceed to the next scenario.</w:t>
      </w:r>
    </w:p>
    <w:p w14:paraId="5808555B" w14:textId="77777777" w:rsidR="00C565FD" w:rsidRPr="00163E69" w:rsidRDefault="00C565FD" w:rsidP="00C565FD">
      <w:pPr>
        <w:numPr>
          <w:ilvl w:val="0"/>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b/>
          <w:bCs/>
        </w:rPr>
        <w:t>Play the lottery immediately</w:t>
      </w:r>
      <w:r w:rsidRPr="00163E69">
        <w:rPr>
          <w:rFonts w:ascii="Times New Roman" w:eastAsia="Cambria" w:hAnsi="Times New Roman" w:cs="Times New Roman"/>
        </w:rPr>
        <w:t xml:space="preserve">: You will lock in your choice to play the lottery. You will then receive either the low or high payout based on the stated chances. </w:t>
      </w:r>
    </w:p>
    <w:p w14:paraId="52BF66E3" w14:textId="77777777" w:rsidR="00C565FD" w:rsidRPr="00163E69" w:rsidRDefault="00C565FD" w:rsidP="00C565FD">
      <w:pPr>
        <w:numPr>
          <w:ilvl w:val="1"/>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rPr>
        <w:t>If the lottery payoff is $15, then you will earn $15.</w:t>
      </w:r>
    </w:p>
    <w:p w14:paraId="13DB02B6" w14:textId="77777777" w:rsidR="00C565FD" w:rsidRPr="00163E69" w:rsidRDefault="00C565FD" w:rsidP="00C565FD">
      <w:pPr>
        <w:numPr>
          <w:ilvl w:val="1"/>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rPr>
        <w:t>If the lottery payoff is -$5, then you will lose $5.</w:t>
      </w:r>
    </w:p>
    <w:p w14:paraId="5403B757" w14:textId="77777777" w:rsidR="00C565FD" w:rsidRPr="00163E69" w:rsidRDefault="00C565FD" w:rsidP="00C565FD">
      <w:pPr>
        <w:numPr>
          <w:ilvl w:val="0"/>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b/>
          <w:bCs/>
        </w:rPr>
        <w:t>Pay to see the payoff of the lottery, and then decide whether to play the lottery or take the alternative payout</w:t>
      </w:r>
      <w:r w:rsidRPr="00163E69">
        <w:rPr>
          <w:rFonts w:ascii="Times New Roman" w:eastAsia="Cambria" w:hAnsi="Times New Roman" w:cs="Times New Roman"/>
        </w:rPr>
        <w:t>: If you choose this option, you will pay $1 and be shown the payoff of the lottery. After seeing the payoff of the lottery, you will be asked to make a decision to play the lottery or take the alternative payout.</w:t>
      </w:r>
    </w:p>
    <w:p w14:paraId="2D9D596D" w14:textId="77777777" w:rsidR="00C565FD" w:rsidRPr="00163E69" w:rsidRDefault="00C565FD" w:rsidP="00C565FD">
      <w:pPr>
        <w:numPr>
          <w:ilvl w:val="1"/>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rPr>
        <w:t>If the lottery payoff is $15, then you can play the lottery and earn $14 after paying the cost to see the payoff ($15-$1).</w:t>
      </w:r>
    </w:p>
    <w:p w14:paraId="087C75C1" w14:textId="77777777" w:rsidR="00C565FD" w:rsidRPr="00163E69" w:rsidRDefault="00C565FD" w:rsidP="00C565FD">
      <w:pPr>
        <w:numPr>
          <w:ilvl w:val="1"/>
          <w:numId w:val="1"/>
        </w:numPr>
        <w:spacing w:line="259" w:lineRule="auto"/>
        <w:contextualSpacing/>
        <w:rPr>
          <w:rFonts w:ascii="Times New Roman" w:eastAsia="Cambria" w:hAnsi="Times New Roman" w:cs="Times New Roman"/>
        </w:rPr>
      </w:pPr>
      <w:r w:rsidRPr="00163E69">
        <w:rPr>
          <w:rFonts w:ascii="Times New Roman" w:eastAsia="Cambria" w:hAnsi="Times New Roman" w:cs="Times New Roman"/>
        </w:rPr>
        <w:t>If the lottery payoff is -$5, then you can choose the alternative option and lose $1 after paying the cost to see the payoff ($0-$1).</w:t>
      </w:r>
    </w:p>
    <w:p w14:paraId="29BE27B5" w14:textId="77777777" w:rsidR="00C565FD" w:rsidRPr="00163E69" w:rsidRDefault="00C565FD" w:rsidP="00C565FD">
      <w:pPr>
        <w:rPr>
          <w:rFonts w:ascii="Times New Roman" w:hAnsi="Times New Roman" w:cs="Times New Roman"/>
        </w:rPr>
      </w:pPr>
      <w:r w:rsidRPr="00163E69">
        <w:rPr>
          <w:rFonts w:ascii="Times New Roman" w:hAnsi="Times New Roman" w:cs="Times New Roman"/>
        </w:rPr>
        <w:br w:type="page"/>
      </w:r>
    </w:p>
    <w:p w14:paraId="7F06263D" w14:textId="77777777" w:rsidR="00C565FD" w:rsidRDefault="00C565FD" w:rsidP="00C565FD"/>
    <w:p w14:paraId="188ADCA4" w14:textId="77777777" w:rsidR="009478ED" w:rsidRPr="007F37A0" w:rsidRDefault="009478ED" w:rsidP="009478ED">
      <w:pPr>
        <w:pStyle w:val="Heading1"/>
        <w:rPr>
          <w:rFonts w:ascii="Times New Roman" w:hAnsi="Times New Roman" w:cs="Times New Roman"/>
          <w:szCs w:val="28"/>
        </w:rPr>
      </w:pPr>
      <w:bookmarkStart w:id="115" w:name="_Toc164862521"/>
      <w:r w:rsidRPr="007F37A0">
        <w:rPr>
          <w:rFonts w:ascii="Times New Roman" w:hAnsi="Times New Roman" w:cs="Times New Roman"/>
          <w:caps w:val="0"/>
          <w:szCs w:val="28"/>
        </w:rPr>
        <w:t>CHAPTER III</w:t>
      </w:r>
      <w:r w:rsidRPr="007F37A0">
        <w:rPr>
          <w:rFonts w:ascii="Times New Roman" w:hAnsi="Times New Roman" w:cs="Times New Roman"/>
          <w:caps w:val="0"/>
          <w:szCs w:val="28"/>
        </w:rPr>
        <w:br/>
      </w:r>
      <w:r w:rsidRPr="007F37A0">
        <w:rPr>
          <w:rFonts w:ascii="Times New Roman" w:hAnsi="Times New Roman" w:cs="Times New Roman"/>
          <w:szCs w:val="28"/>
        </w:rPr>
        <w:t>POWER PLANT RESPONSE TO TRANSBOUNDARY AIR POLLUTION REGULATION</w:t>
      </w:r>
      <w:bookmarkEnd w:id="50"/>
      <w:bookmarkEnd w:id="115"/>
    </w:p>
    <w:p w14:paraId="223F3441" w14:textId="77777777" w:rsidR="009478ED" w:rsidRPr="007F37A0" w:rsidRDefault="009478ED" w:rsidP="009478ED">
      <w:pPr>
        <w:rPr>
          <w:rFonts w:ascii="Times New Roman" w:hAnsi="Times New Roman" w:cs="Times New Roman"/>
        </w:rPr>
      </w:pPr>
    </w:p>
    <w:p w14:paraId="6DC46FB0" w14:textId="77777777" w:rsidR="009478ED" w:rsidRPr="007F37A0" w:rsidRDefault="009478ED" w:rsidP="009478ED">
      <w:pPr>
        <w:pStyle w:val="Heading3"/>
        <w:rPr>
          <w:rFonts w:ascii="Times New Roman" w:hAnsi="Times New Roman" w:cs="Times New Roman"/>
          <w:szCs w:val="24"/>
        </w:rPr>
      </w:pPr>
      <w:r w:rsidRPr="007F37A0">
        <w:rPr>
          <w:rFonts w:ascii="Times New Roman" w:hAnsi="Times New Roman" w:cs="Times New Roman"/>
          <w:szCs w:val="24"/>
        </w:rPr>
        <w:br w:type="page"/>
      </w:r>
    </w:p>
    <w:p w14:paraId="23FD971E" w14:textId="77777777" w:rsidR="009478ED" w:rsidRPr="007F37A0" w:rsidRDefault="009478ED" w:rsidP="009478ED">
      <w:pPr>
        <w:pStyle w:val="Heading2"/>
        <w:rPr>
          <w:rFonts w:ascii="Times New Roman" w:hAnsi="Times New Roman" w:cs="Times New Roman"/>
          <w:sz w:val="24"/>
          <w:szCs w:val="24"/>
        </w:rPr>
      </w:pPr>
      <w:r w:rsidRPr="007F37A0">
        <w:rPr>
          <w:rFonts w:ascii="Times New Roman" w:hAnsi="Times New Roman" w:cs="Times New Roman"/>
          <w:sz w:val="24"/>
          <w:szCs w:val="24"/>
        </w:rPr>
        <w:lastRenderedPageBreak/>
        <w:t xml:space="preserve">    </w:t>
      </w:r>
      <w:bookmarkStart w:id="116" w:name="_Toc160879122"/>
      <w:bookmarkStart w:id="117" w:name="_Toc164862522"/>
      <w:r w:rsidRPr="007F37A0">
        <w:rPr>
          <w:rFonts w:ascii="Times New Roman" w:hAnsi="Times New Roman" w:cs="Times New Roman"/>
          <w:sz w:val="24"/>
          <w:szCs w:val="24"/>
        </w:rPr>
        <w:t>ABSTRACT</w:t>
      </w:r>
      <w:bookmarkEnd w:id="116"/>
      <w:bookmarkEnd w:id="117"/>
      <w:r w:rsidRPr="007F37A0">
        <w:rPr>
          <w:rFonts w:ascii="Times New Roman" w:hAnsi="Times New Roman" w:cs="Times New Roman"/>
          <w:sz w:val="24"/>
          <w:szCs w:val="24"/>
        </w:rPr>
        <w:tab/>
      </w:r>
    </w:p>
    <w:p w14:paraId="529B2E31"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tab/>
      </w:r>
    </w:p>
    <w:p w14:paraId="2647F4E7"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 investigate whether power plant managers respond to the Clean Air Interstate Rule and Cross State Air Pollution Rule by switching fuel type, retiring polluting boilers, or installing new pollution control technology. These recent transboundary air pollution regulations have effectively reduced emissions in regulated states (Andaloussi &amp; Isaken, 2022). I test if these reductions came from switching fuel type, boiler retirements, or new pollution control technologies. The results suggest that recent transboundary air pollution regulations effectively achieved emissions reductions by changing the composition of pollution control technology without causing boiler retirements. I find that regulated boilers are no less likely to retire compared to unregulated boilers. I find that plant managers change fuel type in response to SO</w:t>
      </w:r>
      <w:r w:rsidRPr="007F37A0">
        <w:rPr>
          <w:rFonts w:ascii="Times New Roman" w:hAnsi="Times New Roman" w:cs="Times New Roman"/>
          <w:vertAlign w:val="subscript"/>
        </w:rPr>
        <w:t>2</w:t>
      </w:r>
      <w:r w:rsidRPr="007F37A0">
        <w:rPr>
          <w:rFonts w:ascii="Times New Roman" w:hAnsi="Times New Roman" w:cs="Times New Roman"/>
        </w:rPr>
        <w:t xml:space="preserve"> regulation. I examine the different types of pollution control technologies installed separately for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emissions. I find that plant managers are more likely to install dry type technologies in response to SO</w:t>
      </w:r>
      <w:r w:rsidRPr="007F37A0">
        <w:rPr>
          <w:rFonts w:ascii="Times New Roman" w:hAnsi="Times New Roman" w:cs="Times New Roman"/>
          <w:vertAlign w:val="subscript"/>
        </w:rPr>
        <w:t>2</w:t>
      </w:r>
      <w:r w:rsidRPr="007F37A0">
        <w:rPr>
          <w:rFonts w:ascii="Times New Roman" w:hAnsi="Times New Roman" w:cs="Times New Roman"/>
        </w:rPr>
        <w:t xml:space="preserve"> regulation and selective noncatalytic reduction technology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These two categories of technologies can be classified as relatively cheap and less effective than their counterparts. </w:t>
      </w:r>
      <w:r w:rsidRPr="007F37A0">
        <w:rPr>
          <w:rFonts w:ascii="Times New Roman" w:hAnsi="Times New Roman" w:cs="Times New Roman"/>
        </w:rPr>
        <w:br w:type="page"/>
      </w:r>
    </w:p>
    <w:p w14:paraId="318B195C" w14:textId="77777777" w:rsidR="009478ED" w:rsidRPr="007F37A0" w:rsidRDefault="009478ED" w:rsidP="009478ED">
      <w:pPr>
        <w:pStyle w:val="Heading2"/>
        <w:rPr>
          <w:rFonts w:ascii="Times New Roman" w:hAnsi="Times New Roman" w:cs="Times New Roman"/>
          <w:sz w:val="24"/>
          <w:szCs w:val="24"/>
        </w:rPr>
      </w:pPr>
      <w:bookmarkStart w:id="118" w:name="_Toc160879123"/>
      <w:bookmarkStart w:id="119" w:name="_Toc164862523"/>
      <w:r w:rsidRPr="007F37A0">
        <w:rPr>
          <w:rFonts w:ascii="Times New Roman" w:hAnsi="Times New Roman" w:cs="Times New Roman"/>
          <w:sz w:val="24"/>
          <w:szCs w:val="24"/>
        </w:rPr>
        <w:lastRenderedPageBreak/>
        <w:t>3.1 INTRODUCTION</w:t>
      </w:r>
      <w:bookmarkEnd w:id="118"/>
      <w:bookmarkEnd w:id="119"/>
    </w:p>
    <w:p w14:paraId="4058B74A" w14:textId="77777777" w:rsidR="009478ED" w:rsidRPr="007F37A0" w:rsidRDefault="009478ED" w:rsidP="009478ED">
      <w:pPr>
        <w:rPr>
          <w:rFonts w:ascii="Times New Roman" w:hAnsi="Times New Roman" w:cs="Times New Roman"/>
        </w:rPr>
      </w:pPr>
    </w:p>
    <w:p w14:paraId="267C55B2"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In this paper, I examine whether power plant managers</w:t>
      </w:r>
      <w:r w:rsidRPr="007F37A0">
        <w:rPr>
          <w:rStyle w:val="FootnoteReference"/>
          <w:rFonts w:ascii="Times New Roman" w:hAnsi="Times New Roman" w:cs="Times New Roman"/>
        </w:rPr>
        <w:footnoteReference w:id="6"/>
      </w:r>
      <w:r w:rsidRPr="007F37A0">
        <w:rPr>
          <w:rFonts w:ascii="Times New Roman" w:hAnsi="Times New Roman" w:cs="Times New Roman"/>
        </w:rPr>
        <w:t xml:space="preserve"> respond to the Clean Air Interstate Rule (CAIR) and Cross State Air Pollution Rule (CSAPR) by switching fuel type, retiring polluting boilers, and installing new pollution control technology. Before regulation, policymakers typically do not know the cost of compliance. By examining how plant managers respond ex post, I contribute to understanding the marginal cost of abatement in recent years. Using pollution control technology data from the Energy Information Administration, I analyze which types of technologies plant managers are more likely to install. I also explore heterogenous responses by fuel type.</w:t>
      </w:r>
    </w:p>
    <w:p w14:paraId="0AF04FE7"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The estimation strategy relies on the assumption that the timing of transboundary air pollution regulation occurs exogenously from the perspective of the power plant manager. Policy makers endogenously target specific geographic areas with high concentrations of pollution spillover. Despite plant managers expecting to be regulated, the timing of regulation is effectively exogenous due to legal and policy uncertainty. This allows me to interpret regulations as an exogenous shock in the cost of emissions. I favor using a reduced form estimation strategy because plant managers have developed expectations about future regulations conditional on their location. I am unable to </w:t>
      </w:r>
      <w:r w:rsidRPr="007F37A0">
        <w:rPr>
          <w:rFonts w:ascii="Times New Roman" w:hAnsi="Times New Roman" w:cs="Times New Roman"/>
        </w:rPr>
        <w:lastRenderedPageBreak/>
        <w:t xml:space="preserve">separate beliefs about future regulations and the direct effect of regulation making a reduced form approach most appropriate. Using these assumptions, I compare regulated plant managers’ decisions to unregulated plant managers to capture the effect of regulation. </w:t>
      </w:r>
    </w:p>
    <w:p w14:paraId="40361A46"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I focus on CAIR and CSAPR, the EPA’s most recent transboundary air pollution regulations. Power plants’ emissions have been regulated under a series of laws since the 1970s, making it difficult to attribute any response to a particular regulation. Since the beginning of the Clean Air Act, federal regulation has evolved to address transboundary spillovers with the Acid Rain Program and the NO</w:t>
      </w:r>
      <w:r w:rsidRPr="007F37A0">
        <w:rPr>
          <w:rFonts w:ascii="Times New Roman" w:hAnsi="Times New Roman" w:cs="Times New Roman"/>
          <w:vertAlign w:val="subscript"/>
        </w:rPr>
        <w:t>x</w:t>
      </w:r>
      <w:r w:rsidRPr="007F37A0">
        <w:rPr>
          <w:rFonts w:ascii="Times New Roman" w:hAnsi="Times New Roman" w:cs="Times New Roman"/>
        </w:rPr>
        <w:t xml:space="preserve"> Budget Trading Program. CAIR and CSAPR created new permit markets for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emissions, effectively replacing previous regulatory permit markets. Additional legal uncertainties over both CAIR and CSAPR introduced complex dynamics affecting plant managers’ expectations of future regulation. For these reasons, the primary analysis groups both CAIR and CSAPR regulations together, treating them as a suite of transboundary air pollution regulations. </w:t>
      </w:r>
    </w:p>
    <w:p w14:paraId="769AC299"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The results show that plant managers do not retire boilers in response to regulation on average. This result is robust to examining retirements by fuel type. The raw data shows a retirement rate of 16.6% and 19.3% respectively for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regulation, respectively. However, regression results do not suggest a statistically significant difference compared to boilers not regulated under CAIR and CSAPR.</w:t>
      </w:r>
    </w:p>
    <w:p w14:paraId="2A285940"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 find that managers respond to SO</w:t>
      </w:r>
      <w:r w:rsidRPr="007F37A0">
        <w:rPr>
          <w:rFonts w:ascii="Times New Roman" w:hAnsi="Times New Roman" w:cs="Times New Roman"/>
          <w:vertAlign w:val="subscript"/>
        </w:rPr>
        <w:t>2</w:t>
      </w:r>
      <w:r w:rsidRPr="007F37A0">
        <w:rPr>
          <w:rFonts w:ascii="Times New Roman" w:hAnsi="Times New Roman" w:cs="Times New Roman"/>
        </w:rPr>
        <w:t xml:space="preserve"> regulation by switching fuel type, but no evidence of fuel switching for NO</w:t>
      </w:r>
      <w:r w:rsidRPr="007F37A0">
        <w:rPr>
          <w:rFonts w:ascii="Times New Roman" w:hAnsi="Times New Roman" w:cs="Times New Roman"/>
          <w:vertAlign w:val="subscript"/>
        </w:rPr>
        <w:t>x</w:t>
      </w:r>
      <w:r w:rsidRPr="007F37A0">
        <w:rPr>
          <w:rFonts w:ascii="Times New Roman" w:hAnsi="Times New Roman" w:cs="Times New Roman"/>
        </w:rPr>
        <w:t xml:space="preserve"> regulation. Most switching that occurs happens within the fuel group, meaning that plant managers switch from one type of coal to another or </w:t>
      </w:r>
      <w:r w:rsidRPr="007F37A0">
        <w:rPr>
          <w:rFonts w:ascii="Times New Roman" w:hAnsi="Times New Roman" w:cs="Times New Roman"/>
        </w:rPr>
        <w:lastRenderedPageBreak/>
        <w:t xml:space="preserve">one type of natural gas fuel to another. This suggests that managers are not changing the primary source of fuel input, for example from coal to natural gas which might require expensive capital investments. Instead, they switch from different types of the same fuel group, for example from bituminous coal to refined coal. </w:t>
      </w:r>
    </w:p>
    <w:p w14:paraId="68F4B4DA"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My results also speak to the types of technologies installed. I examine the different types of pollution control technologies installed separately for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emissions. I find evidence that plant managers are more likely to install dry type technologies in response to SO</w:t>
      </w:r>
      <w:r w:rsidRPr="007F37A0">
        <w:rPr>
          <w:rFonts w:ascii="Times New Roman" w:hAnsi="Times New Roman" w:cs="Times New Roman"/>
          <w:vertAlign w:val="subscript"/>
        </w:rPr>
        <w:t>2</w:t>
      </w:r>
      <w:r w:rsidRPr="007F37A0">
        <w:rPr>
          <w:rFonts w:ascii="Times New Roman" w:hAnsi="Times New Roman" w:cs="Times New Roman"/>
        </w:rPr>
        <w:t xml:space="preserve"> regulation and selective noncatalytic reduction technology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These two categories of technologies can be classified as relatively cheap and less effective than their counterparts. Plant managers complied with CAIR and CSAPR through low-cost pollution control technology. Without observing power plant costs, this suggests that CAIR and CSAPR successfully improved the composition of pollution control technology without pushing plant managers toward high-cost responses.</w:t>
      </w:r>
    </w:p>
    <w:p w14:paraId="0ECB0FC7" w14:textId="2C28DFF3"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These results contribute to a larger conversation about the efficacy of air pollution regulations. Prior research has shown air pollution regulations in the United States have successfully improved air quality (e.g. Currie &amp; Walker, 2019; Aldy, et al., 2022). Little research has focused specifically on recent transboundary air pollution regulations. Dorsey (2019) found that uncertainty over the Clean Air Interstate Rule (CAIR) caused plant managers to delay additional investments. Andaloussi and Isaken (2022) documented decreases in emissions in response to CAIR. This paper addresses how plant managers responded to achieve these reductions in emissions. In this way, I also </w:t>
      </w:r>
      <w:r w:rsidRPr="007F37A0">
        <w:rPr>
          <w:rFonts w:ascii="Times New Roman" w:hAnsi="Times New Roman" w:cs="Times New Roman"/>
        </w:rPr>
        <w:lastRenderedPageBreak/>
        <w:t>contribute to the literature on pollution control technology selection. Fowlie (2010) found that deregulated plants chose relatively cheap pollution control technologies, relying on market restructuring for identification. Raff and Walter (2020) find that managers choose to install NO</w:t>
      </w:r>
      <w:r w:rsidRPr="007F37A0">
        <w:rPr>
          <w:rFonts w:ascii="Times New Roman" w:hAnsi="Times New Roman" w:cs="Times New Roman"/>
          <w:vertAlign w:val="subscript"/>
        </w:rPr>
        <w:t>x</w:t>
      </w:r>
      <w:r w:rsidRPr="007F37A0">
        <w:rPr>
          <w:rFonts w:ascii="Times New Roman" w:hAnsi="Times New Roman" w:cs="Times New Roman"/>
        </w:rPr>
        <w:t xml:space="preserve"> abatement technologies to comply with air quality standards but choose cleaner fuel inputs to comply with SO</w:t>
      </w:r>
      <w:r w:rsidRPr="007F37A0">
        <w:rPr>
          <w:rFonts w:ascii="Times New Roman" w:hAnsi="Times New Roman" w:cs="Times New Roman"/>
          <w:vertAlign w:val="subscript"/>
        </w:rPr>
        <w:t>2</w:t>
      </w:r>
      <w:r w:rsidRPr="007F37A0">
        <w:rPr>
          <w:rFonts w:ascii="Times New Roman" w:hAnsi="Times New Roman" w:cs="Times New Roman"/>
        </w:rPr>
        <w:t xml:space="preserve"> regulations. Previous research focuses on earlier regulations such as the Acid Rain Program, NO</w:t>
      </w:r>
      <w:r w:rsidRPr="007F37A0">
        <w:rPr>
          <w:rFonts w:ascii="Times New Roman" w:hAnsi="Times New Roman" w:cs="Times New Roman"/>
          <w:vertAlign w:val="subscript"/>
        </w:rPr>
        <w:t>x</w:t>
      </w:r>
      <w:r w:rsidRPr="007F37A0">
        <w:rPr>
          <w:rFonts w:ascii="Times New Roman" w:hAnsi="Times New Roman" w:cs="Times New Roman"/>
        </w:rPr>
        <w:t xml:space="preserve"> Budget Trading Program, and the Clean Air Act’s air quality standards. Carlson, et al. (2000) model marginal abatement cost functions to estimate the cost savings from plant compliance strategies under the Acid Rain Program. Chan, et al. (2018) found that 11% of generators installed scrubbers, 28% switched to low-sulfur coal, and the rest mixed fuel types in response to the Acid Rain Program.</w:t>
      </w:r>
      <w:r w:rsidR="004C24CA">
        <w:rPr>
          <w:rFonts w:ascii="Times New Roman" w:hAnsi="Times New Roman" w:cs="Times New Roman"/>
        </w:rPr>
        <w:t xml:space="preserve"> EPA (2011) and DeMocker (2011) considered the costs of the Clean Air Act. They estimate the capital cost of compliance in 2010, and they find 17.5% of costs come from wet and dry technology, 12.8% of costs come from selective catalytic reduction, and 2.5% of costs come from selective noncatalytic reduction. This suggests that emissions reductions come from wet and dry technology installations and selective catalytic reduction technology. DeMocker (2011) rely on an integrated energy generation model which aggregates energy generation such that they do not model specific generator compliance strategies. </w:t>
      </w:r>
      <w:r w:rsidRPr="007F37A0">
        <w:rPr>
          <w:rFonts w:ascii="Times New Roman" w:hAnsi="Times New Roman" w:cs="Times New Roman"/>
        </w:rPr>
        <w:t>CAIR and CSAPR could elicit different responses due to the history of regulation and changes in expectations of future regulation.</w:t>
      </w:r>
      <w:r w:rsidRPr="007F37A0">
        <w:rPr>
          <w:rFonts w:ascii="Times New Roman" w:hAnsi="Times New Roman" w:cs="Times New Roman"/>
          <w:b/>
          <w:bCs/>
        </w:rPr>
        <w:t xml:space="preserve"> </w:t>
      </w:r>
      <w:r w:rsidRPr="007F37A0">
        <w:rPr>
          <w:rFonts w:ascii="Times New Roman" w:hAnsi="Times New Roman" w:cs="Times New Roman"/>
        </w:rPr>
        <w:t>My results build on this literature, describing the response to progressive air pollution regulations</w:t>
      </w:r>
      <w:r w:rsidR="004C24CA">
        <w:rPr>
          <w:rFonts w:ascii="Times New Roman" w:hAnsi="Times New Roman" w:cs="Times New Roman"/>
        </w:rPr>
        <w:t xml:space="preserve"> and estimating responses for individual boilers</w:t>
      </w:r>
      <w:r w:rsidRPr="007F37A0">
        <w:rPr>
          <w:rFonts w:ascii="Times New Roman" w:hAnsi="Times New Roman" w:cs="Times New Roman"/>
        </w:rPr>
        <w:t>.</w:t>
      </w:r>
    </w:p>
    <w:p w14:paraId="1F28ED15"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lastRenderedPageBreak/>
        <w:tab/>
        <w:t>My results highlight two important contributions to air pollution regulation policy. On average, regulated plant managers were not more likely to retire boilers than unregulated counterparts. This suggests there were not unintended consequences from regulation such as many generators shutting down causing ripple effects in the electric grid. Second, plant managers were most likely to install relatively cheap pollution control technologies compared to other alternative technologies. If permit markets are functioning effectively, we would expect power plants to respond most cost-effectively. Thus, boilers choosing inexpensive pollution control technology represents the most cost-effective approach to regulatory compliance. I conclude that these recent transboundary air pollution regulations achieved reductions in pollution by changing the composition of pollution control technology and fuel switching for SO</w:t>
      </w:r>
      <w:r w:rsidRPr="007F37A0">
        <w:rPr>
          <w:rFonts w:ascii="Times New Roman" w:hAnsi="Times New Roman" w:cs="Times New Roman"/>
          <w:vertAlign w:val="subscript"/>
        </w:rPr>
        <w:t>2</w:t>
      </w:r>
      <w:r w:rsidRPr="007F37A0">
        <w:rPr>
          <w:rFonts w:ascii="Times New Roman" w:hAnsi="Times New Roman" w:cs="Times New Roman"/>
        </w:rPr>
        <w:t xml:space="preserve"> emissions. </w:t>
      </w:r>
    </w:p>
    <w:p w14:paraId="001C036B" w14:textId="77777777" w:rsidR="009478ED" w:rsidRPr="007F37A0" w:rsidRDefault="009478ED" w:rsidP="009478ED">
      <w:pPr>
        <w:pStyle w:val="Heading2"/>
        <w:spacing w:line="480" w:lineRule="auto"/>
        <w:rPr>
          <w:rFonts w:ascii="Times New Roman" w:hAnsi="Times New Roman" w:cs="Times New Roman"/>
          <w:sz w:val="24"/>
          <w:szCs w:val="24"/>
        </w:rPr>
      </w:pPr>
      <w:bookmarkStart w:id="120" w:name="_Toc160879124"/>
      <w:bookmarkStart w:id="121" w:name="_Toc164862524"/>
      <w:r w:rsidRPr="007F37A0">
        <w:rPr>
          <w:rFonts w:ascii="Times New Roman" w:hAnsi="Times New Roman" w:cs="Times New Roman"/>
          <w:sz w:val="24"/>
          <w:szCs w:val="24"/>
        </w:rPr>
        <w:t>3.2 BACKGROUND</w:t>
      </w:r>
      <w:bookmarkEnd w:id="120"/>
      <w:bookmarkEnd w:id="121"/>
      <w:r w:rsidRPr="007F37A0">
        <w:rPr>
          <w:rFonts w:ascii="Times New Roman" w:hAnsi="Times New Roman" w:cs="Times New Roman"/>
          <w:sz w:val="24"/>
          <w:szCs w:val="24"/>
        </w:rPr>
        <w:t xml:space="preserve"> </w:t>
      </w:r>
    </w:p>
    <w:p w14:paraId="4DBBC99B"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The Clean Air Interstate Rule (CAIR) and Cross State Air Pollution Rule (CSAPR) represent federal regulation shifting from improving air quality to addressing the transboundary nature of air pollution. Meaningful federal regulation of air pollution began with the Clean Air Act (CAA) amendments in 1970. The CAA effectively improved air quality, but the transboundary nature of air pollution remained unaddressed.</w:t>
      </w:r>
      <w:r w:rsidRPr="007F37A0">
        <w:rPr>
          <w:rFonts w:ascii="Times New Roman" w:hAnsi="Times New Roman" w:cs="Times New Roman"/>
          <w:vertAlign w:val="superscript"/>
        </w:rPr>
        <w:footnoteReference w:id="7"/>
      </w:r>
      <w:r w:rsidRPr="007F37A0">
        <w:rPr>
          <w:rFonts w:ascii="Times New Roman" w:hAnsi="Times New Roman" w:cs="Times New Roman"/>
        </w:rPr>
        <w:t xml:space="preserve"> The EPA charged states with meeting standards for their counties, but states were powerless to address emissions coming from other upwind states. The Clean </w:t>
      </w:r>
      <w:r w:rsidRPr="007F37A0">
        <w:rPr>
          <w:rFonts w:ascii="Times New Roman" w:hAnsi="Times New Roman" w:cs="Times New Roman"/>
        </w:rPr>
        <w:lastRenderedPageBreak/>
        <w:t>Air Act contains a “good neighbor” provision that requires states to eliminate upwind emissions that significantly contribute to the non-attainment of standards in downwind states. Without financial incentives, states did a poor job adhering to the “good neighbor” provision prompting the EPA to propose cap-and-trade regulations on emissions with the Acid Rain Program (ARP) and the NO</w:t>
      </w:r>
      <w:r w:rsidRPr="007F37A0">
        <w:rPr>
          <w:rFonts w:ascii="Times New Roman" w:hAnsi="Times New Roman" w:cs="Times New Roman"/>
          <w:vertAlign w:val="subscript"/>
        </w:rPr>
        <w:t>x</w:t>
      </w:r>
      <w:r w:rsidRPr="007F37A0">
        <w:rPr>
          <w:rFonts w:ascii="Times New Roman" w:hAnsi="Times New Roman" w:cs="Times New Roman"/>
        </w:rPr>
        <w:t xml:space="preserve"> Budget Trading Program (NBP). The Clean Air Interstate Rule (CAIR) replaced the NBP in 2009, regulating a total of 27 states and implementing an annual NO</w:t>
      </w:r>
      <w:r w:rsidRPr="007F37A0">
        <w:rPr>
          <w:rFonts w:ascii="Times New Roman" w:hAnsi="Times New Roman" w:cs="Times New Roman"/>
          <w:vertAlign w:val="subscript"/>
        </w:rPr>
        <w:t>x</w:t>
      </w:r>
      <w:r w:rsidRPr="007F37A0">
        <w:rPr>
          <w:rFonts w:ascii="Times New Roman" w:hAnsi="Times New Roman" w:cs="Times New Roman"/>
        </w:rPr>
        <w:t xml:space="preserve"> cap in addition to seasonal caps. In 2010, CAIR expanded further to include a cap on SO</w:t>
      </w:r>
      <w:r w:rsidRPr="007F37A0">
        <w:rPr>
          <w:rFonts w:ascii="Times New Roman" w:hAnsi="Times New Roman" w:cs="Times New Roman"/>
          <w:vertAlign w:val="subscript"/>
        </w:rPr>
        <w:t>2</w:t>
      </w:r>
      <w:r w:rsidRPr="007F37A0">
        <w:rPr>
          <w:rFonts w:ascii="Times New Roman" w:hAnsi="Times New Roman" w:cs="Times New Roman"/>
        </w:rPr>
        <w:t xml:space="preserve"> emissions. Replacing CAIR in 2015, the Cross-State Air Pollution Rule (CSAPR) regulates annual NO</w:t>
      </w:r>
      <w:r w:rsidRPr="007F37A0">
        <w:rPr>
          <w:rFonts w:ascii="Times New Roman" w:hAnsi="Times New Roman" w:cs="Times New Roman"/>
          <w:vertAlign w:val="subscript"/>
        </w:rPr>
        <w:t>x</w:t>
      </w:r>
      <w:r w:rsidRPr="007F37A0">
        <w:rPr>
          <w:rFonts w:ascii="Times New Roman" w:hAnsi="Times New Roman" w:cs="Times New Roman"/>
        </w:rPr>
        <w:t>, annual SO</w:t>
      </w:r>
      <w:r w:rsidRPr="007F37A0">
        <w:rPr>
          <w:rFonts w:ascii="Times New Roman" w:hAnsi="Times New Roman" w:cs="Times New Roman"/>
          <w:vertAlign w:val="subscript"/>
        </w:rPr>
        <w:t>2</w:t>
      </w:r>
      <w:r w:rsidRPr="007F37A0">
        <w:rPr>
          <w:rFonts w:ascii="Times New Roman" w:hAnsi="Times New Roman" w:cs="Times New Roman"/>
        </w:rPr>
        <w:t>, and seasonal NO</w:t>
      </w:r>
      <w:r w:rsidRPr="007F37A0">
        <w:rPr>
          <w:rFonts w:ascii="Times New Roman" w:hAnsi="Times New Roman" w:cs="Times New Roman"/>
          <w:vertAlign w:val="subscript"/>
        </w:rPr>
        <w:t>x</w:t>
      </w:r>
      <w:r w:rsidRPr="007F37A0">
        <w:rPr>
          <w:rFonts w:ascii="Times New Roman" w:hAnsi="Times New Roman" w:cs="Times New Roman"/>
        </w:rPr>
        <w:t xml:space="preserve"> emission caps. </w:t>
      </w:r>
    </w:p>
    <w:p w14:paraId="38321FD2" w14:textId="01F863EF"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 xml:space="preserve">Both CAIR and CSAPR have faced legal difficulties since their conception, creating uncertainty and complicating the identification of treatment effects for individual regulation. In 2008, the D.C. Circuit vacated CAIR partially in response to a complaint that permit trading across states did not achieve the intended outcome of the “good neighbor” provision of the CAA. The court allowed CAIR to remain in place until the EPA could construct a rule in line with the court’s decision. In 2011, the EPA announced its response to the court’s ruling, CSAPR, which caps state-level emissions while still allowing for limited trading across states. Immediately, the regulation was taken to court, with the Supreme Court ultimately ruling in favor of CSAPR in 2014. The implementation of CSAPR occurred on January 1, 2015. In the fall of 2015, another lawsuit emerged regarding compliance with the 2008 NAAQS. In September 2016, the EPA released the CSAPR Update which would be implemented in May 2017 reducing </w:t>
      </w:r>
      <w:r w:rsidRPr="007F37A0">
        <w:rPr>
          <w:rFonts w:ascii="Times New Roman" w:hAnsi="Times New Roman" w:cs="Times New Roman"/>
        </w:rPr>
        <w:lastRenderedPageBreak/>
        <w:t xml:space="preserve">the summertime NOx emission cap. The EPA announced that they were closing out the CSAPR Update, ending the transboundary regulation entirely as states were deemed to be compliant with the “good neighbor” provision. This decision was taken to court in December 2018 and vacated in September 2019 by the D.C. Court of Appeals. In March 2021, stricter emissions caps were implemented under the Revised CSAPR Update. A summary of major regulatory events can be found in </w:t>
      </w:r>
      <w:r w:rsidRPr="007F37A0">
        <w:rPr>
          <w:rFonts w:ascii="Times New Roman" w:hAnsi="Times New Roman" w:cs="Times New Roman"/>
        </w:rPr>
        <w:fldChar w:fldCharType="begin"/>
      </w:r>
      <w:r w:rsidRPr="007F37A0">
        <w:rPr>
          <w:rFonts w:ascii="Times New Roman" w:hAnsi="Times New Roman" w:cs="Times New Roman"/>
        </w:rPr>
        <w:instrText xml:space="preserve"> REF _Ref164504592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4</w:t>
      </w:r>
      <w:r w:rsidRPr="007F37A0">
        <w:rPr>
          <w:rFonts w:ascii="Times New Roman" w:hAnsi="Times New Roman" w:cs="Times New Roman"/>
        </w:rPr>
        <w:fldChar w:fldCharType="end"/>
      </w:r>
      <w:r w:rsidRPr="007F37A0">
        <w:rPr>
          <w:rFonts w:ascii="Times New Roman" w:hAnsi="Times New Roman" w:cs="Times New Roman"/>
        </w:rPr>
        <w:t>.</w:t>
      </w:r>
    </w:p>
    <w:p w14:paraId="75FB7B5A"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In addition to legal uncertainties, the EPA’s implementation process introduces further complications to understanding the effect of a specific policy. Before the official implementation of CAIR, the EPA began monitoring emissions during a training year. Affected plant managers did not have to hold permits during this year, but Andaloussi and Isaken (2022) found evidence that managers began decreasing their emissions. CAIR officially established the annual and seasonal NO</w:t>
      </w:r>
      <w:r w:rsidRPr="007F37A0">
        <w:rPr>
          <w:rFonts w:ascii="Times New Roman" w:hAnsi="Times New Roman" w:cs="Times New Roman"/>
          <w:vertAlign w:val="subscript"/>
        </w:rPr>
        <w:t>x</w:t>
      </w:r>
      <w:r w:rsidRPr="007F37A0">
        <w:rPr>
          <w:rFonts w:ascii="Times New Roman" w:hAnsi="Times New Roman" w:cs="Times New Roman"/>
        </w:rPr>
        <w:t xml:space="preserve"> permit markets in 2009, but I use 2008 as the first year of regulation corresponding to the training year. I use 2009 as the first year of SO</w:t>
      </w:r>
      <w:r w:rsidRPr="007F37A0">
        <w:rPr>
          <w:rFonts w:ascii="Times New Roman" w:hAnsi="Times New Roman" w:cs="Times New Roman"/>
          <w:vertAlign w:val="subscript"/>
        </w:rPr>
        <w:t>2</w:t>
      </w:r>
      <w:r w:rsidRPr="007F37A0">
        <w:rPr>
          <w:rFonts w:ascii="Times New Roman" w:hAnsi="Times New Roman" w:cs="Times New Roman"/>
        </w:rPr>
        <w:t xml:space="preserve"> regulation under CAIR despite the official implementation occurring in 2010. </w:t>
      </w:r>
    </w:p>
    <w:p w14:paraId="4BB81126"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Both CAIR and CSAPR created a cap-and-trade market mechanism. After the EPA determines which states significantly contribute to air quality issues downwind, they set a state-level emissions budget for annual and summertime NO</w:t>
      </w:r>
      <w:r w:rsidRPr="007F37A0">
        <w:rPr>
          <w:rFonts w:ascii="Times New Roman" w:hAnsi="Times New Roman" w:cs="Times New Roman"/>
          <w:vertAlign w:val="subscript"/>
        </w:rPr>
        <w:t>x</w:t>
      </w:r>
      <w:r w:rsidRPr="007F37A0">
        <w:rPr>
          <w:rFonts w:ascii="Times New Roman" w:hAnsi="Times New Roman" w:cs="Times New Roman"/>
        </w:rPr>
        <w:t xml:space="preserve"> and annual SO</w:t>
      </w:r>
      <w:r w:rsidRPr="007F37A0">
        <w:rPr>
          <w:rFonts w:ascii="Times New Roman" w:hAnsi="Times New Roman" w:cs="Times New Roman"/>
          <w:vertAlign w:val="subscript"/>
        </w:rPr>
        <w:t>2</w:t>
      </w:r>
      <w:r w:rsidRPr="007F37A0">
        <w:rPr>
          <w:rFonts w:ascii="Times New Roman" w:hAnsi="Times New Roman" w:cs="Times New Roman"/>
        </w:rPr>
        <w:t xml:space="preserve"> allocating permits based on energy generator characteristics. After the initial annual allocation, permits can be traded between designated managers. Under CAIR, permits could be traded between any states under the same market. CSAPR restricted this further, only allowing trades to occur within the same state. At the end of the year, if a designated manager does not hold sufficient permits for their emissions, they are subject to fines or </w:t>
      </w:r>
      <w:r w:rsidRPr="007F37A0">
        <w:rPr>
          <w:rFonts w:ascii="Times New Roman" w:hAnsi="Times New Roman" w:cs="Times New Roman"/>
        </w:rPr>
        <w:lastRenderedPageBreak/>
        <w:t>penalties as applicable under the Clean Air Act.</w:t>
      </w:r>
      <w:r w:rsidRPr="007F37A0">
        <w:rPr>
          <w:rFonts w:ascii="Times New Roman" w:hAnsi="Times New Roman" w:cs="Times New Roman"/>
          <w:vertAlign w:val="superscript"/>
        </w:rPr>
        <w:footnoteReference w:id="8"/>
      </w:r>
      <w:r w:rsidRPr="007F37A0">
        <w:rPr>
          <w:rFonts w:ascii="Times New Roman" w:hAnsi="Times New Roman" w:cs="Times New Roman"/>
        </w:rPr>
        <w:t xml:space="preserve"> Under CSAPR, states are further held responsible for ensuring the sum of permits within their borders does not exceed their state budget. </w:t>
      </w:r>
    </w:p>
    <w:p w14:paraId="6F76B68B"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Since both CAIR and CSAPR replaced the previous market-based cap-and-trade policy, there are additional dynamics worth considering. Affected units could transfer banked allowances from the previous permit market. Unused allowances from the current permit market could be saved for a future year, eventually expiring. This means that once a regulation has been implemented, effected generating units could continue using permits from prior years without changing their behavior. Alternatively, power plant managers could reduce emissions to bank permits in anticipation of new regulations.</w:t>
      </w:r>
      <w:r w:rsidRPr="007F37A0">
        <w:rPr>
          <w:rFonts w:ascii="Times New Roman" w:hAnsi="Times New Roman" w:cs="Times New Roman"/>
          <w:vertAlign w:val="superscript"/>
        </w:rPr>
        <w:footnoteReference w:id="9"/>
      </w:r>
      <w:r w:rsidRPr="007F37A0">
        <w:rPr>
          <w:rFonts w:ascii="Times New Roman" w:hAnsi="Times New Roman" w:cs="Times New Roman"/>
        </w:rPr>
        <w:t xml:space="preserve"> This introduces a complication where plant managers could behave strategically by using banked allowances at the cost of stricter future allowances. Further, since multiple cap-and-trade policies are being implemented, a particular market for permits might not be binding. For example, in 2020 annual NO</w:t>
      </w:r>
      <w:r w:rsidRPr="007F37A0">
        <w:rPr>
          <w:rFonts w:ascii="Times New Roman" w:hAnsi="Times New Roman" w:cs="Times New Roman"/>
          <w:vertAlign w:val="subscript"/>
        </w:rPr>
        <w:t>x</w:t>
      </w:r>
      <w:r w:rsidRPr="007F37A0">
        <w:rPr>
          <w:rFonts w:ascii="Times New Roman" w:hAnsi="Times New Roman" w:cs="Times New Roman"/>
        </w:rPr>
        <w:t xml:space="preserve"> permits sold for $2.00 per ton of emissions. In contrast, the 2020 seasonal NO</w:t>
      </w:r>
      <w:r w:rsidRPr="007F37A0">
        <w:rPr>
          <w:rFonts w:ascii="Times New Roman" w:hAnsi="Times New Roman" w:cs="Times New Roman"/>
          <w:vertAlign w:val="subscript"/>
        </w:rPr>
        <w:t>x</w:t>
      </w:r>
      <w:r w:rsidRPr="007F37A0">
        <w:rPr>
          <w:rFonts w:ascii="Times New Roman" w:hAnsi="Times New Roman" w:cs="Times New Roman"/>
        </w:rPr>
        <w:t xml:space="preserve"> permits sold for as much as $175 per ton of emissions. This suggests that the annual NO</w:t>
      </w:r>
      <w:r w:rsidRPr="007F37A0">
        <w:rPr>
          <w:rFonts w:ascii="Times New Roman" w:hAnsi="Times New Roman" w:cs="Times New Roman"/>
          <w:vertAlign w:val="subscript"/>
        </w:rPr>
        <w:t>x</w:t>
      </w:r>
      <w:r w:rsidRPr="007F37A0">
        <w:rPr>
          <w:rFonts w:ascii="Times New Roman" w:hAnsi="Times New Roman" w:cs="Times New Roman"/>
        </w:rPr>
        <w:t xml:space="preserve"> permits might not be binding for 2020, but the EPA has shown a history of adjusting permit allocations to achieve the appropriate reductions </w:t>
      </w:r>
      <w:r w:rsidRPr="007F37A0">
        <w:rPr>
          <w:rFonts w:ascii="Times New Roman" w:hAnsi="Times New Roman" w:cs="Times New Roman"/>
        </w:rPr>
        <w:lastRenderedPageBreak/>
        <w:t xml:space="preserve">necessary to address transboundary air pollution. These complications highlight how messy transboundary air pollution regulations have been in the United States. </w:t>
      </w:r>
    </w:p>
    <w:p w14:paraId="3845E73C" w14:textId="6081289C"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 offer a brief comparison between treatment under CAIR and CSAPR at a high level. Both CAIR and CSAPR target emissions through three permit markets: annual NO</w:t>
      </w:r>
      <w:r w:rsidRPr="007F37A0">
        <w:rPr>
          <w:rFonts w:ascii="Times New Roman" w:hAnsi="Times New Roman" w:cs="Times New Roman"/>
          <w:vertAlign w:val="subscript"/>
        </w:rPr>
        <w:t>x</w:t>
      </w:r>
      <w:r w:rsidRPr="007F37A0">
        <w:rPr>
          <w:rFonts w:ascii="Times New Roman" w:hAnsi="Times New Roman" w:cs="Times New Roman"/>
        </w:rPr>
        <w:t>, annual SO</w:t>
      </w:r>
      <w:r w:rsidRPr="007F37A0">
        <w:rPr>
          <w:rFonts w:ascii="Times New Roman" w:hAnsi="Times New Roman" w:cs="Times New Roman"/>
          <w:vertAlign w:val="subscript"/>
        </w:rPr>
        <w:t>2</w:t>
      </w:r>
      <w:r w:rsidRPr="007F37A0">
        <w:rPr>
          <w:rFonts w:ascii="Times New Roman" w:hAnsi="Times New Roman" w:cs="Times New Roman"/>
        </w:rPr>
        <w:t>, and seasonal NO</w:t>
      </w:r>
      <w:r w:rsidRPr="007F37A0">
        <w:rPr>
          <w:rFonts w:ascii="Times New Roman" w:hAnsi="Times New Roman" w:cs="Times New Roman"/>
          <w:vertAlign w:val="subscript"/>
        </w:rPr>
        <w:t>x</w:t>
      </w:r>
      <w:r w:rsidRPr="007F37A0">
        <w:rPr>
          <w:rFonts w:ascii="Times New Roman" w:hAnsi="Times New Roman" w:cs="Times New Roman"/>
        </w:rPr>
        <w:t>. In this paper, I group annual and seasonal NO</w:t>
      </w:r>
      <w:r w:rsidRPr="007F37A0">
        <w:rPr>
          <w:rFonts w:ascii="Times New Roman" w:hAnsi="Times New Roman" w:cs="Times New Roman"/>
          <w:vertAlign w:val="subscript"/>
        </w:rPr>
        <w:t>x</w:t>
      </w:r>
      <w:r w:rsidRPr="007F37A0">
        <w:rPr>
          <w:rFonts w:ascii="Times New Roman" w:hAnsi="Times New Roman" w:cs="Times New Roman"/>
        </w:rPr>
        <w:t xml:space="preserve"> regulations together when identifying treated states. I am primarily interested in plant managers’ response in abatement technology choice, so I would not expect the type of treatment to have a meaningful impact on abatement technology choice. As an example in CAIR, Texas is only regulated through the annual NO</w:t>
      </w:r>
      <w:r w:rsidRPr="007F37A0">
        <w:rPr>
          <w:rFonts w:ascii="Times New Roman" w:hAnsi="Times New Roman" w:cs="Times New Roman"/>
          <w:vertAlign w:val="subscript"/>
        </w:rPr>
        <w:t>x</w:t>
      </w:r>
      <w:r w:rsidRPr="007F37A0">
        <w:rPr>
          <w:rFonts w:ascii="Times New Roman" w:hAnsi="Times New Roman" w:cs="Times New Roman"/>
        </w:rPr>
        <w:t xml:space="preserve"> market, and Arkansas is only regulated in the seasonal NO</w:t>
      </w:r>
      <w:r w:rsidRPr="007F37A0">
        <w:rPr>
          <w:rFonts w:ascii="Times New Roman" w:hAnsi="Times New Roman" w:cs="Times New Roman"/>
          <w:vertAlign w:val="subscript"/>
        </w:rPr>
        <w:t>x</w:t>
      </w:r>
      <w:r w:rsidRPr="007F37A0">
        <w:rPr>
          <w:rFonts w:ascii="Times New Roman" w:hAnsi="Times New Roman" w:cs="Times New Roman"/>
        </w:rPr>
        <w:t xml:space="preserve"> market. However, plant managers in both states need to change their emissions through some means, including adopting new abatement technology or retiring a boiler. </w:t>
      </w:r>
      <w:r w:rsidRPr="007F37A0">
        <w:rPr>
          <w:rFonts w:ascii="Times New Roman" w:hAnsi="Times New Roman" w:cs="Times New Roman"/>
        </w:rPr>
        <w:fldChar w:fldCharType="begin"/>
      </w:r>
      <w:r w:rsidRPr="007F37A0">
        <w:rPr>
          <w:rFonts w:ascii="Times New Roman" w:hAnsi="Times New Roman" w:cs="Times New Roman"/>
        </w:rPr>
        <w:instrText xml:space="preserve"> REF _Ref160785254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5</w:t>
      </w:r>
      <w:r w:rsidRPr="007F37A0">
        <w:rPr>
          <w:rFonts w:ascii="Times New Roman" w:hAnsi="Times New Roman" w:cs="Times New Roman"/>
        </w:rPr>
        <w:fldChar w:fldCharType="end"/>
      </w:r>
      <w:r w:rsidRPr="007F37A0">
        <w:rPr>
          <w:rFonts w:ascii="Times New Roman" w:hAnsi="Times New Roman" w:cs="Times New Roman"/>
        </w:rPr>
        <w:t xml:space="preserve"> shows how states were regulated for NO</w:t>
      </w:r>
      <w:r w:rsidRPr="007F37A0">
        <w:rPr>
          <w:rFonts w:ascii="Times New Roman" w:hAnsi="Times New Roman" w:cs="Times New Roman"/>
          <w:vertAlign w:val="subscript"/>
        </w:rPr>
        <w:t>x</w:t>
      </w:r>
      <w:r w:rsidRPr="007F37A0">
        <w:rPr>
          <w:rFonts w:ascii="Times New Roman" w:hAnsi="Times New Roman" w:cs="Times New Roman"/>
        </w:rPr>
        <w:t xml:space="preserve"> emissions under CAIR and CSAPR. A total of 23 states were regulated under both CAIR and CSAPR, 4 states were regulated under CAIR but not CSAPR, and 4 states were regulated under CSAPR but not CAIR. </w:t>
      </w:r>
      <w:r w:rsidRPr="007F37A0">
        <w:rPr>
          <w:rFonts w:ascii="Times New Roman" w:hAnsi="Times New Roman" w:cs="Times New Roman"/>
        </w:rPr>
        <w:fldChar w:fldCharType="begin"/>
      </w:r>
      <w:r w:rsidRPr="007F37A0">
        <w:rPr>
          <w:rFonts w:ascii="Times New Roman" w:hAnsi="Times New Roman" w:cs="Times New Roman"/>
        </w:rPr>
        <w:instrText xml:space="preserve"> REF _Ref164504606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6</w:t>
      </w:r>
      <w:r w:rsidRPr="007F37A0">
        <w:rPr>
          <w:rFonts w:ascii="Times New Roman" w:hAnsi="Times New Roman" w:cs="Times New Roman"/>
        </w:rPr>
        <w:fldChar w:fldCharType="end"/>
      </w:r>
      <w:r w:rsidRPr="007F37A0">
        <w:rPr>
          <w:rFonts w:ascii="Times New Roman" w:hAnsi="Times New Roman" w:cs="Times New Roman"/>
        </w:rPr>
        <w:t xml:space="preserve"> shows the corresponding map for SO</w:t>
      </w:r>
      <w:r w:rsidRPr="007F37A0">
        <w:rPr>
          <w:rFonts w:ascii="Times New Roman" w:hAnsi="Times New Roman" w:cs="Times New Roman"/>
          <w:vertAlign w:val="subscript"/>
        </w:rPr>
        <w:t>2</w:t>
      </w:r>
      <w:r w:rsidRPr="007F37A0">
        <w:rPr>
          <w:rFonts w:ascii="Times New Roman" w:hAnsi="Times New Roman" w:cs="Times New Roman"/>
        </w:rPr>
        <w:t xml:space="preserve"> emissions. A total of 19 states were regulated under both CAIR and CSAPR, 5 states were regulated under CAIR but not CSAPR, and 3 states were regulated under CSAPR but not CAIR. These slight differences give variation across types of emission regulation as well as the timing of treatment. </w:t>
      </w:r>
    </w:p>
    <w:p w14:paraId="6CC4C2A2" w14:textId="4F5AC9C4" w:rsidR="009478ED" w:rsidRPr="007F37A0" w:rsidRDefault="009478ED" w:rsidP="009478ED">
      <w:pPr>
        <w:spacing w:line="480" w:lineRule="auto"/>
        <w:ind w:firstLine="720"/>
        <w:rPr>
          <w:rFonts w:ascii="Times New Roman" w:hAnsi="Times New Roman" w:cs="Times New Roman"/>
        </w:rPr>
      </w:pPr>
      <w:bookmarkStart w:id="122" w:name="_Hlk164504761"/>
      <w:r w:rsidRPr="007F37A0">
        <w:rPr>
          <w:rFonts w:ascii="Times New Roman" w:hAnsi="Times New Roman" w:cs="Times New Roman"/>
        </w:rPr>
        <w:t xml:space="preserve">Regulated states are determined by an EPA model of air pollution dispersion. </w:t>
      </w:r>
      <w:bookmarkEnd w:id="122"/>
      <w:r w:rsidRPr="007F37A0">
        <w:rPr>
          <w:rFonts w:ascii="Times New Roman" w:hAnsi="Times New Roman" w:cs="Times New Roman"/>
        </w:rPr>
        <w:t xml:space="preserve">The primary goal of both CAIR and CSAPR is to reduce transboundary air pollution, so the EPA relies on state level results to determine if a particular state significantly contributes </w:t>
      </w:r>
      <w:r w:rsidRPr="007F37A0">
        <w:rPr>
          <w:rFonts w:ascii="Times New Roman" w:hAnsi="Times New Roman" w:cs="Times New Roman"/>
        </w:rPr>
        <w:lastRenderedPageBreak/>
        <w:t xml:space="preserve">to the non-attainment status of the Clean Air Act in a neighboring state. The EPA does not use plant specific results to determine permit allocations due to concerns over model accuracy at the plant level. However, the EPA defends model results aggregated to the state level as a valid way to identify which states have significant levels of transboundary air pollution. Variation in regulated states comes from this dispersion model, but as </w:t>
      </w:r>
      <w:r w:rsidRPr="007F37A0">
        <w:rPr>
          <w:rFonts w:ascii="Times New Roman" w:hAnsi="Times New Roman" w:cs="Times New Roman"/>
        </w:rPr>
        <w:fldChar w:fldCharType="begin"/>
      </w:r>
      <w:r w:rsidRPr="007F37A0">
        <w:rPr>
          <w:rFonts w:ascii="Times New Roman" w:hAnsi="Times New Roman" w:cs="Times New Roman"/>
        </w:rPr>
        <w:instrText xml:space="preserve"> REF _Ref160785254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5</w:t>
      </w:r>
      <w:r w:rsidRPr="007F37A0">
        <w:rPr>
          <w:rFonts w:ascii="Times New Roman" w:hAnsi="Times New Roman" w:cs="Times New Roman"/>
        </w:rPr>
        <w:fldChar w:fldCharType="end"/>
      </w:r>
      <w:r w:rsidRPr="007F37A0">
        <w:rPr>
          <w:rFonts w:ascii="Times New Roman" w:hAnsi="Times New Roman" w:cs="Times New Roman"/>
        </w:rPr>
        <w:t xml:space="preserve"> and </w:t>
      </w:r>
      <w:r w:rsidRPr="007F37A0">
        <w:rPr>
          <w:rFonts w:ascii="Times New Roman" w:hAnsi="Times New Roman" w:cs="Times New Roman"/>
        </w:rPr>
        <w:fldChar w:fldCharType="begin"/>
      </w:r>
      <w:r w:rsidRPr="007F37A0">
        <w:rPr>
          <w:rFonts w:ascii="Times New Roman" w:hAnsi="Times New Roman" w:cs="Times New Roman"/>
        </w:rPr>
        <w:instrText xml:space="preserve"> REF _Ref164504606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6</w:t>
      </w:r>
      <w:r w:rsidRPr="007F37A0">
        <w:rPr>
          <w:rFonts w:ascii="Times New Roman" w:hAnsi="Times New Roman" w:cs="Times New Roman"/>
        </w:rPr>
        <w:fldChar w:fldCharType="end"/>
      </w:r>
      <w:r w:rsidRPr="007F37A0">
        <w:rPr>
          <w:rFonts w:ascii="Times New Roman" w:hAnsi="Times New Roman" w:cs="Times New Roman"/>
        </w:rPr>
        <w:t xml:space="preserve"> show, regulated states are primarily located in the Eastern United States where the density of power plants is higher and states are generally smaller. </w:t>
      </w:r>
    </w:p>
    <w:p w14:paraId="536BB8E3"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From this background discussion, I conclude three points that inform the estimation strategy. First, transboundary air pollution policies regulate states according to an endogenous process but with exogenous timing from the perspective of plant managers. Second, power plants form expectations about future policies according to previous regulations. With the passage of a new regulation, power plants change their behavior due to the direct effects of regulation and changes in expectations. This suggests a reduced form estimation strategy to be most appropriate to jointly estimate the direct effect of regulation and changes in expectations of future regulation. Finally, the lag structure between policy implementation and plant managers’ decisions is unclear due to regulatory uncertainty, anticipation effects, and interactions between current and previous permit markets. As such, I prefer to consider these regulations as a suite of transboundary regulations.</w:t>
      </w:r>
    </w:p>
    <w:p w14:paraId="66A0B601" w14:textId="77777777" w:rsidR="009478ED" w:rsidRPr="007F37A0" w:rsidRDefault="009478ED" w:rsidP="009478ED">
      <w:pPr>
        <w:pStyle w:val="Heading2"/>
        <w:spacing w:line="480" w:lineRule="auto"/>
        <w:rPr>
          <w:rFonts w:ascii="Times New Roman" w:hAnsi="Times New Roman" w:cs="Times New Roman"/>
          <w:sz w:val="24"/>
          <w:szCs w:val="24"/>
        </w:rPr>
      </w:pPr>
      <w:bookmarkStart w:id="123" w:name="_Toc160879125"/>
      <w:bookmarkStart w:id="124" w:name="_Toc164862525"/>
      <w:r w:rsidRPr="007F37A0">
        <w:rPr>
          <w:rFonts w:ascii="Times New Roman" w:hAnsi="Times New Roman" w:cs="Times New Roman"/>
          <w:sz w:val="24"/>
          <w:szCs w:val="24"/>
        </w:rPr>
        <w:t>3.3 ESTIMATION STRATEGY</w:t>
      </w:r>
      <w:bookmarkEnd w:id="123"/>
      <w:bookmarkEnd w:id="124"/>
    </w:p>
    <w:p w14:paraId="3E732087"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 xml:space="preserve">The estimation strategy relies on the assumption that the timing of transboundary air pollution regulations is an exogenous shock to the cost of emissions for plant </w:t>
      </w:r>
      <w:r w:rsidRPr="007F37A0">
        <w:rPr>
          <w:rFonts w:ascii="Times New Roman" w:hAnsi="Times New Roman" w:cs="Times New Roman"/>
        </w:rPr>
        <w:lastRenderedPageBreak/>
        <w:t xml:space="preserve">managers. These regulations target specific geographic locations with large spillovers, meaning the regulations themselves are endogenous. From the perspective of the plant manager when these regulations are implemented occurs exogenously. Plant managers have observed regulatory changes over the years and have developed beliefs about future regulation, but they cannot fully anticipate when the EPA will implement the next set of regulations. I argue this supports the assumption that regulation behaves as an exogenous cost shock. However, this also means any observed changes in plant manager behavior capture the effect of changing expectations about future regulation in addition to the regulation itself. Since I cannot observe changes in beliefs about future regulation, the reduced form estimation strategy appropriately captures both the indirect effect on beliefs and the direct effect of regulation. Using these assumptions, I compare treated plant managers’ decisions to untreated plant managers’ to capture the effect of regulation. </w:t>
      </w:r>
    </w:p>
    <w:p w14:paraId="61B39E8D"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 xml:space="preserve">The choice of estimation strategy is constrained by data availability for pollution control technology. I obtain data from the U.S. Energy Information Administration (EIA) for abatement technology, boiler retirement, and boiler characteristics from 2009 to 2022. Abatement technology at the boiler level is unavailable prior to 2009, creating an identification challenge as CAIR began in 2009 as well. This data availability constraint does not violate the necessary assumptions since I consider these regulations as exogenous shocks to the cost of emissions. </w:t>
      </w:r>
    </w:p>
    <w:p w14:paraId="42D67A50"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 xml:space="preserve">CAIR and CSAPR impact treated plant managers through two channels. First, the creation of a new emission permit market directly affects plant managers in treated states. Second, due to the highly connected nature of the electric grid, the regulations cause a </w:t>
      </w:r>
      <w:r w:rsidRPr="007F37A0">
        <w:rPr>
          <w:rFonts w:ascii="Times New Roman" w:hAnsi="Times New Roman" w:cs="Times New Roman"/>
        </w:rPr>
        <w:lastRenderedPageBreak/>
        <w:t xml:space="preserve">shock to the electricity grid in both treated and untreated states. In response to the regulation, a treated plant manager might choose to shut down a generating unit. This decision impacts other treated and untreated plant managers in the grid as they must collectively meet the electricity demand. Even untreated plant managers might experience a policy shock. By comparing the decisions of treated plant managers to untreated ones, I control for this secondary channel of changes in electricity generation. This means any estimations should be interpreted as the effect of regulation on regulated plant managers, controlling for any changes in electricity supply and demand. </w:t>
      </w:r>
    </w:p>
    <w:p w14:paraId="391F28E7"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While plant managers might respond to regulation in a variety of ways, I focus on two extensive margin responses: retirement and new abatement technology installation. These responses represent costly changes on the extensive margin that plant managers are unlikely to revert after regulation ends. While plant managers might respond in other unobserved ways, these other responses represent short-term compliance strategies characterized by low fixed costs and reversibility.</w:t>
      </w:r>
      <w:r w:rsidRPr="007F37A0">
        <w:rPr>
          <w:rFonts w:ascii="Times New Roman" w:hAnsi="Times New Roman" w:cs="Times New Roman"/>
          <w:vertAlign w:val="superscript"/>
        </w:rPr>
        <w:footnoteReference w:id="10"/>
      </w:r>
      <w:r w:rsidRPr="007F37A0">
        <w:rPr>
          <w:rFonts w:ascii="Times New Roman" w:hAnsi="Times New Roman" w:cs="Times New Roman"/>
        </w:rPr>
        <w:t xml:space="preserve"> By focusing on decisions on the extensive margin, I capture more meaningful long-term responses to transboundary air pollution regulation.</w:t>
      </w:r>
    </w:p>
    <w:p w14:paraId="7B70F796" w14:textId="501B3B34"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 xml:space="preserve">The implementation of CAIR and CSAPR varies across the states and types of emissions that were regulated, enabling the estimation strategy. CAIR and CSAPR only directly affected 27 states primarily in the East, clearly defining the treated and control </w:t>
      </w:r>
      <w:r w:rsidRPr="007F37A0">
        <w:rPr>
          <w:rFonts w:ascii="Times New Roman" w:hAnsi="Times New Roman" w:cs="Times New Roman"/>
        </w:rPr>
        <w:lastRenderedPageBreak/>
        <w:t xml:space="preserve">groups. Within each group, pollution control technology varies across boilers, giving another source of variation to identify effects specific to control technologies. Further, CAIR and CSAPR both affected the same 23 states, but each uniquely regulated 4 states. </w:t>
      </w:r>
      <w:r w:rsidRPr="007F37A0">
        <w:rPr>
          <w:rFonts w:ascii="Times New Roman" w:hAnsi="Times New Roman" w:cs="Times New Roman"/>
        </w:rPr>
        <w:fldChar w:fldCharType="begin"/>
      </w:r>
      <w:r w:rsidRPr="007F37A0">
        <w:rPr>
          <w:rFonts w:ascii="Times New Roman" w:hAnsi="Times New Roman" w:cs="Times New Roman"/>
        </w:rPr>
        <w:instrText xml:space="preserve"> REF _Ref160785254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5</w:t>
      </w:r>
      <w:r w:rsidRPr="007F37A0">
        <w:rPr>
          <w:rFonts w:ascii="Times New Roman" w:hAnsi="Times New Roman" w:cs="Times New Roman"/>
        </w:rPr>
        <w:fldChar w:fldCharType="end"/>
      </w:r>
      <w:r w:rsidRPr="007F37A0">
        <w:rPr>
          <w:rFonts w:ascii="Times New Roman" w:hAnsi="Times New Roman" w:cs="Times New Roman"/>
        </w:rPr>
        <w:t xml:space="preserve"> and </w:t>
      </w:r>
      <w:r w:rsidRPr="007F37A0">
        <w:rPr>
          <w:rFonts w:ascii="Times New Roman" w:hAnsi="Times New Roman" w:cs="Times New Roman"/>
        </w:rPr>
        <w:fldChar w:fldCharType="begin"/>
      </w:r>
      <w:r w:rsidRPr="007F37A0">
        <w:rPr>
          <w:rFonts w:ascii="Times New Roman" w:hAnsi="Times New Roman" w:cs="Times New Roman"/>
        </w:rPr>
        <w:instrText xml:space="preserve"> REF _Ref164504606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6</w:t>
      </w:r>
      <w:r w:rsidRPr="007F37A0">
        <w:rPr>
          <w:rFonts w:ascii="Times New Roman" w:hAnsi="Times New Roman" w:cs="Times New Roman"/>
        </w:rPr>
        <w:fldChar w:fldCharType="end"/>
      </w:r>
      <w:r w:rsidRPr="007F37A0">
        <w:rPr>
          <w:rFonts w:ascii="Times New Roman" w:hAnsi="Times New Roman" w:cs="Times New Roman"/>
        </w:rPr>
        <w:t xml:space="preserve"> show maps of state regulation. This gives a small amount of variation across the set of states regulated allowing us to identify the effect of regulation under CAIR but not CSAPR and the effect of regulation under CSAPR but not CAIR. Lastly, both these policies regulated NO</w:t>
      </w:r>
      <w:r w:rsidRPr="007F37A0">
        <w:rPr>
          <w:rFonts w:ascii="Times New Roman" w:hAnsi="Times New Roman" w:cs="Times New Roman"/>
          <w:vertAlign w:val="subscript"/>
        </w:rPr>
        <w:t>x</w:t>
      </w:r>
      <w:r w:rsidRPr="007F37A0">
        <w:rPr>
          <w:rFonts w:ascii="Times New Roman" w:hAnsi="Times New Roman" w:cs="Times New Roman"/>
        </w:rPr>
        <w:t xml:space="preserve"> and SO</w:t>
      </w:r>
      <w:r w:rsidRPr="007F37A0">
        <w:rPr>
          <w:rFonts w:ascii="Times New Roman" w:hAnsi="Times New Roman" w:cs="Times New Roman"/>
          <w:vertAlign w:val="subscript"/>
        </w:rPr>
        <w:t>2</w:t>
      </w:r>
      <w:r w:rsidRPr="007F37A0">
        <w:rPr>
          <w:rFonts w:ascii="Times New Roman" w:hAnsi="Times New Roman" w:cs="Times New Roman"/>
        </w:rPr>
        <w:t xml:space="preserve"> separately. This means some states affected by CAIR or CSAPR were only regulated for NO</w:t>
      </w:r>
      <w:r w:rsidRPr="007F37A0">
        <w:rPr>
          <w:rFonts w:ascii="Times New Roman" w:hAnsi="Times New Roman" w:cs="Times New Roman"/>
          <w:vertAlign w:val="subscript"/>
        </w:rPr>
        <w:t>x</w:t>
      </w:r>
      <w:r w:rsidRPr="007F37A0">
        <w:rPr>
          <w:rFonts w:ascii="Times New Roman" w:hAnsi="Times New Roman" w:cs="Times New Roman"/>
        </w:rPr>
        <w:t xml:space="preserve"> or SO</w:t>
      </w:r>
      <w:r w:rsidRPr="007F37A0">
        <w:rPr>
          <w:rFonts w:ascii="Times New Roman" w:hAnsi="Times New Roman" w:cs="Times New Roman"/>
          <w:vertAlign w:val="subscript"/>
        </w:rPr>
        <w:t>2</w:t>
      </w:r>
      <w:r w:rsidRPr="007F37A0">
        <w:rPr>
          <w:rFonts w:ascii="Times New Roman" w:hAnsi="Times New Roman" w:cs="Times New Roman"/>
        </w:rPr>
        <w:t>. This variation allows us to independently capture the effect of NO</w:t>
      </w:r>
      <w:r w:rsidRPr="007F37A0">
        <w:rPr>
          <w:rFonts w:ascii="Times New Roman" w:hAnsi="Times New Roman" w:cs="Times New Roman"/>
          <w:vertAlign w:val="subscript"/>
        </w:rPr>
        <w:t xml:space="preserve">x </w:t>
      </w:r>
      <w:r w:rsidRPr="007F37A0">
        <w:rPr>
          <w:rFonts w:ascii="Times New Roman" w:hAnsi="Times New Roman" w:cs="Times New Roman"/>
        </w:rPr>
        <w:t>and SO</w:t>
      </w:r>
      <w:r w:rsidRPr="007F37A0">
        <w:rPr>
          <w:rFonts w:ascii="Times New Roman" w:hAnsi="Times New Roman" w:cs="Times New Roman"/>
          <w:vertAlign w:val="subscript"/>
        </w:rPr>
        <w:t>2</w:t>
      </w:r>
      <w:r w:rsidRPr="007F37A0">
        <w:rPr>
          <w:rFonts w:ascii="Times New Roman" w:hAnsi="Times New Roman" w:cs="Times New Roman"/>
        </w:rPr>
        <w:t xml:space="preserve"> regulation. The identification strategy utilizes these four different sources of variation.</w:t>
      </w:r>
    </w:p>
    <w:p w14:paraId="37D7353F"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 analyze three dimensions of the regulatory effects: emission type, control technology type, and individual policy. Both CAIR and CSAPR target NO</w:t>
      </w:r>
      <w:r w:rsidRPr="007F37A0">
        <w:rPr>
          <w:rFonts w:ascii="Times New Roman" w:hAnsi="Times New Roman" w:cs="Times New Roman"/>
          <w:vertAlign w:val="subscript"/>
        </w:rPr>
        <w:t xml:space="preserve">x </w:t>
      </w:r>
      <w:r w:rsidRPr="007F37A0">
        <w:rPr>
          <w:rFonts w:ascii="Times New Roman" w:hAnsi="Times New Roman" w:cs="Times New Roman"/>
        </w:rPr>
        <w:t>and SO</w:t>
      </w:r>
      <w:r w:rsidRPr="007F37A0">
        <w:rPr>
          <w:rFonts w:ascii="Times New Roman" w:hAnsi="Times New Roman" w:cs="Times New Roman"/>
          <w:vertAlign w:val="subscript"/>
        </w:rPr>
        <w:t>2</w:t>
      </w:r>
      <w:r w:rsidRPr="007F37A0">
        <w:rPr>
          <w:rFonts w:ascii="Times New Roman" w:hAnsi="Times New Roman" w:cs="Times New Roman"/>
        </w:rPr>
        <w:t xml:space="preserve"> emissions, but not all states are regulated for both types of emissions. This creates some heterogeneity in regulation effects allowing me to identify the effect of NO</w:t>
      </w:r>
      <w:r w:rsidRPr="007F37A0">
        <w:rPr>
          <w:rFonts w:ascii="Times New Roman" w:hAnsi="Times New Roman" w:cs="Times New Roman"/>
          <w:vertAlign w:val="subscript"/>
        </w:rPr>
        <w:t>x</w:t>
      </w:r>
      <w:r w:rsidRPr="007F37A0">
        <w:rPr>
          <w:rFonts w:ascii="Times New Roman" w:hAnsi="Times New Roman" w:cs="Times New Roman"/>
        </w:rPr>
        <w:t xml:space="preserve"> and SO</w:t>
      </w:r>
      <w:r w:rsidRPr="007F37A0">
        <w:rPr>
          <w:rFonts w:ascii="Times New Roman" w:hAnsi="Times New Roman" w:cs="Times New Roman"/>
          <w:vertAlign w:val="subscript"/>
        </w:rPr>
        <w:t>2</w:t>
      </w:r>
      <w:r w:rsidRPr="007F37A0">
        <w:rPr>
          <w:rFonts w:ascii="Times New Roman" w:hAnsi="Times New Roman" w:cs="Times New Roman"/>
        </w:rPr>
        <w:t xml:space="preserve"> regulation separately. Further, EIA abatement technology data identifies the type of emissions a specific control technology targets. This allows me to observe if a change in control technology is responding to NO</w:t>
      </w:r>
      <w:r w:rsidRPr="007F37A0">
        <w:rPr>
          <w:rFonts w:ascii="Times New Roman" w:hAnsi="Times New Roman" w:cs="Times New Roman"/>
          <w:vertAlign w:val="subscript"/>
        </w:rPr>
        <w:t>x</w:t>
      </w:r>
      <w:r w:rsidRPr="007F37A0">
        <w:rPr>
          <w:rFonts w:ascii="Times New Roman" w:hAnsi="Times New Roman" w:cs="Times New Roman"/>
        </w:rPr>
        <w:t xml:space="preserve"> or SO</w:t>
      </w:r>
      <w:r w:rsidRPr="007F37A0">
        <w:rPr>
          <w:rFonts w:ascii="Times New Roman" w:hAnsi="Times New Roman" w:cs="Times New Roman"/>
          <w:vertAlign w:val="subscript"/>
        </w:rPr>
        <w:t>2</w:t>
      </w:r>
      <w:r w:rsidRPr="007F37A0">
        <w:rPr>
          <w:rFonts w:ascii="Times New Roman" w:hAnsi="Times New Roman" w:cs="Times New Roman"/>
        </w:rPr>
        <w:t xml:space="preserve"> regulation. This assumes that a control technology does not simultaneously reduce both NO</w:t>
      </w:r>
      <w:r w:rsidRPr="007F37A0">
        <w:rPr>
          <w:rFonts w:ascii="Times New Roman" w:hAnsi="Times New Roman" w:cs="Times New Roman"/>
          <w:vertAlign w:val="subscript"/>
        </w:rPr>
        <w:t>x</w:t>
      </w:r>
      <w:r w:rsidRPr="007F37A0">
        <w:rPr>
          <w:rFonts w:ascii="Times New Roman" w:hAnsi="Times New Roman" w:cs="Times New Roman"/>
        </w:rPr>
        <w:t xml:space="preserve"> and SO</w:t>
      </w:r>
      <w:r w:rsidRPr="007F37A0">
        <w:rPr>
          <w:rFonts w:ascii="Times New Roman" w:hAnsi="Times New Roman" w:cs="Times New Roman"/>
          <w:vertAlign w:val="subscript"/>
        </w:rPr>
        <w:t>2</w:t>
      </w:r>
      <w:r w:rsidRPr="007F37A0">
        <w:rPr>
          <w:rFonts w:ascii="Times New Roman" w:hAnsi="Times New Roman" w:cs="Times New Roman"/>
        </w:rPr>
        <w:t xml:space="preserve"> emissions, which does not commonly occur (Asghar, et al., 2021). Second, I expect the effect of regulation to depend on the type of technology already installed. For example, plant managers using highly effective and costly abatement technology should not install new technology at the same rate as managers not using any technology. Highly effective pollution control </w:t>
      </w:r>
      <w:r w:rsidRPr="007F37A0">
        <w:rPr>
          <w:rFonts w:ascii="Times New Roman" w:hAnsi="Times New Roman" w:cs="Times New Roman"/>
        </w:rPr>
        <w:lastRenderedPageBreak/>
        <w:t>technology can achieve 90% emissions reduction (Sorrels, et al., 2019a; Sorrels, et al., 2021), and even less effective technologies can achieve 25-70% reductions (Sorrels, et al., 2019b). Plant managers using highly effective pollution control technology likely met the required reductions, or they would retire the boiler due to the prohibitive cost of compliance. The third source of heterogeneity in regulation comes from differences in CAIR and CSAPR treated states. As previously outlined, some states are regulated for NO</w:t>
      </w:r>
      <w:r w:rsidRPr="007F37A0">
        <w:rPr>
          <w:rFonts w:ascii="Times New Roman" w:hAnsi="Times New Roman" w:cs="Times New Roman"/>
          <w:vertAlign w:val="subscript"/>
        </w:rPr>
        <w:t>x</w:t>
      </w:r>
      <w:r w:rsidRPr="007F37A0">
        <w:rPr>
          <w:rFonts w:ascii="Times New Roman" w:hAnsi="Times New Roman" w:cs="Times New Roman"/>
        </w:rPr>
        <w:t xml:space="preserve"> or SO</w:t>
      </w:r>
      <w:r w:rsidRPr="007F37A0">
        <w:rPr>
          <w:rFonts w:ascii="Times New Roman" w:hAnsi="Times New Roman" w:cs="Times New Roman"/>
          <w:vertAlign w:val="subscript"/>
        </w:rPr>
        <w:t>2</w:t>
      </w:r>
      <w:r w:rsidRPr="007F37A0">
        <w:rPr>
          <w:rFonts w:ascii="Times New Roman" w:hAnsi="Times New Roman" w:cs="Times New Roman"/>
        </w:rPr>
        <w:t xml:space="preserve"> under CAIR but not under CSAPR and vice versa. The primary results group the effect of both regulations together since the EPA has established a history of incremental regulations targeting emissions. It is unclear what lag structures might exist between regulatory implementation and installation of new abatement technologies due to expectations of future regulations and investment lags. I attempt to capture CAIR and CSAPR specific effects using the small amount of variation in regulation between CAIR and CSAPR states.</w:t>
      </w:r>
    </w:p>
    <w:p w14:paraId="56228030"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First, I estimate the effect of regulation on what compliance strategy plant managers choose separately for NO</w:t>
      </w:r>
      <w:r w:rsidRPr="007F37A0">
        <w:rPr>
          <w:rFonts w:ascii="Times New Roman" w:hAnsi="Times New Roman" w:cs="Times New Roman"/>
          <w:vertAlign w:val="subscript"/>
        </w:rPr>
        <w:t>x</w:t>
      </w:r>
      <w:r w:rsidRPr="007F37A0">
        <w:rPr>
          <w:rFonts w:ascii="Times New Roman" w:hAnsi="Times New Roman" w:cs="Times New Roman"/>
        </w:rPr>
        <w:t xml:space="preserve"> and SO</w:t>
      </w:r>
      <w:r w:rsidRPr="007F37A0">
        <w:rPr>
          <w:rFonts w:ascii="Times New Roman" w:hAnsi="Times New Roman" w:cs="Times New Roman"/>
          <w:vertAlign w:val="subscript"/>
        </w:rPr>
        <w:t>2</w:t>
      </w:r>
      <w:r w:rsidRPr="007F37A0">
        <w:rPr>
          <w:rFonts w:ascii="Times New Roman" w:hAnsi="Times New Roman" w:cs="Times New Roman"/>
        </w:rPr>
        <w:t xml:space="preserve"> using the following multinomial logit specification: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gridCol w:w="810"/>
      </w:tblGrid>
      <w:tr w:rsidR="009478ED" w:rsidRPr="007F37A0" w14:paraId="68690701" w14:textId="77777777" w:rsidTr="00735871">
        <w:tc>
          <w:tcPr>
            <w:tcW w:w="4531" w:type="pct"/>
          </w:tcPr>
          <w:p w14:paraId="049C842A" w14:textId="77777777" w:rsidR="009478ED" w:rsidRPr="007F37A0" w:rsidRDefault="00000000" w:rsidP="00735871">
            <w:pPr>
              <w:spacing w:line="480" w:lineRule="auto"/>
              <w:ind w:firstLine="720"/>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STRATEGY</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*TREA</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it</m:t>
                    </m:r>
                  </m:sub>
                </m:sSub>
                <m:r>
                  <w:rPr>
                    <w:rFonts w:ascii="Cambria Math" w:hAnsi="Cambria Math" w:cs="Times New Roman"/>
                  </w:rPr>
                  <m:t>+</m:t>
                </m:r>
                <m:r>
                  <m:rPr>
                    <m:sty m:val="p"/>
                  </m:rPr>
                  <w:rPr>
                    <w:rFonts w:ascii="Cambria Math" w:hAnsi="Cambria Math" w:cs="Times New Roman"/>
                  </w:rPr>
                  <m:t>Γ</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it</m:t>
                    </m:r>
                  </m:sub>
                </m:sSub>
              </m:oMath>
            </m:oMathPara>
          </w:p>
        </w:tc>
        <w:tc>
          <w:tcPr>
            <w:tcW w:w="469" w:type="pct"/>
          </w:tcPr>
          <w:p w14:paraId="0386E0C1" w14:textId="10E29B39" w:rsidR="009478ED" w:rsidRPr="007F37A0" w:rsidRDefault="009478ED" w:rsidP="00735871">
            <w:pPr>
              <w:spacing w:line="480" w:lineRule="auto"/>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38</w:t>
            </w:r>
            <w:r w:rsidRPr="007F37A0">
              <w:rPr>
                <w:rFonts w:ascii="Times New Roman" w:hAnsi="Times New Roman" w:cs="Times New Roman"/>
              </w:rPr>
              <w:fldChar w:fldCharType="end"/>
            </w:r>
            <w:r w:rsidRPr="007F37A0">
              <w:rPr>
                <w:rFonts w:ascii="Times New Roman" w:hAnsi="Times New Roman" w:cs="Times New Roman"/>
              </w:rPr>
              <w:t xml:space="preserve"> )</w:t>
            </w:r>
          </w:p>
        </w:tc>
      </w:tr>
    </w:tbl>
    <w:p w14:paraId="203EA8BA"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STRATEGY</m:t>
            </m:r>
          </m:e>
          <m:sub>
            <m:r>
              <w:rPr>
                <w:rFonts w:ascii="Cambria Math" w:hAnsi="Cambria Math" w:cs="Times New Roman"/>
              </w:rPr>
              <m:t>it</m:t>
            </m:r>
          </m:sub>
        </m:sSub>
      </m:oMath>
      <w:r w:rsidRPr="007F37A0">
        <w:rPr>
          <w:rFonts w:ascii="Times New Roman" w:hAnsi="Times New Roman" w:cs="Times New Roman"/>
        </w:rPr>
        <w:t xml:space="preserve"> is a categorical variable for compliance strategy for the following: fuel switching, type of technology installation, and boiler retirement for boiler </w:t>
      </w:r>
      <m:oMath>
        <m:r>
          <w:rPr>
            <w:rFonts w:ascii="Cambria Math" w:hAnsi="Cambria Math" w:cs="Times New Roman"/>
          </w:rPr>
          <m:t>i</m:t>
        </m:r>
      </m:oMath>
      <w:r w:rsidRPr="007F37A0">
        <w:rPr>
          <w:rFonts w:ascii="Times New Roman" w:hAnsi="Times New Roman" w:cs="Times New Roman"/>
        </w:rPr>
        <w:t xml:space="preserve"> in year </w:t>
      </w:r>
      <m:oMath>
        <m:r>
          <w:rPr>
            <w:rFonts w:ascii="Cambria Math" w:hAnsi="Cambria Math" w:cs="Times New Roman"/>
          </w:rPr>
          <m:t>t</m:t>
        </m:r>
      </m:oMath>
      <w:r w:rsidRPr="007F37A0">
        <w:rPr>
          <w:rFonts w:ascii="Times New Roman" w:hAnsi="Times New Roman" w:cs="Times New Roman"/>
        </w:rPr>
        <w:t xml:space="preserve">, </w:t>
      </w:r>
      <m:oMath>
        <m:r>
          <w:rPr>
            <w:rFonts w:ascii="Cambria Math" w:hAnsi="Cambria Math" w:cs="Times New Roman"/>
          </w:rPr>
          <m:t>TREA</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it</m:t>
            </m:r>
          </m:sub>
        </m:sSub>
      </m:oMath>
      <w:r w:rsidRPr="007F37A0">
        <w:rPr>
          <w:rFonts w:ascii="Times New Roman" w:hAnsi="Times New Roman" w:cs="Times New Roman"/>
        </w:rPr>
        <w:t xml:space="preserve"> is either an indicator function for NO</w:t>
      </w:r>
      <w:r w:rsidRPr="007F37A0">
        <w:rPr>
          <w:rFonts w:ascii="Times New Roman" w:hAnsi="Times New Roman" w:cs="Times New Roman"/>
          <w:vertAlign w:val="subscript"/>
        </w:rPr>
        <w:t>x</w:t>
      </w:r>
      <w:r w:rsidRPr="007F37A0">
        <w:rPr>
          <w:rFonts w:ascii="Times New Roman" w:hAnsi="Times New Roman" w:cs="Times New Roman"/>
        </w:rPr>
        <w:t xml:space="preserve"> or SO</w:t>
      </w:r>
      <w:r w:rsidRPr="007F37A0">
        <w:rPr>
          <w:rFonts w:ascii="Times New Roman" w:hAnsi="Times New Roman" w:cs="Times New Roman"/>
          <w:vertAlign w:val="subscript"/>
        </w:rPr>
        <w:t>2</w:t>
      </w:r>
      <w:r w:rsidRPr="007F37A0">
        <w:rPr>
          <w:rFonts w:ascii="Times New Roman" w:hAnsi="Times New Roman" w:cs="Times New Roman"/>
        </w:rPr>
        <w:t xml:space="preserve"> treatment for boiler </w:t>
      </w:r>
      <m:oMath>
        <m:r>
          <w:rPr>
            <w:rFonts w:ascii="Cambria Math" w:hAnsi="Cambria Math" w:cs="Times New Roman"/>
          </w:rPr>
          <m:t>i</m:t>
        </m:r>
      </m:oMath>
      <w:r w:rsidRPr="007F37A0">
        <w:rPr>
          <w:rFonts w:ascii="Times New Roman" w:hAnsi="Times New Roman" w:cs="Times New Roman"/>
        </w:rPr>
        <w:t xml:space="preserve"> in year </w:t>
      </w:r>
      <m:oMath>
        <m:r>
          <w:rPr>
            <w:rFonts w:ascii="Cambria Math" w:hAnsi="Cambria Math" w:cs="Times New Roman"/>
          </w:rPr>
          <m:t>t</m:t>
        </m:r>
      </m:oMath>
      <w:r w:rsidRPr="007F37A0">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oMath>
      <w:r w:rsidRPr="007F37A0">
        <w:rPr>
          <w:rFonts w:ascii="Times New Roman" w:hAnsi="Times New Roman" w:cs="Times New Roman"/>
        </w:rPr>
        <w:t xml:space="preserve"> is a vector of controls for boiler </w:t>
      </w:r>
      <m:oMath>
        <m:r>
          <w:rPr>
            <w:rFonts w:ascii="Cambria Math" w:hAnsi="Cambria Math" w:cs="Times New Roman"/>
          </w:rPr>
          <m:t>i</m:t>
        </m:r>
      </m:oMath>
      <w:r w:rsidRPr="007F37A0">
        <w:rPr>
          <w:rFonts w:ascii="Times New Roman" w:hAnsi="Times New Roman" w:cs="Times New Roman"/>
        </w:rPr>
        <w:t xml:space="preserve"> in year </w:t>
      </w:r>
      <m:oMath>
        <m:r>
          <w:rPr>
            <w:rFonts w:ascii="Cambria Math" w:hAnsi="Cambria Math" w:cs="Times New Roman"/>
          </w:rPr>
          <m:t>t</m:t>
        </m:r>
      </m:oMath>
      <w:r w:rsidRPr="007F37A0">
        <w:rPr>
          <w:rFonts w:ascii="Times New Roman" w:hAnsi="Times New Roman" w:cs="Times New Roman"/>
        </w:rPr>
        <w:t xml:space="preserve"> which vary across specifications. The coefficient of interest is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7F37A0">
        <w:rPr>
          <w:rFonts w:ascii="Times New Roman" w:hAnsi="Times New Roman" w:cs="Times New Roman"/>
        </w:rPr>
        <w:t xml:space="preserve"> which captures the aggregate effect of regulation on each type </w:t>
      </w:r>
      <w:r w:rsidRPr="007F37A0">
        <w:rPr>
          <w:rFonts w:ascii="Times New Roman" w:hAnsi="Times New Roman" w:cs="Times New Roman"/>
        </w:rPr>
        <w:lastRenderedPageBreak/>
        <w:t>of technology adoption for both CAIR and CSAPR. From this specification, I can learn how regulation influences the types of technologies that power plants choose to install. Due to convergence issues, I am unable to include all controls that I would like. To show the robustness of these results, I estimate separate regressions for each compliance strategy separately.</w:t>
      </w:r>
    </w:p>
    <w:p w14:paraId="1EDBA89C"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 estimate the aggregate effect of regulation on the outcomes of interest separately for NO</w:t>
      </w:r>
      <w:r w:rsidRPr="007F37A0">
        <w:rPr>
          <w:rFonts w:ascii="Times New Roman" w:hAnsi="Times New Roman" w:cs="Times New Roman"/>
          <w:vertAlign w:val="subscript"/>
        </w:rPr>
        <w:t>x</w:t>
      </w:r>
      <w:r w:rsidRPr="007F37A0">
        <w:rPr>
          <w:rFonts w:ascii="Times New Roman" w:hAnsi="Times New Roman" w:cs="Times New Roman"/>
        </w:rPr>
        <w:t xml:space="preserve"> and SO</w:t>
      </w:r>
      <w:r w:rsidRPr="007F37A0">
        <w:rPr>
          <w:rFonts w:ascii="Times New Roman" w:hAnsi="Times New Roman" w:cs="Times New Roman"/>
          <w:vertAlign w:val="subscript"/>
        </w:rPr>
        <w:t>2</w:t>
      </w:r>
      <w:r w:rsidRPr="007F37A0">
        <w:rPr>
          <w:rFonts w:ascii="Times New Roman" w:hAnsi="Times New Roman" w:cs="Times New Roman"/>
        </w:rPr>
        <w:t>. I choose to use a probit model specification with cluster robust standard errors at the boiler and year level using Gu and Yoo’s (2019) STATA package. I estimate the following model specification: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gridCol w:w="810"/>
      </w:tblGrid>
      <w:tr w:rsidR="009478ED" w:rsidRPr="007F37A0" w14:paraId="317157B0" w14:textId="77777777" w:rsidTr="00735871">
        <w:tc>
          <w:tcPr>
            <w:tcW w:w="4531" w:type="pct"/>
          </w:tcPr>
          <w:p w14:paraId="6BE0359F" w14:textId="77777777" w:rsidR="009478ED" w:rsidRPr="007F37A0" w:rsidRDefault="00000000" w:rsidP="00735871">
            <w:pPr>
              <w:spacing w:line="480" w:lineRule="auto"/>
              <w:ind w:firstLine="720"/>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*TREA</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it</m:t>
                    </m:r>
                  </m:sub>
                </m:sSub>
                <m:r>
                  <w:rPr>
                    <w:rFonts w:ascii="Cambria Math" w:hAnsi="Cambria Math" w:cs="Times New Roman"/>
                  </w:rPr>
                  <m:t>+</m:t>
                </m:r>
                <m:r>
                  <m:rPr>
                    <m:sty m:val="p"/>
                  </m:rPr>
                  <w:rPr>
                    <w:rFonts w:ascii="Cambria Math" w:hAnsi="Cambria Math" w:cs="Times New Roman"/>
                  </w:rPr>
                  <m:t>Γ</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it</m:t>
                    </m:r>
                  </m:sub>
                </m:sSub>
              </m:oMath>
            </m:oMathPara>
          </w:p>
        </w:tc>
        <w:tc>
          <w:tcPr>
            <w:tcW w:w="469" w:type="pct"/>
          </w:tcPr>
          <w:p w14:paraId="13760382" w14:textId="342AABDC" w:rsidR="009478ED" w:rsidRPr="007F37A0" w:rsidRDefault="009478ED" w:rsidP="00735871">
            <w:pPr>
              <w:spacing w:line="480" w:lineRule="auto"/>
              <w:rPr>
                <w:rFonts w:ascii="Times New Roman" w:hAnsi="Times New Roman" w:cs="Times New Roman"/>
              </w:rPr>
            </w:pPr>
            <w:bookmarkStart w:id="125" w:name="_Ref164507452"/>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SEQ ( \* ARABIC </w:instrText>
            </w:r>
            <w:r w:rsidRPr="007F37A0">
              <w:rPr>
                <w:rFonts w:ascii="Times New Roman" w:hAnsi="Times New Roman" w:cs="Times New Roman"/>
              </w:rPr>
              <w:fldChar w:fldCharType="separate"/>
            </w:r>
            <w:r w:rsidR="00142A7E">
              <w:rPr>
                <w:rFonts w:ascii="Times New Roman" w:hAnsi="Times New Roman" w:cs="Times New Roman"/>
                <w:noProof/>
              </w:rPr>
              <w:t>39</w:t>
            </w:r>
            <w:r w:rsidRPr="007F37A0">
              <w:rPr>
                <w:rFonts w:ascii="Times New Roman" w:hAnsi="Times New Roman" w:cs="Times New Roman"/>
              </w:rPr>
              <w:fldChar w:fldCharType="end"/>
            </w:r>
            <w:bookmarkEnd w:id="125"/>
            <w:r w:rsidRPr="007F37A0">
              <w:rPr>
                <w:rFonts w:ascii="Times New Roman" w:hAnsi="Times New Roman" w:cs="Times New Roman"/>
              </w:rPr>
              <w:t xml:space="preserve"> )</w:t>
            </w:r>
          </w:p>
        </w:tc>
      </w:tr>
    </w:tbl>
    <w:p w14:paraId="643DBD06"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oMath>
      <w:r w:rsidRPr="007F37A0">
        <w:rPr>
          <w:rFonts w:ascii="Times New Roman" w:hAnsi="Times New Roman" w:cs="Times New Roman"/>
        </w:rPr>
        <w:t xml:space="preserve"> is either an indicator for boiler retirement or new technology installation for boiler </w:t>
      </w:r>
      <m:oMath>
        <m:r>
          <w:rPr>
            <w:rFonts w:ascii="Cambria Math" w:hAnsi="Cambria Math" w:cs="Times New Roman"/>
          </w:rPr>
          <m:t>i</m:t>
        </m:r>
      </m:oMath>
      <w:r w:rsidRPr="007F37A0">
        <w:rPr>
          <w:rFonts w:ascii="Times New Roman" w:hAnsi="Times New Roman" w:cs="Times New Roman"/>
        </w:rPr>
        <w:t xml:space="preserve"> in year </w:t>
      </w:r>
      <m:oMath>
        <m:r>
          <w:rPr>
            <w:rFonts w:ascii="Cambria Math" w:hAnsi="Cambria Math" w:cs="Times New Roman"/>
          </w:rPr>
          <m:t>t</m:t>
        </m:r>
      </m:oMath>
      <w:r w:rsidRPr="007F37A0">
        <w:rPr>
          <w:rFonts w:ascii="Times New Roman" w:hAnsi="Times New Roman" w:cs="Times New Roman"/>
        </w:rPr>
        <w:t xml:space="preserve">, </w:t>
      </w:r>
      <m:oMath>
        <m:r>
          <w:rPr>
            <w:rFonts w:ascii="Cambria Math" w:hAnsi="Cambria Math" w:cs="Times New Roman"/>
          </w:rPr>
          <m:t>TREA</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it</m:t>
            </m:r>
          </m:sub>
        </m:sSub>
      </m:oMath>
      <w:r w:rsidRPr="007F37A0">
        <w:rPr>
          <w:rFonts w:ascii="Times New Roman" w:hAnsi="Times New Roman" w:cs="Times New Roman"/>
        </w:rPr>
        <w:t xml:space="preserve"> is either an indicator function for NO</w:t>
      </w:r>
      <w:r w:rsidRPr="007F37A0">
        <w:rPr>
          <w:rFonts w:ascii="Times New Roman" w:hAnsi="Times New Roman" w:cs="Times New Roman"/>
          <w:vertAlign w:val="subscript"/>
        </w:rPr>
        <w:t>x</w:t>
      </w:r>
      <w:r w:rsidRPr="007F37A0">
        <w:rPr>
          <w:rFonts w:ascii="Times New Roman" w:hAnsi="Times New Roman" w:cs="Times New Roman"/>
        </w:rPr>
        <w:t xml:space="preserve"> or SO</w:t>
      </w:r>
      <w:r w:rsidRPr="007F37A0">
        <w:rPr>
          <w:rFonts w:ascii="Times New Roman" w:hAnsi="Times New Roman" w:cs="Times New Roman"/>
          <w:vertAlign w:val="subscript"/>
        </w:rPr>
        <w:t>2</w:t>
      </w:r>
      <w:r w:rsidRPr="007F37A0">
        <w:rPr>
          <w:rFonts w:ascii="Times New Roman" w:hAnsi="Times New Roman" w:cs="Times New Roman"/>
        </w:rPr>
        <w:t xml:space="preserve"> treatment for boiler </w:t>
      </w:r>
      <m:oMath>
        <m:r>
          <w:rPr>
            <w:rFonts w:ascii="Cambria Math" w:hAnsi="Cambria Math" w:cs="Times New Roman"/>
          </w:rPr>
          <m:t>i</m:t>
        </m:r>
      </m:oMath>
      <w:r w:rsidRPr="007F37A0">
        <w:rPr>
          <w:rFonts w:ascii="Times New Roman" w:hAnsi="Times New Roman" w:cs="Times New Roman"/>
        </w:rPr>
        <w:t xml:space="preserve"> in year </w:t>
      </w:r>
      <m:oMath>
        <m:r>
          <w:rPr>
            <w:rFonts w:ascii="Cambria Math" w:hAnsi="Cambria Math" w:cs="Times New Roman"/>
          </w:rPr>
          <m:t>t</m:t>
        </m:r>
      </m:oMath>
      <w:r w:rsidRPr="007F37A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oMath>
      <w:r w:rsidRPr="007F37A0">
        <w:rPr>
          <w:rFonts w:ascii="Times New Roman" w:hAnsi="Times New Roman" w:cs="Times New Roman"/>
        </w:rPr>
        <w:t xml:space="preserve"> is a vector of controls for boiler </w:t>
      </w:r>
      <m:oMath>
        <m:r>
          <w:rPr>
            <w:rFonts w:ascii="Cambria Math" w:hAnsi="Cambria Math" w:cs="Times New Roman"/>
          </w:rPr>
          <m:t>i</m:t>
        </m:r>
      </m:oMath>
      <w:r w:rsidRPr="007F37A0">
        <w:rPr>
          <w:rFonts w:ascii="Times New Roman" w:hAnsi="Times New Roman" w:cs="Times New Roman"/>
        </w:rPr>
        <w:t xml:space="preserve"> in year </w:t>
      </w:r>
      <m:oMath>
        <m:r>
          <w:rPr>
            <w:rFonts w:ascii="Cambria Math" w:hAnsi="Cambria Math" w:cs="Times New Roman"/>
          </w:rPr>
          <m:t>t</m:t>
        </m:r>
      </m:oMath>
      <w:r w:rsidRPr="007F37A0">
        <w:rPr>
          <w:rFonts w:ascii="Times New Roman" w:hAnsi="Times New Roman" w:cs="Times New Roman"/>
        </w:rPr>
        <w:t xml:space="preserve"> which vary across specifications, and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t</m:t>
            </m:r>
          </m:sub>
        </m:sSub>
      </m:oMath>
      <w:r w:rsidRPr="007F37A0">
        <w:rPr>
          <w:rFonts w:ascii="Times New Roman" w:hAnsi="Times New Roman" w:cs="Times New Roman"/>
        </w:rPr>
        <w:t xml:space="preserve"> is a set of year fixed effects. I use cluster robust standard errors, clustering at the boiler and year level. The coefficient of interest is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7F37A0">
        <w:rPr>
          <w:rFonts w:ascii="Times New Roman" w:hAnsi="Times New Roman" w:cs="Times New Roman"/>
        </w:rPr>
        <w:t xml:space="preserve"> which captures the aggregate effect of regulation across all technologies for both CAIR and CSAPR. </w:t>
      </w:r>
    </w:p>
    <w:p w14:paraId="2F8970F6" w14:textId="62DB3C09"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Next, I estimate fuel specific effects of regulation on the outcomes of interest separately for NO</w:t>
      </w:r>
      <w:r w:rsidRPr="007F37A0">
        <w:rPr>
          <w:rFonts w:ascii="Times New Roman" w:hAnsi="Times New Roman" w:cs="Times New Roman"/>
          <w:vertAlign w:val="subscript"/>
        </w:rPr>
        <w:t>x</w:t>
      </w:r>
      <w:r w:rsidRPr="007F37A0">
        <w:rPr>
          <w:rFonts w:ascii="Times New Roman" w:hAnsi="Times New Roman" w:cs="Times New Roman"/>
        </w:rPr>
        <w:t xml:space="preserve"> and SO</w:t>
      </w:r>
      <w:r w:rsidRPr="007F37A0">
        <w:rPr>
          <w:rFonts w:ascii="Times New Roman" w:hAnsi="Times New Roman" w:cs="Times New Roman"/>
          <w:vertAlign w:val="subscript"/>
        </w:rPr>
        <w:t>2</w:t>
      </w:r>
      <w:r w:rsidRPr="007F37A0">
        <w:rPr>
          <w:rFonts w:ascii="Times New Roman" w:hAnsi="Times New Roman" w:cs="Times New Roman"/>
        </w:rPr>
        <w:t xml:space="preserve"> using a probit model specification. To allow for full flexibility, I separately estimate </w:t>
      </w:r>
      <w:r w:rsidRPr="007F37A0">
        <w:rPr>
          <w:rFonts w:ascii="Times New Roman" w:hAnsi="Times New Roman" w:cs="Times New Roman"/>
        </w:rPr>
        <w:fldChar w:fldCharType="begin"/>
      </w:r>
      <w:r w:rsidRPr="007F37A0">
        <w:rPr>
          <w:rFonts w:ascii="Times New Roman" w:hAnsi="Times New Roman" w:cs="Times New Roman"/>
        </w:rPr>
        <w:instrText xml:space="preserve"> REF _Ref164507452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 </w:t>
      </w:r>
      <w:r w:rsidR="00142A7E">
        <w:rPr>
          <w:rFonts w:ascii="Times New Roman" w:hAnsi="Times New Roman" w:cs="Times New Roman"/>
          <w:noProof/>
        </w:rPr>
        <w:t>39</w:t>
      </w:r>
      <w:r w:rsidRPr="007F37A0">
        <w:rPr>
          <w:rFonts w:ascii="Times New Roman" w:hAnsi="Times New Roman" w:cs="Times New Roman"/>
        </w:rPr>
        <w:fldChar w:fldCharType="end"/>
      </w:r>
      <w:r w:rsidRPr="007F37A0">
        <w:rPr>
          <w:rFonts w:ascii="Times New Roman" w:hAnsi="Times New Roman" w:cs="Times New Roman"/>
        </w:rPr>
        <w:t>) for each of the following fuel groups: coal, petroleum, and natural gas. This gives further evidence for which types of boilers choose different strategies.</w:t>
      </w:r>
    </w:p>
    <w:p w14:paraId="46BF68C8" w14:textId="0D09FD9D"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lastRenderedPageBreak/>
        <w:t xml:space="preserve">Lastly, I examine the effect of CAIR and CSAPR separately by estimating </w:t>
      </w:r>
      <w:r w:rsidRPr="007F37A0">
        <w:rPr>
          <w:rFonts w:ascii="Times New Roman" w:hAnsi="Times New Roman" w:cs="Times New Roman"/>
        </w:rPr>
        <w:fldChar w:fldCharType="begin"/>
      </w:r>
      <w:r w:rsidRPr="007F37A0">
        <w:rPr>
          <w:rFonts w:ascii="Times New Roman" w:hAnsi="Times New Roman" w:cs="Times New Roman"/>
        </w:rPr>
        <w:instrText xml:space="preserve"> REF _Ref164507452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 </w:t>
      </w:r>
      <w:r w:rsidR="00142A7E">
        <w:rPr>
          <w:rFonts w:ascii="Times New Roman" w:hAnsi="Times New Roman" w:cs="Times New Roman"/>
          <w:noProof/>
        </w:rPr>
        <w:t>39</w:t>
      </w:r>
      <w:r w:rsidRPr="007F37A0">
        <w:rPr>
          <w:rFonts w:ascii="Times New Roman" w:hAnsi="Times New Roman" w:cs="Times New Roman"/>
        </w:rPr>
        <w:fldChar w:fldCharType="end"/>
      </w:r>
      <w:r w:rsidRPr="007F37A0">
        <w:rPr>
          <w:rFonts w:ascii="Times New Roman" w:hAnsi="Times New Roman" w:cs="Times New Roman"/>
        </w:rPr>
        <w:t xml:space="preserve">) but changing the definition of </w:t>
      </w:r>
      <m:oMath>
        <m:r>
          <w:rPr>
            <w:rFonts w:ascii="Cambria Math" w:hAnsi="Cambria Math" w:cs="Times New Roman"/>
          </w:rPr>
          <m:t>TREA</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it</m:t>
            </m:r>
          </m:sub>
        </m:sSub>
      </m:oMath>
      <w:r w:rsidRPr="007F37A0">
        <w:rPr>
          <w:rFonts w:ascii="Times New Roman" w:hAnsi="Times New Roman" w:cs="Times New Roman"/>
        </w:rPr>
        <w:t xml:space="preserve">. I replace </w:t>
      </w:r>
      <m:oMath>
        <m:r>
          <w:rPr>
            <w:rFonts w:ascii="Cambria Math" w:hAnsi="Cambria Math" w:cs="Times New Roman"/>
          </w:rPr>
          <m:t>TREA</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it</m:t>
            </m:r>
          </m:sub>
        </m:sSub>
      </m:oMath>
      <w:r w:rsidRPr="007F37A0">
        <w:rPr>
          <w:rFonts w:ascii="Times New Roman" w:hAnsi="Times New Roman" w:cs="Times New Roman"/>
        </w:rPr>
        <w:t xml:space="preserve"> with a vector of treatment variables: treated under CAIR but not CSAPR, treated under CSAPR but not CAIR, and treated under both CAIR and CSAPR. This allows me to separate potential responses for these three groups of treated boilers.</w:t>
      </w:r>
    </w:p>
    <w:p w14:paraId="38238B36" w14:textId="77777777" w:rsidR="009478ED" w:rsidRPr="007F37A0" w:rsidRDefault="009478ED" w:rsidP="009478ED">
      <w:pPr>
        <w:pStyle w:val="Heading2"/>
        <w:spacing w:line="480" w:lineRule="auto"/>
        <w:rPr>
          <w:rFonts w:ascii="Times New Roman" w:hAnsi="Times New Roman" w:cs="Times New Roman"/>
          <w:sz w:val="24"/>
          <w:szCs w:val="24"/>
        </w:rPr>
      </w:pPr>
      <w:bookmarkStart w:id="126" w:name="_Toc160879126"/>
      <w:bookmarkStart w:id="127" w:name="_Toc164862526"/>
      <w:r w:rsidRPr="007F37A0">
        <w:rPr>
          <w:rFonts w:ascii="Times New Roman" w:hAnsi="Times New Roman" w:cs="Times New Roman"/>
          <w:sz w:val="24"/>
          <w:szCs w:val="24"/>
        </w:rPr>
        <w:t>3.4 DATA AND DESCRIPTIVE STATISTICS</w:t>
      </w:r>
      <w:bookmarkEnd w:id="126"/>
      <w:bookmarkEnd w:id="127"/>
    </w:p>
    <w:p w14:paraId="46A06631" w14:textId="618555F5"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I combine boiler level data for power plants from the US Energy Information Administration (2023) and synthesized boiler level data from the Public Utility Data Liberation project (Catalyst Cooperative, et al., 2023). Between 2009 and 2022 I obtain data for 4,731 boilers for 1,745 unique plants. Each boiler has an average of 10.58 years of observations, meaning I have a total of 50,039 observations. The dataset consists of annual boiler characteristics including retirement, control technology, and other controls. </w:t>
      </w:r>
      <w:r w:rsidRPr="007F37A0">
        <w:rPr>
          <w:rFonts w:ascii="Times New Roman" w:hAnsi="Times New Roman" w:cs="Times New Roman"/>
        </w:rPr>
        <w:fldChar w:fldCharType="begin"/>
      </w:r>
      <w:r w:rsidRPr="007F37A0">
        <w:rPr>
          <w:rFonts w:ascii="Times New Roman" w:hAnsi="Times New Roman" w:cs="Times New Roman"/>
        </w:rPr>
        <w:instrText xml:space="preserve"> REF _Ref160785178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15</w:t>
      </w:r>
      <w:r w:rsidRPr="007F37A0">
        <w:rPr>
          <w:rFonts w:ascii="Times New Roman" w:hAnsi="Times New Roman" w:cs="Times New Roman"/>
        </w:rPr>
        <w:fldChar w:fldCharType="end"/>
      </w: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REF _Ref162000268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16</w:t>
      </w:r>
      <w:r w:rsidRPr="007F37A0">
        <w:rPr>
          <w:rFonts w:ascii="Times New Roman" w:hAnsi="Times New Roman" w:cs="Times New Roman"/>
        </w:rPr>
        <w:fldChar w:fldCharType="end"/>
      </w:r>
      <w:r w:rsidRPr="007F37A0">
        <w:rPr>
          <w:rFonts w:ascii="Times New Roman" w:hAnsi="Times New Roman" w:cs="Times New Roman"/>
        </w:rPr>
        <w:t xml:space="preserve">, and </w:t>
      </w:r>
      <w:r w:rsidRPr="007F37A0">
        <w:rPr>
          <w:rFonts w:ascii="Times New Roman" w:hAnsi="Times New Roman" w:cs="Times New Roman"/>
        </w:rPr>
        <w:fldChar w:fldCharType="begin"/>
      </w:r>
      <w:r w:rsidRPr="007F37A0">
        <w:rPr>
          <w:rFonts w:ascii="Times New Roman" w:hAnsi="Times New Roman" w:cs="Times New Roman"/>
        </w:rPr>
        <w:instrText xml:space="preserve"> REF _Ref160785181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17</w:t>
      </w:r>
      <w:r w:rsidRPr="007F37A0">
        <w:rPr>
          <w:rFonts w:ascii="Times New Roman" w:hAnsi="Times New Roman" w:cs="Times New Roman"/>
        </w:rPr>
        <w:fldChar w:fldCharType="end"/>
      </w:r>
      <w:r w:rsidRPr="007F37A0">
        <w:rPr>
          <w:rFonts w:ascii="Times New Roman" w:hAnsi="Times New Roman" w:cs="Times New Roman"/>
          <w:b/>
          <w:bCs/>
        </w:rPr>
        <w:t xml:space="preserve"> </w:t>
      </w:r>
      <w:r w:rsidRPr="007F37A0">
        <w:rPr>
          <w:rFonts w:ascii="Times New Roman" w:hAnsi="Times New Roman" w:cs="Times New Roman"/>
        </w:rPr>
        <w:t>describe the variables used in the analysis. Through CAIR or CSAPR, 73% and 80% of boilers are ever regulated for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respectively. From 2009 to 2022 I observe 24.7% of boilers retiring.</w:t>
      </w:r>
      <w:r w:rsidRPr="007F37A0">
        <w:rPr>
          <w:rStyle w:val="FootnoteReference"/>
          <w:rFonts w:ascii="Times New Roman" w:hAnsi="Times New Roman" w:cs="Times New Roman"/>
        </w:rPr>
        <w:footnoteReference w:id="11"/>
      </w:r>
      <w:r w:rsidRPr="007F37A0">
        <w:rPr>
          <w:rFonts w:ascii="Times New Roman" w:hAnsi="Times New Roman" w:cs="Times New Roman"/>
        </w:rPr>
        <w:t xml:space="preserve"> While this might appear like a large percentage of boilers, the relationship between boilers to generators is not a clear one-to-one. Many generators have multiple boilers, and I can identify instances where a boiler retires without the generator or power plant shutting down. </w:t>
      </w:r>
      <w:r w:rsidRPr="007F37A0">
        <w:rPr>
          <w:rFonts w:ascii="Times New Roman" w:hAnsi="Times New Roman" w:cs="Times New Roman"/>
        </w:rPr>
        <w:lastRenderedPageBreak/>
        <w:t>During this time, only 4.2% of boilers installed a new SO</w:t>
      </w:r>
      <w:r w:rsidRPr="007F37A0">
        <w:rPr>
          <w:rFonts w:ascii="Times New Roman" w:hAnsi="Times New Roman" w:cs="Times New Roman"/>
          <w:vertAlign w:val="subscript"/>
        </w:rPr>
        <w:t>2</w:t>
      </w:r>
      <w:r w:rsidRPr="007F37A0">
        <w:rPr>
          <w:rFonts w:ascii="Times New Roman" w:hAnsi="Times New Roman" w:cs="Times New Roman"/>
        </w:rPr>
        <w:t xml:space="preserve"> technology, and 5.3% of boilers installed a new NO</w:t>
      </w:r>
      <w:r w:rsidRPr="007F37A0">
        <w:rPr>
          <w:rFonts w:ascii="Times New Roman" w:hAnsi="Times New Roman" w:cs="Times New Roman"/>
          <w:vertAlign w:val="subscript"/>
        </w:rPr>
        <w:t>x</w:t>
      </w:r>
      <w:r w:rsidRPr="007F37A0">
        <w:rPr>
          <w:rFonts w:ascii="Times New Roman" w:hAnsi="Times New Roman" w:cs="Times New Roman"/>
        </w:rPr>
        <w:t xml:space="preserve"> technology. Other important control variables available in the analysis include fuel type, boiler firing type, waste heat input, boiler efficiency rates, and turndown ratio among others. To address concerns about responses to other concurrent regulations, I include an indicator for county-level Clean Air Act compliance status. Further, I include indicators for North American Electric Reliability Corporation (NERC) regions as a control for potential regulations in neighboring states. The electric grid is highly interconnected meaning that including this control captures market responses to other regulations occurring within the region.</w:t>
      </w:r>
    </w:p>
    <w:p w14:paraId="127D3BE6" w14:textId="50C39DE4"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I use this dataset for the analysis since it contains detailed information about the pollution control technology used at the boiler level.  This information has only been collected by the EIA since 2009 but provides a unique opportunity to observe how plant managers make decisions on the extensive margin in response to regulation. The data breaks down control technologies into 23 unique categories, described in</w:t>
      </w:r>
      <w:r w:rsidRPr="007F37A0">
        <w:rPr>
          <w:rFonts w:ascii="Times New Roman" w:hAnsi="Times New Roman" w:cs="Times New Roman"/>
          <w:b/>
          <w:bCs/>
        </w:rPr>
        <w:t xml:space="preserve"> </w:t>
      </w:r>
      <w:r w:rsidRPr="007F37A0">
        <w:rPr>
          <w:rFonts w:ascii="Times New Roman" w:hAnsi="Times New Roman" w:cs="Times New Roman"/>
          <w:b/>
          <w:bCs/>
        </w:rPr>
        <w:fldChar w:fldCharType="begin"/>
      </w:r>
      <w:r w:rsidRPr="007F37A0">
        <w:rPr>
          <w:rFonts w:ascii="Times New Roman" w:hAnsi="Times New Roman" w:cs="Times New Roman"/>
          <w:b/>
          <w:bCs/>
        </w:rPr>
        <w:instrText xml:space="preserve"> REF _Ref160879326 \h </w:instrText>
      </w:r>
      <w:r w:rsidR="007F37A0">
        <w:rPr>
          <w:rFonts w:ascii="Times New Roman" w:hAnsi="Times New Roman" w:cs="Times New Roman"/>
          <w:b/>
          <w:bCs/>
        </w:rPr>
        <w:instrText xml:space="preserve"> \* MERGEFORMAT </w:instrText>
      </w:r>
      <w:r w:rsidRPr="007F37A0">
        <w:rPr>
          <w:rFonts w:ascii="Times New Roman" w:hAnsi="Times New Roman" w:cs="Times New Roman"/>
          <w:b/>
          <w:bCs/>
        </w:rPr>
      </w:r>
      <w:r w:rsidRPr="007F37A0">
        <w:rPr>
          <w:rFonts w:ascii="Times New Roman" w:hAnsi="Times New Roman" w:cs="Times New Roman"/>
          <w:b/>
          <w:bCs/>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18</w:t>
      </w:r>
      <w:r w:rsidRPr="007F37A0">
        <w:rPr>
          <w:rFonts w:ascii="Times New Roman" w:hAnsi="Times New Roman" w:cs="Times New Roman"/>
          <w:b/>
          <w:bCs/>
        </w:rPr>
        <w:fldChar w:fldCharType="end"/>
      </w:r>
      <w:r w:rsidRPr="007F37A0">
        <w:rPr>
          <w:rFonts w:ascii="Times New Roman" w:hAnsi="Times New Roman" w:cs="Times New Roman"/>
        </w:rPr>
        <w:t>. I aggregate these into 6 categories: wet type technology, dry type technology, selective noncatalytic reduction technology, selective catalytic reduction technology, particulate control technology, and other uncategorized technology. I choose this categorization for three reasons. First, the primary control technologies used to address SO</w:t>
      </w:r>
      <w:r w:rsidRPr="007F37A0">
        <w:rPr>
          <w:rFonts w:ascii="Times New Roman" w:hAnsi="Times New Roman" w:cs="Times New Roman"/>
          <w:vertAlign w:val="subscript"/>
        </w:rPr>
        <w:t>2</w:t>
      </w:r>
      <w:r w:rsidRPr="007F37A0">
        <w:rPr>
          <w:rFonts w:ascii="Times New Roman" w:hAnsi="Times New Roman" w:cs="Times New Roman"/>
        </w:rPr>
        <w:t xml:space="preserve"> emissions are wet and dry type technologies. For NO</w:t>
      </w:r>
      <w:r w:rsidRPr="007F37A0">
        <w:rPr>
          <w:rFonts w:ascii="Times New Roman" w:hAnsi="Times New Roman" w:cs="Times New Roman"/>
          <w:vertAlign w:val="subscript"/>
        </w:rPr>
        <w:t>x</w:t>
      </w:r>
      <w:r w:rsidRPr="007F37A0">
        <w:rPr>
          <w:rFonts w:ascii="Times New Roman" w:hAnsi="Times New Roman" w:cs="Times New Roman"/>
        </w:rPr>
        <w:t xml:space="preserve"> emissions, selective noncatalytic and catalytic reduction technologies are the primary two categories to reduce emissions. This gives us 2 categories of technology of interest for each type of emission being regulated. Second, I can easily categorize the types of technology in terms of efficiency and cost. Wet type </w:t>
      </w:r>
      <w:r w:rsidRPr="007F37A0">
        <w:rPr>
          <w:rFonts w:ascii="Times New Roman" w:hAnsi="Times New Roman" w:cs="Times New Roman"/>
        </w:rPr>
        <w:lastRenderedPageBreak/>
        <w:t>technology and selective catalytic reduction technology are both relatively more costly but highly effective in reducing their respective emission types. Dry type technology and selective noncatalytic reduction technology are relatively cheaper, easier to retrofit onto existing boilers, and less effective in reducing emissions. Third, EIA classifies existing control technologies as SO</w:t>
      </w:r>
      <w:r w:rsidRPr="007F37A0">
        <w:rPr>
          <w:rFonts w:ascii="Times New Roman" w:hAnsi="Times New Roman" w:cs="Times New Roman"/>
          <w:vertAlign w:val="subscript"/>
        </w:rPr>
        <w:t>2</w:t>
      </w:r>
      <w:r w:rsidRPr="007F37A0">
        <w:rPr>
          <w:rFonts w:ascii="Times New Roman" w:hAnsi="Times New Roman" w:cs="Times New Roman"/>
        </w:rPr>
        <w:t xml:space="preserve"> or NO</w:t>
      </w:r>
      <w:r w:rsidRPr="007F37A0">
        <w:rPr>
          <w:rFonts w:ascii="Times New Roman" w:hAnsi="Times New Roman" w:cs="Times New Roman"/>
          <w:vertAlign w:val="subscript"/>
        </w:rPr>
        <w:t>x</w:t>
      </w:r>
      <w:r w:rsidRPr="007F37A0">
        <w:rPr>
          <w:rFonts w:ascii="Times New Roman" w:hAnsi="Times New Roman" w:cs="Times New Roman"/>
        </w:rPr>
        <w:t xml:space="preserve"> technology. As I examine changes in technology installation for each of these categories, it becomes clear that particulate control technology and other unclassified technologies are rarely seen in the data. I include them as controls since they might proxy for power plants’ perceptions of future regulation or other unobservable characteristics. This rich emission control technology data provides the basis for the analysis. </w:t>
      </w:r>
    </w:p>
    <w:p w14:paraId="696F8EB7"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While this unique dataset allows us to observe emission control technology, boiler characteristics are not available for all 4,721 boilers each year. To address these missing data, I utilize the dummy variable method where I create a dummy variable indicating when data is available for a variable and then replace the missing values with the mean value. While this method has its criticisms, I only have complete data for 6,262 boiler-years. Using this method, I can include an additional 43,777 observations in the analysis. </w:t>
      </w:r>
    </w:p>
    <w:p w14:paraId="77C2EA1A" w14:textId="4B49CEB4"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The location of each boiler in the dataset can be seen in </w:t>
      </w:r>
      <w:r w:rsidRPr="007F37A0">
        <w:rPr>
          <w:rFonts w:ascii="Times New Roman" w:hAnsi="Times New Roman" w:cs="Times New Roman"/>
        </w:rPr>
        <w:fldChar w:fldCharType="begin"/>
      </w:r>
      <w:r w:rsidRPr="007F37A0">
        <w:rPr>
          <w:rFonts w:ascii="Times New Roman" w:hAnsi="Times New Roman" w:cs="Times New Roman"/>
        </w:rPr>
        <w:instrText xml:space="preserve"> REF _Ref160875285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7</w:t>
      </w:r>
      <w:r w:rsidRPr="007F37A0">
        <w:rPr>
          <w:rFonts w:ascii="Times New Roman" w:hAnsi="Times New Roman" w:cs="Times New Roman"/>
        </w:rPr>
        <w:fldChar w:fldCharType="end"/>
      </w:r>
      <w:r w:rsidRPr="007F37A0">
        <w:rPr>
          <w:rFonts w:ascii="Times New Roman" w:hAnsi="Times New Roman" w:cs="Times New Roman"/>
        </w:rPr>
        <w:t xml:space="preserve"> and </w:t>
      </w:r>
      <w:r w:rsidRPr="007F37A0">
        <w:rPr>
          <w:rFonts w:ascii="Times New Roman" w:hAnsi="Times New Roman" w:cs="Times New Roman"/>
        </w:rPr>
        <w:fldChar w:fldCharType="begin"/>
      </w:r>
      <w:r w:rsidRPr="007F37A0">
        <w:rPr>
          <w:rFonts w:ascii="Times New Roman" w:hAnsi="Times New Roman" w:cs="Times New Roman"/>
        </w:rPr>
        <w:instrText xml:space="preserve"> REF _Ref160875276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8</w:t>
      </w:r>
      <w:r w:rsidRPr="007F37A0">
        <w:rPr>
          <w:rFonts w:ascii="Times New Roman" w:hAnsi="Times New Roman" w:cs="Times New Roman"/>
        </w:rPr>
        <w:fldChar w:fldCharType="end"/>
      </w:r>
      <w:r w:rsidRPr="007F37A0">
        <w:rPr>
          <w:rFonts w:ascii="Times New Roman" w:hAnsi="Times New Roman" w:cs="Times New Roman"/>
        </w:rPr>
        <w:t xml:space="preserve">. Red boilers are never regulated under CAIR or CSAPR. Purple boilers are regulated under both CAIR and CSAPR, meaning they are always regulated in the dataset. Blue boilers are only regulated under CAIR meaning they are regulated in 2009 and then become unregulated in 2015. Green boilers are only regulated under CSAPR meaning they became regulated in 2015. These images highlight the variation in regulation across </w:t>
      </w:r>
      <w:r w:rsidRPr="007F37A0">
        <w:rPr>
          <w:rFonts w:ascii="Times New Roman" w:hAnsi="Times New Roman" w:cs="Times New Roman"/>
        </w:rPr>
        <w:lastRenderedPageBreak/>
        <w:t xml:space="preserve">states. </w:t>
      </w:r>
      <w:r w:rsidRPr="007F37A0">
        <w:rPr>
          <w:rFonts w:ascii="Times New Roman" w:hAnsi="Times New Roman" w:cs="Times New Roman"/>
        </w:rPr>
        <w:fldChar w:fldCharType="begin"/>
      </w:r>
      <w:r w:rsidRPr="007F37A0">
        <w:rPr>
          <w:rFonts w:ascii="Times New Roman" w:hAnsi="Times New Roman" w:cs="Times New Roman"/>
        </w:rPr>
        <w:instrText xml:space="preserve"> REF _Ref160785178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15</w:t>
      </w:r>
      <w:r w:rsidRPr="007F37A0">
        <w:rPr>
          <w:rFonts w:ascii="Times New Roman" w:hAnsi="Times New Roman" w:cs="Times New Roman"/>
        </w:rPr>
        <w:fldChar w:fldCharType="end"/>
      </w:r>
      <w:r w:rsidRPr="007F37A0">
        <w:rPr>
          <w:rFonts w:ascii="Times New Roman" w:hAnsi="Times New Roman" w:cs="Times New Roman"/>
        </w:rPr>
        <w:t xml:space="preserve"> shows that 73% and 80% of boilers are ever regulated for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respectively, through CAIR or CSAPR. However, when separating treatment into both CAIR and CSAPR, CAIR but not CSAPR, and CSAPR but not CAIR, we see slightly more variation in treatment. </w:t>
      </w:r>
    </w:p>
    <w:p w14:paraId="0B9BEFAB" w14:textId="6EC3F436"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r>
      <w:r w:rsidRPr="007F37A0">
        <w:rPr>
          <w:rFonts w:ascii="Times New Roman" w:hAnsi="Times New Roman" w:cs="Times New Roman"/>
        </w:rPr>
        <w:fldChar w:fldCharType="begin"/>
      </w:r>
      <w:r w:rsidRPr="007F37A0">
        <w:rPr>
          <w:rFonts w:ascii="Times New Roman" w:hAnsi="Times New Roman" w:cs="Times New Roman"/>
        </w:rPr>
        <w:instrText xml:space="preserve"> REF _Ref164526631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Table </w:t>
      </w:r>
      <w:r w:rsidR="00142A7E">
        <w:rPr>
          <w:rFonts w:ascii="Times New Roman" w:hAnsi="Times New Roman" w:cs="Times New Roman"/>
          <w:noProof/>
        </w:rPr>
        <w:t>19</w:t>
      </w:r>
      <w:r w:rsidRPr="007F37A0">
        <w:rPr>
          <w:rFonts w:ascii="Times New Roman" w:hAnsi="Times New Roman" w:cs="Times New Roman"/>
        </w:rPr>
        <w:fldChar w:fldCharType="end"/>
      </w:r>
      <w:r w:rsidRPr="007F37A0">
        <w:rPr>
          <w:rFonts w:ascii="Times New Roman" w:hAnsi="Times New Roman" w:cs="Times New Roman"/>
        </w:rPr>
        <w:t xml:space="preserve"> shows the matrix of fuel switching with the previous fuel type indicated on the left-hand side of the matrix and the new fuel type indicated on the top of the matrix. Most fuel switching occurs within a fuel type rather than switching to a new fuel type. It is also worth noting that there might be more than one fuel type for a specific boiler, meaning that these changes might also indicate adding a new fuel type rather than fully replacing an old fuel type. This gives further insight into later results which examine if plant managers respond to regulation by switching fuel type.</w:t>
      </w:r>
    </w:p>
    <w:p w14:paraId="78462F49" w14:textId="6E621338"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Finally, I compare treated and control boilers for both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in </w:t>
      </w:r>
      <w:r w:rsidRPr="007F37A0">
        <w:rPr>
          <w:rFonts w:ascii="Times New Roman" w:hAnsi="Times New Roman" w:cs="Times New Roman"/>
        </w:rPr>
        <w:fldChar w:fldCharType="begin"/>
      </w:r>
      <w:r w:rsidRPr="007F37A0">
        <w:rPr>
          <w:rFonts w:ascii="Times New Roman" w:hAnsi="Times New Roman" w:cs="Times New Roman"/>
        </w:rPr>
        <w:instrText xml:space="preserve"> REF _Ref164531299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20</w:t>
      </w:r>
      <w:r w:rsidRPr="007F37A0">
        <w:rPr>
          <w:rFonts w:ascii="Times New Roman" w:hAnsi="Times New Roman" w:cs="Times New Roman"/>
        </w:rPr>
        <w:fldChar w:fldCharType="end"/>
      </w:r>
      <w:r w:rsidRPr="007F37A0">
        <w:rPr>
          <w:rFonts w:ascii="Times New Roman" w:hAnsi="Times New Roman" w:cs="Times New Roman"/>
        </w:rPr>
        <w:t xml:space="preserve"> and </w:t>
      </w:r>
      <w:r w:rsidRPr="007F37A0">
        <w:rPr>
          <w:rFonts w:ascii="Times New Roman" w:hAnsi="Times New Roman" w:cs="Times New Roman"/>
        </w:rPr>
        <w:fldChar w:fldCharType="begin"/>
      </w:r>
      <w:r w:rsidRPr="007F37A0">
        <w:rPr>
          <w:rFonts w:ascii="Times New Roman" w:hAnsi="Times New Roman" w:cs="Times New Roman"/>
        </w:rPr>
        <w:instrText xml:space="preserve"> REF _Ref164531302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21</w:t>
      </w:r>
      <w:r w:rsidRPr="007F37A0">
        <w:rPr>
          <w:rFonts w:ascii="Times New Roman" w:hAnsi="Times New Roman" w:cs="Times New Roman"/>
        </w:rPr>
        <w:fldChar w:fldCharType="end"/>
      </w:r>
      <w:r w:rsidRPr="007F37A0">
        <w:rPr>
          <w:rFonts w:ascii="Times New Roman" w:hAnsi="Times New Roman" w:cs="Times New Roman"/>
        </w:rPr>
        <w:t xml:space="preserve"> respectively. There are distinct differences between the two groups including fuel type, Clean Air Act non-attainment status, and installed pollution control technology. This motivates looking at a smaller treatment and control group in the robustness checks of the results. I consider only the states on either side of the regulatory line rather than all regulated and unregulated states due to systematic differences.</w:t>
      </w:r>
    </w:p>
    <w:p w14:paraId="3790FE41" w14:textId="77777777" w:rsidR="009478ED" w:rsidRPr="007F37A0" w:rsidRDefault="009478ED" w:rsidP="009478ED">
      <w:pPr>
        <w:pStyle w:val="Heading2"/>
        <w:spacing w:line="480" w:lineRule="auto"/>
        <w:rPr>
          <w:rFonts w:ascii="Times New Roman" w:hAnsi="Times New Roman" w:cs="Times New Roman"/>
          <w:sz w:val="24"/>
          <w:szCs w:val="24"/>
        </w:rPr>
      </w:pPr>
      <w:bookmarkStart w:id="128" w:name="_Toc160879127"/>
      <w:bookmarkStart w:id="129" w:name="_Toc164862527"/>
      <w:r w:rsidRPr="007F37A0">
        <w:rPr>
          <w:rFonts w:ascii="Times New Roman" w:hAnsi="Times New Roman" w:cs="Times New Roman"/>
          <w:sz w:val="24"/>
          <w:szCs w:val="24"/>
        </w:rPr>
        <w:t>3.5 RESULTS</w:t>
      </w:r>
      <w:bookmarkEnd w:id="128"/>
      <w:bookmarkEnd w:id="129"/>
    </w:p>
    <w:p w14:paraId="5076CB78" w14:textId="12555173" w:rsidR="009478ED" w:rsidRPr="007F37A0" w:rsidRDefault="009478ED" w:rsidP="00AE192C">
      <w:pPr>
        <w:spacing w:line="480" w:lineRule="auto"/>
        <w:rPr>
          <w:rFonts w:ascii="Times New Roman" w:hAnsi="Times New Roman" w:cs="Times New Roman"/>
        </w:rPr>
      </w:pPr>
      <w:r w:rsidRPr="007F37A0">
        <w:rPr>
          <w:rFonts w:ascii="Times New Roman" w:hAnsi="Times New Roman" w:cs="Times New Roman"/>
        </w:rPr>
        <w:t>The results focus on comparing compliance strategies for regulated boilers relative to unregulated boilers under CAIR or CSAPR. First, it is worth comparing raw data for treated boilers to previous compliance strategies under the Acid Rain Program</w:t>
      </w:r>
      <w:r w:rsidR="00AE192C">
        <w:rPr>
          <w:rFonts w:ascii="Times New Roman" w:hAnsi="Times New Roman" w:cs="Times New Roman"/>
        </w:rPr>
        <w:t xml:space="preserve"> and the Clean Air Act </w:t>
      </w:r>
      <w:r w:rsidRPr="007F37A0">
        <w:rPr>
          <w:rFonts w:ascii="Times New Roman" w:hAnsi="Times New Roman" w:cs="Times New Roman"/>
        </w:rPr>
        <w:t xml:space="preserve">to show how strategies have changed. Chan, et al. (2018) report that 11% </w:t>
      </w:r>
      <w:r w:rsidRPr="007F37A0">
        <w:rPr>
          <w:rFonts w:ascii="Times New Roman" w:hAnsi="Times New Roman" w:cs="Times New Roman"/>
        </w:rPr>
        <w:lastRenderedPageBreak/>
        <w:t>of treated generators installed new pollution control technology in response to the ARP. In contrast, I find that 18.6% of regulated boilers installed new SO</w:t>
      </w:r>
      <w:r w:rsidRPr="007F37A0">
        <w:rPr>
          <w:rFonts w:ascii="Times New Roman" w:hAnsi="Times New Roman" w:cs="Times New Roman"/>
          <w:vertAlign w:val="subscript"/>
        </w:rPr>
        <w:t>2</w:t>
      </w:r>
      <w:r w:rsidRPr="007F37A0">
        <w:rPr>
          <w:rFonts w:ascii="Times New Roman" w:hAnsi="Times New Roman" w:cs="Times New Roman"/>
        </w:rPr>
        <w:t xml:space="preserve"> technology, and 19.3% installed new NO</w:t>
      </w:r>
      <w:r w:rsidRPr="007F37A0">
        <w:rPr>
          <w:rFonts w:ascii="Times New Roman" w:hAnsi="Times New Roman" w:cs="Times New Roman"/>
          <w:vertAlign w:val="subscript"/>
        </w:rPr>
        <w:t>x</w:t>
      </w:r>
      <w:r w:rsidRPr="007F37A0">
        <w:rPr>
          <w:rFonts w:ascii="Times New Roman" w:hAnsi="Times New Roman" w:cs="Times New Roman"/>
        </w:rPr>
        <w:t xml:space="preserve"> technology. In contrast, Chan, et al. (2018) found 28% of generators switched to a lower sulfur content fuel type. However, I find that only 9% of boilers switched fuel type in response to SO</w:t>
      </w:r>
      <w:r w:rsidRPr="007F37A0">
        <w:rPr>
          <w:rFonts w:ascii="Times New Roman" w:hAnsi="Times New Roman" w:cs="Times New Roman"/>
          <w:vertAlign w:val="subscript"/>
        </w:rPr>
        <w:t>2</w:t>
      </w:r>
      <w:r w:rsidRPr="007F37A0">
        <w:rPr>
          <w:rFonts w:ascii="Times New Roman" w:hAnsi="Times New Roman" w:cs="Times New Roman"/>
        </w:rPr>
        <w:t xml:space="preserve"> regulation and 9.8%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This shows a higher percentage of installing newer technology and a lower percentage of switching fuels. This gives us our first insight into the differences in compliance costs from recent air pollution regulations in CAIR and CSAPR compared to older regulations such as ARP.</w:t>
      </w:r>
      <w:r w:rsidR="005E07C7">
        <w:rPr>
          <w:rFonts w:ascii="Times New Roman" w:hAnsi="Times New Roman" w:cs="Times New Roman"/>
        </w:rPr>
        <w:t xml:space="preserve"> </w:t>
      </w:r>
    </w:p>
    <w:p w14:paraId="78689BD9"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 organize the results by the type of regulation. I define the treatment variable to be the effect of the suite of regulatory policies, constraining the effect of CAIR and CSAPR to be indistinguishable from one another. Within both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regulations, I structure the analysis as follows. In the primary specification, I estimate the effect of regulation on compliance strategies using the multinomial logit specification. I examine the robustness of these results by individually estimating the effect of regulation on each strategy: fuel switching, boiler retirement, and installing new pollution control technology. I explore heterogenous effects by fuel type by re-estimating each of the previous regressions separately for the following fuel groups: coal, petroleum, and natural gas. </w:t>
      </w:r>
    </w:p>
    <w:p w14:paraId="602FCB31"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Note that I observe whether a technology has been labeled as SO</w:t>
      </w:r>
      <w:r w:rsidRPr="007F37A0">
        <w:rPr>
          <w:rFonts w:ascii="Times New Roman" w:hAnsi="Times New Roman" w:cs="Times New Roman"/>
          <w:vertAlign w:val="subscript"/>
        </w:rPr>
        <w:t>2</w:t>
      </w:r>
      <w:r w:rsidRPr="007F37A0">
        <w:rPr>
          <w:rFonts w:ascii="Times New Roman" w:hAnsi="Times New Roman" w:cs="Times New Roman"/>
        </w:rPr>
        <w:t xml:space="preserve"> or NO</w:t>
      </w:r>
      <w:r w:rsidRPr="007F37A0">
        <w:rPr>
          <w:rFonts w:ascii="Times New Roman" w:hAnsi="Times New Roman" w:cs="Times New Roman"/>
          <w:vertAlign w:val="subscript"/>
        </w:rPr>
        <w:t>x</w:t>
      </w:r>
      <w:r w:rsidRPr="007F37A0">
        <w:rPr>
          <w:rFonts w:ascii="Times New Roman" w:hAnsi="Times New Roman" w:cs="Times New Roman"/>
        </w:rPr>
        <w:t>, meaning that I can pinpoint a plant manager’s response to SO</w:t>
      </w:r>
      <w:r w:rsidRPr="007F37A0">
        <w:rPr>
          <w:rFonts w:ascii="Times New Roman" w:hAnsi="Times New Roman" w:cs="Times New Roman"/>
          <w:vertAlign w:val="subscript"/>
        </w:rPr>
        <w:t>2</w:t>
      </w:r>
      <w:r w:rsidRPr="007F37A0">
        <w:rPr>
          <w:rFonts w:ascii="Times New Roman" w:hAnsi="Times New Roman" w:cs="Times New Roman"/>
        </w:rPr>
        <w:t xml:space="preserve"> or NO</w:t>
      </w:r>
      <w:r w:rsidRPr="007F37A0">
        <w:rPr>
          <w:rFonts w:ascii="Times New Roman" w:hAnsi="Times New Roman" w:cs="Times New Roman"/>
          <w:vertAlign w:val="subscript"/>
        </w:rPr>
        <w:t>x</w:t>
      </w:r>
      <w:r w:rsidRPr="007F37A0">
        <w:rPr>
          <w:rFonts w:ascii="Times New Roman" w:hAnsi="Times New Roman" w:cs="Times New Roman"/>
        </w:rPr>
        <w:t xml:space="preserve"> regulation. This assumes that pollution control technology does not significantly affect both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w:t>
      </w:r>
      <w:r w:rsidRPr="007F37A0">
        <w:rPr>
          <w:rFonts w:ascii="Times New Roman" w:hAnsi="Times New Roman" w:cs="Times New Roman"/>
        </w:rPr>
        <w:lastRenderedPageBreak/>
        <w:t>emissions without being labeled for both. While pollution control processes exist to address both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emissions, they are not common (Asghar, 2021). There are slight differences in the analysis across the two emission type sections. First, I am primarily interested in wet and dry type technologies when it comes to SO</w:t>
      </w:r>
      <w:r w:rsidRPr="007F37A0">
        <w:rPr>
          <w:rFonts w:ascii="Times New Roman" w:hAnsi="Times New Roman" w:cs="Times New Roman"/>
          <w:vertAlign w:val="subscript"/>
        </w:rPr>
        <w:t>2</w:t>
      </w:r>
      <w:r w:rsidRPr="007F37A0">
        <w:rPr>
          <w:rFonts w:ascii="Times New Roman" w:hAnsi="Times New Roman" w:cs="Times New Roman"/>
        </w:rPr>
        <w:t xml:space="preserve"> regulation and selective noncatalytic reduction and selective catalytic reduction technologies when it comes to NO</w:t>
      </w:r>
      <w:r w:rsidRPr="007F37A0">
        <w:rPr>
          <w:rFonts w:ascii="Times New Roman" w:hAnsi="Times New Roman" w:cs="Times New Roman"/>
          <w:vertAlign w:val="subscript"/>
        </w:rPr>
        <w:t>x</w:t>
      </w:r>
      <w:r w:rsidRPr="007F37A0">
        <w:rPr>
          <w:rFonts w:ascii="Times New Roman" w:hAnsi="Times New Roman" w:cs="Times New Roman"/>
        </w:rPr>
        <w:t xml:space="preserve"> regulation. This is reflected in the types of technology installation choices included in the multinomial regression. Second, if a pollution control equipment is coded by the EIA as only a NO</w:t>
      </w:r>
      <w:r w:rsidRPr="007F37A0">
        <w:rPr>
          <w:rFonts w:ascii="Times New Roman" w:hAnsi="Times New Roman" w:cs="Times New Roman"/>
          <w:vertAlign w:val="subscript"/>
        </w:rPr>
        <w:t>x</w:t>
      </w:r>
      <w:r w:rsidRPr="007F37A0">
        <w:rPr>
          <w:rFonts w:ascii="Times New Roman" w:hAnsi="Times New Roman" w:cs="Times New Roman"/>
        </w:rPr>
        <w:t xml:space="preserve"> control, then it would not appear as a new control installation for the SO</w:t>
      </w:r>
      <w:r w:rsidRPr="007F37A0">
        <w:rPr>
          <w:rFonts w:ascii="Times New Roman" w:hAnsi="Times New Roman" w:cs="Times New Roman"/>
          <w:vertAlign w:val="subscript"/>
        </w:rPr>
        <w:t>2</w:t>
      </w:r>
      <w:r w:rsidRPr="007F37A0">
        <w:rPr>
          <w:rFonts w:ascii="Times New Roman" w:hAnsi="Times New Roman" w:cs="Times New Roman"/>
        </w:rPr>
        <w:t xml:space="preserve"> regulation specifications. </w:t>
      </w:r>
    </w:p>
    <w:p w14:paraId="2492FE47"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The last section changes the definition of the treatment variable to estimate the independent effects of CAIR and CSAPR, CAIR but not CSAPR, and CSAPR but not CAIR regulations. I go through the same analyses as previously reported to understand potential interaction effects between the two regulatory policies.</w:t>
      </w:r>
    </w:p>
    <w:p w14:paraId="3631BDB7" w14:textId="77777777" w:rsidR="009478ED" w:rsidRPr="007F37A0" w:rsidRDefault="009478ED" w:rsidP="009478ED">
      <w:pPr>
        <w:pStyle w:val="Heading3"/>
        <w:spacing w:line="480" w:lineRule="auto"/>
        <w:rPr>
          <w:rFonts w:ascii="Times New Roman" w:hAnsi="Times New Roman" w:cs="Times New Roman"/>
          <w:szCs w:val="24"/>
        </w:rPr>
      </w:pPr>
      <w:bookmarkStart w:id="130" w:name="_Toc160879128"/>
      <w:bookmarkStart w:id="131" w:name="_Toc164862528"/>
      <w:r w:rsidRPr="007F37A0">
        <w:rPr>
          <w:rFonts w:ascii="Times New Roman" w:hAnsi="Times New Roman" w:cs="Times New Roman"/>
          <w:szCs w:val="24"/>
        </w:rPr>
        <w:t>3.5.1 SO</w:t>
      </w:r>
      <w:r w:rsidRPr="007F37A0">
        <w:rPr>
          <w:rFonts w:ascii="Times New Roman" w:hAnsi="Times New Roman" w:cs="Times New Roman"/>
          <w:szCs w:val="24"/>
          <w:vertAlign w:val="subscript"/>
        </w:rPr>
        <w:t>2</w:t>
      </w:r>
      <w:r w:rsidRPr="007F37A0">
        <w:rPr>
          <w:rFonts w:ascii="Times New Roman" w:hAnsi="Times New Roman" w:cs="Times New Roman"/>
          <w:szCs w:val="24"/>
        </w:rPr>
        <w:t xml:space="preserve"> REGULATION</w:t>
      </w:r>
      <w:bookmarkEnd w:id="130"/>
      <w:bookmarkEnd w:id="131"/>
    </w:p>
    <w:p w14:paraId="2D47D9BE" w14:textId="48A8781F"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First, I examine every compliance strategy simultaneously: fuel switching, installing wet technology, installing dry technology, installing other technology, and retiring the boiler.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_Ref164512356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22</w:t>
      </w:r>
      <w:r w:rsidRPr="007F37A0">
        <w:rPr>
          <w:rFonts w:ascii="Times New Roman" w:hAnsi="Times New Roman" w:cs="Times New Roman"/>
        </w:rPr>
        <w:fldChar w:fldCharType="end"/>
      </w:r>
      <w:r w:rsidRPr="007F37A0">
        <w:rPr>
          <w:rFonts w:ascii="Times New Roman" w:hAnsi="Times New Roman" w:cs="Times New Roman"/>
        </w:rPr>
        <w:t xml:space="preserve"> through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_Ref164512367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26</w:t>
      </w:r>
      <w:r w:rsidRPr="007F37A0">
        <w:rPr>
          <w:rFonts w:ascii="Times New Roman" w:hAnsi="Times New Roman" w:cs="Times New Roman"/>
        </w:rPr>
        <w:fldChar w:fldCharType="end"/>
      </w:r>
      <w:r w:rsidRPr="007F37A0">
        <w:rPr>
          <w:rFonts w:ascii="Times New Roman" w:hAnsi="Times New Roman" w:cs="Times New Roman"/>
        </w:rPr>
        <w:t xml:space="preserve"> shows the results of the multinomial logit specification. Each table shows the results of adding in additional controls, highlighting the importance of fuel type and current technology installed in the effect of regulation. I find evidence that plant managers choose to install dry technology (p&lt;0.01) or switch fuel types (p&lt;0.01) in response to regulation. There is marginal evidence that boilers retire in response to SO</w:t>
      </w:r>
      <w:r w:rsidRPr="007F37A0">
        <w:rPr>
          <w:rFonts w:ascii="Times New Roman" w:hAnsi="Times New Roman" w:cs="Times New Roman"/>
          <w:vertAlign w:val="subscript"/>
        </w:rPr>
        <w:t>2</w:t>
      </w:r>
      <w:r w:rsidRPr="007F37A0">
        <w:rPr>
          <w:rFonts w:ascii="Times New Roman" w:hAnsi="Times New Roman" w:cs="Times New Roman"/>
        </w:rPr>
        <w:t xml:space="preserve"> regulation (p&lt;0.1). To achieve convergence, some controls are dropped </w:t>
      </w:r>
      <w:r w:rsidRPr="007F37A0">
        <w:rPr>
          <w:rFonts w:ascii="Times New Roman" w:hAnsi="Times New Roman" w:cs="Times New Roman"/>
        </w:rPr>
        <w:lastRenderedPageBreak/>
        <w:t>from the multinomial logit specification. I examine the robustness of these results by estimating probit models for each of the specific compliance strategies separately.</w:t>
      </w:r>
    </w:p>
    <w:p w14:paraId="387913B5" w14:textId="42A7103D"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Next, I examine if plant managers choose to switch fuel types in response to regulation.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_Ref164512563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27</w:t>
      </w:r>
      <w:r w:rsidRPr="007F37A0">
        <w:rPr>
          <w:rFonts w:ascii="Times New Roman" w:hAnsi="Times New Roman" w:cs="Times New Roman"/>
        </w:rPr>
        <w:fldChar w:fldCharType="end"/>
      </w:r>
      <w:r w:rsidRPr="007F37A0">
        <w:rPr>
          <w:rFonts w:ascii="Times New Roman" w:hAnsi="Times New Roman" w:cs="Times New Roman"/>
        </w:rPr>
        <w:fldChar w:fldCharType="begin"/>
      </w:r>
      <w:r w:rsidRPr="007F37A0">
        <w:rPr>
          <w:rFonts w:ascii="Times New Roman" w:hAnsi="Times New Roman" w:cs="Times New Roman"/>
        </w:rPr>
        <w:instrText xml:space="preserve"> REF _Ref160878673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28</w:t>
      </w:r>
      <w:r w:rsidRPr="007F37A0">
        <w:rPr>
          <w:rFonts w:ascii="Times New Roman" w:hAnsi="Times New Roman" w:cs="Times New Roman"/>
        </w:rPr>
        <w:fldChar w:fldCharType="end"/>
      </w:r>
      <w:r w:rsidRPr="007F37A0">
        <w:rPr>
          <w:rFonts w:ascii="Times New Roman" w:hAnsi="Times New Roman" w:cs="Times New Roman"/>
        </w:rPr>
        <w:t xml:space="preserve"> shows the results for fuel switching while adding in additional controls. I find that plant managers are 1.3 percentage points more likely to switch fuels in treated states compared to untreated states after controlling for all boiler characteristics. Compared to a baseline of 13% of boilers switching fuel sources in a year, this corresponds to a 10% increase. Note that this result remains stable across each specification.</w:t>
      </w:r>
    </w:p>
    <w:p w14:paraId="17F5DDC0" w14:textId="294BC03A"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 examine plant managers’ likelihood of retiring boilers in response to regulation. I visually compare the rate of boiler retirement between the treated and control groups in</w:t>
      </w:r>
      <w:r w:rsidRPr="007F37A0">
        <w:rPr>
          <w:rFonts w:ascii="Times New Roman" w:hAnsi="Times New Roman" w:cs="Times New Roman"/>
          <w:b/>
          <w:bCs/>
        </w:rPr>
        <w:t xml:space="preserve"> </w:t>
      </w:r>
      <w:r w:rsidRPr="007F37A0">
        <w:rPr>
          <w:rFonts w:ascii="Times New Roman" w:hAnsi="Times New Roman" w:cs="Times New Roman"/>
          <w:b/>
          <w:bCs/>
        </w:rPr>
        <w:fldChar w:fldCharType="begin"/>
      </w:r>
      <w:r w:rsidRPr="007F37A0">
        <w:rPr>
          <w:rFonts w:ascii="Times New Roman" w:hAnsi="Times New Roman" w:cs="Times New Roman"/>
          <w:b/>
          <w:bCs/>
        </w:rPr>
        <w:instrText xml:space="preserve"> REF _Ref160875236 \h </w:instrText>
      </w:r>
      <w:r w:rsidR="007F37A0">
        <w:rPr>
          <w:rFonts w:ascii="Times New Roman" w:hAnsi="Times New Roman" w:cs="Times New Roman"/>
          <w:b/>
          <w:bCs/>
        </w:rPr>
        <w:instrText xml:space="preserve"> \* MERGEFORMAT </w:instrText>
      </w:r>
      <w:r w:rsidRPr="007F37A0">
        <w:rPr>
          <w:rFonts w:ascii="Times New Roman" w:hAnsi="Times New Roman" w:cs="Times New Roman"/>
          <w:b/>
          <w:bCs/>
        </w:rPr>
      </w:r>
      <w:r w:rsidRPr="007F37A0">
        <w:rPr>
          <w:rFonts w:ascii="Times New Roman" w:hAnsi="Times New Roman" w:cs="Times New Roman"/>
          <w:b/>
          <w:bCs/>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9</w:t>
      </w:r>
      <w:r w:rsidRPr="007F37A0">
        <w:rPr>
          <w:rFonts w:ascii="Times New Roman" w:hAnsi="Times New Roman" w:cs="Times New Roman"/>
          <w:b/>
          <w:bCs/>
        </w:rPr>
        <w:fldChar w:fldCharType="end"/>
      </w:r>
      <w:r w:rsidRPr="007F37A0">
        <w:rPr>
          <w:rFonts w:ascii="Times New Roman" w:hAnsi="Times New Roman" w:cs="Times New Roman"/>
          <w:b/>
          <w:bCs/>
        </w:rPr>
        <w:t xml:space="preserve">. </w:t>
      </w:r>
      <w:r w:rsidRPr="007F37A0">
        <w:rPr>
          <w:rFonts w:ascii="Times New Roman" w:hAnsi="Times New Roman" w:cs="Times New Roman"/>
        </w:rPr>
        <w:t>Two clear increases occurred in 2015 and 2019 in the treated states relative to the control states. This could coincide with the implementation of CSAPR in 2015 and the 2019 announcement that the CSAPR Update would not end. However, as previously mentioned the uncertainty around policy implementation and timing of power plant responses makes it difficult to attribute these two spikes to a singular event.</w:t>
      </w:r>
    </w:p>
    <w:p w14:paraId="4E48BDCE" w14:textId="58A23148"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I estimate a probit model to statistically determine if plant managers’ respond by retiring boilers after I control for other boiler characteristics. </w:t>
      </w:r>
      <w:r w:rsidRPr="007F37A0">
        <w:rPr>
          <w:rFonts w:ascii="Times New Roman" w:hAnsi="Times New Roman" w:cs="Times New Roman"/>
        </w:rPr>
        <w:fldChar w:fldCharType="begin"/>
      </w:r>
      <w:r w:rsidRPr="007F37A0">
        <w:rPr>
          <w:rFonts w:ascii="Times New Roman" w:hAnsi="Times New Roman" w:cs="Times New Roman"/>
        </w:rPr>
        <w:instrText xml:space="preserve"> REF _Ref160878673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28</w:t>
      </w:r>
      <w:r w:rsidRPr="007F37A0">
        <w:rPr>
          <w:rFonts w:ascii="Times New Roman" w:hAnsi="Times New Roman" w:cs="Times New Roman"/>
        </w:rPr>
        <w:fldChar w:fldCharType="end"/>
      </w:r>
      <w:r w:rsidRPr="007F37A0">
        <w:rPr>
          <w:rFonts w:ascii="Times New Roman" w:hAnsi="Times New Roman" w:cs="Times New Roman"/>
          <w:b/>
          <w:bCs/>
        </w:rPr>
        <w:t xml:space="preserve"> </w:t>
      </w:r>
      <w:r w:rsidRPr="007F37A0">
        <w:rPr>
          <w:rFonts w:ascii="Times New Roman" w:hAnsi="Times New Roman" w:cs="Times New Roman"/>
        </w:rPr>
        <w:t xml:space="preserve">reports the parameter estimates from the regression where column 1 contains no additional controls and column 4 includes all available controls. I find no statistical difference between boiler retirement rates for regulated and unregulated boilers once I control for all available boiler characteristics. This signals that the observable boiler characteristics </w:t>
      </w:r>
      <w:r w:rsidRPr="007F37A0">
        <w:rPr>
          <w:rFonts w:ascii="Times New Roman" w:hAnsi="Times New Roman" w:cs="Times New Roman"/>
        </w:rPr>
        <w:lastRenderedPageBreak/>
        <w:t>contain important information and omitting them likely introduces bias into the parameter estimates. By sequentially adding in controls, we gain insight into the importance of different sets of control variables. Across the analyses, boiler fuel type proves to be an important characteristic. To gain insight into the types of boilers that retire, I explore heterogeneity by fuel type.</w:t>
      </w:r>
    </w:p>
    <w:p w14:paraId="57A6645F" w14:textId="4F40947C"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I estimate the same probit model of boiler retirement separately for each of the following fuel groups: coal, petroleum, and natural gas. This allows complete flexibility for the effect of regulation and other controls conditional on fuel type. </w:t>
      </w:r>
      <w:r w:rsidRPr="007F37A0">
        <w:rPr>
          <w:rFonts w:ascii="Times New Roman" w:hAnsi="Times New Roman" w:cs="Times New Roman"/>
        </w:rPr>
        <w:fldChar w:fldCharType="begin"/>
      </w:r>
      <w:r w:rsidRPr="007F37A0">
        <w:rPr>
          <w:rFonts w:ascii="Times New Roman" w:hAnsi="Times New Roman" w:cs="Times New Roman"/>
        </w:rPr>
        <w:instrText xml:space="preserve"> REF _Ref160878689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29</w:t>
      </w:r>
      <w:r w:rsidRPr="007F37A0">
        <w:rPr>
          <w:rFonts w:ascii="Times New Roman" w:hAnsi="Times New Roman" w:cs="Times New Roman"/>
        </w:rPr>
        <w:fldChar w:fldCharType="end"/>
      </w:r>
      <w:r w:rsidRPr="007F37A0">
        <w:rPr>
          <w:rFonts w:ascii="Times New Roman" w:hAnsi="Times New Roman" w:cs="Times New Roman"/>
          <w:b/>
          <w:bCs/>
        </w:rPr>
        <w:t xml:space="preserve"> </w:t>
      </w:r>
      <w:r w:rsidRPr="007F37A0">
        <w:rPr>
          <w:rFonts w:ascii="Times New Roman" w:hAnsi="Times New Roman" w:cs="Times New Roman"/>
        </w:rPr>
        <w:t>reports the parameter estimates of the probit model. To ensure convergence, some controls were dropped for all specifications to allow for direct comparison. I find no evidence that boilers retire even when considering boiler by fuel type. This gives further confidence to the previous results that showed no effect of regulation on boiler retirement. This suggests that the cost of compliance with regulation is less than the cost of retirement for all types of boilers.</w:t>
      </w:r>
    </w:p>
    <w:p w14:paraId="256576DE" w14:textId="53CACBAB"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Next, I consider plant managers’ propensity to install new control technology in response to SO</w:t>
      </w:r>
      <w:r w:rsidRPr="007F37A0">
        <w:rPr>
          <w:rFonts w:ascii="Times New Roman" w:hAnsi="Times New Roman" w:cs="Times New Roman"/>
          <w:vertAlign w:val="subscript"/>
        </w:rPr>
        <w:t xml:space="preserve">2 </w:t>
      </w:r>
      <w:r w:rsidRPr="007F37A0">
        <w:rPr>
          <w:rFonts w:ascii="Times New Roman" w:hAnsi="Times New Roman" w:cs="Times New Roman"/>
        </w:rPr>
        <w:t xml:space="preserve">regulation. </w:t>
      </w:r>
      <w:r w:rsidRPr="007F37A0">
        <w:rPr>
          <w:rFonts w:ascii="Times New Roman" w:hAnsi="Times New Roman" w:cs="Times New Roman"/>
        </w:rPr>
        <w:fldChar w:fldCharType="begin"/>
      </w:r>
      <w:r w:rsidRPr="007F37A0">
        <w:rPr>
          <w:rFonts w:ascii="Times New Roman" w:hAnsi="Times New Roman" w:cs="Times New Roman"/>
        </w:rPr>
        <w:instrText xml:space="preserve"> REF _Ref160878730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30</w:t>
      </w:r>
      <w:r w:rsidRPr="007F37A0">
        <w:rPr>
          <w:rFonts w:ascii="Times New Roman" w:hAnsi="Times New Roman" w:cs="Times New Roman"/>
        </w:rPr>
        <w:fldChar w:fldCharType="end"/>
      </w:r>
      <w:r w:rsidRPr="007F37A0">
        <w:rPr>
          <w:rFonts w:ascii="Times New Roman" w:hAnsi="Times New Roman" w:cs="Times New Roman"/>
          <w:b/>
          <w:bCs/>
        </w:rPr>
        <w:t xml:space="preserve"> </w:t>
      </w:r>
      <w:r w:rsidRPr="007F37A0">
        <w:rPr>
          <w:rFonts w:ascii="Times New Roman" w:hAnsi="Times New Roman" w:cs="Times New Roman"/>
        </w:rPr>
        <w:t>reports the parameter estimates from a probit model with a dependent binary variable for any new technology installation. I find that treated plant managers are 0.1 percentage points more likely to install new control technology even after controlling for observable boiler characteristics (p&lt;0.05). On average, I observe 4.2% of managers installing new SO</w:t>
      </w:r>
      <w:r w:rsidRPr="007F37A0">
        <w:rPr>
          <w:rFonts w:ascii="Times New Roman" w:hAnsi="Times New Roman" w:cs="Times New Roman"/>
          <w:vertAlign w:val="subscript"/>
        </w:rPr>
        <w:t>2</w:t>
      </w:r>
      <w:r w:rsidRPr="007F37A0">
        <w:rPr>
          <w:rFonts w:ascii="Times New Roman" w:hAnsi="Times New Roman" w:cs="Times New Roman"/>
        </w:rPr>
        <w:t xml:space="preserve"> technology on boilers. The effect of regulation represents a 2.4% increase relative to the average rate of technology adoption. </w:t>
      </w:r>
    </w:p>
    <w:p w14:paraId="408DDAC5" w14:textId="60BBEA23"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lastRenderedPageBreak/>
        <w:fldChar w:fldCharType="begin"/>
      </w:r>
      <w:r w:rsidRPr="007F37A0">
        <w:rPr>
          <w:rFonts w:ascii="Times New Roman" w:hAnsi="Times New Roman" w:cs="Times New Roman"/>
        </w:rPr>
        <w:instrText xml:space="preserve"> REF _Ref164514172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31</w:t>
      </w:r>
      <w:r w:rsidRPr="007F37A0">
        <w:rPr>
          <w:rFonts w:ascii="Times New Roman" w:hAnsi="Times New Roman" w:cs="Times New Roman"/>
        </w:rPr>
        <w:fldChar w:fldCharType="end"/>
      </w:r>
      <w:r w:rsidRPr="007F37A0">
        <w:rPr>
          <w:rFonts w:ascii="Times New Roman" w:hAnsi="Times New Roman" w:cs="Times New Roman"/>
        </w:rPr>
        <w:t xml:space="preserve"> reports parameters from the same probit model of technology installation separately for each of the following fuel groups: coal, petroleum, and natural gas. This allows complete flexibility for the effect of regulation and other controls conditional on fuel type. Some controls were dropped for all specifications to allow for direct comparison. After these controls were dropped, I find no evidence that plant managers installed new technology in general from the baseline specification. This highlights the importance of some of the controls, putting more importance on the probit regressions for each of the compliance strategies. I find no evidence that fuel type matters when plant managers install new pollution control technology. This result should be taken with caution, as the controls that were dropped for convergence likely have important effects. </w:t>
      </w:r>
    </w:p>
    <w:p w14:paraId="1D0E9348"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Results show plant managers respond to regulation by installing new pollution control technology and switching fuel types. When breaking out the type of pollution control technology, I find that managers choose to install the dry type technology which is relatively cheap and less effective than wet type technology.</w:t>
      </w:r>
    </w:p>
    <w:p w14:paraId="5334F138" w14:textId="77777777" w:rsidR="009478ED" w:rsidRPr="007F37A0" w:rsidRDefault="009478ED" w:rsidP="009478ED">
      <w:pPr>
        <w:pStyle w:val="Heading3"/>
        <w:spacing w:line="480" w:lineRule="auto"/>
        <w:rPr>
          <w:rFonts w:ascii="Times New Roman" w:hAnsi="Times New Roman" w:cs="Times New Roman"/>
          <w:szCs w:val="24"/>
        </w:rPr>
      </w:pPr>
      <w:bookmarkStart w:id="132" w:name="_Toc160879129"/>
      <w:bookmarkStart w:id="133" w:name="_Toc164862529"/>
      <w:r w:rsidRPr="007F37A0">
        <w:rPr>
          <w:rFonts w:ascii="Times New Roman" w:hAnsi="Times New Roman" w:cs="Times New Roman"/>
          <w:szCs w:val="24"/>
        </w:rPr>
        <w:t>3.5.2 NO</w:t>
      </w:r>
      <w:r w:rsidRPr="007F37A0">
        <w:rPr>
          <w:rFonts w:ascii="Times New Roman" w:hAnsi="Times New Roman" w:cs="Times New Roman"/>
          <w:szCs w:val="24"/>
          <w:vertAlign w:val="subscript"/>
        </w:rPr>
        <w:t>x</w:t>
      </w:r>
      <w:r w:rsidRPr="007F37A0">
        <w:rPr>
          <w:rFonts w:ascii="Times New Roman" w:hAnsi="Times New Roman" w:cs="Times New Roman"/>
          <w:szCs w:val="24"/>
        </w:rPr>
        <w:t xml:space="preserve"> REGULATION</w:t>
      </w:r>
      <w:bookmarkEnd w:id="132"/>
      <w:bookmarkEnd w:id="133"/>
    </w:p>
    <w:p w14:paraId="3116D6CC" w14:textId="41386005"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 perform the same analyses as the previous section for NO</w:t>
      </w:r>
      <w:r w:rsidRPr="007F37A0">
        <w:rPr>
          <w:rFonts w:ascii="Times New Roman" w:hAnsi="Times New Roman" w:cs="Times New Roman"/>
          <w:vertAlign w:val="subscript"/>
        </w:rPr>
        <w:t>x</w:t>
      </w:r>
      <w:r w:rsidRPr="007F37A0">
        <w:rPr>
          <w:rFonts w:ascii="Times New Roman" w:hAnsi="Times New Roman" w:cs="Times New Roman"/>
        </w:rPr>
        <w:t xml:space="preserve">. First, I present results from a multinomial logit model that considers all compliance strategies: fuel switching, selective noncatalytic reduction technology, selective catalytic reduction technology, other technology, and boiler retirement.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_Ref164514997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32</w:t>
      </w:r>
      <w:r w:rsidRPr="007F37A0">
        <w:rPr>
          <w:rFonts w:ascii="Times New Roman" w:hAnsi="Times New Roman" w:cs="Times New Roman"/>
        </w:rPr>
        <w:fldChar w:fldCharType="end"/>
      </w:r>
      <w:r w:rsidRPr="007F37A0">
        <w:rPr>
          <w:rFonts w:ascii="Times New Roman" w:hAnsi="Times New Roman" w:cs="Times New Roman"/>
        </w:rPr>
        <w:t xml:space="preserve"> through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_Ref164514999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36</w:t>
      </w:r>
      <w:r w:rsidRPr="007F37A0">
        <w:rPr>
          <w:rFonts w:ascii="Times New Roman" w:hAnsi="Times New Roman" w:cs="Times New Roman"/>
        </w:rPr>
        <w:fldChar w:fldCharType="end"/>
      </w:r>
      <w:r w:rsidRPr="007F37A0">
        <w:rPr>
          <w:rFonts w:ascii="Times New Roman" w:hAnsi="Times New Roman" w:cs="Times New Roman"/>
        </w:rPr>
        <w:t xml:space="preserve"> shows the results of the multinomial logit specification. Each table shows the results of adding in additional controls, highlighting the importance of fuel type and current technology </w:t>
      </w:r>
      <w:r w:rsidRPr="007F37A0">
        <w:rPr>
          <w:rFonts w:ascii="Times New Roman" w:hAnsi="Times New Roman" w:cs="Times New Roman"/>
        </w:rPr>
        <w:lastRenderedPageBreak/>
        <w:t>installed in the effect of regulation. I find evidence that plant managers choose to install selective noncatalytic reduction technology (p&lt;0.01) in response to regulation. Similar to SO</w:t>
      </w:r>
      <w:r w:rsidRPr="007F37A0">
        <w:rPr>
          <w:rFonts w:ascii="Times New Roman" w:hAnsi="Times New Roman" w:cs="Times New Roman"/>
          <w:vertAlign w:val="subscript"/>
        </w:rPr>
        <w:t>2</w:t>
      </w:r>
      <w:r w:rsidRPr="007F37A0">
        <w:rPr>
          <w:rFonts w:ascii="Times New Roman" w:hAnsi="Times New Roman" w:cs="Times New Roman"/>
        </w:rPr>
        <w:t xml:space="preserve"> regulation, to achieve convergence some controls are dropped from the multinomial logit specification. I examine the robustness of these results by estimating probit models for each of the specific compliance strategies separately.</w:t>
      </w:r>
    </w:p>
    <w:p w14:paraId="543B27B3" w14:textId="18BB94E4"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First, I find no evidence of fuel switching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once I control for all boiler characteristics.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_Ref164516371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37</w:t>
      </w:r>
      <w:r w:rsidRPr="007F37A0">
        <w:rPr>
          <w:rFonts w:ascii="Times New Roman" w:hAnsi="Times New Roman" w:cs="Times New Roman"/>
        </w:rPr>
        <w:fldChar w:fldCharType="end"/>
      </w:r>
      <w:r w:rsidRPr="007F37A0">
        <w:rPr>
          <w:rFonts w:ascii="Times New Roman" w:hAnsi="Times New Roman" w:cs="Times New Roman"/>
        </w:rPr>
        <w:t xml:space="preserve"> reports parameter estimates for the probit model regression. This evidence provides more confidence in my prior results that plant managers do not change fuel type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unlike SO</w:t>
      </w:r>
      <w:r w:rsidRPr="007F37A0">
        <w:rPr>
          <w:rFonts w:ascii="Times New Roman" w:hAnsi="Times New Roman" w:cs="Times New Roman"/>
          <w:vertAlign w:val="subscript"/>
        </w:rPr>
        <w:t>2</w:t>
      </w:r>
      <w:r w:rsidRPr="007F37A0">
        <w:rPr>
          <w:rFonts w:ascii="Times New Roman" w:hAnsi="Times New Roman" w:cs="Times New Roman"/>
        </w:rPr>
        <w:t xml:space="preserve"> regulation.</w:t>
      </w:r>
    </w:p>
    <w:p w14:paraId="7C6EE4D3" w14:textId="0B94D692"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Next, consider boiler retirement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Visually, I observe similar spikes in boiler retirement in 2015 and 2019 in </w:t>
      </w:r>
      <w:r w:rsidRPr="007F37A0">
        <w:rPr>
          <w:rFonts w:ascii="Times New Roman" w:hAnsi="Times New Roman" w:cs="Times New Roman"/>
          <w:b/>
          <w:bCs/>
        </w:rPr>
        <w:fldChar w:fldCharType="begin"/>
      </w:r>
      <w:r w:rsidRPr="007F37A0">
        <w:rPr>
          <w:rFonts w:ascii="Times New Roman" w:hAnsi="Times New Roman" w:cs="Times New Roman"/>
        </w:rPr>
        <w:instrText xml:space="preserve"> REF _Ref160875248 \h </w:instrText>
      </w:r>
      <w:r w:rsidR="007F37A0">
        <w:rPr>
          <w:rFonts w:ascii="Times New Roman" w:hAnsi="Times New Roman" w:cs="Times New Roman"/>
          <w:b/>
          <w:bCs/>
        </w:rPr>
        <w:instrText xml:space="preserve"> \* MERGEFORMAT </w:instrText>
      </w:r>
      <w:r w:rsidRPr="007F37A0">
        <w:rPr>
          <w:rFonts w:ascii="Times New Roman" w:hAnsi="Times New Roman" w:cs="Times New Roman"/>
          <w:b/>
          <w:bCs/>
        </w:rPr>
      </w:r>
      <w:r w:rsidRPr="007F37A0">
        <w:rPr>
          <w:rFonts w:ascii="Times New Roman" w:hAnsi="Times New Roman" w:cs="Times New Roman"/>
          <w:b/>
          <w:bCs/>
        </w:rPr>
        <w:fldChar w:fldCharType="separate"/>
      </w:r>
      <w:r w:rsidR="00142A7E" w:rsidRPr="00142A7E">
        <w:rPr>
          <w:rFonts w:ascii="Times New Roman" w:hAnsi="Times New Roman" w:cs="Times New Roman"/>
        </w:rPr>
        <w:t xml:space="preserve">Figure </w:t>
      </w:r>
      <w:r w:rsidR="00142A7E" w:rsidRPr="00142A7E">
        <w:rPr>
          <w:rFonts w:ascii="Times New Roman" w:hAnsi="Times New Roman" w:cs="Times New Roman"/>
          <w:noProof/>
        </w:rPr>
        <w:t>10</w:t>
      </w:r>
      <w:r w:rsidRPr="007F37A0">
        <w:rPr>
          <w:rFonts w:ascii="Times New Roman" w:hAnsi="Times New Roman" w:cs="Times New Roman"/>
          <w:b/>
          <w:bCs/>
        </w:rPr>
        <w:fldChar w:fldCharType="end"/>
      </w:r>
      <w:r w:rsidRPr="007F37A0">
        <w:rPr>
          <w:rFonts w:ascii="Times New Roman" w:hAnsi="Times New Roman" w:cs="Times New Roman"/>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REF _Ref160878803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38</w:t>
      </w:r>
      <w:r w:rsidRPr="007F37A0">
        <w:rPr>
          <w:rFonts w:ascii="Times New Roman" w:hAnsi="Times New Roman" w:cs="Times New Roman"/>
        </w:rPr>
        <w:fldChar w:fldCharType="end"/>
      </w:r>
      <w:r w:rsidRPr="007F37A0">
        <w:rPr>
          <w:rFonts w:ascii="Times New Roman" w:hAnsi="Times New Roman" w:cs="Times New Roman"/>
          <w:b/>
          <w:bCs/>
        </w:rPr>
        <w:t xml:space="preserve"> </w:t>
      </w:r>
      <w:r w:rsidRPr="007F37A0">
        <w:rPr>
          <w:rFonts w:ascii="Times New Roman" w:hAnsi="Times New Roman" w:cs="Times New Roman"/>
        </w:rPr>
        <w:t xml:space="preserve">shows parameter estimates from the probit model. After controlling for all observable boiler characteristics, I find no difference between boiler retirement in treated and control states. </w:t>
      </w:r>
    </w:p>
    <w:p w14:paraId="454D7AF2" w14:textId="512FA3D9"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 xml:space="preserve">I estimate the same probit model separately for each fuel type group and report parameter estimates in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_Ref164516463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39</w:t>
      </w:r>
      <w:r w:rsidRPr="007F37A0">
        <w:rPr>
          <w:rFonts w:ascii="Times New Roman" w:hAnsi="Times New Roman" w:cs="Times New Roman"/>
        </w:rPr>
        <w:fldChar w:fldCharType="end"/>
      </w:r>
      <w:r w:rsidRPr="007F37A0">
        <w:rPr>
          <w:rFonts w:ascii="Times New Roman" w:hAnsi="Times New Roman" w:cs="Times New Roman"/>
        </w:rPr>
        <w:t xml:space="preserve">. Consistently across all fuel types, I find no evidence of boiler retirement. This provides further evidence that plant managers do not choose to retire boilers in response to regulation. In other words, the cost of compliance is lower than the cost of retiring a boiler. </w:t>
      </w:r>
    </w:p>
    <w:p w14:paraId="48727F57" w14:textId="22CE8FEF"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fldChar w:fldCharType="begin"/>
      </w:r>
      <w:r w:rsidRPr="007F37A0">
        <w:rPr>
          <w:rFonts w:ascii="Times New Roman" w:hAnsi="Times New Roman" w:cs="Times New Roman"/>
        </w:rPr>
        <w:instrText xml:space="preserve"> REF _Ref160878856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40</w:t>
      </w:r>
      <w:r w:rsidRPr="007F37A0">
        <w:rPr>
          <w:rFonts w:ascii="Times New Roman" w:hAnsi="Times New Roman" w:cs="Times New Roman"/>
        </w:rPr>
        <w:fldChar w:fldCharType="end"/>
      </w:r>
      <w:r w:rsidRPr="007F37A0">
        <w:rPr>
          <w:rFonts w:ascii="Times New Roman" w:hAnsi="Times New Roman" w:cs="Times New Roman"/>
        </w:rPr>
        <w:t xml:space="preserve"> reports parameter estimates for new pollution control technology installations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I find no significant effect after controlling for all observable characteristics.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_Ref164517434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41</w:t>
      </w:r>
      <w:r w:rsidRPr="007F37A0">
        <w:rPr>
          <w:rFonts w:ascii="Times New Roman" w:hAnsi="Times New Roman" w:cs="Times New Roman"/>
        </w:rPr>
        <w:fldChar w:fldCharType="end"/>
      </w:r>
      <w:r w:rsidRPr="007F37A0">
        <w:rPr>
          <w:rFonts w:ascii="Times New Roman" w:hAnsi="Times New Roman" w:cs="Times New Roman"/>
        </w:rPr>
        <w:t xml:space="preserve"> reports parameter estimates for each type of </w:t>
      </w:r>
      <w:r w:rsidRPr="007F37A0">
        <w:rPr>
          <w:rFonts w:ascii="Times New Roman" w:hAnsi="Times New Roman" w:cs="Times New Roman"/>
        </w:rPr>
        <w:lastRenderedPageBreak/>
        <w:t>fuel group. Across all fuel groups, I find the same result that plant managers do not install new pollution control technology in general.</w:t>
      </w:r>
    </w:p>
    <w:p w14:paraId="6B8BF5E2" w14:textId="4E9331D5"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These results show evidence that plant managers do not retire boilers or switch fuel types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In general, managers also do not install new pollution control technology. However, I do find some evidence that managers choose to install selective noncatalytic reduction technology, which is relatively cheap and less effective compared to selective catalytic reduction technology. </w:t>
      </w:r>
    </w:p>
    <w:p w14:paraId="7364D1AA" w14:textId="77777777" w:rsidR="009478ED" w:rsidRPr="007F37A0" w:rsidRDefault="009478ED" w:rsidP="009478ED">
      <w:pPr>
        <w:pStyle w:val="Heading3"/>
        <w:spacing w:line="480" w:lineRule="auto"/>
        <w:rPr>
          <w:rFonts w:ascii="Times New Roman" w:hAnsi="Times New Roman" w:cs="Times New Roman"/>
          <w:szCs w:val="24"/>
        </w:rPr>
      </w:pPr>
      <w:bookmarkStart w:id="134" w:name="_Toc160879130"/>
      <w:bookmarkStart w:id="135" w:name="_Toc164862530"/>
      <w:r w:rsidRPr="007F37A0">
        <w:rPr>
          <w:rFonts w:ascii="Times New Roman" w:hAnsi="Times New Roman" w:cs="Times New Roman"/>
          <w:szCs w:val="24"/>
        </w:rPr>
        <w:t>3.5.3 CAIR AND CSAPR</w:t>
      </w:r>
      <w:bookmarkEnd w:id="134"/>
      <w:bookmarkEnd w:id="135"/>
    </w:p>
    <w:p w14:paraId="7DCC5C9E"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In this last section, I rerun the main analyses but change the treatment variable definitions. I define CAIR treatment to be regulation under CAIR but not under CSAPR. Similarly, I define CSAPR treatment to be regulation under CSAPR but not CAIR. Finally, I define CAIR and CSAPR treatment to be regulation under both policies. This means that the identification of the CAIR and CSAPR treatment variable relies solely on spatial variation since any boiler regulated under both would be regulated for all available observations. The other two treatment variables have variation over time and space, as they only include boilers which move from treated to untreated status during the timeframe of observations. </w:t>
      </w:r>
    </w:p>
    <w:p w14:paraId="240A0EF7" w14:textId="4C0593DD"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First, I examine fuel switching in</w:t>
      </w:r>
      <w:r w:rsidRPr="007F37A0">
        <w:rPr>
          <w:rFonts w:ascii="Times New Roman" w:hAnsi="Times New Roman" w:cs="Times New Roman"/>
          <w:b/>
          <w:bCs/>
        </w:rPr>
        <w:t xml:space="preserve"> </w:t>
      </w:r>
      <w:r w:rsidRPr="007F37A0">
        <w:rPr>
          <w:rFonts w:ascii="Times New Roman" w:hAnsi="Times New Roman" w:cs="Times New Roman"/>
        </w:rPr>
        <w:fldChar w:fldCharType="begin"/>
      </w:r>
      <w:r w:rsidRPr="007F37A0">
        <w:rPr>
          <w:rFonts w:ascii="Times New Roman" w:hAnsi="Times New Roman" w:cs="Times New Roman"/>
        </w:rPr>
        <w:instrText xml:space="preserve"> REF _Ref160878927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Table </w:t>
      </w:r>
      <w:r w:rsidR="00142A7E">
        <w:rPr>
          <w:rFonts w:ascii="Times New Roman" w:hAnsi="Times New Roman" w:cs="Times New Roman"/>
          <w:noProof/>
        </w:rPr>
        <w:t>42</w:t>
      </w:r>
      <w:r w:rsidRPr="007F37A0">
        <w:rPr>
          <w:rFonts w:ascii="Times New Roman" w:hAnsi="Times New Roman" w:cs="Times New Roman"/>
        </w:rPr>
        <w:fldChar w:fldCharType="end"/>
      </w:r>
      <w:r w:rsidRPr="007F37A0">
        <w:rPr>
          <w:rFonts w:ascii="Times New Roman" w:hAnsi="Times New Roman" w:cs="Times New Roman"/>
        </w:rPr>
        <w:t>. For SO</w:t>
      </w:r>
      <w:r w:rsidRPr="007F37A0">
        <w:rPr>
          <w:rFonts w:ascii="Times New Roman" w:hAnsi="Times New Roman" w:cs="Times New Roman"/>
          <w:vertAlign w:val="subscript"/>
        </w:rPr>
        <w:t>2</w:t>
      </w:r>
      <w:r w:rsidRPr="007F37A0">
        <w:rPr>
          <w:rFonts w:ascii="Times New Roman" w:hAnsi="Times New Roman" w:cs="Times New Roman"/>
        </w:rPr>
        <w:t xml:space="preserve"> regulations, I find no evidence of boiler retirement for any regulation or combination. However, for NO</w:t>
      </w:r>
      <w:r w:rsidRPr="007F37A0">
        <w:rPr>
          <w:rFonts w:ascii="Times New Roman" w:hAnsi="Times New Roman" w:cs="Times New Roman"/>
          <w:vertAlign w:val="subscript"/>
        </w:rPr>
        <w:t>x</w:t>
      </w:r>
      <w:r w:rsidRPr="007F37A0">
        <w:rPr>
          <w:rFonts w:ascii="Times New Roman" w:hAnsi="Times New Roman" w:cs="Times New Roman"/>
        </w:rPr>
        <w:t xml:space="preserve"> regulation, I find an increase in fuel switching of 2.8 percentage points in response to CAIR but not CSAPR and 1.3 percentage points in response to CSAPR and CAIR. The baseline rate of fuel switching is 13%, meaning this corresponds to a 21.5% and 10% </w:t>
      </w:r>
      <w:r w:rsidRPr="007F37A0">
        <w:rPr>
          <w:rFonts w:ascii="Times New Roman" w:hAnsi="Times New Roman" w:cs="Times New Roman"/>
        </w:rPr>
        <w:lastRenderedPageBreak/>
        <w:t>increase respectively. This suggests a stronger response to CAIR but not CSAPR regulation. This stands in contrast to my primary specification, which found consistent null effects of NO</w:t>
      </w:r>
      <w:r w:rsidRPr="007F37A0">
        <w:rPr>
          <w:rFonts w:ascii="Times New Roman" w:hAnsi="Times New Roman" w:cs="Times New Roman"/>
          <w:vertAlign w:val="subscript"/>
        </w:rPr>
        <w:t>x</w:t>
      </w:r>
      <w:r w:rsidRPr="007F37A0">
        <w:rPr>
          <w:rFonts w:ascii="Times New Roman" w:hAnsi="Times New Roman" w:cs="Times New Roman"/>
        </w:rPr>
        <w:t xml:space="preserve"> regulation on fuel switching. The identification of these treatment variables relies on relatively small variation, so I conclude that in general managers do not change fuel type in response to NO</w:t>
      </w:r>
      <w:r w:rsidRPr="007F37A0">
        <w:rPr>
          <w:rFonts w:ascii="Times New Roman" w:hAnsi="Times New Roman" w:cs="Times New Roman"/>
          <w:vertAlign w:val="subscript"/>
        </w:rPr>
        <w:t>x</w:t>
      </w:r>
      <w:r w:rsidRPr="007F37A0">
        <w:rPr>
          <w:rFonts w:ascii="Times New Roman" w:hAnsi="Times New Roman" w:cs="Times New Roman"/>
        </w:rPr>
        <w:t xml:space="preserve"> regulation but there is likely some heterogeneity. In other words, there are likely subsets of regulated managers who choose to switch fuel type in response to CAIR but not CSAPR regulation in particular, but on aggregate, there is no evidence.</w:t>
      </w:r>
    </w:p>
    <w:p w14:paraId="30ECCD0F" w14:textId="29BB5006"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I consider boiler retirement rates in </w:t>
      </w:r>
      <w:r w:rsidRPr="007F37A0">
        <w:rPr>
          <w:rFonts w:ascii="Times New Roman" w:hAnsi="Times New Roman" w:cs="Times New Roman"/>
        </w:rPr>
        <w:fldChar w:fldCharType="begin"/>
      </w:r>
      <w:r w:rsidRPr="007F37A0">
        <w:rPr>
          <w:rFonts w:ascii="Times New Roman" w:hAnsi="Times New Roman" w:cs="Times New Roman"/>
        </w:rPr>
        <w:instrText xml:space="preserve"> REF _Ref164519813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Table </w:t>
      </w:r>
      <w:r w:rsidR="00142A7E">
        <w:rPr>
          <w:rFonts w:ascii="Times New Roman" w:hAnsi="Times New Roman" w:cs="Times New Roman"/>
          <w:noProof/>
        </w:rPr>
        <w:t>43</w:t>
      </w:r>
      <w:r w:rsidRPr="007F37A0">
        <w:rPr>
          <w:rFonts w:ascii="Times New Roman" w:hAnsi="Times New Roman" w:cs="Times New Roman"/>
        </w:rPr>
        <w:fldChar w:fldCharType="end"/>
      </w:r>
      <w:r w:rsidRPr="007F37A0">
        <w:rPr>
          <w:rFonts w:ascii="Times New Roman" w:hAnsi="Times New Roman" w:cs="Times New Roman"/>
        </w:rPr>
        <w:t xml:space="preserve">. Consistent with the previous results, I find no evidence of boiler retirement. </w:t>
      </w:r>
    </w:p>
    <w:p w14:paraId="07837C30" w14:textId="1A699C1D"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I consider new pollution control technology installations in </w:t>
      </w:r>
      <w:r w:rsidRPr="007F37A0">
        <w:rPr>
          <w:rFonts w:ascii="Times New Roman" w:hAnsi="Times New Roman" w:cs="Times New Roman"/>
        </w:rPr>
        <w:fldChar w:fldCharType="begin"/>
      </w:r>
      <w:r w:rsidRPr="007F37A0">
        <w:rPr>
          <w:rFonts w:ascii="Times New Roman" w:hAnsi="Times New Roman" w:cs="Times New Roman"/>
        </w:rPr>
        <w:instrText xml:space="preserve"> REF _Ref164521022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Table </w:t>
      </w:r>
      <w:r w:rsidR="00142A7E">
        <w:rPr>
          <w:rFonts w:ascii="Times New Roman" w:hAnsi="Times New Roman" w:cs="Times New Roman"/>
          <w:noProof/>
        </w:rPr>
        <w:t>44</w:t>
      </w:r>
      <w:r w:rsidRPr="007F37A0">
        <w:rPr>
          <w:rFonts w:ascii="Times New Roman" w:hAnsi="Times New Roman" w:cs="Times New Roman"/>
        </w:rPr>
        <w:fldChar w:fldCharType="end"/>
      </w:r>
      <w:r w:rsidRPr="007F37A0">
        <w:rPr>
          <w:rFonts w:ascii="Times New Roman" w:hAnsi="Times New Roman" w:cs="Times New Roman"/>
        </w:rPr>
        <w:t>. I find no statistical difference between regulated and unregulated boilers. This is in contrast to prior evidence that managers installed new technology in response to SO</w:t>
      </w:r>
      <w:r w:rsidRPr="007F37A0">
        <w:rPr>
          <w:rFonts w:ascii="Times New Roman" w:hAnsi="Times New Roman" w:cs="Times New Roman"/>
          <w:vertAlign w:val="subscript"/>
        </w:rPr>
        <w:t>2</w:t>
      </w:r>
      <w:r w:rsidRPr="007F37A0">
        <w:rPr>
          <w:rFonts w:ascii="Times New Roman" w:hAnsi="Times New Roman" w:cs="Times New Roman"/>
        </w:rPr>
        <w:t xml:space="preserve"> regulation. This highlights the challenges of identifying the effects of specific interactions of regulations. Small amounts of variation in combination with managers’ complex expectations of future regulation reduce confidence in these results and highlight the contribution of my primary specifications.</w:t>
      </w:r>
    </w:p>
    <w:p w14:paraId="5A3FF8B4"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The results in this section show many null effects when identifying the response to CAIR, CSAPR, and both CAIR and CSAPR separately. Naturally, we might wish to know whether these results are precisely estimated or simply underpowered. I use a t-test to determine whether any of the 16 null effects of interest could have been as large as 5% with a statistical significance of 0.05. I argue that an increase of 5 percentage points is </w:t>
      </w:r>
      <w:r w:rsidRPr="007F37A0">
        <w:rPr>
          <w:rFonts w:ascii="Times New Roman" w:hAnsi="Times New Roman" w:cs="Times New Roman"/>
        </w:rPr>
        <w:lastRenderedPageBreak/>
        <w:t>significant in this context. Out of the 16 null effects, I can reject the null hypothesis that the effect was 5 percentage points or greater for all estimates. This provides evidence that these are precisely estimated null effects and are not meaningfully different from 0.</w:t>
      </w:r>
    </w:p>
    <w:p w14:paraId="6335053A" w14:textId="77777777" w:rsidR="009478ED" w:rsidRPr="007F37A0" w:rsidRDefault="009478ED" w:rsidP="009478ED">
      <w:pPr>
        <w:pStyle w:val="Heading3"/>
        <w:spacing w:line="480" w:lineRule="auto"/>
        <w:rPr>
          <w:rFonts w:ascii="Times New Roman" w:hAnsi="Times New Roman" w:cs="Times New Roman"/>
          <w:szCs w:val="24"/>
        </w:rPr>
      </w:pPr>
      <w:bookmarkStart w:id="136" w:name="_Toc164862531"/>
      <w:r w:rsidRPr="007F37A0">
        <w:rPr>
          <w:rFonts w:ascii="Times New Roman" w:hAnsi="Times New Roman" w:cs="Times New Roman"/>
          <w:szCs w:val="24"/>
        </w:rPr>
        <w:t>3.5.4 ROBUSTNESS</w:t>
      </w:r>
      <w:bookmarkEnd w:id="136"/>
    </w:p>
    <w:p w14:paraId="04167B3C"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I examine one final robustness check to address potential systematic differences between treatment and control states. I restrict the sample to only states on either side of the regulatory line. In particular, for SO</w:t>
      </w:r>
      <w:r w:rsidRPr="007F37A0">
        <w:rPr>
          <w:rFonts w:ascii="Times New Roman" w:hAnsi="Times New Roman" w:cs="Times New Roman"/>
          <w:vertAlign w:val="subscript"/>
        </w:rPr>
        <w:t>2</w:t>
      </w:r>
      <w:r w:rsidRPr="007F37A0">
        <w:rPr>
          <w:rFonts w:ascii="Times New Roman" w:hAnsi="Times New Roman" w:cs="Times New Roman"/>
        </w:rPr>
        <w:t xml:space="preserve"> I include North Dakota, South Dakota, Wyoming, Colorado, New Mexico, Minnesota, Wisconsin, Iowa, Texas, Oklahoma, Nebraska, Kansas, Missouri, Arkansas, Louisianna, Tennessee, Mississippi, and Alabama. For NO</w:t>
      </w:r>
      <w:r w:rsidRPr="007F37A0">
        <w:rPr>
          <w:rFonts w:ascii="Times New Roman" w:hAnsi="Times New Roman" w:cs="Times New Roman"/>
          <w:vertAlign w:val="subscript"/>
        </w:rPr>
        <w:t>x</w:t>
      </w:r>
      <w:r w:rsidRPr="007F37A0">
        <w:rPr>
          <w:rFonts w:ascii="Times New Roman" w:hAnsi="Times New Roman" w:cs="Times New Roman"/>
        </w:rPr>
        <w:t xml:space="preserve"> I include North Dakota, South Dakota, Wyoming, Colorado, New Mexico, Minnesota, Wisconsin, Iowa, Texas, Oklahoma, Nebraska, Kansas, Missouri, Arkansas, and Louisianna. I rerun three probit models for fuel switching, new technology installation, and retirement with all available controls. </w:t>
      </w:r>
    </w:p>
    <w:p w14:paraId="6D825541" w14:textId="4A98CEA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r>
      <w:r w:rsidRPr="007F37A0">
        <w:rPr>
          <w:rFonts w:ascii="Times New Roman" w:hAnsi="Times New Roman" w:cs="Times New Roman"/>
        </w:rPr>
        <w:fldChar w:fldCharType="begin"/>
      </w:r>
      <w:r w:rsidRPr="007F37A0">
        <w:rPr>
          <w:rFonts w:ascii="Times New Roman" w:hAnsi="Times New Roman" w:cs="Times New Roman"/>
        </w:rPr>
        <w:instrText xml:space="preserve"> REF _Ref164533182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Table </w:t>
      </w:r>
      <w:r w:rsidR="00142A7E">
        <w:rPr>
          <w:rFonts w:ascii="Times New Roman" w:hAnsi="Times New Roman" w:cs="Times New Roman"/>
          <w:noProof/>
        </w:rPr>
        <w:t>45</w:t>
      </w:r>
      <w:r w:rsidRPr="007F37A0">
        <w:rPr>
          <w:rFonts w:ascii="Times New Roman" w:hAnsi="Times New Roman" w:cs="Times New Roman"/>
        </w:rPr>
        <w:fldChar w:fldCharType="end"/>
      </w:r>
      <w:r w:rsidRPr="007F37A0">
        <w:rPr>
          <w:rFonts w:ascii="Times New Roman" w:hAnsi="Times New Roman" w:cs="Times New Roman"/>
        </w:rPr>
        <w:t xml:space="preserve"> and </w:t>
      </w:r>
      <w:r w:rsidRPr="007F37A0">
        <w:rPr>
          <w:rFonts w:ascii="Times New Roman" w:hAnsi="Times New Roman" w:cs="Times New Roman"/>
        </w:rPr>
        <w:fldChar w:fldCharType="begin"/>
      </w:r>
      <w:r w:rsidRPr="007F37A0">
        <w:rPr>
          <w:rFonts w:ascii="Times New Roman" w:hAnsi="Times New Roman" w:cs="Times New Roman"/>
        </w:rPr>
        <w:instrText xml:space="preserve"> REF _Ref164533185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7F37A0">
        <w:rPr>
          <w:rFonts w:ascii="Times New Roman" w:hAnsi="Times New Roman" w:cs="Times New Roman"/>
        </w:rPr>
        <w:t xml:space="preserve">Table </w:t>
      </w:r>
      <w:r w:rsidR="00142A7E">
        <w:rPr>
          <w:rFonts w:ascii="Times New Roman" w:hAnsi="Times New Roman" w:cs="Times New Roman"/>
          <w:noProof/>
        </w:rPr>
        <w:t>46</w:t>
      </w:r>
      <w:r w:rsidRPr="007F37A0">
        <w:rPr>
          <w:rFonts w:ascii="Times New Roman" w:hAnsi="Times New Roman" w:cs="Times New Roman"/>
        </w:rPr>
        <w:fldChar w:fldCharType="end"/>
      </w:r>
      <w:r w:rsidRPr="007F37A0">
        <w:rPr>
          <w:rFonts w:ascii="Times New Roman" w:hAnsi="Times New Roman" w:cs="Times New Roman"/>
        </w:rPr>
        <w:t xml:space="preserve"> report the estimated effects of regulation on the restricted sample for SO</w:t>
      </w:r>
      <w:r w:rsidRPr="007F37A0">
        <w:rPr>
          <w:rFonts w:ascii="Times New Roman" w:hAnsi="Times New Roman" w:cs="Times New Roman"/>
          <w:vertAlign w:val="subscript"/>
        </w:rPr>
        <w:t>2</w:t>
      </w:r>
      <w:r w:rsidRPr="007F37A0">
        <w:rPr>
          <w:rFonts w:ascii="Times New Roman" w:hAnsi="Times New Roman" w:cs="Times New Roman"/>
        </w:rPr>
        <w:t xml:space="preserve"> and NO</w:t>
      </w:r>
      <w:r w:rsidRPr="007F37A0">
        <w:rPr>
          <w:rFonts w:ascii="Times New Roman" w:hAnsi="Times New Roman" w:cs="Times New Roman"/>
          <w:vertAlign w:val="subscript"/>
        </w:rPr>
        <w:t>x</w:t>
      </w:r>
      <w:r w:rsidRPr="007F37A0">
        <w:rPr>
          <w:rFonts w:ascii="Times New Roman" w:hAnsi="Times New Roman" w:cs="Times New Roman"/>
        </w:rPr>
        <w:t xml:space="preserve"> respectively. For SO</w:t>
      </w:r>
      <w:r w:rsidRPr="007F37A0">
        <w:rPr>
          <w:rFonts w:ascii="Times New Roman" w:hAnsi="Times New Roman" w:cs="Times New Roman"/>
          <w:vertAlign w:val="subscript"/>
        </w:rPr>
        <w:t>2</w:t>
      </w:r>
      <w:r w:rsidRPr="007F37A0">
        <w:rPr>
          <w:rFonts w:ascii="Times New Roman" w:hAnsi="Times New Roman" w:cs="Times New Roman"/>
        </w:rPr>
        <w:t xml:space="preserve"> regulation, I find a statistically significant increase in fuel switching for treated states, consistent with prior results. I find no effect for new pollution control technology in contrast to my primary results. I find a significant increase in boiler retirement in treated states (p&lt;0.01). Retirement increases by 0.3 percentage points which translates into an increase of 1.2% compared to the baseline.  For NO</w:t>
      </w:r>
      <w:r w:rsidRPr="007F37A0">
        <w:rPr>
          <w:rFonts w:ascii="Times New Roman" w:hAnsi="Times New Roman" w:cs="Times New Roman"/>
          <w:vertAlign w:val="subscript"/>
        </w:rPr>
        <w:t>x</w:t>
      </w:r>
      <w:r w:rsidRPr="007F37A0">
        <w:rPr>
          <w:rFonts w:ascii="Times New Roman" w:hAnsi="Times New Roman" w:cs="Times New Roman"/>
        </w:rPr>
        <w:t xml:space="preserve"> regulation, I find no effect on fuel switching, consistent with prior results. Similarly, I find no effect on new pollution control technology installation. However, I find a marginal increase in boiler retirements in treated states (p&lt;0.1). Retirement </w:t>
      </w:r>
      <w:r w:rsidRPr="007F37A0">
        <w:rPr>
          <w:rFonts w:ascii="Times New Roman" w:hAnsi="Times New Roman" w:cs="Times New Roman"/>
        </w:rPr>
        <w:lastRenderedPageBreak/>
        <w:t>increases by 0.3 percentage points which translates into an increase of 1.2% compared to the baseline. The economic significance of the retirement results is marginal. This approach might provide a cleaner identification of the effect of CAIR and CSAPR by restricting the sample to states with a more similar regulatory landscape and electric grid. However, the generalizability of the results might not hold. In other words, the composition of energy generation and responses to regulation might differ in the Midwest compared to Eastern and Western states.</w:t>
      </w:r>
    </w:p>
    <w:p w14:paraId="3C0DA21D" w14:textId="77777777" w:rsidR="009478ED" w:rsidRPr="007F37A0" w:rsidRDefault="009478ED" w:rsidP="009478ED">
      <w:pPr>
        <w:pStyle w:val="Heading2"/>
        <w:spacing w:line="480" w:lineRule="auto"/>
        <w:rPr>
          <w:rFonts w:ascii="Times New Roman" w:hAnsi="Times New Roman" w:cs="Times New Roman"/>
          <w:sz w:val="24"/>
          <w:szCs w:val="24"/>
        </w:rPr>
      </w:pPr>
      <w:bookmarkStart w:id="137" w:name="_Toc160879131"/>
      <w:bookmarkStart w:id="138" w:name="_Toc164862532"/>
      <w:r w:rsidRPr="007F37A0">
        <w:rPr>
          <w:rFonts w:ascii="Times New Roman" w:hAnsi="Times New Roman" w:cs="Times New Roman"/>
          <w:sz w:val="24"/>
          <w:szCs w:val="24"/>
        </w:rPr>
        <w:t>3.6 CONCLUSION</w:t>
      </w:r>
      <w:bookmarkEnd w:id="137"/>
      <w:bookmarkEnd w:id="138"/>
    </w:p>
    <w:p w14:paraId="7F4B3722" w14:textId="410DBF83" w:rsidR="00AE192C"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As policy makers consider further air pollution regulation, it is critical to understand how power plant managers might respond. I contribute to this discussion by analyzing plant managers’ responses to transboundary air pollution regulations. Policymakers typically do not know how managers will respond to regulation, so analyzing responses ex post provides insight into the cost of compliance. I find evidence that managers respond to SO</w:t>
      </w:r>
      <w:r w:rsidRPr="007F37A0">
        <w:rPr>
          <w:rFonts w:ascii="Times New Roman" w:hAnsi="Times New Roman" w:cs="Times New Roman"/>
          <w:vertAlign w:val="subscript"/>
        </w:rPr>
        <w:t>2</w:t>
      </w:r>
      <w:r w:rsidRPr="007F37A0">
        <w:rPr>
          <w:rFonts w:ascii="Times New Roman" w:hAnsi="Times New Roman" w:cs="Times New Roman"/>
        </w:rPr>
        <w:t xml:space="preserve"> regulation by switching fuel types. The data suggests this fuel switching mostly occurs within the same fuel group, for example from bituminous coal to refined coal. I find that plant managers tend to not retire boilers. When I examine which types of technologies were installed, I find that plant managers chose relatively cheap control technologies. I conclude that plant managers chose to comply with regulations by switching fuel types and installing relatively cheap control technology.</w:t>
      </w:r>
    </w:p>
    <w:p w14:paraId="11D29F09"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 xml:space="preserve">Future work can build on my analysis and the growing data availability of pollution control technology. Because the analysis leverages new data on pollution control technology from the EIA, I am unable to obtain data for treated boilers before </w:t>
      </w:r>
      <w:r w:rsidRPr="007F37A0">
        <w:rPr>
          <w:rFonts w:ascii="Times New Roman" w:hAnsi="Times New Roman" w:cs="Times New Roman"/>
        </w:rPr>
        <w:lastRenderedPageBreak/>
        <w:t xml:space="preserve">regulation. With the growing availability of this data, future regulatory changes would allow for cleaner identification of treatment effects. Further, these transboundary air pollution regulations try to reduce the amount of spillover pollution. While I have not addressed this in this paper, future work could examine how plant managers within a treated region respond differently depending on their level of pollution spillover to neighboring states. Future work could also examine the intensive margin of plant manager responses including decreased energy generation or political lobbying. </w:t>
      </w:r>
    </w:p>
    <w:p w14:paraId="582BD0A5"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ab/>
        <w:t>This work speaks to a larger conversation regarding air pollution regulation. Critics of air pollution regulation often worry about unintended consequences such as increased electricity prices resulting from retirements. I found no evidence that plant managers retired boilers in response to these regulations on average. Further, plant managers typically installed relatively cheap pollution control technologies. This suggests that the cost of compliance was not high enough to push boilers to retire or managers to install relatively more expensive pollution control technologies. The results show that recent transboundary air pollution regulations successfully improved the composition of pollution control technology without causing boiler retirements.</w:t>
      </w:r>
    </w:p>
    <w:p w14:paraId="23F02282" w14:textId="77777777" w:rsidR="009478ED" w:rsidRPr="007F37A0" w:rsidRDefault="009478ED" w:rsidP="009478ED">
      <w:pPr>
        <w:rPr>
          <w:rFonts w:ascii="Times New Roman" w:hAnsi="Times New Roman" w:cs="Times New Roman"/>
          <w:b/>
          <w:bCs/>
          <w:iCs/>
          <w:sz w:val="28"/>
          <w:szCs w:val="28"/>
        </w:rPr>
      </w:pPr>
      <w:bookmarkStart w:id="139" w:name="_Toc160879132"/>
      <w:r w:rsidRPr="007F37A0">
        <w:rPr>
          <w:rFonts w:ascii="Times New Roman" w:hAnsi="Times New Roman" w:cs="Times New Roman"/>
        </w:rPr>
        <w:br w:type="page"/>
      </w:r>
    </w:p>
    <w:p w14:paraId="4E68A387" w14:textId="77777777" w:rsidR="009478ED" w:rsidRPr="007F37A0" w:rsidRDefault="009478ED" w:rsidP="009478ED">
      <w:pPr>
        <w:pStyle w:val="Heading2"/>
        <w:rPr>
          <w:rFonts w:ascii="Times New Roman" w:hAnsi="Times New Roman" w:cs="Times New Roman"/>
        </w:rPr>
      </w:pPr>
      <w:bookmarkStart w:id="140" w:name="_Toc164862533"/>
      <w:r w:rsidRPr="007F37A0">
        <w:rPr>
          <w:rFonts w:ascii="Times New Roman" w:hAnsi="Times New Roman" w:cs="Times New Roman"/>
        </w:rPr>
        <w:lastRenderedPageBreak/>
        <w:t>REFERENCES</w:t>
      </w:r>
      <w:bookmarkEnd w:id="139"/>
      <w:bookmarkEnd w:id="140"/>
    </w:p>
    <w:p w14:paraId="1F5644C4" w14:textId="77777777" w:rsidR="009478ED" w:rsidRPr="007F37A0" w:rsidRDefault="009478ED" w:rsidP="009478ED">
      <w:pPr>
        <w:rPr>
          <w:rFonts w:ascii="Times New Roman" w:hAnsi="Times New Roman" w:cs="Times New Roman"/>
        </w:rPr>
      </w:pPr>
    </w:p>
    <w:p w14:paraId="4B98DB0F"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Aldy, J. E., Auffhammer, M., Cropper, M., Fraas, A., &amp; Morgenstern, R. (2022). Looking </w:t>
      </w:r>
    </w:p>
    <w:p w14:paraId="4218AFB5" w14:textId="77777777" w:rsidR="009478ED" w:rsidRPr="007F37A0" w:rsidRDefault="009478ED" w:rsidP="009478ED">
      <w:pPr>
        <w:spacing w:line="480" w:lineRule="auto"/>
        <w:ind w:left="720"/>
        <w:rPr>
          <w:rFonts w:ascii="Times New Roman" w:hAnsi="Times New Roman" w:cs="Times New Roman"/>
        </w:rPr>
      </w:pPr>
      <w:r w:rsidRPr="007F37A0">
        <w:rPr>
          <w:rFonts w:ascii="Times New Roman" w:hAnsi="Times New Roman" w:cs="Times New Roman"/>
        </w:rPr>
        <w:t>back at 50 years of the Clean Air Act. </w:t>
      </w:r>
      <w:r w:rsidRPr="007F37A0">
        <w:rPr>
          <w:rFonts w:ascii="Times New Roman" w:hAnsi="Times New Roman" w:cs="Times New Roman"/>
          <w:i/>
          <w:iCs/>
        </w:rPr>
        <w:t>Journal of Economic Literature</w:t>
      </w:r>
      <w:r w:rsidRPr="007F37A0">
        <w:rPr>
          <w:rFonts w:ascii="Times New Roman" w:hAnsi="Times New Roman" w:cs="Times New Roman"/>
        </w:rPr>
        <w:t>, </w:t>
      </w:r>
      <w:r w:rsidRPr="007F37A0">
        <w:rPr>
          <w:rFonts w:ascii="Times New Roman" w:hAnsi="Times New Roman" w:cs="Times New Roman"/>
          <w:i/>
          <w:iCs/>
        </w:rPr>
        <w:t>60</w:t>
      </w:r>
      <w:r w:rsidRPr="007F37A0">
        <w:rPr>
          <w:rFonts w:ascii="Times New Roman" w:hAnsi="Times New Roman" w:cs="Times New Roman"/>
        </w:rPr>
        <w:t>(1), 79-232.</w:t>
      </w:r>
    </w:p>
    <w:p w14:paraId="481983C0"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Andaloussi, M., &amp; Isaksen, E. T. (2021). The environmental and distributional </w:t>
      </w:r>
    </w:p>
    <w:p w14:paraId="15E04427"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 xml:space="preserve">consequences of emissions markets: Evidence from the clean air interstate </w:t>
      </w:r>
    </w:p>
    <w:p w14:paraId="57A3591E" w14:textId="77777777" w:rsidR="009478ED" w:rsidRPr="007F37A0" w:rsidRDefault="009478ED" w:rsidP="009478ED">
      <w:pPr>
        <w:spacing w:line="480" w:lineRule="auto"/>
        <w:ind w:firstLine="720"/>
        <w:rPr>
          <w:rFonts w:ascii="Times New Roman" w:hAnsi="Times New Roman" w:cs="Times New Roman"/>
          <w:i/>
          <w:iCs/>
        </w:rPr>
      </w:pPr>
      <w:r w:rsidRPr="007F37A0">
        <w:rPr>
          <w:rFonts w:ascii="Times New Roman" w:hAnsi="Times New Roman" w:cs="Times New Roman"/>
        </w:rPr>
        <w:t>rule. </w:t>
      </w:r>
      <w:r w:rsidRPr="007F37A0">
        <w:rPr>
          <w:rFonts w:ascii="Times New Roman" w:hAnsi="Times New Roman" w:cs="Times New Roman"/>
          <w:i/>
          <w:iCs/>
        </w:rPr>
        <w:t xml:space="preserve">Elisabeth Thuestad, The Environmental and Distributional Consequences of </w:t>
      </w:r>
    </w:p>
    <w:p w14:paraId="309EC2A5"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i/>
          <w:iCs/>
        </w:rPr>
        <w:t>Emissions Markets: Evidence from the Clean Air Interstate Rule</w:t>
      </w:r>
      <w:r w:rsidRPr="007F37A0">
        <w:rPr>
          <w:rFonts w:ascii="Times New Roman" w:hAnsi="Times New Roman" w:cs="Times New Roman"/>
        </w:rPr>
        <w:t>.</w:t>
      </w:r>
    </w:p>
    <w:p w14:paraId="559DF940"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Asghar, U., Rafiq, S., Anwar, A., Iqbal, T., Ahmed, A., Jamil, F., Khurram, M. S., Akbar, </w:t>
      </w:r>
    </w:p>
    <w:p w14:paraId="286FE6C4" w14:textId="77777777" w:rsidR="009478ED" w:rsidRPr="007F37A0" w:rsidRDefault="009478ED" w:rsidP="009478ED">
      <w:pPr>
        <w:spacing w:line="480" w:lineRule="auto"/>
        <w:ind w:left="720"/>
        <w:rPr>
          <w:rFonts w:ascii="Times New Roman" w:hAnsi="Times New Roman" w:cs="Times New Roman"/>
        </w:rPr>
      </w:pPr>
      <w:r w:rsidRPr="007F37A0">
        <w:rPr>
          <w:rFonts w:ascii="Times New Roman" w:hAnsi="Times New Roman" w:cs="Times New Roman"/>
        </w:rPr>
        <w:t>M. M., Farooq, A., Noor, S. S. &amp; Park, Y. K. (2021). Review on the progress in emission control technologies for the abatement of CO2, SOx and NOx from fuel combustion. </w:t>
      </w:r>
      <w:r w:rsidRPr="007F37A0">
        <w:rPr>
          <w:rFonts w:ascii="Times New Roman" w:hAnsi="Times New Roman" w:cs="Times New Roman"/>
          <w:i/>
          <w:iCs/>
        </w:rPr>
        <w:t>Journal of Environmental Chemical Engineering</w:t>
      </w:r>
      <w:r w:rsidRPr="007F37A0">
        <w:rPr>
          <w:rFonts w:ascii="Times New Roman" w:hAnsi="Times New Roman" w:cs="Times New Roman"/>
        </w:rPr>
        <w:t>, </w:t>
      </w:r>
      <w:r w:rsidRPr="007F37A0">
        <w:rPr>
          <w:rFonts w:ascii="Times New Roman" w:hAnsi="Times New Roman" w:cs="Times New Roman"/>
          <w:i/>
          <w:iCs/>
        </w:rPr>
        <w:t>9</w:t>
      </w:r>
      <w:r w:rsidRPr="007F37A0">
        <w:rPr>
          <w:rFonts w:ascii="Times New Roman" w:hAnsi="Times New Roman" w:cs="Times New Roman"/>
        </w:rPr>
        <w:t>(5), 106064.</w:t>
      </w:r>
    </w:p>
    <w:p w14:paraId="67F4B0DC"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Carlson, C., Burtraw, D., Cropper, M., &amp; Palmer, K. L. (2000). Sulfur dioxide control by </w:t>
      </w:r>
    </w:p>
    <w:p w14:paraId="3131E8F3" w14:textId="77777777" w:rsidR="009478ED" w:rsidRPr="007F37A0" w:rsidRDefault="009478ED" w:rsidP="009478ED">
      <w:pPr>
        <w:spacing w:line="480" w:lineRule="auto"/>
        <w:ind w:left="720"/>
        <w:rPr>
          <w:rFonts w:ascii="Times New Roman" w:hAnsi="Times New Roman" w:cs="Times New Roman"/>
        </w:rPr>
      </w:pPr>
      <w:r w:rsidRPr="007F37A0">
        <w:rPr>
          <w:rFonts w:ascii="Times New Roman" w:hAnsi="Times New Roman" w:cs="Times New Roman"/>
        </w:rPr>
        <w:t>electric utilities: What are the gains from trade?. </w:t>
      </w:r>
      <w:r w:rsidRPr="007F37A0">
        <w:rPr>
          <w:rFonts w:ascii="Times New Roman" w:hAnsi="Times New Roman" w:cs="Times New Roman"/>
          <w:i/>
          <w:iCs/>
        </w:rPr>
        <w:t>Journal of political Economy</w:t>
      </w:r>
      <w:r w:rsidRPr="007F37A0">
        <w:rPr>
          <w:rFonts w:ascii="Times New Roman" w:hAnsi="Times New Roman" w:cs="Times New Roman"/>
        </w:rPr>
        <w:t>, </w:t>
      </w:r>
      <w:r w:rsidRPr="007F37A0">
        <w:rPr>
          <w:rFonts w:ascii="Times New Roman" w:hAnsi="Times New Roman" w:cs="Times New Roman"/>
          <w:i/>
          <w:iCs/>
        </w:rPr>
        <w:t>108</w:t>
      </w:r>
      <w:r w:rsidRPr="007F37A0">
        <w:rPr>
          <w:rFonts w:ascii="Times New Roman" w:hAnsi="Times New Roman" w:cs="Times New Roman"/>
        </w:rPr>
        <w:t>(6), 1292-1326.</w:t>
      </w:r>
    </w:p>
    <w:p w14:paraId="62C283DF"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Catalyst Cooperative, Zane Selvans, &amp; Trenton Bush. (2023). PUDL Raw EIA Bulk </w:t>
      </w:r>
    </w:p>
    <w:p w14:paraId="5B49FACB" w14:textId="3747E19F" w:rsidR="009478ED" w:rsidRPr="007F37A0" w:rsidRDefault="009478ED" w:rsidP="009478ED">
      <w:pPr>
        <w:spacing w:line="480" w:lineRule="auto"/>
        <w:ind w:left="720"/>
        <w:rPr>
          <w:rFonts w:ascii="Times New Roman" w:hAnsi="Times New Roman" w:cs="Times New Roman"/>
        </w:rPr>
      </w:pPr>
      <w:r w:rsidRPr="007F37A0">
        <w:rPr>
          <w:rFonts w:ascii="Times New Roman" w:hAnsi="Times New Roman" w:cs="Times New Roman"/>
        </w:rPr>
        <w:t xml:space="preserve">Electricity API Data (2.0.0) [Data set]. Zenodo. </w:t>
      </w:r>
      <w:hyperlink r:id="rId20" w:history="1">
        <w:r w:rsidRPr="007F37A0">
          <w:rPr>
            <w:rStyle w:val="Hyperlink"/>
            <w:rFonts w:ascii="Times New Roman" w:hAnsi="Times New Roman" w:cs="Times New Roman"/>
          </w:rPr>
          <w:t>https://doi.org/10.5281/zenodo.7682482</w:t>
        </w:r>
      </w:hyperlink>
    </w:p>
    <w:p w14:paraId="40273675"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Chan, H. R., Chupp, B. A., Cropper, M. L., &amp; Muller, N. Z. (2018). The impact of </w:t>
      </w:r>
    </w:p>
    <w:p w14:paraId="3B60F1E2" w14:textId="77777777" w:rsidR="009478ED" w:rsidRPr="007F37A0" w:rsidRDefault="009478ED" w:rsidP="009478ED">
      <w:pPr>
        <w:spacing w:line="480" w:lineRule="auto"/>
        <w:ind w:left="720"/>
        <w:rPr>
          <w:rFonts w:ascii="Times New Roman" w:hAnsi="Times New Roman" w:cs="Times New Roman"/>
        </w:rPr>
      </w:pPr>
      <w:r w:rsidRPr="007F37A0">
        <w:rPr>
          <w:rFonts w:ascii="Times New Roman" w:hAnsi="Times New Roman" w:cs="Times New Roman"/>
        </w:rPr>
        <w:t>trading on the costs and benefits of the Acid Rain Program. </w:t>
      </w:r>
      <w:r w:rsidRPr="007F37A0">
        <w:rPr>
          <w:rFonts w:ascii="Times New Roman" w:hAnsi="Times New Roman" w:cs="Times New Roman"/>
          <w:i/>
          <w:iCs/>
        </w:rPr>
        <w:t>Journal of Environmental Economics and Management</w:t>
      </w:r>
      <w:r w:rsidRPr="007F37A0">
        <w:rPr>
          <w:rFonts w:ascii="Times New Roman" w:hAnsi="Times New Roman" w:cs="Times New Roman"/>
        </w:rPr>
        <w:t>, </w:t>
      </w:r>
      <w:r w:rsidRPr="007F37A0">
        <w:rPr>
          <w:rFonts w:ascii="Times New Roman" w:hAnsi="Times New Roman" w:cs="Times New Roman"/>
          <w:i/>
          <w:iCs/>
        </w:rPr>
        <w:t>88</w:t>
      </w:r>
      <w:r w:rsidRPr="007F37A0">
        <w:rPr>
          <w:rFonts w:ascii="Times New Roman" w:hAnsi="Times New Roman" w:cs="Times New Roman"/>
        </w:rPr>
        <w:t>, 180-209.</w:t>
      </w:r>
    </w:p>
    <w:p w14:paraId="112C3A9B" w14:textId="77777777" w:rsidR="009478ED" w:rsidRPr="007F37A0" w:rsidRDefault="009478ED" w:rsidP="009478ED">
      <w:pPr>
        <w:spacing w:line="480" w:lineRule="auto"/>
        <w:ind w:left="720"/>
        <w:rPr>
          <w:rFonts w:ascii="Times New Roman" w:hAnsi="Times New Roman" w:cs="Times New Roman"/>
        </w:rPr>
      </w:pPr>
    </w:p>
    <w:p w14:paraId="68D0F511"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lastRenderedPageBreak/>
        <w:t xml:space="preserve">Currie, J., &amp; Walker, R. (2019). What do economists have to say about the Clean Air Act </w:t>
      </w:r>
    </w:p>
    <w:p w14:paraId="33568630" w14:textId="77777777" w:rsidR="009478ED" w:rsidRDefault="009478ED" w:rsidP="009478ED">
      <w:pPr>
        <w:spacing w:line="480" w:lineRule="auto"/>
        <w:ind w:left="720"/>
        <w:rPr>
          <w:rFonts w:ascii="Times New Roman" w:hAnsi="Times New Roman" w:cs="Times New Roman"/>
        </w:rPr>
      </w:pPr>
      <w:r w:rsidRPr="007F37A0">
        <w:rPr>
          <w:rFonts w:ascii="Times New Roman" w:hAnsi="Times New Roman" w:cs="Times New Roman"/>
        </w:rPr>
        <w:t>50 years after the establishment of the Environmental Protection Agency?. </w:t>
      </w:r>
      <w:r w:rsidRPr="007F37A0">
        <w:rPr>
          <w:rFonts w:ascii="Times New Roman" w:hAnsi="Times New Roman" w:cs="Times New Roman"/>
          <w:i/>
          <w:iCs/>
        </w:rPr>
        <w:t>Journal of Economic Perspectives</w:t>
      </w:r>
      <w:r w:rsidRPr="007F37A0">
        <w:rPr>
          <w:rFonts w:ascii="Times New Roman" w:hAnsi="Times New Roman" w:cs="Times New Roman"/>
        </w:rPr>
        <w:t>, </w:t>
      </w:r>
      <w:r w:rsidRPr="007F37A0">
        <w:rPr>
          <w:rFonts w:ascii="Times New Roman" w:hAnsi="Times New Roman" w:cs="Times New Roman"/>
          <w:i/>
          <w:iCs/>
        </w:rPr>
        <w:t>33</w:t>
      </w:r>
      <w:r w:rsidRPr="007F37A0">
        <w:rPr>
          <w:rFonts w:ascii="Times New Roman" w:hAnsi="Times New Roman" w:cs="Times New Roman"/>
        </w:rPr>
        <w:t>(4), 3-26.</w:t>
      </w:r>
    </w:p>
    <w:p w14:paraId="4BA68933" w14:textId="29E2605B" w:rsidR="005E07C7" w:rsidRDefault="005E07C7" w:rsidP="005E07C7">
      <w:pPr>
        <w:spacing w:line="480" w:lineRule="auto"/>
        <w:rPr>
          <w:rFonts w:ascii="Times New Roman" w:hAnsi="Times New Roman" w:cs="Times New Roman"/>
        </w:rPr>
      </w:pPr>
      <w:r w:rsidRPr="005E07C7">
        <w:rPr>
          <w:rFonts w:ascii="Times New Roman" w:hAnsi="Times New Roman" w:cs="Times New Roman"/>
        </w:rPr>
        <w:t xml:space="preserve">DeMocker, J. (2011). Direct </w:t>
      </w:r>
      <w:r>
        <w:rPr>
          <w:rFonts w:ascii="Times New Roman" w:hAnsi="Times New Roman" w:cs="Times New Roman"/>
        </w:rPr>
        <w:t>c</w:t>
      </w:r>
      <w:r w:rsidRPr="005E07C7">
        <w:rPr>
          <w:rFonts w:ascii="Times New Roman" w:hAnsi="Times New Roman" w:cs="Times New Roman"/>
        </w:rPr>
        <w:t xml:space="preserve">ost </w:t>
      </w:r>
      <w:r>
        <w:rPr>
          <w:rFonts w:ascii="Times New Roman" w:hAnsi="Times New Roman" w:cs="Times New Roman"/>
        </w:rPr>
        <w:t>e</w:t>
      </w:r>
      <w:r w:rsidRPr="005E07C7">
        <w:rPr>
          <w:rFonts w:ascii="Times New Roman" w:hAnsi="Times New Roman" w:cs="Times New Roman"/>
        </w:rPr>
        <w:t xml:space="preserve">stimates for the Clean Air Act </w:t>
      </w:r>
      <w:r>
        <w:rPr>
          <w:rFonts w:ascii="Times New Roman" w:hAnsi="Times New Roman" w:cs="Times New Roman"/>
        </w:rPr>
        <w:t>s</w:t>
      </w:r>
      <w:r w:rsidRPr="005E07C7">
        <w:rPr>
          <w:rFonts w:ascii="Times New Roman" w:hAnsi="Times New Roman" w:cs="Times New Roman"/>
        </w:rPr>
        <w:t xml:space="preserve">econd </w:t>
      </w:r>
      <w:r>
        <w:rPr>
          <w:rFonts w:ascii="Times New Roman" w:hAnsi="Times New Roman" w:cs="Times New Roman"/>
        </w:rPr>
        <w:t>s</w:t>
      </w:r>
      <w:r w:rsidRPr="005E07C7">
        <w:rPr>
          <w:rFonts w:ascii="Times New Roman" w:hAnsi="Times New Roman" w:cs="Times New Roman"/>
        </w:rPr>
        <w:t xml:space="preserve">ection 812 </w:t>
      </w:r>
    </w:p>
    <w:p w14:paraId="6675686E" w14:textId="77777777" w:rsidR="005E07C7" w:rsidRDefault="005E07C7" w:rsidP="005E07C7">
      <w:pPr>
        <w:spacing w:line="480" w:lineRule="auto"/>
        <w:ind w:firstLine="720"/>
        <w:rPr>
          <w:rFonts w:ascii="Times New Roman" w:hAnsi="Times New Roman" w:cs="Times New Roman"/>
        </w:rPr>
      </w:pPr>
      <w:r>
        <w:rPr>
          <w:rFonts w:ascii="Times New Roman" w:hAnsi="Times New Roman" w:cs="Times New Roman"/>
        </w:rPr>
        <w:t>p</w:t>
      </w:r>
      <w:r w:rsidRPr="005E07C7">
        <w:rPr>
          <w:rFonts w:ascii="Times New Roman" w:hAnsi="Times New Roman" w:cs="Times New Roman"/>
        </w:rPr>
        <w:t xml:space="preserve">rospective </w:t>
      </w:r>
      <w:r>
        <w:rPr>
          <w:rFonts w:ascii="Times New Roman" w:hAnsi="Times New Roman" w:cs="Times New Roman"/>
        </w:rPr>
        <w:t>a</w:t>
      </w:r>
      <w:r w:rsidRPr="005E07C7">
        <w:rPr>
          <w:rFonts w:ascii="Times New Roman" w:hAnsi="Times New Roman" w:cs="Times New Roman"/>
        </w:rPr>
        <w:t>nalysis.</w:t>
      </w:r>
      <w:r>
        <w:rPr>
          <w:rFonts w:ascii="Times New Roman" w:hAnsi="Times New Roman" w:cs="Times New Roman"/>
        </w:rPr>
        <w:t xml:space="preserve"> </w:t>
      </w:r>
      <w:r w:rsidRPr="005E07C7">
        <w:rPr>
          <w:rFonts w:ascii="Times New Roman" w:hAnsi="Times New Roman" w:cs="Times New Roman"/>
        </w:rPr>
        <w:t>https://www.epa.gov/sites/default/files/2015-</w:t>
      </w:r>
    </w:p>
    <w:p w14:paraId="65511257" w14:textId="2CD4455A" w:rsidR="005E07C7" w:rsidRPr="007F37A0" w:rsidRDefault="005E07C7" w:rsidP="005E07C7">
      <w:pPr>
        <w:spacing w:line="480" w:lineRule="auto"/>
        <w:ind w:firstLine="720"/>
        <w:rPr>
          <w:rFonts w:ascii="Times New Roman" w:hAnsi="Times New Roman" w:cs="Times New Roman"/>
        </w:rPr>
      </w:pPr>
      <w:r w:rsidRPr="005E07C7">
        <w:rPr>
          <w:rFonts w:ascii="Times New Roman" w:hAnsi="Times New Roman" w:cs="Times New Roman"/>
        </w:rPr>
        <w:t>07/documents/costfullreport.pdf</w:t>
      </w:r>
    </w:p>
    <w:p w14:paraId="1966A054"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Dorsey, J. (2019). Waiting for the courts: Effects of policy uncertainty on pollution and </w:t>
      </w:r>
    </w:p>
    <w:p w14:paraId="11217589" w14:textId="77777777" w:rsidR="009478ED"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investment. </w:t>
      </w:r>
      <w:r w:rsidRPr="007F37A0">
        <w:rPr>
          <w:rFonts w:ascii="Times New Roman" w:hAnsi="Times New Roman" w:cs="Times New Roman"/>
          <w:i/>
          <w:iCs/>
        </w:rPr>
        <w:t>Environmental and Resource Economics</w:t>
      </w:r>
      <w:r w:rsidRPr="007F37A0">
        <w:rPr>
          <w:rFonts w:ascii="Times New Roman" w:hAnsi="Times New Roman" w:cs="Times New Roman"/>
        </w:rPr>
        <w:t>, </w:t>
      </w:r>
      <w:r w:rsidRPr="007F37A0">
        <w:rPr>
          <w:rFonts w:ascii="Times New Roman" w:hAnsi="Times New Roman" w:cs="Times New Roman"/>
          <w:i/>
          <w:iCs/>
        </w:rPr>
        <w:t>74</w:t>
      </w:r>
      <w:r w:rsidRPr="007F37A0">
        <w:rPr>
          <w:rFonts w:ascii="Times New Roman" w:hAnsi="Times New Roman" w:cs="Times New Roman"/>
        </w:rPr>
        <w:t>(4), 1453-1496.</w:t>
      </w:r>
    </w:p>
    <w:p w14:paraId="0F63E3E6" w14:textId="77777777" w:rsidR="005E07C7" w:rsidRDefault="002C3972" w:rsidP="002C3972">
      <w:pPr>
        <w:spacing w:line="480" w:lineRule="auto"/>
        <w:rPr>
          <w:rFonts w:ascii="Times New Roman" w:hAnsi="Times New Roman" w:cs="Times New Roman"/>
        </w:rPr>
      </w:pPr>
      <w:r>
        <w:rPr>
          <w:rFonts w:ascii="Times New Roman" w:hAnsi="Times New Roman" w:cs="Times New Roman"/>
        </w:rPr>
        <w:t xml:space="preserve">EPA (Environmental Protection Agency). (2011). </w:t>
      </w:r>
      <w:r w:rsidR="005E07C7">
        <w:rPr>
          <w:rFonts w:ascii="Times New Roman" w:hAnsi="Times New Roman" w:cs="Times New Roman"/>
        </w:rPr>
        <w:t xml:space="preserve">The benefits and costs of the Clean Air </w:t>
      </w:r>
    </w:p>
    <w:p w14:paraId="558E65FF" w14:textId="53F8780C" w:rsidR="002C3972" w:rsidRPr="007F37A0" w:rsidRDefault="005E07C7" w:rsidP="005E07C7">
      <w:pPr>
        <w:spacing w:line="480" w:lineRule="auto"/>
        <w:ind w:left="720"/>
        <w:rPr>
          <w:rFonts w:ascii="Times New Roman" w:hAnsi="Times New Roman" w:cs="Times New Roman"/>
        </w:rPr>
      </w:pPr>
      <w:r>
        <w:rPr>
          <w:rFonts w:ascii="Times New Roman" w:hAnsi="Times New Roman" w:cs="Times New Roman"/>
        </w:rPr>
        <w:t xml:space="preserve">Act from 1990 to 2020. </w:t>
      </w:r>
      <w:r w:rsidRPr="005E07C7">
        <w:rPr>
          <w:rFonts w:ascii="Times New Roman" w:hAnsi="Times New Roman" w:cs="Times New Roman"/>
        </w:rPr>
        <w:t>https://www.epa.gov/sites/default/files/2015-07/documents/fullreport_rev_a.pdf</w:t>
      </w:r>
    </w:p>
    <w:p w14:paraId="4BA6B307"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Fowlie, M. (2010). Emissions trading, electricity restructuring, and investment in </w:t>
      </w:r>
    </w:p>
    <w:p w14:paraId="552EFE77"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pollution abatement. </w:t>
      </w:r>
      <w:r w:rsidRPr="007F37A0">
        <w:rPr>
          <w:rFonts w:ascii="Times New Roman" w:hAnsi="Times New Roman" w:cs="Times New Roman"/>
          <w:i/>
          <w:iCs/>
        </w:rPr>
        <w:t>American Economic Review</w:t>
      </w:r>
      <w:r w:rsidRPr="007F37A0">
        <w:rPr>
          <w:rFonts w:ascii="Times New Roman" w:hAnsi="Times New Roman" w:cs="Times New Roman"/>
        </w:rPr>
        <w:t>, </w:t>
      </w:r>
      <w:r w:rsidRPr="007F37A0">
        <w:rPr>
          <w:rFonts w:ascii="Times New Roman" w:hAnsi="Times New Roman" w:cs="Times New Roman"/>
          <w:i/>
          <w:iCs/>
        </w:rPr>
        <w:t>100</w:t>
      </w:r>
      <w:r w:rsidRPr="007F37A0">
        <w:rPr>
          <w:rFonts w:ascii="Times New Roman" w:hAnsi="Times New Roman" w:cs="Times New Roman"/>
        </w:rPr>
        <w:t>(3), 837-869.</w:t>
      </w:r>
    </w:p>
    <w:p w14:paraId="06E4FCCA"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Fraas, A. G., &amp; Richardson, N. D. (2010). Banking on allowances: The EPA’s mixed </w:t>
      </w:r>
    </w:p>
    <w:p w14:paraId="19C297E5" w14:textId="77777777" w:rsidR="009478ED" w:rsidRPr="007F37A0" w:rsidRDefault="009478ED" w:rsidP="009478ED">
      <w:pPr>
        <w:spacing w:line="480" w:lineRule="auto"/>
        <w:ind w:left="720"/>
        <w:rPr>
          <w:rFonts w:ascii="Times New Roman" w:hAnsi="Times New Roman" w:cs="Times New Roman"/>
        </w:rPr>
      </w:pPr>
      <w:r w:rsidRPr="007F37A0">
        <w:rPr>
          <w:rFonts w:ascii="Times New Roman" w:hAnsi="Times New Roman" w:cs="Times New Roman"/>
        </w:rPr>
        <w:t>record in managing emissions-market transitions. </w:t>
      </w:r>
      <w:r w:rsidRPr="007F37A0">
        <w:rPr>
          <w:rFonts w:ascii="Times New Roman" w:hAnsi="Times New Roman" w:cs="Times New Roman"/>
          <w:i/>
          <w:iCs/>
        </w:rPr>
        <w:t>Resources for the Future Discussions Paper</w:t>
      </w:r>
      <w:r w:rsidRPr="007F37A0">
        <w:rPr>
          <w:rFonts w:ascii="Times New Roman" w:hAnsi="Times New Roman" w:cs="Times New Roman"/>
        </w:rPr>
        <w:t>, (10-42).</w:t>
      </w:r>
    </w:p>
    <w:p w14:paraId="5949DCBE"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Gu, A., &amp; Yoo, H. I. (2019). vcemway: A one-stop solution for robust inference with </w:t>
      </w:r>
    </w:p>
    <w:p w14:paraId="01A659D7" w14:textId="77777777" w:rsidR="009478ED" w:rsidRPr="007F37A0" w:rsidRDefault="009478ED" w:rsidP="009478ED">
      <w:pPr>
        <w:spacing w:line="480" w:lineRule="auto"/>
        <w:ind w:firstLine="720"/>
        <w:rPr>
          <w:rFonts w:ascii="Times New Roman" w:hAnsi="Times New Roman" w:cs="Times New Roman"/>
        </w:rPr>
      </w:pPr>
      <w:r w:rsidRPr="007F37A0">
        <w:rPr>
          <w:rFonts w:ascii="Times New Roman" w:hAnsi="Times New Roman" w:cs="Times New Roman"/>
        </w:rPr>
        <w:t>multiway clustering. </w:t>
      </w:r>
      <w:r w:rsidRPr="007F37A0">
        <w:rPr>
          <w:rFonts w:ascii="Times New Roman" w:hAnsi="Times New Roman" w:cs="Times New Roman"/>
          <w:i/>
          <w:iCs/>
        </w:rPr>
        <w:t>The Stata Journal</w:t>
      </w:r>
      <w:r w:rsidRPr="007F37A0">
        <w:rPr>
          <w:rFonts w:ascii="Times New Roman" w:hAnsi="Times New Roman" w:cs="Times New Roman"/>
        </w:rPr>
        <w:t>, </w:t>
      </w:r>
      <w:r w:rsidRPr="007F37A0">
        <w:rPr>
          <w:rFonts w:ascii="Times New Roman" w:hAnsi="Times New Roman" w:cs="Times New Roman"/>
          <w:i/>
          <w:iCs/>
        </w:rPr>
        <w:t>19</w:t>
      </w:r>
      <w:r w:rsidRPr="007F37A0">
        <w:rPr>
          <w:rFonts w:ascii="Times New Roman" w:hAnsi="Times New Roman" w:cs="Times New Roman"/>
        </w:rPr>
        <w:t>(4), 900-912.</w:t>
      </w:r>
    </w:p>
    <w:p w14:paraId="65D14766"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Raff, Z., &amp; Walter, J. M. (2020). Regulatory avoidance and spillover: the effects of </w:t>
      </w:r>
    </w:p>
    <w:p w14:paraId="28ACFA09" w14:textId="77777777" w:rsidR="009478ED" w:rsidRDefault="009478ED" w:rsidP="009478ED">
      <w:pPr>
        <w:spacing w:line="480" w:lineRule="auto"/>
        <w:ind w:left="720"/>
        <w:rPr>
          <w:rFonts w:ascii="Times New Roman" w:hAnsi="Times New Roman" w:cs="Times New Roman"/>
        </w:rPr>
      </w:pPr>
      <w:r w:rsidRPr="007F37A0">
        <w:rPr>
          <w:rFonts w:ascii="Times New Roman" w:hAnsi="Times New Roman" w:cs="Times New Roman"/>
        </w:rPr>
        <w:t>environmental regulation on emissions at coal-fired power plants. </w:t>
      </w:r>
      <w:r w:rsidRPr="007F37A0">
        <w:rPr>
          <w:rFonts w:ascii="Times New Roman" w:hAnsi="Times New Roman" w:cs="Times New Roman"/>
          <w:i/>
          <w:iCs/>
        </w:rPr>
        <w:t>Environmental and resource economics</w:t>
      </w:r>
      <w:r w:rsidRPr="007F37A0">
        <w:rPr>
          <w:rFonts w:ascii="Times New Roman" w:hAnsi="Times New Roman" w:cs="Times New Roman"/>
        </w:rPr>
        <w:t>, </w:t>
      </w:r>
      <w:r w:rsidRPr="007F37A0">
        <w:rPr>
          <w:rFonts w:ascii="Times New Roman" w:hAnsi="Times New Roman" w:cs="Times New Roman"/>
          <w:i/>
          <w:iCs/>
        </w:rPr>
        <w:t>75</w:t>
      </w:r>
      <w:r w:rsidRPr="007F37A0">
        <w:rPr>
          <w:rFonts w:ascii="Times New Roman" w:hAnsi="Times New Roman" w:cs="Times New Roman"/>
        </w:rPr>
        <w:t>(3), 387-420.</w:t>
      </w:r>
    </w:p>
    <w:p w14:paraId="39F95887" w14:textId="77777777" w:rsidR="005E07C7" w:rsidRPr="007F37A0" w:rsidRDefault="005E07C7" w:rsidP="009478ED">
      <w:pPr>
        <w:spacing w:line="480" w:lineRule="auto"/>
        <w:ind w:left="720"/>
        <w:rPr>
          <w:rFonts w:ascii="Times New Roman" w:hAnsi="Times New Roman" w:cs="Times New Roman"/>
        </w:rPr>
      </w:pPr>
    </w:p>
    <w:p w14:paraId="0F00F261"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lastRenderedPageBreak/>
        <w:t xml:space="preserve">Sorrels, J. L., Randall, D. D., Schaffner, K. S., &amp; Fry, C. R. (2019a). Selective </w:t>
      </w:r>
    </w:p>
    <w:p w14:paraId="325F352D" w14:textId="77777777" w:rsidR="009478ED" w:rsidRPr="007F37A0" w:rsidRDefault="009478ED" w:rsidP="009478ED">
      <w:pPr>
        <w:spacing w:line="480" w:lineRule="auto"/>
        <w:ind w:left="720"/>
        <w:rPr>
          <w:rFonts w:ascii="Times New Roman" w:hAnsi="Times New Roman" w:cs="Times New Roman"/>
        </w:rPr>
      </w:pPr>
      <w:r w:rsidRPr="007F37A0">
        <w:rPr>
          <w:rFonts w:ascii="Times New Roman" w:hAnsi="Times New Roman" w:cs="Times New Roman"/>
        </w:rPr>
        <w:t>catalytic reduction. In Mussatti, D. C. (Eds.), </w:t>
      </w:r>
      <w:r w:rsidRPr="007F37A0">
        <w:rPr>
          <w:rFonts w:ascii="Times New Roman" w:hAnsi="Times New Roman" w:cs="Times New Roman"/>
          <w:i/>
          <w:iCs/>
        </w:rPr>
        <w:t>EPA air pollution control cost manual</w:t>
      </w:r>
      <w:r w:rsidRPr="007F37A0">
        <w:rPr>
          <w:rFonts w:ascii="Times New Roman" w:hAnsi="Times New Roman" w:cs="Times New Roman"/>
        </w:rPr>
        <w:t>. United States Environmental Protection Agency.</w:t>
      </w:r>
    </w:p>
    <w:p w14:paraId="0987D332"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Sorrels, J. L., Randall, D. D., Fry, C. R., &amp; Schaffner, K. S. (2019b). Selective </w:t>
      </w:r>
    </w:p>
    <w:p w14:paraId="21A56C4F" w14:textId="787AC7ED" w:rsidR="009478ED" w:rsidRPr="007F37A0" w:rsidRDefault="009478ED" w:rsidP="005E07C7">
      <w:pPr>
        <w:spacing w:line="480" w:lineRule="auto"/>
        <w:ind w:left="720"/>
        <w:rPr>
          <w:rFonts w:ascii="Times New Roman" w:hAnsi="Times New Roman" w:cs="Times New Roman"/>
        </w:rPr>
      </w:pPr>
      <w:r w:rsidRPr="007F37A0">
        <w:rPr>
          <w:rFonts w:ascii="Times New Roman" w:hAnsi="Times New Roman" w:cs="Times New Roman"/>
        </w:rPr>
        <w:t>noncatalytic reduction. In Mussatti, D. C. (Eds.), </w:t>
      </w:r>
      <w:r w:rsidRPr="007F37A0">
        <w:rPr>
          <w:rFonts w:ascii="Times New Roman" w:hAnsi="Times New Roman" w:cs="Times New Roman"/>
          <w:i/>
          <w:iCs/>
        </w:rPr>
        <w:t>EPA air pollution control cost manual</w:t>
      </w:r>
      <w:r w:rsidRPr="007F37A0">
        <w:rPr>
          <w:rFonts w:ascii="Times New Roman" w:hAnsi="Times New Roman" w:cs="Times New Roman"/>
        </w:rPr>
        <w:t>. United States Environmental Protection Agency.</w:t>
      </w:r>
    </w:p>
    <w:p w14:paraId="6238E951"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Sorrels, J. L., Baynham, A., Randall, D. D., &amp; Laxton, R. (2021). Wet and dry </w:t>
      </w:r>
    </w:p>
    <w:p w14:paraId="3C5BA15E" w14:textId="77777777" w:rsidR="009478ED" w:rsidRPr="007F37A0" w:rsidRDefault="009478ED" w:rsidP="009478ED">
      <w:pPr>
        <w:spacing w:line="480" w:lineRule="auto"/>
        <w:ind w:left="720"/>
        <w:rPr>
          <w:rFonts w:ascii="Times New Roman" w:hAnsi="Times New Roman" w:cs="Times New Roman"/>
        </w:rPr>
      </w:pPr>
      <w:r w:rsidRPr="007F37A0">
        <w:rPr>
          <w:rFonts w:ascii="Times New Roman" w:hAnsi="Times New Roman" w:cs="Times New Roman"/>
        </w:rPr>
        <w:t>scrubbers for acid gas control. In Mussatti, D. C. (Eds.), </w:t>
      </w:r>
      <w:r w:rsidRPr="007F37A0">
        <w:rPr>
          <w:rFonts w:ascii="Times New Roman" w:hAnsi="Times New Roman" w:cs="Times New Roman"/>
          <w:i/>
          <w:iCs/>
        </w:rPr>
        <w:t>EPA air pollution control cost manual</w:t>
      </w:r>
      <w:r w:rsidRPr="007F37A0">
        <w:rPr>
          <w:rFonts w:ascii="Times New Roman" w:hAnsi="Times New Roman" w:cs="Times New Roman"/>
        </w:rPr>
        <w:t>. United States Environmental Protection Agency.</w:t>
      </w:r>
    </w:p>
    <w:p w14:paraId="224A5DEE" w14:textId="77777777" w:rsidR="009478ED" w:rsidRPr="007F37A0" w:rsidRDefault="009478ED" w:rsidP="009478ED">
      <w:pPr>
        <w:spacing w:line="480" w:lineRule="auto"/>
        <w:rPr>
          <w:rFonts w:ascii="Times New Roman" w:hAnsi="Times New Roman" w:cs="Times New Roman"/>
        </w:rPr>
      </w:pPr>
      <w:r w:rsidRPr="007F37A0">
        <w:rPr>
          <w:rFonts w:ascii="Times New Roman" w:hAnsi="Times New Roman" w:cs="Times New Roman"/>
        </w:rPr>
        <w:t xml:space="preserve">US Energy Information Administration. (2023). Form EIA-860 Data [Data set]. </w:t>
      </w:r>
    </w:p>
    <w:p w14:paraId="1A023194" w14:textId="3DCEA8DB" w:rsidR="009478ED" w:rsidRPr="007F37A0" w:rsidRDefault="00000000" w:rsidP="009478ED">
      <w:pPr>
        <w:spacing w:line="480" w:lineRule="auto"/>
        <w:ind w:firstLine="720"/>
        <w:rPr>
          <w:rStyle w:val="Hyperlink"/>
          <w:rFonts w:ascii="Times New Roman" w:hAnsi="Times New Roman" w:cs="Times New Roman"/>
        </w:rPr>
      </w:pPr>
      <w:hyperlink r:id="rId21" w:history="1">
        <w:r w:rsidR="009478ED" w:rsidRPr="007F37A0">
          <w:rPr>
            <w:rStyle w:val="Hyperlink"/>
            <w:rFonts w:ascii="Times New Roman" w:hAnsi="Times New Roman" w:cs="Times New Roman"/>
          </w:rPr>
          <w:t>https://www.eia.gov/electricity/data/eia860/</w:t>
        </w:r>
      </w:hyperlink>
    </w:p>
    <w:p w14:paraId="6134C47E" w14:textId="77777777" w:rsidR="009478ED" w:rsidRPr="007F37A0" w:rsidRDefault="009478ED" w:rsidP="009478ED">
      <w:pPr>
        <w:pStyle w:val="Heading2"/>
        <w:rPr>
          <w:rFonts w:ascii="Times New Roman" w:hAnsi="Times New Roman" w:cs="Times New Roman"/>
        </w:rPr>
      </w:pPr>
      <w:r w:rsidRPr="007F37A0">
        <w:rPr>
          <w:rFonts w:ascii="Times New Roman" w:hAnsi="Times New Roman" w:cs="Times New Roman"/>
          <w:sz w:val="24"/>
          <w:szCs w:val="24"/>
        </w:rPr>
        <w:br w:type="page"/>
      </w:r>
      <w:bookmarkStart w:id="141" w:name="_Toc160879133"/>
      <w:bookmarkStart w:id="142" w:name="_Toc164862534"/>
      <w:r w:rsidRPr="007F37A0">
        <w:rPr>
          <w:rFonts w:ascii="Times New Roman" w:hAnsi="Times New Roman" w:cs="Times New Roman"/>
        </w:rPr>
        <w:lastRenderedPageBreak/>
        <w:t>APPENDIX</w:t>
      </w:r>
      <w:bookmarkEnd w:id="141"/>
      <w:bookmarkEnd w:id="142"/>
    </w:p>
    <w:p w14:paraId="40630BC9" w14:textId="77777777" w:rsidR="009478ED" w:rsidRPr="007F37A0" w:rsidRDefault="009478ED" w:rsidP="009478ED">
      <w:pPr>
        <w:rPr>
          <w:rFonts w:ascii="Times New Roman" w:hAnsi="Times New Roman" w:cs="Times New Roman"/>
        </w:rPr>
      </w:pPr>
    </w:p>
    <w:p w14:paraId="32C7FB15" w14:textId="560524CA" w:rsidR="009478ED" w:rsidRPr="007F37A0" w:rsidRDefault="009478ED" w:rsidP="007F37A0">
      <w:pPr>
        <w:pStyle w:val="Caption"/>
        <w:rPr>
          <w:rFonts w:cs="Times New Roman"/>
        </w:rPr>
      </w:pPr>
      <w:bookmarkStart w:id="143" w:name="_Ref160785178"/>
      <w:bookmarkStart w:id="144" w:name="_Toc160879135"/>
      <w:bookmarkStart w:id="145" w:name="_Toc164862550"/>
      <w:r w:rsidRPr="007F37A0">
        <w:rPr>
          <w:rFonts w:cs="Times New Roman"/>
        </w:rPr>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15</w:t>
      </w:r>
      <w:r w:rsidRPr="007F37A0">
        <w:rPr>
          <w:rFonts w:cs="Times New Roman"/>
          <w:noProof/>
        </w:rPr>
        <w:fldChar w:fldCharType="end"/>
      </w:r>
      <w:bookmarkEnd w:id="143"/>
      <w:r w:rsidRPr="007F37A0">
        <w:rPr>
          <w:rFonts w:cs="Times New Roman"/>
        </w:rPr>
        <w:t>: Descriptive Statistics for Binary Boiler Attributes</w:t>
      </w:r>
      <w:bookmarkEnd w:id="144"/>
      <w:bookmarkEnd w:id="145"/>
    </w:p>
    <w:tbl>
      <w:tblPr>
        <w:tblW w:w="9330" w:type="dxa"/>
        <w:jc w:val="center"/>
        <w:tblLook w:val="04A0" w:firstRow="1" w:lastRow="0" w:firstColumn="1" w:lastColumn="0" w:noHBand="0" w:noVBand="1"/>
      </w:tblPr>
      <w:tblGrid>
        <w:gridCol w:w="2610"/>
        <w:gridCol w:w="4614"/>
        <w:gridCol w:w="863"/>
        <w:gridCol w:w="1243"/>
      </w:tblGrid>
      <w:tr w:rsidR="009478ED" w:rsidRPr="007F37A0" w14:paraId="15CB5DE9" w14:textId="77777777" w:rsidTr="00735871">
        <w:trPr>
          <w:trHeight w:val="276"/>
          <w:jc w:val="center"/>
        </w:trPr>
        <w:tc>
          <w:tcPr>
            <w:tcW w:w="9330" w:type="dxa"/>
            <w:gridSpan w:val="4"/>
            <w:tcBorders>
              <w:left w:val="nil"/>
              <w:bottom w:val="single" w:sz="4" w:space="0" w:color="000000"/>
              <w:right w:val="nil"/>
            </w:tcBorders>
            <w:shd w:val="clear" w:color="auto" w:fill="auto"/>
            <w:noWrap/>
            <w:vAlign w:val="bottom"/>
          </w:tcPr>
          <w:p w14:paraId="3CF81F09" w14:textId="77777777" w:rsidR="009478ED" w:rsidRPr="007F37A0" w:rsidRDefault="009478ED" w:rsidP="00735871">
            <w:pPr>
              <w:rPr>
                <w:rFonts w:ascii="Times New Roman" w:hAnsi="Times New Roman" w:cs="Times New Roman"/>
              </w:rPr>
            </w:pPr>
            <w:bookmarkStart w:id="146" w:name="_Hlk161928090"/>
          </w:p>
        </w:tc>
      </w:tr>
      <w:tr w:rsidR="009478ED" w:rsidRPr="007F37A0" w14:paraId="7F767225" w14:textId="77777777" w:rsidTr="00735871">
        <w:trPr>
          <w:trHeight w:val="276"/>
          <w:jc w:val="center"/>
        </w:trPr>
        <w:tc>
          <w:tcPr>
            <w:tcW w:w="2610" w:type="dxa"/>
            <w:tcBorders>
              <w:top w:val="single" w:sz="4" w:space="0" w:color="000000"/>
              <w:left w:val="nil"/>
              <w:right w:val="nil"/>
            </w:tcBorders>
            <w:shd w:val="clear" w:color="auto" w:fill="auto"/>
            <w:noWrap/>
            <w:vAlign w:val="bottom"/>
            <w:hideMark/>
          </w:tcPr>
          <w:p w14:paraId="35DE6B9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4614" w:type="dxa"/>
            <w:tcBorders>
              <w:top w:val="single" w:sz="4" w:space="0" w:color="000000"/>
              <w:left w:val="nil"/>
              <w:right w:val="nil"/>
            </w:tcBorders>
          </w:tcPr>
          <w:p w14:paraId="30D35A2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863" w:type="dxa"/>
            <w:tcBorders>
              <w:top w:val="single" w:sz="4" w:space="0" w:color="000000"/>
              <w:left w:val="nil"/>
              <w:right w:val="nil"/>
            </w:tcBorders>
            <w:shd w:val="clear" w:color="auto" w:fill="auto"/>
            <w:noWrap/>
            <w:vAlign w:val="bottom"/>
            <w:hideMark/>
          </w:tcPr>
          <w:p w14:paraId="373738A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243" w:type="dxa"/>
            <w:tcBorders>
              <w:top w:val="single" w:sz="4" w:space="0" w:color="000000"/>
              <w:left w:val="nil"/>
              <w:right w:val="nil"/>
            </w:tcBorders>
            <w:shd w:val="clear" w:color="auto" w:fill="auto"/>
            <w:noWrap/>
            <w:vAlign w:val="bottom"/>
            <w:hideMark/>
          </w:tcPr>
          <w:p w14:paraId="5C85435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r>
      <w:tr w:rsidR="009478ED" w:rsidRPr="007F37A0" w14:paraId="34BCDEDD" w14:textId="77777777" w:rsidTr="00735871">
        <w:trPr>
          <w:trHeight w:val="276"/>
          <w:jc w:val="center"/>
        </w:trPr>
        <w:tc>
          <w:tcPr>
            <w:tcW w:w="2610" w:type="dxa"/>
            <w:tcBorders>
              <w:bottom w:val="single" w:sz="4" w:space="0" w:color="auto"/>
            </w:tcBorders>
            <w:shd w:val="clear" w:color="auto" w:fill="auto"/>
            <w:noWrap/>
            <w:vAlign w:val="bottom"/>
            <w:hideMark/>
          </w:tcPr>
          <w:p w14:paraId="7E05DF1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Variable</w:t>
            </w:r>
          </w:p>
        </w:tc>
        <w:tc>
          <w:tcPr>
            <w:tcW w:w="4614" w:type="dxa"/>
            <w:tcBorders>
              <w:bottom w:val="single" w:sz="4" w:space="0" w:color="auto"/>
            </w:tcBorders>
          </w:tcPr>
          <w:p w14:paraId="424C53B1" w14:textId="77777777" w:rsidR="009478ED" w:rsidRPr="007F37A0" w:rsidRDefault="009478ED" w:rsidP="00735871">
            <w:pPr>
              <w:jc w:val="center"/>
              <w:rPr>
                <w:rFonts w:ascii="Times New Roman" w:hAnsi="Times New Roman" w:cs="Times New Roman"/>
              </w:rPr>
            </w:pPr>
          </w:p>
          <w:p w14:paraId="05337B2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Description</w:t>
            </w:r>
          </w:p>
        </w:tc>
        <w:tc>
          <w:tcPr>
            <w:tcW w:w="863" w:type="dxa"/>
            <w:tcBorders>
              <w:bottom w:val="single" w:sz="4" w:space="0" w:color="auto"/>
            </w:tcBorders>
            <w:shd w:val="clear" w:color="auto" w:fill="auto"/>
            <w:noWrap/>
            <w:vAlign w:val="bottom"/>
            <w:hideMark/>
          </w:tcPr>
          <w:p w14:paraId="2308567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Count</w:t>
            </w:r>
          </w:p>
        </w:tc>
        <w:tc>
          <w:tcPr>
            <w:tcW w:w="1243" w:type="dxa"/>
            <w:tcBorders>
              <w:bottom w:val="single" w:sz="4" w:space="0" w:color="auto"/>
            </w:tcBorders>
            <w:shd w:val="clear" w:color="auto" w:fill="auto"/>
            <w:noWrap/>
            <w:vAlign w:val="bottom"/>
            <w:hideMark/>
          </w:tcPr>
          <w:p w14:paraId="11E90DA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Proportion of Total</w:t>
            </w:r>
          </w:p>
        </w:tc>
      </w:tr>
      <w:tr w:rsidR="009478ED" w:rsidRPr="007F37A0" w14:paraId="4AED8269" w14:textId="77777777" w:rsidTr="00735871">
        <w:trPr>
          <w:trHeight w:val="276"/>
          <w:jc w:val="center"/>
        </w:trPr>
        <w:tc>
          <w:tcPr>
            <w:tcW w:w="2610" w:type="dxa"/>
            <w:tcBorders>
              <w:top w:val="single" w:sz="4" w:space="0" w:color="auto"/>
            </w:tcBorders>
            <w:shd w:val="clear" w:color="auto" w:fill="auto"/>
            <w:noWrap/>
            <w:vAlign w:val="bottom"/>
            <w:hideMark/>
          </w:tcPr>
          <w:p w14:paraId="4CBE840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4614" w:type="dxa"/>
            <w:tcBorders>
              <w:top w:val="single" w:sz="4" w:space="0" w:color="auto"/>
            </w:tcBorders>
          </w:tcPr>
          <w:p w14:paraId="43DCB04D" w14:textId="77777777" w:rsidR="009478ED" w:rsidRPr="007F37A0" w:rsidRDefault="009478ED" w:rsidP="00735871">
            <w:pPr>
              <w:jc w:val="center"/>
              <w:rPr>
                <w:rFonts w:ascii="Times New Roman" w:hAnsi="Times New Roman" w:cs="Times New Roman"/>
              </w:rPr>
            </w:pPr>
          </w:p>
        </w:tc>
        <w:tc>
          <w:tcPr>
            <w:tcW w:w="863" w:type="dxa"/>
            <w:tcBorders>
              <w:top w:val="single" w:sz="4" w:space="0" w:color="auto"/>
            </w:tcBorders>
            <w:shd w:val="clear" w:color="auto" w:fill="auto"/>
            <w:noWrap/>
            <w:vAlign w:val="bottom"/>
            <w:hideMark/>
          </w:tcPr>
          <w:p w14:paraId="0464620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243" w:type="dxa"/>
            <w:tcBorders>
              <w:top w:val="single" w:sz="4" w:space="0" w:color="auto"/>
            </w:tcBorders>
            <w:shd w:val="clear" w:color="auto" w:fill="auto"/>
            <w:noWrap/>
            <w:vAlign w:val="bottom"/>
            <w:hideMark/>
          </w:tcPr>
          <w:p w14:paraId="1A124BA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19AA94DC" w14:textId="77777777" w:rsidTr="00735871">
        <w:trPr>
          <w:trHeight w:val="276"/>
          <w:jc w:val="center"/>
        </w:trPr>
        <w:tc>
          <w:tcPr>
            <w:tcW w:w="2610" w:type="dxa"/>
            <w:shd w:val="clear" w:color="auto" w:fill="auto"/>
            <w:noWrap/>
            <w:hideMark/>
          </w:tcPr>
          <w:p w14:paraId="14B0E531"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Boilers</w:t>
            </w:r>
          </w:p>
        </w:tc>
        <w:tc>
          <w:tcPr>
            <w:tcW w:w="4614" w:type="dxa"/>
          </w:tcPr>
          <w:p w14:paraId="6155439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Number of boilers</w:t>
            </w:r>
          </w:p>
        </w:tc>
        <w:tc>
          <w:tcPr>
            <w:tcW w:w="863" w:type="dxa"/>
            <w:shd w:val="clear" w:color="auto" w:fill="auto"/>
            <w:noWrap/>
            <w:hideMark/>
          </w:tcPr>
          <w:p w14:paraId="1F0FF4CB"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4731</w:t>
            </w:r>
          </w:p>
        </w:tc>
        <w:tc>
          <w:tcPr>
            <w:tcW w:w="1243" w:type="dxa"/>
            <w:shd w:val="clear" w:color="auto" w:fill="auto"/>
            <w:noWrap/>
            <w:hideMark/>
          </w:tcPr>
          <w:p w14:paraId="422ED4E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r>
      <w:tr w:rsidR="009478ED" w:rsidRPr="007F37A0" w14:paraId="70C08D69" w14:textId="77777777" w:rsidTr="00735871">
        <w:trPr>
          <w:trHeight w:val="276"/>
          <w:jc w:val="center"/>
        </w:trPr>
        <w:tc>
          <w:tcPr>
            <w:tcW w:w="2610" w:type="dxa"/>
            <w:shd w:val="clear" w:color="auto" w:fill="auto"/>
            <w:noWrap/>
            <w:hideMark/>
          </w:tcPr>
          <w:p w14:paraId="401D87D3"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Retirement</w:t>
            </w:r>
          </w:p>
        </w:tc>
        <w:tc>
          <w:tcPr>
            <w:tcW w:w="4614" w:type="dxa"/>
          </w:tcPr>
          <w:p w14:paraId="47F0839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retired during 2009-2022</w:t>
            </w:r>
          </w:p>
        </w:tc>
        <w:tc>
          <w:tcPr>
            <w:tcW w:w="863" w:type="dxa"/>
            <w:shd w:val="clear" w:color="auto" w:fill="auto"/>
            <w:noWrap/>
            <w:hideMark/>
          </w:tcPr>
          <w:p w14:paraId="70F42A5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1169</w:t>
            </w:r>
          </w:p>
        </w:tc>
        <w:tc>
          <w:tcPr>
            <w:tcW w:w="1243" w:type="dxa"/>
            <w:shd w:val="clear" w:color="auto" w:fill="auto"/>
            <w:noWrap/>
            <w:hideMark/>
          </w:tcPr>
          <w:p w14:paraId="62083AB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0.247</w:t>
            </w:r>
          </w:p>
        </w:tc>
      </w:tr>
      <w:tr w:rsidR="009478ED" w:rsidRPr="007F37A0" w14:paraId="43CFD2AF" w14:textId="77777777" w:rsidTr="00735871">
        <w:trPr>
          <w:trHeight w:val="276"/>
          <w:jc w:val="center"/>
        </w:trPr>
        <w:tc>
          <w:tcPr>
            <w:tcW w:w="2610" w:type="dxa"/>
            <w:shd w:val="clear" w:color="auto" w:fill="auto"/>
            <w:noWrap/>
            <w:hideMark/>
          </w:tcPr>
          <w:p w14:paraId="25FDF1AD"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New SO</w:t>
            </w:r>
            <w:r w:rsidRPr="007F37A0">
              <w:rPr>
                <w:rFonts w:ascii="Times New Roman" w:hAnsi="Times New Roman" w:cs="Times New Roman"/>
                <w:vertAlign w:val="subscript"/>
              </w:rPr>
              <w:t>2</w:t>
            </w:r>
            <w:r w:rsidRPr="007F37A0">
              <w:rPr>
                <w:rFonts w:ascii="Times New Roman" w:hAnsi="Times New Roman" w:cs="Times New Roman"/>
              </w:rPr>
              <w:t xml:space="preserve"> Control Technology</w:t>
            </w:r>
          </w:p>
        </w:tc>
        <w:tc>
          <w:tcPr>
            <w:tcW w:w="4614" w:type="dxa"/>
          </w:tcPr>
          <w:p w14:paraId="1A2D4F7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installs new control technology for SO</w:t>
            </w:r>
            <w:r w:rsidRPr="007F37A0">
              <w:rPr>
                <w:rFonts w:ascii="Times New Roman" w:hAnsi="Times New Roman" w:cs="Times New Roman"/>
                <w:vertAlign w:val="subscript"/>
              </w:rPr>
              <w:t>2</w:t>
            </w:r>
            <w:r w:rsidRPr="007F37A0">
              <w:rPr>
                <w:rFonts w:ascii="Times New Roman" w:hAnsi="Times New Roman" w:cs="Times New Roman"/>
              </w:rPr>
              <w:t xml:space="preserve"> emissions</w:t>
            </w:r>
          </w:p>
        </w:tc>
        <w:tc>
          <w:tcPr>
            <w:tcW w:w="863" w:type="dxa"/>
            <w:shd w:val="clear" w:color="auto" w:fill="auto"/>
            <w:noWrap/>
            <w:hideMark/>
          </w:tcPr>
          <w:p w14:paraId="574F5FD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200</w:t>
            </w:r>
          </w:p>
        </w:tc>
        <w:tc>
          <w:tcPr>
            <w:tcW w:w="1243" w:type="dxa"/>
            <w:shd w:val="clear" w:color="auto" w:fill="auto"/>
            <w:noWrap/>
            <w:hideMark/>
          </w:tcPr>
          <w:p w14:paraId="1B1D083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0.042</w:t>
            </w:r>
          </w:p>
        </w:tc>
      </w:tr>
      <w:tr w:rsidR="009478ED" w:rsidRPr="007F37A0" w14:paraId="3706A16F" w14:textId="77777777" w:rsidTr="00735871">
        <w:trPr>
          <w:trHeight w:val="276"/>
          <w:jc w:val="center"/>
        </w:trPr>
        <w:tc>
          <w:tcPr>
            <w:tcW w:w="2610" w:type="dxa"/>
            <w:tcBorders>
              <w:left w:val="nil"/>
              <w:bottom w:val="nil"/>
              <w:right w:val="nil"/>
            </w:tcBorders>
            <w:shd w:val="clear" w:color="auto" w:fill="auto"/>
            <w:noWrap/>
            <w:hideMark/>
          </w:tcPr>
          <w:p w14:paraId="16D254B9"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New NO</w:t>
            </w:r>
            <w:r w:rsidRPr="007F37A0">
              <w:rPr>
                <w:rFonts w:ascii="Times New Roman" w:hAnsi="Times New Roman" w:cs="Times New Roman"/>
                <w:vertAlign w:val="subscript"/>
              </w:rPr>
              <w:t>x</w:t>
            </w:r>
            <w:r w:rsidRPr="007F37A0">
              <w:rPr>
                <w:rFonts w:ascii="Times New Roman" w:hAnsi="Times New Roman" w:cs="Times New Roman"/>
              </w:rPr>
              <w:t xml:space="preserve"> Control Technology</w:t>
            </w:r>
          </w:p>
        </w:tc>
        <w:tc>
          <w:tcPr>
            <w:tcW w:w="4614" w:type="dxa"/>
            <w:tcBorders>
              <w:left w:val="nil"/>
              <w:bottom w:val="nil"/>
              <w:right w:val="nil"/>
            </w:tcBorders>
          </w:tcPr>
          <w:p w14:paraId="1E090C2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installs new control technology for NO</w:t>
            </w:r>
            <w:r w:rsidRPr="007F37A0">
              <w:rPr>
                <w:rFonts w:ascii="Times New Roman" w:hAnsi="Times New Roman" w:cs="Times New Roman"/>
                <w:vertAlign w:val="subscript"/>
              </w:rPr>
              <w:t>x</w:t>
            </w:r>
            <w:r w:rsidRPr="007F37A0">
              <w:rPr>
                <w:rFonts w:ascii="Times New Roman" w:hAnsi="Times New Roman" w:cs="Times New Roman"/>
              </w:rPr>
              <w:t xml:space="preserve"> emissions</w:t>
            </w:r>
          </w:p>
        </w:tc>
        <w:tc>
          <w:tcPr>
            <w:tcW w:w="863" w:type="dxa"/>
            <w:tcBorders>
              <w:left w:val="nil"/>
              <w:bottom w:val="nil"/>
              <w:right w:val="nil"/>
            </w:tcBorders>
            <w:shd w:val="clear" w:color="auto" w:fill="auto"/>
            <w:noWrap/>
            <w:hideMark/>
          </w:tcPr>
          <w:p w14:paraId="5C252BC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250</w:t>
            </w:r>
          </w:p>
        </w:tc>
        <w:tc>
          <w:tcPr>
            <w:tcW w:w="1243" w:type="dxa"/>
            <w:tcBorders>
              <w:left w:val="nil"/>
              <w:bottom w:val="nil"/>
              <w:right w:val="nil"/>
            </w:tcBorders>
            <w:shd w:val="clear" w:color="auto" w:fill="auto"/>
            <w:noWrap/>
            <w:hideMark/>
          </w:tcPr>
          <w:p w14:paraId="190D872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0.053</w:t>
            </w:r>
          </w:p>
        </w:tc>
      </w:tr>
      <w:tr w:rsidR="009478ED" w:rsidRPr="007F37A0" w14:paraId="27C23A4A" w14:textId="77777777" w:rsidTr="00735871">
        <w:trPr>
          <w:trHeight w:val="276"/>
          <w:jc w:val="center"/>
        </w:trPr>
        <w:tc>
          <w:tcPr>
            <w:tcW w:w="2610" w:type="dxa"/>
            <w:tcBorders>
              <w:top w:val="nil"/>
              <w:left w:val="nil"/>
              <w:bottom w:val="nil"/>
              <w:right w:val="nil"/>
            </w:tcBorders>
            <w:shd w:val="clear" w:color="auto" w:fill="auto"/>
            <w:noWrap/>
            <w:hideMark/>
          </w:tcPr>
          <w:p w14:paraId="146BF6FE"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Treatment</w:t>
            </w:r>
          </w:p>
        </w:tc>
        <w:tc>
          <w:tcPr>
            <w:tcW w:w="4614" w:type="dxa"/>
            <w:tcBorders>
              <w:top w:val="nil"/>
              <w:left w:val="nil"/>
              <w:bottom w:val="nil"/>
              <w:right w:val="nil"/>
            </w:tcBorders>
          </w:tcPr>
          <w:p w14:paraId="0CEF35A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is ever treated under CAIR or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w:t>
            </w:r>
          </w:p>
        </w:tc>
        <w:tc>
          <w:tcPr>
            <w:tcW w:w="863" w:type="dxa"/>
            <w:tcBorders>
              <w:top w:val="nil"/>
              <w:left w:val="nil"/>
              <w:bottom w:val="nil"/>
              <w:right w:val="nil"/>
            </w:tcBorders>
            <w:shd w:val="clear" w:color="auto" w:fill="auto"/>
            <w:noWrap/>
            <w:hideMark/>
          </w:tcPr>
          <w:p w14:paraId="4FEB320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3462</w:t>
            </w:r>
          </w:p>
        </w:tc>
        <w:tc>
          <w:tcPr>
            <w:tcW w:w="1243" w:type="dxa"/>
            <w:tcBorders>
              <w:top w:val="nil"/>
              <w:left w:val="nil"/>
              <w:bottom w:val="nil"/>
              <w:right w:val="nil"/>
            </w:tcBorders>
            <w:shd w:val="clear" w:color="auto" w:fill="auto"/>
            <w:noWrap/>
            <w:hideMark/>
          </w:tcPr>
          <w:p w14:paraId="0CEAD38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0.732</w:t>
            </w:r>
          </w:p>
        </w:tc>
      </w:tr>
      <w:tr w:rsidR="009478ED" w:rsidRPr="007F37A0" w14:paraId="212FC466" w14:textId="77777777" w:rsidTr="00735871">
        <w:trPr>
          <w:trHeight w:val="276"/>
          <w:jc w:val="center"/>
        </w:trPr>
        <w:tc>
          <w:tcPr>
            <w:tcW w:w="2610" w:type="dxa"/>
            <w:tcBorders>
              <w:top w:val="nil"/>
              <w:left w:val="nil"/>
              <w:bottom w:val="nil"/>
              <w:right w:val="nil"/>
            </w:tcBorders>
            <w:shd w:val="clear" w:color="auto" w:fill="auto"/>
            <w:noWrap/>
            <w:hideMark/>
          </w:tcPr>
          <w:p w14:paraId="6142E499"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CAIR Treatment</w:t>
            </w:r>
          </w:p>
        </w:tc>
        <w:tc>
          <w:tcPr>
            <w:tcW w:w="4614" w:type="dxa"/>
            <w:tcBorders>
              <w:top w:val="nil"/>
              <w:left w:val="nil"/>
              <w:bottom w:val="nil"/>
              <w:right w:val="nil"/>
            </w:tcBorders>
          </w:tcPr>
          <w:p w14:paraId="5E48B8D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is ever treated under CAIR but not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w:t>
            </w:r>
          </w:p>
        </w:tc>
        <w:tc>
          <w:tcPr>
            <w:tcW w:w="863" w:type="dxa"/>
            <w:tcBorders>
              <w:top w:val="nil"/>
              <w:left w:val="nil"/>
              <w:bottom w:val="nil"/>
              <w:right w:val="nil"/>
            </w:tcBorders>
            <w:shd w:val="clear" w:color="auto" w:fill="auto"/>
            <w:noWrap/>
            <w:hideMark/>
          </w:tcPr>
          <w:p w14:paraId="26E8FD1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965</w:t>
            </w:r>
          </w:p>
        </w:tc>
        <w:tc>
          <w:tcPr>
            <w:tcW w:w="1243" w:type="dxa"/>
            <w:tcBorders>
              <w:top w:val="nil"/>
              <w:left w:val="nil"/>
              <w:bottom w:val="nil"/>
              <w:right w:val="nil"/>
            </w:tcBorders>
            <w:shd w:val="clear" w:color="auto" w:fill="auto"/>
            <w:noWrap/>
            <w:hideMark/>
          </w:tcPr>
          <w:p w14:paraId="5341DFB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0.204</w:t>
            </w:r>
          </w:p>
        </w:tc>
      </w:tr>
      <w:tr w:rsidR="009478ED" w:rsidRPr="007F37A0" w14:paraId="000069E6" w14:textId="77777777" w:rsidTr="00735871">
        <w:trPr>
          <w:trHeight w:val="276"/>
          <w:jc w:val="center"/>
        </w:trPr>
        <w:tc>
          <w:tcPr>
            <w:tcW w:w="2610" w:type="dxa"/>
            <w:tcBorders>
              <w:top w:val="nil"/>
              <w:left w:val="nil"/>
              <w:bottom w:val="nil"/>
              <w:right w:val="nil"/>
            </w:tcBorders>
            <w:shd w:val="clear" w:color="auto" w:fill="auto"/>
            <w:noWrap/>
            <w:hideMark/>
          </w:tcPr>
          <w:p w14:paraId="408E45E3"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CSAPR Treatment</w:t>
            </w:r>
          </w:p>
        </w:tc>
        <w:tc>
          <w:tcPr>
            <w:tcW w:w="4614" w:type="dxa"/>
            <w:tcBorders>
              <w:top w:val="nil"/>
              <w:left w:val="nil"/>
              <w:bottom w:val="nil"/>
              <w:right w:val="nil"/>
            </w:tcBorders>
          </w:tcPr>
          <w:p w14:paraId="2D1BDE3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is ever treated under CSAPR but not CAIR for SO</w:t>
            </w:r>
            <w:r w:rsidRPr="007F37A0">
              <w:rPr>
                <w:rFonts w:ascii="Times New Roman" w:hAnsi="Times New Roman" w:cs="Times New Roman"/>
                <w:vertAlign w:val="subscript"/>
              </w:rPr>
              <w:t>2</w:t>
            </w:r>
            <w:r w:rsidRPr="007F37A0">
              <w:rPr>
                <w:rFonts w:ascii="Times New Roman" w:hAnsi="Times New Roman" w:cs="Times New Roman"/>
              </w:rPr>
              <w:t xml:space="preserve"> emissions</w:t>
            </w:r>
          </w:p>
        </w:tc>
        <w:tc>
          <w:tcPr>
            <w:tcW w:w="863" w:type="dxa"/>
            <w:tcBorders>
              <w:top w:val="nil"/>
              <w:left w:val="nil"/>
              <w:bottom w:val="nil"/>
              <w:right w:val="nil"/>
            </w:tcBorders>
            <w:shd w:val="clear" w:color="auto" w:fill="auto"/>
            <w:noWrap/>
            <w:hideMark/>
          </w:tcPr>
          <w:p w14:paraId="2128F27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147</w:t>
            </w:r>
          </w:p>
        </w:tc>
        <w:tc>
          <w:tcPr>
            <w:tcW w:w="1243" w:type="dxa"/>
            <w:tcBorders>
              <w:top w:val="nil"/>
              <w:left w:val="nil"/>
              <w:bottom w:val="nil"/>
              <w:right w:val="nil"/>
            </w:tcBorders>
            <w:shd w:val="clear" w:color="auto" w:fill="auto"/>
            <w:noWrap/>
            <w:hideMark/>
          </w:tcPr>
          <w:p w14:paraId="3AEBB80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0.031</w:t>
            </w:r>
          </w:p>
        </w:tc>
      </w:tr>
      <w:tr w:rsidR="009478ED" w:rsidRPr="007F37A0" w14:paraId="12838676" w14:textId="77777777" w:rsidTr="00735871">
        <w:trPr>
          <w:trHeight w:val="276"/>
          <w:jc w:val="center"/>
        </w:trPr>
        <w:tc>
          <w:tcPr>
            <w:tcW w:w="2610" w:type="dxa"/>
            <w:tcBorders>
              <w:top w:val="nil"/>
              <w:left w:val="nil"/>
              <w:bottom w:val="nil"/>
              <w:right w:val="nil"/>
            </w:tcBorders>
            <w:shd w:val="clear" w:color="auto" w:fill="auto"/>
            <w:noWrap/>
            <w:hideMark/>
          </w:tcPr>
          <w:p w14:paraId="2AEB3F40"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CAIR and CSAPR Treatment</w:t>
            </w:r>
          </w:p>
        </w:tc>
        <w:tc>
          <w:tcPr>
            <w:tcW w:w="4614" w:type="dxa"/>
            <w:tcBorders>
              <w:top w:val="nil"/>
              <w:left w:val="nil"/>
              <w:bottom w:val="nil"/>
              <w:right w:val="nil"/>
            </w:tcBorders>
          </w:tcPr>
          <w:p w14:paraId="1DE6318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is treated under CAIR and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w:t>
            </w:r>
          </w:p>
        </w:tc>
        <w:tc>
          <w:tcPr>
            <w:tcW w:w="863" w:type="dxa"/>
            <w:tcBorders>
              <w:top w:val="nil"/>
              <w:left w:val="nil"/>
              <w:bottom w:val="nil"/>
              <w:right w:val="nil"/>
            </w:tcBorders>
            <w:shd w:val="clear" w:color="auto" w:fill="auto"/>
            <w:noWrap/>
            <w:hideMark/>
          </w:tcPr>
          <w:p w14:paraId="2307B16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2350</w:t>
            </w:r>
          </w:p>
        </w:tc>
        <w:tc>
          <w:tcPr>
            <w:tcW w:w="1243" w:type="dxa"/>
            <w:tcBorders>
              <w:top w:val="nil"/>
              <w:left w:val="nil"/>
              <w:bottom w:val="nil"/>
              <w:right w:val="nil"/>
            </w:tcBorders>
            <w:shd w:val="clear" w:color="auto" w:fill="auto"/>
            <w:noWrap/>
            <w:hideMark/>
          </w:tcPr>
          <w:p w14:paraId="792EC68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0.497</w:t>
            </w:r>
          </w:p>
        </w:tc>
      </w:tr>
      <w:tr w:rsidR="009478ED" w:rsidRPr="007F37A0" w14:paraId="32735F50" w14:textId="77777777" w:rsidTr="00735871">
        <w:trPr>
          <w:trHeight w:val="276"/>
          <w:jc w:val="center"/>
        </w:trPr>
        <w:tc>
          <w:tcPr>
            <w:tcW w:w="2610" w:type="dxa"/>
            <w:tcBorders>
              <w:top w:val="nil"/>
              <w:left w:val="nil"/>
              <w:bottom w:val="nil"/>
              <w:right w:val="nil"/>
            </w:tcBorders>
            <w:shd w:val="clear" w:color="auto" w:fill="auto"/>
            <w:noWrap/>
            <w:hideMark/>
          </w:tcPr>
          <w:p w14:paraId="5ACA06C0"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Treatment</w:t>
            </w:r>
          </w:p>
        </w:tc>
        <w:tc>
          <w:tcPr>
            <w:tcW w:w="4614" w:type="dxa"/>
            <w:tcBorders>
              <w:top w:val="nil"/>
              <w:left w:val="nil"/>
              <w:bottom w:val="nil"/>
              <w:right w:val="nil"/>
            </w:tcBorders>
          </w:tcPr>
          <w:p w14:paraId="1371E23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is ever treated under CAIR or CSAPR for NO</w:t>
            </w:r>
            <w:r w:rsidRPr="007F37A0">
              <w:rPr>
                <w:rFonts w:ascii="Times New Roman" w:hAnsi="Times New Roman" w:cs="Times New Roman"/>
                <w:vertAlign w:val="subscript"/>
              </w:rPr>
              <w:t>x</w:t>
            </w:r>
            <w:r w:rsidRPr="007F37A0">
              <w:rPr>
                <w:rFonts w:ascii="Times New Roman" w:hAnsi="Times New Roman" w:cs="Times New Roman"/>
              </w:rPr>
              <w:t xml:space="preserve"> emissions</w:t>
            </w:r>
          </w:p>
        </w:tc>
        <w:tc>
          <w:tcPr>
            <w:tcW w:w="863" w:type="dxa"/>
            <w:tcBorders>
              <w:top w:val="nil"/>
              <w:left w:val="nil"/>
              <w:bottom w:val="nil"/>
              <w:right w:val="nil"/>
            </w:tcBorders>
            <w:shd w:val="clear" w:color="auto" w:fill="auto"/>
            <w:noWrap/>
            <w:hideMark/>
          </w:tcPr>
          <w:p w14:paraId="12FF67F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3767</w:t>
            </w:r>
          </w:p>
        </w:tc>
        <w:tc>
          <w:tcPr>
            <w:tcW w:w="1243" w:type="dxa"/>
            <w:tcBorders>
              <w:top w:val="nil"/>
              <w:left w:val="nil"/>
              <w:bottom w:val="nil"/>
              <w:right w:val="nil"/>
            </w:tcBorders>
            <w:shd w:val="clear" w:color="auto" w:fill="auto"/>
            <w:noWrap/>
            <w:hideMark/>
          </w:tcPr>
          <w:p w14:paraId="6B44335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0.796</w:t>
            </w:r>
          </w:p>
        </w:tc>
      </w:tr>
      <w:tr w:rsidR="009478ED" w:rsidRPr="007F37A0" w14:paraId="22FF2A2A" w14:textId="77777777" w:rsidTr="00735871">
        <w:trPr>
          <w:trHeight w:val="276"/>
          <w:jc w:val="center"/>
        </w:trPr>
        <w:tc>
          <w:tcPr>
            <w:tcW w:w="2610" w:type="dxa"/>
            <w:tcBorders>
              <w:top w:val="nil"/>
              <w:left w:val="nil"/>
              <w:bottom w:val="nil"/>
              <w:right w:val="nil"/>
            </w:tcBorders>
            <w:shd w:val="clear" w:color="auto" w:fill="auto"/>
            <w:noWrap/>
            <w:hideMark/>
          </w:tcPr>
          <w:p w14:paraId="0F1C4287"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CAIR Treatment</w:t>
            </w:r>
          </w:p>
        </w:tc>
        <w:tc>
          <w:tcPr>
            <w:tcW w:w="4614" w:type="dxa"/>
            <w:tcBorders>
              <w:top w:val="nil"/>
              <w:left w:val="nil"/>
              <w:bottom w:val="nil"/>
              <w:right w:val="nil"/>
            </w:tcBorders>
          </w:tcPr>
          <w:p w14:paraId="4A30ECF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is ever treated under CAIR but not CSAPR for NO</w:t>
            </w:r>
            <w:r w:rsidRPr="007F37A0">
              <w:rPr>
                <w:rFonts w:ascii="Times New Roman" w:hAnsi="Times New Roman" w:cs="Times New Roman"/>
                <w:vertAlign w:val="subscript"/>
              </w:rPr>
              <w:t>x</w:t>
            </w:r>
            <w:r w:rsidRPr="007F37A0">
              <w:rPr>
                <w:rFonts w:ascii="Times New Roman" w:hAnsi="Times New Roman" w:cs="Times New Roman"/>
              </w:rPr>
              <w:t xml:space="preserve"> emissions</w:t>
            </w:r>
          </w:p>
        </w:tc>
        <w:tc>
          <w:tcPr>
            <w:tcW w:w="863" w:type="dxa"/>
            <w:tcBorders>
              <w:top w:val="nil"/>
              <w:left w:val="nil"/>
              <w:bottom w:val="nil"/>
              <w:right w:val="nil"/>
            </w:tcBorders>
            <w:shd w:val="clear" w:color="auto" w:fill="auto"/>
            <w:noWrap/>
            <w:hideMark/>
          </w:tcPr>
          <w:p w14:paraId="51FEA05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412</w:t>
            </w:r>
          </w:p>
        </w:tc>
        <w:tc>
          <w:tcPr>
            <w:tcW w:w="1243" w:type="dxa"/>
            <w:tcBorders>
              <w:top w:val="nil"/>
              <w:left w:val="nil"/>
              <w:bottom w:val="nil"/>
              <w:right w:val="nil"/>
            </w:tcBorders>
            <w:shd w:val="clear" w:color="auto" w:fill="auto"/>
            <w:noWrap/>
            <w:hideMark/>
          </w:tcPr>
          <w:p w14:paraId="305AB5D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0.087</w:t>
            </w:r>
          </w:p>
        </w:tc>
      </w:tr>
      <w:tr w:rsidR="009478ED" w:rsidRPr="007F37A0" w14:paraId="69A32E23" w14:textId="77777777" w:rsidTr="00735871">
        <w:trPr>
          <w:trHeight w:val="276"/>
          <w:jc w:val="center"/>
        </w:trPr>
        <w:tc>
          <w:tcPr>
            <w:tcW w:w="2610" w:type="dxa"/>
            <w:tcBorders>
              <w:top w:val="nil"/>
              <w:left w:val="nil"/>
              <w:bottom w:val="nil"/>
              <w:right w:val="nil"/>
            </w:tcBorders>
            <w:shd w:val="clear" w:color="auto" w:fill="auto"/>
            <w:noWrap/>
            <w:hideMark/>
          </w:tcPr>
          <w:p w14:paraId="3201490D"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CSAPR Treatment</w:t>
            </w:r>
          </w:p>
        </w:tc>
        <w:tc>
          <w:tcPr>
            <w:tcW w:w="4614" w:type="dxa"/>
            <w:tcBorders>
              <w:top w:val="nil"/>
              <w:left w:val="nil"/>
              <w:bottom w:val="nil"/>
              <w:right w:val="nil"/>
            </w:tcBorders>
          </w:tcPr>
          <w:p w14:paraId="765C4F9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is ever treated under CSAPR but not CAIR for NO</w:t>
            </w:r>
            <w:r w:rsidRPr="007F37A0">
              <w:rPr>
                <w:rFonts w:ascii="Times New Roman" w:hAnsi="Times New Roman" w:cs="Times New Roman"/>
                <w:vertAlign w:val="subscript"/>
              </w:rPr>
              <w:t>x</w:t>
            </w:r>
            <w:r w:rsidRPr="007F37A0">
              <w:rPr>
                <w:rFonts w:ascii="Times New Roman" w:hAnsi="Times New Roman" w:cs="Times New Roman"/>
              </w:rPr>
              <w:t xml:space="preserve"> emissions</w:t>
            </w:r>
          </w:p>
        </w:tc>
        <w:tc>
          <w:tcPr>
            <w:tcW w:w="863" w:type="dxa"/>
            <w:tcBorders>
              <w:top w:val="nil"/>
              <w:left w:val="nil"/>
              <w:bottom w:val="nil"/>
              <w:right w:val="nil"/>
            </w:tcBorders>
            <w:shd w:val="clear" w:color="auto" w:fill="auto"/>
            <w:noWrap/>
            <w:hideMark/>
          </w:tcPr>
          <w:p w14:paraId="4E67165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231</w:t>
            </w:r>
          </w:p>
        </w:tc>
        <w:tc>
          <w:tcPr>
            <w:tcW w:w="1243" w:type="dxa"/>
            <w:tcBorders>
              <w:top w:val="nil"/>
              <w:left w:val="nil"/>
              <w:bottom w:val="nil"/>
              <w:right w:val="nil"/>
            </w:tcBorders>
            <w:shd w:val="clear" w:color="auto" w:fill="auto"/>
            <w:noWrap/>
            <w:hideMark/>
          </w:tcPr>
          <w:p w14:paraId="63D125C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0.049</w:t>
            </w:r>
          </w:p>
        </w:tc>
      </w:tr>
      <w:tr w:rsidR="009478ED" w:rsidRPr="007F37A0" w14:paraId="148C393F" w14:textId="77777777" w:rsidTr="00735871">
        <w:trPr>
          <w:trHeight w:val="276"/>
          <w:jc w:val="center"/>
        </w:trPr>
        <w:tc>
          <w:tcPr>
            <w:tcW w:w="2610" w:type="dxa"/>
            <w:tcBorders>
              <w:top w:val="nil"/>
              <w:left w:val="nil"/>
              <w:bottom w:val="nil"/>
              <w:right w:val="nil"/>
            </w:tcBorders>
            <w:shd w:val="clear" w:color="auto" w:fill="auto"/>
            <w:noWrap/>
            <w:hideMark/>
          </w:tcPr>
          <w:p w14:paraId="342DF5AB"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CAIR and CSAPR Treatment</w:t>
            </w:r>
          </w:p>
        </w:tc>
        <w:tc>
          <w:tcPr>
            <w:tcW w:w="4614" w:type="dxa"/>
            <w:tcBorders>
              <w:top w:val="nil"/>
              <w:left w:val="nil"/>
              <w:bottom w:val="nil"/>
              <w:right w:val="nil"/>
            </w:tcBorders>
          </w:tcPr>
          <w:p w14:paraId="62366BB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is treated under CAIR and CSAPR for NO</w:t>
            </w:r>
            <w:r w:rsidRPr="007F37A0">
              <w:rPr>
                <w:rFonts w:ascii="Times New Roman" w:hAnsi="Times New Roman" w:cs="Times New Roman"/>
                <w:vertAlign w:val="subscript"/>
              </w:rPr>
              <w:t>x</w:t>
            </w:r>
            <w:r w:rsidRPr="007F37A0">
              <w:rPr>
                <w:rFonts w:ascii="Times New Roman" w:hAnsi="Times New Roman" w:cs="Times New Roman"/>
              </w:rPr>
              <w:t xml:space="preserve"> emissions</w:t>
            </w:r>
          </w:p>
        </w:tc>
        <w:tc>
          <w:tcPr>
            <w:tcW w:w="863" w:type="dxa"/>
            <w:tcBorders>
              <w:top w:val="nil"/>
              <w:left w:val="nil"/>
              <w:bottom w:val="nil"/>
              <w:right w:val="nil"/>
            </w:tcBorders>
            <w:shd w:val="clear" w:color="auto" w:fill="auto"/>
            <w:noWrap/>
            <w:hideMark/>
          </w:tcPr>
          <w:p w14:paraId="5CD07B4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3124</w:t>
            </w:r>
          </w:p>
        </w:tc>
        <w:tc>
          <w:tcPr>
            <w:tcW w:w="1243" w:type="dxa"/>
            <w:tcBorders>
              <w:top w:val="nil"/>
              <w:left w:val="nil"/>
              <w:bottom w:val="nil"/>
              <w:right w:val="nil"/>
            </w:tcBorders>
            <w:shd w:val="clear" w:color="auto" w:fill="auto"/>
            <w:noWrap/>
            <w:hideMark/>
          </w:tcPr>
          <w:p w14:paraId="4516BE3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0.497</w:t>
            </w:r>
          </w:p>
        </w:tc>
      </w:tr>
      <w:tr w:rsidR="009478ED" w:rsidRPr="007F37A0" w14:paraId="61EF2FEA" w14:textId="77777777" w:rsidTr="00735871">
        <w:trPr>
          <w:trHeight w:val="276"/>
          <w:jc w:val="center"/>
        </w:trPr>
        <w:tc>
          <w:tcPr>
            <w:tcW w:w="2610" w:type="dxa"/>
            <w:tcBorders>
              <w:top w:val="nil"/>
              <w:left w:val="nil"/>
              <w:bottom w:val="nil"/>
              <w:right w:val="nil"/>
            </w:tcBorders>
            <w:shd w:val="clear" w:color="auto" w:fill="auto"/>
            <w:noWrap/>
            <w:hideMark/>
          </w:tcPr>
          <w:p w14:paraId="627CE3A0"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Wet Type Technology</w:t>
            </w:r>
          </w:p>
        </w:tc>
        <w:tc>
          <w:tcPr>
            <w:tcW w:w="4614" w:type="dxa"/>
            <w:tcBorders>
              <w:top w:val="nil"/>
              <w:left w:val="nil"/>
              <w:bottom w:val="nil"/>
              <w:right w:val="nil"/>
            </w:tcBorders>
          </w:tcPr>
          <w:p w14:paraId="6C3564B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has ever used wet type technology</w:t>
            </w:r>
          </w:p>
        </w:tc>
        <w:tc>
          <w:tcPr>
            <w:tcW w:w="863" w:type="dxa"/>
            <w:tcBorders>
              <w:top w:val="nil"/>
              <w:left w:val="nil"/>
              <w:bottom w:val="nil"/>
              <w:right w:val="nil"/>
            </w:tcBorders>
            <w:shd w:val="clear" w:color="auto" w:fill="auto"/>
            <w:noWrap/>
            <w:hideMark/>
          </w:tcPr>
          <w:p w14:paraId="57668AE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492</w:t>
            </w:r>
          </w:p>
        </w:tc>
        <w:tc>
          <w:tcPr>
            <w:tcW w:w="1243" w:type="dxa"/>
            <w:tcBorders>
              <w:top w:val="nil"/>
              <w:left w:val="nil"/>
              <w:bottom w:val="nil"/>
              <w:right w:val="nil"/>
            </w:tcBorders>
            <w:shd w:val="clear" w:color="auto" w:fill="auto"/>
            <w:noWrap/>
            <w:hideMark/>
          </w:tcPr>
          <w:p w14:paraId="13EC0E5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0.104</w:t>
            </w:r>
          </w:p>
        </w:tc>
      </w:tr>
      <w:bookmarkEnd w:id="146"/>
    </w:tbl>
    <w:p w14:paraId="300E1E11" w14:textId="77777777" w:rsidR="009478ED" w:rsidRPr="007F37A0" w:rsidRDefault="009478ED" w:rsidP="009478ED">
      <w:pPr>
        <w:rPr>
          <w:rFonts w:ascii="Times New Roman" w:hAnsi="Times New Roman" w:cs="Times New Roman"/>
        </w:rPr>
      </w:pPr>
    </w:p>
    <w:p w14:paraId="28A447E5" w14:textId="64CC2E4C" w:rsidR="009478ED" w:rsidRPr="007F37A0" w:rsidRDefault="009478ED" w:rsidP="009478ED">
      <w:pPr>
        <w:rPr>
          <w:rFonts w:ascii="Times New Roman" w:hAnsi="Times New Roman" w:cs="Times New Roman"/>
        </w:rPr>
      </w:pPr>
      <w:r w:rsidRPr="007F37A0">
        <w:rPr>
          <w:rFonts w:ascii="Times New Roman" w:hAnsi="Times New Roman" w:cs="Times New Roman"/>
        </w:rPr>
        <w:lastRenderedPageBreak/>
        <w:fldChar w:fldCharType="begin"/>
      </w:r>
      <w:r w:rsidRPr="007F37A0">
        <w:rPr>
          <w:rFonts w:ascii="Times New Roman" w:hAnsi="Times New Roman" w:cs="Times New Roman"/>
        </w:rPr>
        <w:instrText xml:space="preserve"> REF _Ref160785178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15</w:t>
      </w:r>
      <w:r w:rsidRPr="007F37A0">
        <w:rPr>
          <w:rFonts w:ascii="Times New Roman" w:hAnsi="Times New Roman" w:cs="Times New Roman"/>
        </w:rPr>
        <w:fldChar w:fldCharType="end"/>
      </w:r>
      <w:r w:rsidRPr="007F37A0">
        <w:rPr>
          <w:rFonts w:ascii="Times New Roman" w:hAnsi="Times New Roman" w:cs="Times New Roman"/>
        </w:rPr>
        <w:t>: Continued</w:t>
      </w:r>
    </w:p>
    <w:p w14:paraId="4166EE3D" w14:textId="77777777" w:rsidR="009478ED" w:rsidRPr="007F37A0" w:rsidRDefault="009478ED" w:rsidP="009478ED">
      <w:pPr>
        <w:rPr>
          <w:rFonts w:ascii="Times New Roman" w:hAnsi="Times New Roman" w:cs="Times New Roman"/>
        </w:rPr>
      </w:pPr>
    </w:p>
    <w:tbl>
      <w:tblPr>
        <w:tblW w:w="9330" w:type="dxa"/>
        <w:jc w:val="center"/>
        <w:tblLook w:val="04A0" w:firstRow="1" w:lastRow="0" w:firstColumn="1" w:lastColumn="0" w:noHBand="0" w:noVBand="1"/>
      </w:tblPr>
      <w:tblGrid>
        <w:gridCol w:w="2610"/>
        <w:gridCol w:w="4614"/>
        <w:gridCol w:w="863"/>
        <w:gridCol w:w="1243"/>
      </w:tblGrid>
      <w:tr w:rsidR="009478ED" w:rsidRPr="007F37A0" w14:paraId="5E406C24" w14:textId="77777777" w:rsidTr="00735871">
        <w:trPr>
          <w:trHeight w:val="276"/>
          <w:jc w:val="center"/>
        </w:trPr>
        <w:tc>
          <w:tcPr>
            <w:tcW w:w="2610" w:type="dxa"/>
            <w:tcBorders>
              <w:top w:val="nil"/>
              <w:left w:val="nil"/>
              <w:bottom w:val="nil"/>
              <w:right w:val="nil"/>
            </w:tcBorders>
            <w:shd w:val="clear" w:color="auto" w:fill="auto"/>
            <w:noWrap/>
            <w:hideMark/>
          </w:tcPr>
          <w:p w14:paraId="24CE7008"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Dry Type Technology</w:t>
            </w:r>
          </w:p>
        </w:tc>
        <w:tc>
          <w:tcPr>
            <w:tcW w:w="4614" w:type="dxa"/>
            <w:tcBorders>
              <w:top w:val="nil"/>
              <w:left w:val="nil"/>
              <w:bottom w:val="nil"/>
              <w:right w:val="nil"/>
            </w:tcBorders>
          </w:tcPr>
          <w:p w14:paraId="1EAC9C8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has ever used dry type technology</w:t>
            </w:r>
          </w:p>
        </w:tc>
        <w:tc>
          <w:tcPr>
            <w:tcW w:w="863" w:type="dxa"/>
            <w:tcBorders>
              <w:top w:val="nil"/>
              <w:left w:val="nil"/>
              <w:bottom w:val="nil"/>
              <w:right w:val="nil"/>
            </w:tcBorders>
            <w:shd w:val="clear" w:color="auto" w:fill="auto"/>
            <w:noWrap/>
            <w:hideMark/>
          </w:tcPr>
          <w:p w14:paraId="5EFDB4A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506</w:t>
            </w:r>
          </w:p>
        </w:tc>
        <w:tc>
          <w:tcPr>
            <w:tcW w:w="1243" w:type="dxa"/>
            <w:tcBorders>
              <w:top w:val="nil"/>
              <w:left w:val="nil"/>
              <w:bottom w:val="nil"/>
              <w:right w:val="nil"/>
            </w:tcBorders>
            <w:shd w:val="clear" w:color="auto" w:fill="auto"/>
            <w:noWrap/>
            <w:hideMark/>
          </w:tcPr>
          <w:p w14:paraId="4608E4D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0.107</w:t>
            </w:r>
          </w:p>
        </w:tc>
      </w:tr>
      <w:tr w:rsidR="009478ED" w:rsidRPr="007F37A0" w14:paraId="4B4BA37B" w14:textId="77777777" w:rsidTr="00735871">
        <w:trPr>
          <w:trHeight w:val="276"/>
          <w:jc w:val="center"/>
        </w:trPr>
        <w:tc>
          <w:tcPr>
            <w:tcW w:w="2610" w:type="dxa"/>
            <w:tcBorders>
              <w:top w:val="nil"/>
              <w:left w:val="nil"/>
              <w:bottom w:val="nil"/>
              <w:right w:val="nil"/>
            </w:tcBorders>
            <w:shd w:val="clear" w:color="auto" w:fill="auto"/>
            <w:noWrap/>
            <w:hideMark/>
          </w:tcPr>
          <w:p w14:paraId="68817EF6"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Particulate Control Technology</w:t>
            </w:r>
          </w:p>
        </w:tc>
        <w:tc>
          <w:tcPr>
            <w:tcW w:w="4614" w:type="dxa"/>
            <w:tcBorders>
              <w:top w:val="nil"/>
              <w:left w:val="nil"/>
              <w:bottom w:val="nil"/>
              <w:right w:val="nil"/>
            </w:tcBorders>
          </w:tcPr>
          <w:p w14:paraId="4AF0940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has ever used particulate control technology</w:t>
            </w:r>
          </w:p>
        </w:tc>
        <w:tc>
          <w:tcPr>
            <w:tcW w:w="863" w:type="dxa"/>
            <w:tcBorders>
              <w:top w:val="nil"/>
              <w:left w:val="nil"/>
              <w:bottom w:val="nil"/>
              <w:right w:val="nil"/>
            </w:tcBorders>
            <w:shd w:val="clear" w:color="auto" w:fill="auto"/>
            <w:noWrap/>
            <w:hideMark/>
          </w:tcPr>
          <w:p w14:paraId="0A6CE47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11</w:t>
            </w:r>
          </w:p>
        </w:tc>
        <w:tc>
          <w:tcPr>
            <w:tcW w:w="1243" w:type="dxa"/>
            <w:tcBorders>
              <w:top w:val="nil"/>
              <w:left w:val="nil"/>
              <w:bottom w:val="nil"/>
              <w:right w:val="nil"/>
            </w:tcBorders>
            <w:shd w:val="clear" w:color="auto" w:fill="auto"/>
            <w:noWrap/>
            <w:hideMark/>
          </w:tcPr>
          <w:p w14:paraId="0E86252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0.002</w:t>
            </w:r>
          </w:p>
        </w:tc>
      </w:tr>
      <w:tr w:rsidR="009478ED" w:rsidRPr="007F37A0" w14:paraId="72090317" w14:textId="77777777" w:rsidTr="00735871">
        <w:trPr>
          <w:trHeight w:val="276"/>
          <w:jc w:val="center"/>
        </w:trPr>
        <w:tc>
          <w:tcPr>
            <w:tcW w:w="2610" w:type="dxa"/>
            <w:tcBorders>
              <w:top w:val="nil"/>
              <w:left w:val="nil"/>
              <w:bottom w:val="nil"/>
              <w:right w:val="nil"/>
            </w:tcBorders>
            <w:shd w:val="clear" w:color="auto" w:fill="auto"/>
            <w:noWrap/>
            <w:hideMark/>
          </w:tcPr>
          <w:p w14:paraId="2FCB7183"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Selective Noncatalytic Reduction Technology</w:t>
            </w:r>
          </w:p>
        </w:tc>
        <w:tc>
          <w:tcPr>
            <w:tcW w:w="4614" w:type="dxa"/>
            <w:tcBorders>
              <w:top w:val="nil"/>
              <w:left w:val="nil"/>
              <w:bottom w:val="nil"/>
              <w:right w:val="nil"/>
            </w:tcBorders>
          </w:tcPr>
          <w:p w14:paraId="2ACE818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has ever used selective noncatalytic reduction technology</w:t>
            </w:r>
          </w:p>
        </w:tc>
        <w:tc>
          <w:tcPr>
            <w:tcW w:w="863" w:type="dxa"/>
            <w:tcBorders>
              <w:top w:val="nil"/>
              <w:left w:val="nil"/>
              <w:bottom w:val="nil"/>
              <w:right w:val="nil"/>
            </w:tcBorders>
            <w:shd w:val="clear" w:color="auto" w:fill="auto"/>
            <w:noWrap/>
            <w:hideMark/>
          </w:tcPr>
          <w:p w14:paraId="4F4C418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466</w:t>
            </w:r>
          </w:p>
        </w:tc>
        <w:tc>
          <w:tcPr>
            <w:tcW w:w="1243" w:type="dxa"/>
            <w:tcBorders>
              <w:top w:val="nil"/>
              <w:left w:val="nil"/>
              <w:bottom w:val="nil"/>
              <w:right w:val="nil"/>
            </w:tcBorders>
            <w:shd w:val="clear" w:color="auto" w:fill="auto"/>
            <w:noWrap/>
            <w:hideMark/>
          </w:tcPr>
          <w:p w14:paraId="3B7AD34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0.099</w:t>
            </w:r>
          </w:p>
        </w:tc>
      </w:tr>
      <w:tr w:rsidR="009478ED" w:rsidRPr="007F37A0" w14:paraId="1F331C7C" w14:textId="77777777" w:rsidTr="00735871">
        <w:trPr>
          <w:trHeight w:val="276"/>
          <w:jc w:val="center"/>
        </w:trPr>
        <w:tc>
          <w:tcPr>
            <w:tcW w:w="2610" w:type="dxa"/>
            <w:tcBorders>
              <w:top w:val="nil"/>
              <w:left w:val="nil"/>
              <w:bottom w:val="nil"/>
              <w:right w:val="nil"/>
            </w:tcBorders>
            <w:shd w:val="clear" w:color="auto" w:fill="auto"/>
            <w:noWrap/>
            <w:hideMark/>
          </w:tcPr>
          <w:p w14:paraId="5EC88C8E"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Selective Catalytic Reduction Technology</w:t>
            </w:r>
          </w:p>
        </w:tc>
        <w:tc>
          <w:tcPr>
            <w:tcW w:w="4614" w:type="dxa"/>
            <w:tcBorders>
              <w:top w:val="nil"/>
              <w:left w:val="nil"/>
              <w:bottom w:val="nil"/>
              <w:right w:val="nil"/>
            </w:tcBorders>
          </w:tcPr>
          <w:p w14:paraId="4EC4FF8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has ever used selective catalytic reduction technology</w:t>
            </w:r>
          </w:p>
        </w:tc>
        <w:tc>
          <w:tcPr>
            <w:tcW w:w="863" w:type="dxa"/>
            <w:tcBorders>
              <w:top w:val="nil"/>
              <w:left w:val="nil"/>
              <w:bottom w:val="nil"/>
              <w:right w:val="nil"/>
            </w:tcBorders>
            <w:shd w:val="clear" w:color="auto" w:fill="auto"/>
            <w:noWrap/>
            <w:hideMark/>
          </w:tcPr>
          <w:p w14:paraId="768B8CA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1230</w:t>
            </w:r>
          </w:p>
        </w:tc>
        <w:tc>
          <w:tcPr>
            <w:tcW w:w="1243" w:type="dxa"/>
            <w:tcBorders>
              <w:top w:val="nil"/>
              <w:left w:val="nil"/>
              <w:bottom w:val="nil"/>
              <w:right w:val="nil"/>
            </w:tcBorders>
            <w:shd w:val="clear" w:color="auto" w:fill="auto"/>
            <w:noWrap/>
            <w:hideMark/>
          </w:tcPr>
          <w:p w14:paraId="629F956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0.26</w:t>
            </w:r>
          </w:p>
        </w:tc>
      </w:tr>
      <w:tr w:rsidR="009478ED" w:rsidRPr="007F37A0" w14:paraId="6E368338" w14:textId="77777777" w:rsidTr="00735871">
        <w:trPr>
          <w:trHeight w:val="276"/>
          <w:jc w:val="center"/>
        </w:trPr>
        <w:tc>
          <w:tcPr>
            <w:tcW w:w="2610" w:type="dxa"/>
            <w:tcBorders>
              <w:top w:val="nil"/>
              <w:left w:val="nil"/>
              <w:bottom w:val="nil"/>
              <w:right w:val="nil"/>
            </w:tcBorders>
            <w:shd w:val="clear" w:color="auto" w:fill="auto"/>
            <w:noWrap/>
            <w:hideMark/>
          </w:tcPr>
          <w:p w14:paraId="06D87DE4"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Other Technology</w:t>
            </w:r>
          </w:p>
        </w:tc>
        <w:tc>
          <w:tcPr>
            <w:tcW w:w="4614" w:type="dxa"/>
            <w:tcBorders>
              <w:top w:val="nil"/>
              <w:left w:val="nil"/>
              <w:bottom w:val="nil"/>
              <w:right w:val="nil"/>
            </w:tcBorders>
          </w:tcPr>
          <w:p w14:paraId="3A625A3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has ever used other technology</w:t>
            </w:r>
          </w:p>
        </w:tc>
        <w:tc>
          <w:tcPr>
            <w:tcW w:w="863" w:type="dxa"/>
            <w:tcBorders>
              <w:top w:val="nil"/>
              <w:left w:val="nil"/>
              <w:bottom w:val="nil"/>
              <w:right w:val="nil"/>
            </w:tcBorders>
            <w:shd w:val="clear" w:color="auto" w:fill="auto"/>
            <w:noWrap/>
            <w:hideMark/>
          </w:tcPr>
          <w:p w14:paraId="6A2AAC6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22</w:t>
            </w:r>
          </w:p>
        </w:tc>
        <w:tc>
          <w:tcPr>
            <w:tcW w:w="1243" w:type="dxa"/>
            <w:tcBorders>
              <w:top w:val="nil"/>
              <w:left w:val="nil"/>
              <w:bottom w:val="nil"/>
              <w:right w:val="nil"/>
            </w:tcBorders>
            <w:shd w:val="clear" w:color="auto" w:fill="auto"/>
            <w:noWrap/>
            <w:hideMark/>
          </w:tcPr>
          <w:p w14:paraId="02255B9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0.005</w:t>
            </w:r>
          </w:p>
        </w:tc>
      </w:tr>
      <w:tr w:rsidR="009478ED" w:rsidRPr="007F37A0" w14:paraId="3E17CFC8" w14:textId="77777777" w:rsidTr="00735871">
        <w:trPr>
          <w:trHeight w:val="276"/>
          <w:jc w:val="center"/>
        </w:trPr>
        <w:tc>
          <w:tcPr>
            <w:tcW w:w="2610" w:type="dxa"/>
            <w:tcBorders>
              <w:top w:val="nil"/>
              <w:left w:val="nil"/>
              <w:bottom w:val="nil"/>
              <w:right w:val="nil"/>
            </w:tcBorders>
            <w:shd w:val="clear" w:color="auto" w:fill="auto"/>
            <w:noWrap/>
            <w:hideMark/>
          </w:tcPr>
          <w:p w14:paraId="3C54E85E"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-CB</w:t>
            </w:r>
          </w:p>
        </w:tc>
        <w:tc>
          <w:tcPr>
            <w:tcW w:w="4614" w:type="dxa"/>
            <w:tcBorders>
              <w:top w:val="nil"/>
              <w:left w:val="nil"/>
              <w:bottom w:val="nil"/>
              <w:right w:val="nil"/>
            </w:tcBorders>
          </w:tcPr>
          <w:p w14:paraId="206333A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Cell Burner</w:t>
            </w:r>
          </w:p>
        </w:tc>
        <w:tc>
          <w:tcPr>
            <w:tcW w:w="863" w:type="dxa"/>
            <w:tcBorders>
              <w:top w:val="nil"/>
              <w:left w:val="nil"/>
              <w:bottom w:val="nil"/>
              <w:right w:val="nil"/>
            </w:tcBorders>
            <w:shd w:val="clear" w:color="auto" w:fill="auto"/>
            <w:noWrap/>
            <w:hideMark/>
          </w:tcPr>
          <w:p w14:paraId="18C0FE1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7</w:t>
            </w:r>
          </w:p>
        </w:tc>
        <w:tc>
          <w:tcPr>
            <w:tcW w:w="1243" w:type="dxa"/>
            <w:tcBorders>
              <w:top w:val="nil"/>
              <w:left w:val="nil"/>
              <w:bottom w:val="nil"/>
              <w:right w:val="nil"/>
            </w:tcBorders>
            <w:shd w:val="clear" w:color="auto" w:fill="auto"/>
            <w:noWrap/>
            <w:hideMark/>
          </w:tcPr>
          <w:p w14:paraId="3EE04DD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0.001</w:t>
            </w:r>
          </w:p>
        </w:tc>
      </w:tr>
      <w:tr w:rsidR="009478ED" w:rsidRPr="007F37A0" w14:paraId="18976244" w14:textId="77777777" w:rsidTr="00735871">
        <w:trPr>
          <w:trHeight w:val="276"/>
          <w:jc w:val="center"/>
        </w:trPr>
        <w:tc>
          <w:tcPr>
            <w:tcW w:w="2610" w:type="dxa"/>
            <w:tcBorders>
              <w:top w:val="nil"/>
              <w:left w:val="nil"/>
              <w:bottom w:val="nil"/>
              <w:right w:val="nil"/>
            </w:tcBorders>
            <w:shd w:val="clear" w:color="auto" w:fill="auto"/>
            <w:noWrap/>
            <w:hideMark/>
          </w:tcPr>
          <w:p w14:paraId="328B03D9"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-CY</w:t>
            </w:r>
          </w:p>
        </w:tc>
        <w:tc>
          <w:tcPr>
            <w:tcW w:w="4614" w:type="dxa"/>
            <w:tcBorders>
              <w:top w:val="nil"/>
              <w:left w:val="nil"/>
              <w:bottom w:val="nil"/>
              <w:right w:val="nil"/>
            </w:tcBorders>
          </w:tcPr>
          <w:p w14:paraId="1A1F6DA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Cyclone Firing</w:t>
            </w:r>
          </w:p>
        </w:tc>
        <w:tc>
          <w:tcPr>
            <w:tcW w:w="863" w:type="dxa"/>
            <w:tcBorders>
              <w:top w:val="nil"/>
              <w:left w:val="nil"/>
              <w:bottom w:val="nil"/>
              <w:right w:val="nil"/>
            </w:tcBorders>
            <w:shd w:val="clear" w:color="auto" w:fill="auto"/>
            <w:noWrap/>
            <w:hideMark/>
          </w:tcPr>
          <w:p w14:paraId="42BE86F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86</w:t>
            </w:r>
          </w:p>
        </w:tc>
        <w:tc>
          <w:tcPr>
            <w:tcW w:w="1243" w:type="dxa"/>
            <w:tcBorders>
              <w:top w:val="nil"/>
              <w:left w:val="nil"/>
              <w:bottom w:val="nil"/>
              <w:right w:val="nil"/>
            </w:tcBorders>
            <w:shd w:val="clear" w:color="auto" w:fill="auto"/>
            <w:noWrap/>
            <w:hideMark/>
          </w:tcPr>
          <w:p w14:paraId="224DAA9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0.018</w:t>
            </w:r>
          </w:p>
        </w:tc>
      </w:tr>
      <w:tr w:rsidR="009478ED" w:rsidRPr="007F37A0" w14:paraId="7886F58A" w14:textId="77777777" w:rsidTr="00735871">
        <w:trPr>
          <w:trHeight w:val="276"/>
          <w:jc w:val="center"/>
        </w:trPr>
        <w:tc>
          <w:tcPr>
            <w:tcW w:w="2610" w:type="dxa"/>
            <w:tcBorders>
              <w:top w:val="nil"/>
              <w:left w:val="nil"/>
              <w:bottom w:val="nil"/>
              <w:right w:val="nil"/>
            </w:tcBorders>
            <w:shd w:val="clear" w:color="auto" w:fill="auto"/>
            <w:noWrap/>
            <w:hideMark/>
          </w:tcPr>
          <w:p w14:paraId="02A18FA4"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-DB</w:t>
            </w:r>
          </w:p>
        </w:tc>
        <w:tc>
          <w:tcPr>
            <w:tcW w:w="4614" w:type="dxa"/>
            <w:tcBorders>
              <w:top w:val="nil"/>
              <w:left w:val="nil"/>
              <w:bottom w:val="nil"/>
              <w:right w:val="nil"/>
            </w:tcBorders>
          </w:tcPr>
          <w:p w14:paraId="0B103E4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is Duct Burner</w:t>
            </w:r>
          </w:p>
        </w:tc>
        <w:tc>
          <w:tcPr>
            <w:tcW w:w="863" w:type="dxa"/>
            <w:tcBorders>
              <w:top w:val="nil"/>
              <w:left w:val="nil"/>
              <w:bottom w:val="nil"/>
              <w:right w:val="nil"/>
            </w:tcBorders>
            <w:shd w:val="clear" w:color="auto" w:fill="auto"/>
            <w:noWrap/>
            <w:hideMark/>
          </w:tcPr>
          <w:p w14:paraId="0930F58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771</w:t>
            </w:r>
          </w:p>
        </w:tc>
        <w:tc>
          <w:tcPr>
            <w:tcW w:w="1243" w:type="dxa"/>
            <w:tcBorders>
              <w:top w:val="nil"/>
              <w:left w:val="nil"/>
              <w:bottom w:val="nil"/>
              <w:right w:val="nil"/>
            </w:tcBorders>
            <w:shd w:val="clear" w:color="auto" w:fill="auto"/>
            <w:noWrap/>
            <w:hideMark/>
          </w:tcPr>
          <w:p w14:paraId="3647B8B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0.163</w:t>
            </w:r>
          </w:p>
        </w:tc>
      </w:tr>
      <w:tr w:rsidR="009478ED" w:rsidRPr="007F37A0" w14:paraId="66520852" w14:textId="77777777" w:rsidTr="00735871">
        <w:trPr>
          <w:trHeight w:val="276"/>
          <w:jc w:val="center"/>
        </w:trPr>
        <w:tc>
          <w:tcPr>
            <w:tcW w:w="2610" w:type="dxa"/>
            <w:tcBorders>
              <w:top w:val="nil"/>
              <w:left w:val="nil"/>
              <w:bottom w:val="nil"/>
              <w:right w:val="nil"/>
            </w:tcBorders>
            <w:shd w:val="clear" w:color="auto" w:fill="auto"/>
            <w:noWrap/>
            <w:hideMark/>
          </w:tcPr>
          <w:p w14:paraId="6C86A1FF"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-FB</w:t>
            </w:r>
          </w:p>
        </w:tc>
        <w:tc>
          <w:tcPr>
            <w:tcW w:w="4614" w:type="dxa"/>
            <w:tcBorders>
              <w:top w:val="nil"/>
              <w:left w:val="nil"/>
              <w:bottom w:val="nil"/>
              <w:right w:val="nil"/>
            </w:tcBorders>
          </w:tcPr>
          <w:p w14:paraId="04019F0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Fluidized Bed Firing (Circulating Fluidized Bed, Bubbling Fluidized Bed)</w:t>
            </w:r>
          </w:p>
        </w:tc>
        <w:tc>
          <w:tcPr>
            <w:tcW w:w="863" w:type="dxa"/>
            <w:tcBorders>
              <w:top w:val="nil"/>
              <w:left w:val="nil"/>
              <w:bottom w:val="nil"/>
              <w:right w:val="nil"/>
            </w:tcBorders>
            <w:shd w:val="clear" w:color="auto" w:fill="auto"/>
            <w:noWrap/>
            <w:hideMark/>
          </w:tcPr>
          <w:p w14:paraId="4D3DF4C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73</w:t>
            </w:r>
          </w:p>
        </w:tc>
        <w:tc>
          <w:tcPr>
            <w:tcW w:w="1243" w:type="dxa"/>
            <w:tcBorders>
              <w:top w:val="nil"/>
              <w:left w:val="nil"/>
              <w:bottom w:val="nil"/>
              <w:right w:val="nil"/>
            </w:tcBorders>
            <w:shd w:val="clear" w:color="auto" w:fill="auto"/>
            <w:noWrap/>
            <w:hideMark/>
          </w:tcPr>
          <w:p w14:paraId="5CE55DF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0.015</w:t>
            </w:r>
          </w:p>
        </w:tc>
      </w:tr>
      <w:tr w:rsidR="009478ED" w:rsidRPr="007F37A0" w14:paraId="360DD1A8" w14:textId="77777777" w:rsidTr="00735871">
        <w:trPr>
          <w:trHeight w:val="276"/>
          <w:jc w:val="center"/>
        </w:trPr>
        <w:tc>
          <w:tcPr>
            <w:tcW w:w="2610" w:type="dxa"/>
            <w:tcBorders>
              <w:top w:val="nil"/>
              <w:left w:val="nil"/>
              <w:bottom w:val="nil"/>
              <w:right w:val="nil"/>
            </w:tcBorders>
            <w:shd w:val="clear" w:color="auto" w:fill="auto"/>
            <w:noWrap/>
            <w:hideMark/>
          </w:tcPr>
          <w:p w14:paraId="741611D8"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-SS</w:t>
            </w:r>
          </w:p>
        </w:tc>
        <w:tc>
          <w:tcPr>
            <w:tcW w:w="4614" w:type="dxa"/>
            <w:tcBorders>
              <w:top w:val="nil"/>
              <w:left w:val="nil"/>
              <w:bottom w:val="nil"/>
              <w:right w:val="nil"/>
            </w:tcBorders>
          </w:tcPr>
          <w:p w14:paraId="0DB7866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Stoker (Spreader, Vibrating Gate, Slinger)</w:t>
            </w:r>
          </w:p>
        </w:tc>
        <w:tc>
          <w:tcPr>
            <w:tcW w:w="863" w:type="dxa"/>
            <w:tcBorders>
              <w:top w:val="nil"/>
              <w:left w:val="nil"/>
              <w:bottom w:val="nil"/>
              <w:right w:val="nil"/>
            </w:tcBorders>
            <w:shd w:val="clear" w:color="auto" w:fill="auto"/>
            <w:noWrap/>
            <w:hideMark/>
          </w:tcPr>
          <w:p w14:paraId="54ACE04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72</w:t>
            </w:r>
          </w:p>
        </w:tc>
        <w:tc>
          <w:tcPr>
            <w:tcW w:w="1243" w:type="dxa"/>
            <w:tcBorders>
              <w:top w:val="nil"/>
              <w:left w:val="nil"/>
              <w:bottom w:val="nil"/>
              <w:right w:val="nil"/>
            </w:tcBorders>
            <w:shd w:val="clear" w:color="auto" w:fill="auto"/>
            <w:noWrap/>
            <w:hideMark/>
          </w:tcPr>
          <w:p w14:paraId="07251E7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0.015</w:t>
            </w:r>
          </w:p>
        </w:tc>
      </w:tr>
      <w:tr w:rsidR="009478ED" w:rsidRPr="007F37A0" w14:paraId="70C792AB" w14:textId="77777777" w:rsidTr="00735871">
        <w:trPr>
          <w:trHeight w:val="276"/>
          <w:jc w:val="center"/>
        </w:trPr>
        <w:tc>
          <w:tcPr>
            <w:tcW w:w="2610" w:type="dxa"/>
            <w:tcBorders>
              <w:top w:val="nil"/>
              <w:left w:val="nil"/>
              <w:bottom w:val="nil"/>
              <w:right w:val="nil"/>
            </w:tcBorders>
            <w:shd w:val="clear" w:color="auto" w:fill="auto"/>
            <w:noWrap/>
            <w:hideMark/>
          </w:tcPr>
          <w:p w14:paraId="4B30F67E"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-TF</w:t>
            </w:r>
          </w:p>
        </w:tc>
        <w:tc>
          <w:tcPr>
            <w:tcW w:w="4614" w:type="dxa"/>
            <w:tcBorders>
              <w:top w:val="nil"/>
              <w:left w:val="nil"/>
              <w:bottom w:val="nil"/>
              <w:right w:val="nil"/>
            </w:tcBorders>
          </w:tcPr>
          <w:p w14:paraId="306D1F2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Tangential Firing / Concentric Firing / Corner Firing</w:t>
            </w:r>
          </w:p>
        </w:tc>
        <w:tc>
          <w:tcPr>
            <w:tcW w:w="863" w:type="dxa"/>
            <w:tcBorders>
              <w:top w:val="nil"/>
              <w:left w:val="nil"/>
              <w:bottom w:val="nil"/>
              <w:right w:val="nil"/>
            </w:tcBorders>
            <w:shd w:val="clear" w:color="auto" w:fill="auto"/>
            <w:noWrap/>
            <w:hideMark/>
          </w:tcPr>
          <w:p w14:paraId="6551242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639</w:t>
            </w:r>
          </w:p>
        </w:tc>
        <w:tc>
          <w:tcPr>
            <w:tcW w:w="1243" w:type="dxa"/>
            <w:tcBorders>
              <w:top w:val="nil"/>
              <w:left w:val="nil"/>
              <w:bottom w:val="nil"/>
              <w:right w:val="nil"/>
            </w:tcBorders>
            <w:shd w:val="clear" w:color="auto" w:fill="auto"/>
            <w:noWrap/>
            <w:hideMark/>
          </w:tcPr>
          <w:p w14:paraId="74E42E0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0.135</w:t>
            </w:r>
          </w:p>
        </w:tc>
      </w:tr>
      <w:tr w:rsidR="009478ED" w:rsidRPr="007F37A0" w14:paraId="7641C424" w14:textId="77777777" w:rsidTr="00735871">
        <w:trPr>
          <w:trHeight w:val="276"/>
          <w:jc w:val="center"/>
        </w:trPr>
        <w:tc>
          <w:tcPr>
            <w:tcW w:w="2610" w:type="dxa"/>
            <w:tcBorders>
              <w:top w:val="nil"/>
              <w:left w:val="nil"/>
              <w:bottom w:val="nil"/>
              <w:right w:val="nil"/>
            </w:tcBorders>
            <w:shd w:val="clear" w:color="auto" w:fill="auto"/>
            <w:noWrap/>
            <w:hideMark/>
          </w:tcPr>
          <w:p w14:paraId="3352A455"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-VF</w:t>
            </w:r>
          </w:p>
        </w:tc>
        <w:tc>
          <w:tcPr>
            <w:tcW w:w="4614" w:type="dxa"/>
            <w:tcBorders>
              <w:top w:val="nil"/>
              <w:left w:val="nil"/>
              <w:bottom w:val="nil"/>
              <w:right w:val="nil"/>
            </w:tcBorders>
          </w:tcPr>
          <w:p w14:paraId="04770E4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Vertical Firing / Arch Firing</w:t>
            </w:r>
          </w:p>
        </w:tc>
        <w:tc>
          <w:tcPr>
            <w:tcW w:w="863" w:type="dxa"/>
            <w:tcBorders>
              <w:top w:val="nil"/>
              <w:left w:val="nil"/>
              <w:bottom w:val="nil"/>
              <w:right w:val="nil"/>
            </w:tcBorders>
            <w:shd w:val="clear" w:color="auto" w:fill="auto"/>
            <w:noWrap/>
            <w:hideMark/>
          </w:tcPr>
          <w:p w14:paraId="666A57A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50</w:t>
            </w:r>
          </w:p>
        </w:tc>
        <w:tc>
          <w:tcPr>
            <w:tcW w:w="1243" w:type="dxa"/>
            <w:tcBorders>
              <w:top w:val="nil"/>
              <w:left w:val="nil"/>
              <w:bottom w:val="nil"/>
              <w:right w:val="nil"/>
            </w:tcBorders>
            <w:shd w:val="clear" w:color="auto" w:fill="auto"/>
            <w:noWrap/>
            <w:hideMark/>
          </w:tcPr>
          <w:p w14:paraId="18B1C0E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0.011</w:t>
            </w:r>
          </w:p>
        </w:tc>
      </w:tr>
      <w:tr w:rsidR="009478ED" w:rsidRPr="007F37A0" w14:paraId="4467172C" w14:textId="77777777" w:rsidTr="00735871">
        <w:trPr>
          <w:trHeight w:val="276"/>
          <w:jc w:val="center"/>
        </w:trPr>
        <w:tc>
          <w:tcPr>
            <w:tcW w:w="2610" w:type="dxa"/>
            <w:tcBorders>
              <w:top w:val="nil"/>
              <w:left w:val="nil"/>
              <w:bottom w:val="nil"/>
              <w:right w:val="nil"/>
            </w:tcBorders>
            <w:shd w:val="clear" w:color="auto" w:fill="auto"/>
            <w:noWrap/>
            <w:hideMark/>
          </w:tcPr>
          <w:p w14:paraId="540E86B3"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-WF</w:t>
            </w:r>
          </w:p>
        </w:tc>
        <w:tc>
          <w:tcPr>
            <w:tcW w:w="4614" w:type="dxa"/>
            <w:tcBorders>
              <w:top w:val="nil"/>
              <w:left w:val="nil"/>
              <w:bottom w:val="nil"/>
              <w:right w:val="nil"/>
            </w:tcBorders>
          </w:tcPr>
          <w:p w14:paraId="4C5250F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Wall Fired (Opposed Wall, Rear Wall, Front Wall, Side Wall)</w:t>
            </w:r>
          </w:p>
        </w:tc>
        <w:tc>
          <w:tcPr>
            <w:tcW w:w="863" w:type="dxa"/>
            <w:tcBorders>
              <w:top w:val="nil"/>
              <w:left w:val="nil"/>
              <w:bottom w:val="nil"/>
              <w:right w:val="nil"/>
            </w:tcBorders>
            <w:shd w:val="clear" w:color="auto" w:fill="auto"/>
            <w:noWrap/>
            <w:hideMark/>
          </w:tcPr>
          <w:p w14:paraId="0CF9596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941</w:t>
            </w:r>
          </w:p>
        </w:tc>
        <w:tc>
          <w:tcPr>
            <w:tcW w:w="1243" w:type="dxa"/>
            <w:tcBorders>
              <w:top w:val="nil"/>
              <w:left w:val="nil"/>
              <w:bottom w:val="nil"/>
              <w:right w:val="nil"/>
            </w:tcBorders>
            <w:shd w:val="clear" w:color="auto" w:fill="auto"/>
            <w:noWrap/>
            <w:hideMark/>
          </w:tcPr>
          <w:p w14:paraId="54E7319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0.199</w:t>
            </w:r>
          </w:p>
        </w:tc>
      </w:tr>
      <w:tr w:rsidR="009478ED" w:rsidRPr="007F37A0" w14:paraId="53C8BCBA" w14:textId="77777777" w:rsidTr="00735871">
        <w:trPr>
          <w:trHeight w:val="276"/>
          <w:jc w:val="center"/>
        </w:trPr>
        <w:tc>
          <w:tcPr>
            <w:tcW w:w="2610" w:type="dxa"/>
            <w:tcBorders>
              <w:top w:val="nil"/>
              <w:left w:val="nil"/>
              <w:bottom w:val="nil"/>
              <w:right w:val="nil"/>
            </w:tcBorders>
            <w:shd w:val="clear" w:color="auto" w:fill="auto"/>
            <w:noWrap/>
          </w:tcPr>
          <w:p w14:paraId="41F0C33C"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Boiler Firing Type -OT</w:t>
            </w:r>
          </w:p>
        </w:tc>
        <w:tc>
          <w:tcPr>
            <w:tcW w:w="4614" w:type="dxa"/>
            <w:tcBorders>
              <w:top w:val="nil"/>
              <w:left w:val="nil"/>
              <w:bottom w:val="nil"/>
              <w:right w:val="nil"/>
            </w:tcBorders>
          </w:tcPr>
          <w:p w14:paraId="4C7E9CE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 xml:space="preserve">Boiler ever used firing type classified as other </w:t>
            </w:r>
          </w:p>
        </w:tc>
        <w:tc>
          <w:tcPr>
            <w:tcW w:w="863" w:type="dxa"/>
            <w:tcBorders>
              <w:top w:val="nil"/>
              <w:left w:val="nil"/>
              <w:bottom w:val="nil"/>
              <w:right w:val="nil"/>
            </w:tcBorders>
            <w:shd w:val="clear" w:color="auto" w:fill="auto"/>
            <w:noWrap/>
          </w:tcPr>
          <w:p w14:paraId="3055338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144</w:t>
            </w:r>
          </w:p>
        </w:tc>
        <w:tc>
          <w:tcPr>
            <w:tcW w:w="1243" w:type="dxa"/>
            <w:tcBorders>
              <w:top w:val="nil"/>
              <w:left w:val="nil"/>
              <w:bottom w:val="nil"/>
              <w:right w:val="nil"/>
            </w:tcBorders>
            <w:shd w:val="clear" w:color="auto" w:fill="auto"/>
            <w:noWrap/>
          </w:tcPr>
          <w:p w14:paraId="4FA6F9C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0.03</w:t>
            </w:r>
          </w:p>
        </w:tc>
      </w:tr>
      <w:tr w:rsidR="009478ED" w:rsidRPr="007F37A0" w14:paraId="52BA62DA" w14:textId="77777777" w:rsidTr="00735871">
        <w:trPr>
          <w:trHeight w:val="276"/>
          <w:jc w:val="center"/>
        </w:trPr>
        <w:tc>
          <w:tcPr>
            <w:tcW w:w="2610" w:type="dxa"/>
            <w:tcBorders>
              <w:top w:val="nil"/>
              <w:left w:val="nil"/>
              <w:bottom w:val="single" w:sz="4" w:space="0" w:color="000000"/>
              <w:right w:val="nil"/>
            </w:tcBorders>
            <w:shd w:val="clear" w:color="auto" w:fill="auto"/>
            <w:noWrap/>
            <w:vAlign w:val="bottom"/>
            <w:hideMark/>
          </w:tcPr>
          <w:p w14:paraId="56FD145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4614" w:type="dxa"/>
            <w:tcBorders>
              <w:top w:val="nil"/>
              <w:left w:val="nil"/>
              <w:bottom w:val="single" w:sz="4" w:space="0" w:color="auto"/>
              <w:right w:val="nil"/>
            </w:tcBorders>
          </w:tcPr>
          <w:p w14:paraId="46016515" w14:textId="77777777" w:rsidR="009478ED" w:rsidRPr="007F37A0" w:rsidRDefault="009478ED" w:rsidP="00735871">
            <w:pPr>
              <w:rPr>
                <w:rFonts w:ascii="Times New Roman" w:hAnsi="Times New Roman" w:cs="Times New Roman"/>
              </w:rPr>
            </w:pPr>
          </w:p>
        </w:tc>
        <w:tc>
          <w:tcPr>
            <w:tcW w:w="863" w:type="dxa"/>
            <w:tcBorders>
              <w:top w:val="nil"/>
              <w:left w:val="nil"/>
              <w:bottom w:val="single" w:sz="4" w:space="0" w:color="auto"/>
              <w:right w:val="nil"/>
            </w:tcBorders>
            <w:shd w:val="clear" w:color="auto" w:fill="auto"/>
            <w:noWrap/>
            <w:vAlign w:val="bottom"/>
            <w:hideMark/>
          </w:tcPr>
          <w:p w14:paraId="3E8FA18F" w14:textId="77777777" w:rsidR="009478ED" w:rsidRPr="007F37A0" w:rsidRDefault="009478ED" w:rsidP="00735871">
            <w:pPr>
              <w:rPr>
                <w:rFonts w:ascii="Times New Roman" w:hAnsi="Times New Roman" w:cs="Times New Roman"/>
              </w:rPr>
            </w:pPr>
          </w:p>
        </w:tc>
        <w:tc>
          <w:tcPr>
            <w:tcW w:w="1243" w:type="dxa"/>
            <w:tcBorders>
              <w:top w:val="nil"/>
              <w:left w:val="nil"/>
              <w:bottom w:val="single" w:sz="4" w:space="0" w:color="auto"/>
              <w:right w:val="nil"/>
            </w:tcBorders>
            <w:shd w:val="clear" w:color="auto" w:fill="auto"/>
            <w:noWrap/>
            <w:vAlign w:val="bottom"/>
            <w:hideMark/>
          </w:tcPr>
          <w:p w14:paraId="2735B70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bl>
    <w:p w14:paraId="536F1598"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br w:type="page"/>
      </w:r>
    </w:p>
    <w:p w14:paraId="679C3E3C" w14:textId="7290FBA5" w:rsidR="009478ED" w:rsidRPr="007F37A0" w:rsidRDefault="009478ED" w:rsidP="007F37A0">
      <w:pPr>
        <w:pStyle w:val="Caption"/>
        <w:rPr>
          <w:rFonts w:cs="Times New Roman"/>
        </w:rPr>
      </w:pPr>
      <w:bookmarkStart w:id="147" w:name="_Ref162000268"/>
      <w:bookmarkStart w:id="148" w:name="_Toc164862551"/>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16</w:t>
      </w:r>
      <w:r w:rsidRPr="007F37A0">
        <w:rPr>
          <w:rFonts w:cs="Times New Roman"/>
          <w:noProof/>
        </w:rPr>
        <w:fldChar w:fldCharType="end"/>
      </w:r>
      <w:bookmarkEnd w:id="147"/>
      <w:r w:rsidRPr="007F37A0">
        <w:rPr>
          <w:rFonts w:cs="Times New Roman"/>
        </w:rPr>
        <w:t>: Descriptive Statistics for Binary Boiler Attributes continued</w:t>
      </w:r>
      <w:bookmarkEnd w:id="148"/>
    </w:p>
    <w:tbl>
      <w:tblPr>
        <w:tblW w:w="9330" w:type="dxa"/>
        <w:jc w:val="center"/>
        <w:tblLook w:val="04A0" w:firstRow="1" w:lastRow="0" w:firstColumn="1" w:lastColumn="0" w:noHBand="0" w:noVBand="1"/>
      </w:tblPr>
      <w:tblGrid>
        <w:gridCol w:w="2610"/>
        <w:gridCol w:w="4614"/>
        <w:gridCol w:w="863"/>
        <w:gridCol w:w="1243"/>
      </w:tblGrid>
      <w:tr w:rsidR="009478ED" w:rsidRPr="007F37A0" w14:paraId="2EE7A098" w14:textId="77777777" w:rsidTr="00735871">
        <w:trPr>
          <w:trHeight w:val="276"/>
          <w:jc w:val="center"/>
        </w:trPr>
        <w:tc>
          <w:tcPr>
            <w:tcW w:w="2610" w:type="dxa"/>
            <w:tcBorders>
              <w:top w:val="single" w:sz="4" w:space="0" w:color="000000"/>
              <w:left w:val="nil"/>
              <w:right w:val="nil"/>
            </w:tcBorders>
            <w:shd w:val="clear" w:color="auto" w:fill="auto"/>
            <w:noWrap/>
            <w:vAlign w:val="bottom"/>
            <w:hideMark/>
          </w:tcPr>
          <w:p w14:paraId="700C71B7" w14:textId="77777777" w:rsidR="009478ED" w:rsidRPr="007F37A0" w:rsidRDefault="009478ED" w:rsidP="00735871">
            <w:pPr>
              <w:rPr>
                <w:rFonts w:ascii="Times New Roman" w:hAnsi="Times New Roman" w:cs="Times New Roman"/>
              </w:rPr>
            </w:pPr>
            <w:bookmarkStart w:id="149" w:name="_Hlk164535690"/>
            <w:r w:rsidRPr="007F37A0">
              <w:rPr>
                <w:rFonts w:ascii="Times New Roman" w:hAnsi="Times New Roman" w:cs="Times New Roman"/>
              </w:rPr>
              <w:t> </w:t>
            </w:r>
          </w:p>
        </w:tc>
        <w:tc>
          <w:tcPr>
            <w:tcW w:w="4614" w:type="dxa"/>
            <w:tcBorders>
              <w:top w:val="single" w:sz="4" w:space="0" w:color="000000"/>
              <w:left w:val="nil"/>
              <w:right w:val="nil"/>
            </w:tcBorders>
          </w:tcPr>
          <w:p w14:paraId="2873653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863" w:type="dxa"/>
            <w:tcBorders>
              <w:top w:val="single" w:sz="4" w:space="0" w:color="000000"/>
              <w:left w:val="nil"/>
              <w:right w:val="nil"/>
            </w:tcBorders>
            <w:shd w:val="clear" w:color="auto" w:fill="auto"/>
            <w:noWrap/>
            <w:vAlign w:val="bottom"/>
            <w:hideMark/>
          </w:tcPr>
          <w:p w14:paraId="6DFF43B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243" w:type="dxa"/>
            <w:tcBorders>
              <w:top w:val="single" w:sz="4" w:space="0" w:color="000000"/>
              <w:left w:val="nil"/>
              <w:right w:val="nil"/>
            </w:tcBorders>
            <w:shd w:val="clear" w:color="auto" w:fill="auto"/>
            <w:noWrap/>
            <w:vAlign w:val="bottom"/>
            <w:hideMark/>
          </w:tcPr>
          <w:p w14:paraId="74D51DD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r>
      <w:tr w:rsidR="009478ED" w:rsidRPr="007F37A0" w14:paraId="13B0920B" w14:textId="77777777" w:rsidTr="00735871">
        <w:trPr>
          <w:trHeight w:val="276"/>
          <w:jc w:val="center"/>
        </w:trPr>
        <w:tc>
          <w:tcPr>
            <w:tcW w:w="2610" w:type="dxa"/>
            <w:tcBorders>
              <w:bottom w:val="single" w:sz="4" w:space="0" w:color="auto"/>
            </w:tcBorders>
            <w:shd w:val="clear" w:color="auto" w:fill="auto"/>
            <w:noWrap/>
            <w:vAlign w:val="bottom"/>
            <w:hideMark/>
          </w:tcPr>
          <w:p w14:paraId="0708C40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Variable</w:t>
            </w:r>
          </w:p>
        </w:tc>
        <w:tc>
          <w:tcPr>
            <w:tcW w:w="4614" w:type="dxa"/>
            <w:tcBorders>
              <w:bottom w:val="single" w:sz="4" w:space="0" w:color="auto"/>
            </w:tcBorders>
          </w:tcPr>
          <w:p w14:paraId="765628F2" w14:textId="77777777" w:rsidR="009478ED" w:rsidRPr="007F37A0" w:rsidRDefault="009478ED" w:rsidP="00735871">
            <w:pPr>
              <w:jc w:val="center"/>
              <w:rPr>
                <w:rFonts w:ascii="Times New Roman" w:hAnsi="Times New Roman" w:cs="Times New Roman"/>
              </w:rPr>
            </w:pPr>
          </w:p>
          <w:p w14:paraId="626DC04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Description</w:t>
            </w:r>
          </w:p>
        </w:tc>
        <w:tc>
          <w:tcPr>
            <w:tcW w:w="863" w:type="dxa"/>
            <w:tcBorders>
              <w:bottom w:val="single" w:sz="4" w:space="0" w:color="auto"/>
            </w:tcBorders>
            <w:shd w:val="clear" w:color="auto" w:fill="auto"/>
            <w:noWrap/>
            <w:vAlign w:val="bottom"/>
            <w:hideMark/>
          </w:tcPr>
          <w:p w14:paraId="2776411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Count</w:t>
            </w:r>
          </w:p>
        </w:tc>
        <w:tc>
          <w:tcPr>
            <w:tcW w:w="1243" w:type="dxa"/>
            <w:tcBorders>
              <w:bottom w:val="single" w:sz="4" w:space="0" w:color="auto"/>
            </w:tcBorders>
            <w:shd w:val="clear" w:color="auto" w:fill="auto"/>
            <w:noWrap/>
            <w:vAlign w:val="bottom"/>
            <w:hideMark/>
          </w:tcPr>
          <w:p w14:paraId="7EAB7B9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Proportion of Total</w:t>
            </w:r>
          </w:p>
        </w:tc>
      </w:tr>
      <w:tr w:rsidR="009478ED" w:rsidRPr="007F37A0" w14:paraId="36A6F74F" w14:textId="77777777" w:rsidTr="00735871">
        <w:trPr>
          <w:trHeight w:val="276"/>
          <w:jc w:val="center"/>
        </w:trPr>
        <w:tc>
          <w:tcPr>
            <w:tcW w:w="2610" w:type="dxa"/>
            <w:tcBorders>
              <w:top w:val="single" w:sz="4" w:space="0" w:color="auto"/>
            </w:tcBorders>
            <w:shd w:val="clear" w:color="auto" w:fill="auto"/>
            <w:noWrap/>
            <w:vAlign w:val="bottom"/>
            <w:hideMark/>
          </w:tcPr>
          <w:p w14:paraId="77DF692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4614" w:type="dxa"/>
            <w:tcBorders>
              <w:top w:val="single" w:sz="4" w:space="0" w:color="auto"/>
            </w:tcBorders>
          </w:tcPr>
          <w:p w14:paraId="50D260CD" w14:textId="77777777" w:rsidR="009478ED" w:rsidRPr="007F37A0" w:rsidRDefault="009478ED" w:rsidP="00735871">
            <w:pPr>
              <w:jc w:val="center"/>
              <w:rPr>
                <w:rFonts w:ascii="Times New Roman" w:hAnsi="Times New Roman" w:cs="Times New Roman"/>
              </w:rPr>
            </w:pPr>
          </w:p>
        </w:tc>
        <w:tc>
          <w:tcPr>
            <w:tcW w:w="863" w:type="dxa"/>
            <w:tcBorders>
              <w:top w:val="single" w:sz="4" w:space="0" w:color="auto"/>
            </w:tcBorders>
            <w:shd w:val="clear" w:color="auto" w:fill="auto"/>
            <w:noWrap/>
            <w:vAlign w:val="bottom"/>
            <w:hideMark/>
          </w:tcPr>
          <w:p w14:paraId="31D86BB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243" w:type="dxa"/>
            <w:tcBorders>
              <w:top w:val="single" w:sz="4" w:space="0" w:color="auto"/>
            </w:tcBorders>
            <w:shd w:val="clear" w:color="auto" w:fill="auto"/>
            <w:noWrap/>
            <w:vAlign w:val="bottom"/>
            <w:hideMark/>
          </w:tcPr>
          <w:p w14:paraId="56A9441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6694CCBC" w14:textId="77777777" w:rsidTr="00735871">
        <w:trPr>
          <w:trHeight w:val="276"/>
          <w:jc w:val="center"/>
        </w:trPr>
        <w:tc>
          <w:tcPr>
            <w:tcW w:w="2610" w:type="dxa"/>
            <w:tcBorders>
              <w:top w:val="nil"/>
              <w:left w:val="nil"/>
              <w:bottom w:val="nil"/>
              <w:right w:val="nil"/>
            </w:tcBorders>
            <w:shd w:val="clear" w:color="auto" w:fill="auto"/>
            <w:noWrap/>
            <w:hideMark/>
          </w:tcPr>
          <w:p w14:paraId="3E6A6552"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No Fly Ash Reinjection</w:t>
            </w:r>
          </w:p>
        </w:tc>
        <w:tc>
          <w:tcPr>
            <w:tcW w:w="4614" w:type="dxa"/>
            <w:tcBorders>
              <w:top w:val="nil"/>
              <w:left w:val="nil"/>
              <w:bottom w:val="nil"/>
              <w:right w:val="nil"/>
            </w:tcBorders>
          </w:tcPr>
          <w:p w14:paraId="12BDC98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explicitly does not have fly ash reinjection</w:t>
            </w:r>
          </w:p>
        </w:tc>
        <w:tc>
          <w:tcPr>
            <w:tcW w:w="863" w:type="dxa"/>
            <w:tcBorders>
              <w:top w:val="nil"/>
              <w:left w:val="nil"/>
              <w:bottom w:val="nil"/>
              <w:right w:val="nil"/>
            </w:tcBorders>
            <w:shd w:val="clear" w:color="auto" w:fill="auto"/>
            <w:noWrap/>
            <w:hideMark/>
          </w:tcPr>
          <w:p w14:paraId="15E9894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2413</w:t>
            </w:r>
          </w:p>
        </w:tc>
        <w:tc>
          <w:tcPr>
            <w:tcW w:w="1243" w:type="dxa"/>
            <w:tcBorders>
              <w:top w:val="nil"/>
              <w:left w:val="nil"/>
              <w:bottom w:val="nil"/>
              <w:right w:val="nil"/>
            </w:tcBorders>
            <w:shd w:val="clear" w:color="auto" w:fill="auto"/>
            <w:noWrap/>
            <w:hideMark/>
          </w:tcPr>
          <w:p w14:paraId="3B45247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0.51</w:t>
            </w:r>
          </w:p>
        </w:tc>
      </w:tr>
      <w:tr w:rsidR="009478ED" w:rsidRPr="007F37A0" w14:paraId="14A64F62" w14:textId="77777777" w:rsidTr="00735871">
        <w:trPr>
          <w:trHeight w:val="276"/>
          <w:jc w:val="center"/>
        </w:trPr>
        <w:tc>
          <w:tcPr>
            <w:tcW w:w="2610" w:type="dxa"/>
            <w:tcBorders>
              <w:top w:val="nil"/>
              <w:left w:val="nil"/>
              <w:bottom w:val="nil"/>
              <w:right w:val="nil"/>
            </w:tcBorders>
            <w:shd w:val="clear" w:color="auto" w:fill="auto"/>
            <w:noWrap/>
            <w:hideMark/>
          </w:tcPr>
          <w:p w14:paraId="757F2A86"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Fly Ash Reinjection</w:t>
            </w:r>
          </w:p>
        </w:tc>
        <w:tc>
          <w:tcPr>
            <w:tcW w:w="4614" w:type="dxa"/>
            <w:tcBorders>
              <w:top w:val="nil"/>
              <w:left w:val="nil"/>
              <w:bottom w:val="nil"/>
              <w:right w:val="nil"/>
            </w:tcBorders>
          </w:tcPr>
          <w:p w14:paraId="2A8F5BE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does have fly ash reinjection</w:t>
            </w:r>
          </w:p>
        </w:tc>
        <w:tc>
          <w:tcPr>
            <w:tcW w:w="863" w:type="dxa"/>
            <w:tcBorders>
              <w:top w:val="nil"/>
              <w:left w:val="nil"/>
              <w:bottom w:val="nil"/>
              <w:right w:val="nil"/>
            </w:tcBorders>
            <w:shd w:val="clear" w:color="auto" w:fill="auto"/>
            <w:noWrap/>
            <w:hideMark/>
          </w:tcPr>
          <w:p w14:paraId="58C5854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166</w:t>
            </w:r>
          </w:p>
        </w:tc>
        <w:tc>
          <w:tcPr>
            <w:tcW w:w="1243" w:type="dxa"/>
            <w:tcBorders>
              <w:top w:val="nil"/>
              <w:left w:val="nil"/>
              <w:bottom w:val="nil"/>
              <w:right w:val="nil"/>
            </w:tcBorders>
            <w:shd w:val="clear" w:color="auto" w:fill="auto"/>
            <w:noWrap/>
            <w:hideMark/>
          </w:tcPr>
          <w:p w14:paraId="2C9614B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0.035</w:t>
            </w:r>
          </w:p>
        </w:tc>
      </w:tr>
      <w:tr w:rsidR="009478ED" w:rsidRPr="007F37A0" w14:paraId="2C86569A" w14:textId="77777777" w:rsidTr="00735871">
        <w:trPr>
          <w:trHeight w:val="276"/>
          <w:jc w:val="center"/>
        </w:trPr>
        <w:tc>
          <w:tcPr>
            <w:tcW w:w="2610" w:type="dxa"/>
            <w:tcBorders>
              <w:top w:val="nil"/>
              <w:left w:val="nil"/>
              <w:bottom w:val="nil"/>
              <w:right w:val="nil"/>
            </w:tcBorders>
            <w:shd w:val="clear" w:color="auto" w:fill="auto"/>
            <w:noWrap/>
            <w:hideMark/>
          </w:tcPr>
          <w:p w14:paraId="4B402955"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No Heat Recovery Steam Generator</w:t>
            </w:r>
          </w:p>
        </w:tc>
        <w:tc>
          <w:tcPr>
            <w:tcW w:w="4614" w:type="dxa"/>
            <w:tcBorders>
              <w:top w:val="nil"/>
              <w:left w:val="nil"/>
              <w:bottom w:val="nil"/>
              <w:right w:val="nil"/>
            </w:tcBorders>
          </w:tcPr>
          <w:p w14:paraId="777E8DB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explicitly does not have a heat recovery steam generator</w:t>
            </w:r>
          </w:p>
        </w:tc>
        <w:tc>
          <w:tcPr>
            <w:tcW w:w="863" w:type="dxa"/>
            <w:tcBorders>
              <w:top w:val="nil"/>
              <w:left w:val="nil"/>
              <w:bottom w:val="nil"/>
              <w:right w:val="nil"/>
            </w:tcBorders>
            <w:shd w:val="clear" w:color="auto" w:fill="auto"/>
            <w:noWrap/>
            <w:hideMark/>
          </w:tcPr>
          <w:p w14:paraId="4D0EF47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2332</w:t>
            </w:r>
          </w:p>
        </w:tc>
        <w:tc>
          <w:tcPr>
            <w:tcW w:w="1243" w:type="dxa"/>
            <w:tcBorders>
              <w:top w:val="nil"/>
              <w:left w:val="nil"/>
              <w:bottom w:val="nil"/>
              <w:right w:val="nil"/>
            </w:tcBorders>
            <w:shd w:val="clear" w:color="auto" w:fill="auto"/>
            <w:noWrap/>
            <w:hideMark/>
          </w:tcPr>
          <w:p w14:paraId="51C5CE4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0.493</w:t>
            </w:r>
          </w:p>
        </w:tc>
      </w:tr>
      <w:tr w:rsidR="009478ED" w:rsidRPr="007F37A0" w14:paraId="6532C314" w14:textId="77777777" w:rsidTr="00735871">
        <w:trPr>
          <w:trHeight w:val="276"/>
          <w:jc w:val="center"/>
        </w:trPr>
        <w:tc>
          <w:tcPr>
            <w:tcW w:w="2610" w:type="dxa"/>
            <w:tcBorders>
              <w:top w:val="nil"/>
              <w:left w:val="nil"/>
              <w:bottom w:val="nil"/>
              <w:right w:val="nil"/>
            </w:tcBorders>
            <w:shd w:val="clear" w:color="auto" w:fill="auto"/>
            <w:noWrap/>
            <w:hideMark/>
          </w:tcPr>
          <w:p w14:paraId="38B51442"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Heat Recovery Steam Generator</w:t>
            </w:r>
          </w:p>
        </w:tc>
        <w:tc>
          <w:tcPr>
            <w:tcW w:w="4614" w:type="dxa"/>
            <w:tcBorders>
              <w:top w:val="nil"/>
              <w:left w:val="nil"/>
              <w:bottom w:val="nil"/>
              <w:right w:val="nil"/>
            </w:tcBorders>
          </w:tcPr>
          <w:p w14:paraId="15D6F84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does have a heat recovery steam generator</w:t>
            </w:r>
          </w:p>
        </w:tc>
        <w:tc>
          <w:tcPr>
            <w:tcW w:w="863" w:type="dxa"/>
            <w:tcBorders>
              <w:top w:val="nil"/>
              <w:left w:val="nil"/>
              <w:bottom w:val="nil"/>
              <w:right w:val="nil"/>
            </w:tcBorders>
            <w:shd w:val="clear" w:color="auto" w:fill="auto"/>
            <w:noWrap/>
            <w:hideMark/>
          </w:tcPr>
          <w:p w14:paraId="7300710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1315</w:t>
            </w:r>
          </w:p>
        </w:tc>
        <w:tc>
          <w:tcPr>
            <w:tcW w:w="1243" w:type="dxa"/>
            <w:tcBorders>
              <w:top w:val="nil"/>
              <w:left w:val="nil"/>
              <w:bottom w:val="nil"/>
              <w:right w:val="nil"/>
            </w:tcBorders>
            <w:shd w:val="clear" w:color="auto" w:fill="auto"/>
            <w:noWrap/>
            <w:hideMark/>
          </w:tcPr>
          <w:p w14:paraId="72FCBED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0.278</w:t>
            </w:r>
          </w:p>
        </w:tc>
      </w:tr>
      <w:tr w:rsidR="009478ED" w:rsidRPr="007F37A0" w14:paraId="05CB9DBA" w14:textId="77777777" w:rsidTr="00735871">
        <w:trPr>
          <w:trHeight w:val="276"/>
          <w:jc w:val="center"/>
        </w:trPr>
        <w:tc>
          <w:tcPr>
            <w:tcW w:w="2610" w:type="dxa"/>
            <w:tcBorders>
              <w:top w:val="nil"/>
              <w:left w:val="nil"/>
              <w:bottom w:val="nil"/>
              <w:right w:val="nil"/>
            </w:tcBorders>
            <w:shd w:val="clear" w:color="auto" w:fill="auto"/>
            <w:noWrap/>
            <w:hideMark/>
          </w:tcPr>
          <w:p w14:paraId="6772C947"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Standards -D</w:t>
            </w:r>
          </w:p>
        </w:tc>
        <w:tc>
          <w:tcPr>
            <w:tcW w:w="4614" w:type="dxa"/>
            <w:tcBorders>
              <w:top w:val="nil"/>
              <w:left w:val="nil"/>
              <w:bottom w:val="nil"/>
              <w:right w:val="nil"/>
            </w:tcBorders>
          </w:tcPr>
          <w:p w14:paraId="39A0A20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subject to Standards of Performance for fossil-fuel fired steam boilers for which construction began after August 17, 1971.</w:t>
            </w:r>
          </w:p>
        </w:tc>
        <w:tc>
          <w:tcPr>
            <w:tcW w:w="863" w:type="dxa"/>
            <w:tcBorders>
              <w:top w:val="nil"/>
              <w:left w:val="nil"/>
              <w:bottom w:val="nil"/>
              <w:right w:val="nil"/>
            </w:tcBorders>
            <w:shd w:val="clear" w:color="auto" w:fill="auto"/>
            <w:noWrap/>
            <w:hideMark/>
          </w:tcPr>
          <w:p w14:paraId="6274BC5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321</w:t>
            </w:r>
          </w:p>
        </w:tc>
        <w:tc>
          <w:tcPr>
            <w:tcW w:w="1243" w:type="dxa"/>
            <w:tcBorders>
              <w:top w:val="nil"/>
              <w:left w:val="nil"/>
              <w:bottom w:val="nil"/>
              <w:right w:val="nil"/>
            </w:tcBorders>
            <w:shd w:val="clear" w:color="auto" w:fill="auto"/>
            <w:noWrap/>
            <w:hideMark/>
          </w:tcPr>
          <w:p w14:paraId="336A084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0.068</w:t>
            </w:r>
          </w:p>
        </w:tc>
      </w:tr>
      <w:tr w:rsidR="009478ED" w:rsidRPr="007F37A0" w14:paraId="70DA3A7D" w14:textId="77777777" w:rsidTr="00735871">
        <w:trPr>
          <w:trHeight w:val="276"/>
          <w:jc w:val="center"/>
        </w:trPr>
        <w:tc>
          <w:tcPr>
            <w:tcW w:w="2610" w:type="dxa"/>
            <w:tcBorders>
              <w:top w:val="nil"/>
              <w:left w:val="nil"/>
              <w:bottom w:val="nil"/>
              <w:right w:val="nil"/>
            </w:tcBorders>
            <w:shd w:val="clear" w:color="auto" w:fill="auto"/>
            <w:noWrap/>
            <w:hideMark/>
          </w:tcPr>
          <w:p w14:paraId="6F6EA290"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Standards -Da</w:t>
            </w:r>
          </w:p>
        </w:tc>
        <w:tc>
          <w:tcPr>
            <w:tcW w:w="4614" w:type="dxa"/>
            <w:tcBorders>
              <w:top w:val="nil"/>
              <w:left w:val="nil"/>
              <w:bottom w:val="nil"/>
              <w:right w:val="nil"/>
            </w:tcBorders>
          </w:tcPr>
          <w:p w14:paraId="025F5EC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subject to Standards of Performance for fossil-fuel fired steam boilers for which construction began after September 18, 1978</w:t>
            </w:r>
          </w:p>
        </w:tc>
        <w:tc>
          <w:tcPr>
            <w:tcW w:w="863" w:type="dxa"/>
            <w:tcBorders>
              <w:top w:val="nil"/>
              <w:left w:val="nil"/>
              <w:bottom w:val="nil"/>
              <w:right w:val="nil"/>
            </w:tcBorders>
            <w:shd w:val="clear" w:color="auto" w:fill="auto"/>
            <w:noWrap/>
            <w:hideMark/>
          </w:tcPr>
          <w:p w14:paraId="1FC3EAD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511</w:t>
            </w:r>
          </w:p>
        </w:tc>
        <w:tc>
          <w:tcPr>
            <w:tcW w:w="1243" w:type="dxa"/>
            <w:tcBorders>
              <w:top w:val="nil"/>
              <w:left w:val="nil"/>
              <w:bottom w:val="nil"/>
              <w:right w:val="nil"/>
            </w:tcBorders>
            <w:shd w:val="clear" w:color="auto" w:fill="auto"/>
            <w:noWrap/>
            <w:hideMark/>
          </w:tcPr>
          <w:p w14:paraId="3A15C95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0.108</w:t>
            </w:r>
          </w:p>
        </w:tc>
      </w:tr>
      <w:tr w:rsidR="009478ED" w:rsidRPr="007F37A0" w14:paraId="6C42C730" w14:textId="77777777" w:rsidTr="00735871">
        <w:trPr>
          <w:trHeight w:val="276"/>
          <w:jc w:val="center"/>
        </w:trPr>
        <w:tc>
          <w:tcPr>
            <w:tcW w:w="2610" w:type="dxa"/>
            <w:tcBorders>
              <w:top w:val="nil"/>
              <w:left w:val="nil"/>
              <w:bottom w:val="nil"/>
              <w:right w:val="nil"/>
            </w:tcBorders>
            <w:shd w:val="clear" w:color="auto" w:fill="auto"/>
            <w:noWrap/>
            <w:hideMark/>
          </w:tcPr>
          <w:p w14:paraId="7F02C178"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Standards -Db</w:t>
            </w:r>
          </w:p>
        </w:tc>
        <w:tc>
          <w:tcPr>
            <w:tcW w:w="4614" w:type="dxa"/>
            <w:tcBorders>
              <w:top w:val="nil"/>
              <w:left w:val="nil"/>
              <w:right w:val="nil"/>
            </w:tcBorders>
          </w:tcPr>
          <w:p w14:paraId="27C526B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subject to Standards of Performance for fossil-fuel fired steam boilers for which construction began after June 19, 1984.</w:t>
            </w:r>
          </w:p>
        </w:tc>
        <w:tc>
          <w:tcPr>
            <w:tcW w:w="863" w:type="dxa"/>
            <w:tcBorders>
              <w:top w:val="nil"/>
              <w:left w:val="nil"/>
              <w:bottom w:val="nil"/>
              <w:right w:val="nil"/>
            </w:tcBorders>
            <w:shd w:val="clear" w:color="auto" w:fill="auto"/>
            <w:noWrap/>
            <w:hideMark/>
          </w:tcPr>
          <w:p w14:paraId="516BC3C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814</w:t>
            </w:r>
          </w:p>
        </w:tc>
        <w:tc>
          <w:tcPr>
            <w:tcW w:w="1243" w:type="dxa"/>
            <w:tcBorders>
              <w:top w:val="nil"/>
              <w:left w:val="nil"/>
              <w:bottom w:val="nil"/>
              <w:right w:val="nil"/>
            </w:tcBorders>
            <w:shd w:val="clear" w:color="auto" w:fill="auto"/>
            <w:noWrap/>
            <w:hideMark/>
          </w:tcPr>
          <w:p w14:paraId="2E43709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0.172</w:t>
            </w:r>
          </w:p>
        </w:tc>
      </w:tr>
      <w:tr w:rsidR="009478ED" w:rsidRPr="007F37A0" w14:paraId="15FEC073" w14:textId="77777777" w:rsidTr="00735871">
        <w:trPr>
          <w:trHeight w:val="276"/>
          <w:jc w:val="center"/>
        </w:trPr>
        <w:tc>
          <w:tcPr>
            <w:tcW w:w="2610" w:type="dxa"/>
            <w:tcBorders>
              <w:top w:val="nil"/>
              <w:left w:val="nil"/>
              <w:bottom w:val="nil"/>
              <w:right w:val="nil"/>
            </w:tcBorders>
            <w:shd w:val="clear" w:color="auto" w:fill="auto"/>
            <w:noWrap/>
            <w:hideMark/>
          </w:tcPr>
          <w:p w14:paraId="58E06C14"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Standards -Dc</w:t>
            </w:r>
          </w:p>
        </w:tc>
        <w:tc>
          <w:tcPr>
            <w:tcW w:w="4614" w:type="dxa"/>
            <w:tcBorders>
              <w:top w:val="nil"/>
              <w:left w:val="nil"/>
              <w:right w:val="nil"/>
            </w:tcBorders>
          </w:tcPr>
          <w:p w14:paraId="349F2DF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subject to Standards of Performance for small industrial-commercial-institutional steam generating units</w:t>
            </w:r>
          </w:p>
        </w:tc>
        <w:tc>
          <w:tcPr>
            <w:tcW w:w="863" w:type="dxa"/>
            <w:tcBorders>
              <w:top w:val="nil"/>
              <w:left w:val="nil"/>
              <w:right w:val="nil"/>
            </w:tcBorders>
            <w:shd w:val="clear" w:color="auto" w:fill="auto"/>
            <w:noWrap/>
            <w:hideMark/>
          </w:tcPr>
          <w:p w14:paraId="59B3D38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61</w:t>
            </w:r>
          </w:p>
        </w:tc>
        <w:tc>
          <w:tcPr>
            <w:tcW w:w="1243" w:type="dxa"/>
            <w:tcBorders>
              <w:top w:val="nil"/>
              <w:left w:val="nil"/>
              <w:right w:val="nil"/>
            </w:tcBorders>
            <w:shd w:val="clear" w:color="auto" w:fill="auto"/>
            <w:noWrap/>
            <w:hideMark/>
          </w:tcPr>
          <w:p w14:paraId="62C761C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0.013</w:t>
            </w:r>
          </w:p>
        </w:tc>
      </w:tr>
      <w:tr w:rsidR="009478ED" w:rsidRPr="007F37A0" w14:paraId="73C2E5AB" w14:textId="77777777" w:rsidTr="00735871">
        <w:trPr>
          <w:trHeight w:val="276"/>
          <w:jc w:val="center"/>
        </w:trPr>
        <w:tc>
          <w:tcPr>
            <w:tcW w:w="2610" w:type="dxa"/>
            <w:tcBorders>
              <w:top w:val="nil"/>
              <w:left w:val="nil"/>
              <w:bottom w:val="nil"/>
              <w:right w:val="nil"/>
            </w:tcBorders>
            <w:shd w:val="clear" w:color="auto" w:fill="auto"/>
            <w:noWrap/>
            <w:vAlign w:val="bottom"/>
          </w:tcPr>
          <w:p w14:paraId="6929B53F"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-AB</w:t>
            </w:r>
          </w:p>
        </w:tc>
        <w:tc>
          <w:tcPr>
            <w:tcW w:w="4614" w:type="dxa"/>
            <w:tcBorders>
              <w:top w:val="nil"/>
              <w:left w:val="nil"/>
              <w:right w:val="nil"/>
            </w:tcBorders>
            <w:vAlign w:val="bottom"/>
          </w:tcPr>
          <w:p w14:paraId="001B17F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Agricultural By-Products</w:t>
            </w:r>
          </w:p>
        </w:tc>
        <w:tc>
          <w:tcPr>
            <w:tcW w:w="863" w:type="dxa"/>
            <w:tcBorders>
              <w:top w:val="nil"/>
              <w:left w:val="nil"/>
              <w:right w:val="nil"/>
            </w:tcBorders>
            <w:shd w:val="clear" w:color="auto" w:fill="auto"/>
            <w:noWrap/>
            <w:vAlign w:val="bottom"/>
          </w:tcPr>
          <w:p w14:paraId="2A723B2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w:t>
            </w:r>
          </w:p>
        </w:tc>
        <w:tc>
          <w:tcPr>
            <w:tcW w:w="1243" w:type="dxa"/>
            <w:tcBorders>
              <w:top w:val="nil"/>
              <w:left w:val="nil"/>
              <w:right w:val="nil"/>
            </w:tcBorders>
            <w:shd w:val="clear" w:color="auto" w:fill="auto"/>
            <w:noWrap/>
            <w:vAlign w:val="bottom"/>
          </w:tcPr>
          <w:p w14:paraId="7B54801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0.001</w:t>
            </w:r>
          </w:p>
        </w:tc>
      </w:tr>
      <w:tr w:rsidR="009478ED" w:rsidRPr="007F37A0" w14:paraId="4461BB0E" w14:textId="77777777" w:rsidTr="00735871">
        <w:trPr>
          <w:trHeight w:val="276"/>
          <w:jc w:val="center"/>
        </w:trPr>
        <w:tc>
          <w:tcPr>
            <w:tcW w:w="2610" w:type="dxa"/>
            <w:tcBorders>
              <w:top w:val="nil"/>
              <w:left w:val="nil"/>
              <w:bottom w:val="nil"/>
              <w:right w:val="nil"/>
            </w:tcBorders>
            <w:shd w:val="clear" w:color="auto" w:fill="auto"/>
            <w:noWrap/>
            <w:vAlign w:val="bottom"/>
          </w:tcPr>
          <w:p w14:paraId="16F1BFF1"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-BIT</w:t>
            </w:r>
          </w:p>
        </w:tc>
        <w:tc>
          <w:tcPr>
            <w:tcW w:w="4614" w:type="dxa"/>
            <w:tcBorders>
              <w:top w:val="nil"/>
              <w:left w:val="nil"/>
              <w:right w:val="nil"/>
            </w:tcBorders>
            <w:vAlign w:val="bottom"/>
          </w:tcPr>
          <w:p w14:paraId="535D4CE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Bituminous Coal</w:t>
            </w:r>
          </w:p>
        </w:tc>
        <w:tc>
          <w:tcPr>
            <w:tcW w:w="863" w:type="dxa"/>
            <w:tcBorders>
              <w:top w:val="nil"/>
              <w:left w:val="nil"/>
              <w:right w:val="nil"/>
            </w:tcBorders>
            <w:shd w:val="clear" w:color="auto" w:fill="auto"/>
            <w:noWrap/>
            <w:vAlign w:val="bottom"/>
          </w:tcPr>
          <w:p w14:paraId="3D5C174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861</w:t>
            </w:r>
          </w:p>
        </w:tc>
        <w:tc>
          <w:tcPr>
            <w:tcW w:w="1243" w:type="dxa"/>
            <w:tcBorders>
              <w:top w:val="nil"/>
              <w:left w:val="nil"/>
              <w:right w:val="nil"/>
            </w:tcBorders>
            <w:shd w:val="clear" w:color="auto" w:fill="auto"/>
            <w:noWrap/>
            <w:vAlign w:val="bottom"/>
          </w:tcPr>
          <w:p w14:paraId="10F5E51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0.182</w:t>
            </w:r>
          </w:p>
        </w:tc>
      </w:tr>
      <w:tr w:rsidR="009478ED" w:rsidRPr="007F37A0" w14:paraId="64043D7C" w14:textId="77777777" w:rsidTr="00735871">
        <w:trPr>
          <w:trHeight w:val="276"/>
          <w:jc w:val="center"/>
        </w:trPr>
        <w:tc>
          <w:tcPr>
            <w:tcW w:w="2610" w:type="dxa"/>
            <w:tcBorders>
              <w:top w:val="nil"/>
              <w:left w:val="nil"/>
              <w:bottom w:val="nil"/>
              <w:right w:val="nil"/>
            </w:tcBorders>
            <w:shd w:val="clear" w:color="auto" w:fill="auto"/>
            <w:noWrap/>
            <w:vAlign w:val="bottom"/>
          </w:tcPr>
          <w:p w14:paraId="7451E7EB"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-BLQ</w:t>
            </w:r>
          </w:p>
        </w:tc>
        <w:tc>
          <w:tcPr>
            <w:tcW w:w="4614" w:type="dxa"/>
            <w:tcBorders>
              <w:top w:val="nil"/>
              <w:left w:val="nil"/>
              <w:right w:val="nil"/>
            </w:tcBorders>
            <w:vAlign w:val="bottom"/>
          </w:tcPr>
          <w:p w14:paraId="053B086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Black Liquor</w:t>
            </w:r>
          </w:p>
        </w:tc>
        <w:tc>
          <w:tcPr>
            <w:tcW w:w="863" w:type="dxa"/>
            <w:tcBorders>
              <w:top w:val="nil"/>
              <w:left w:val="nil"/>
              <w:right w:val="nil"/>
            </w:tcBorders>
            <w:shd w:val="clear" w:color="auto" w:fill="auto"/>
            <w:noWrap/>
            <w:vAlign w:val="bottom"/>
          </w:tcPr>
          <w:p w14:paraId="44BF005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59</w:t>
            </w:r>
          </w:p>
        </w:tc>
        <w:tc>
          <w:tcPr>
            <w:tcW w:w="1243" w:type="dxa"/>
            <w:tcBorders>
              <w:top w:val="nil"/>
              <w:left w:val="nil"/>
              <w:right w:val="nil"/>
            </w:tcBorders>
            <w:shd w:val="clear" w:color="auto" w:fill="auto"/>
            <w:noWrap/>
            <w:vAlign w:val="bottom"/>
          </w:tcPr>
          <w:p w14:paraId="6E7D9D3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0.013</w:t>
            </w:r>
          </w:p>
        </w:tc>
      </w:tr>
      <w:tr w:rsidR="009478ED" w:rsidRPr="007F37A0" w14:paraId="559D74A5" w14:textId="77777777" w:rsidTr="00735871">
        <w:trPr>
          <w:trHeight w:val="276"/>
          <w:jc w:val="center"/>
        </w:trPr>
        <w:tc>
          <w:tcPr>
            <w:tcW w:w="2610" w:type="dxa"/>
            <w:tcBorders>
              <w:top w:val="nil"/>
              <w:left w:val="nil"/>
              <w:bottom w:val="nil"/>
              <w:right w:val="nil"/>
            </w:tcBorders>
            <w:shd w:val="clear" w:color="auto" w:fill="auto"/>
            <w:noWrap/>
            <w:vAlign w:val="bottom"/>
          </w:tcPr>
          <w:p w14:paraId="11B7B26A"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-DFO</w:t>
            </w:r>
          </w:p>
        </w:tc>
        <w:tc>
          <w:tcPr>
            <w:tcW w:w="4614" w:type="dxa"/>
            <w:tcBorders>
              <w:top w:val="nil"/>
              <w:left w:val="nil"/>
              <w:right w:val="nil"/>
            </w:tcBorders>
            <w:vAlign w:val="bottom"/>
          </w:tcPr>
          <w:p w14:paraId="4F44435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Distillate Fuel Oil</w:t>
            </w:r>
          </w:p>
        </w:tc>
        <w:tc>
          <w:tcPr>
            <w:tcW w:w="863" w:type="dxa"/>
            <w:tcBorders>
              <w:top w:val="nil"/>
              <w:left w:val="nil"/>
              <w:right w:val="nil"/>
            </w:tcBorders>
            <w:shd w:val="clear" w:color="auto" w:fill="auto"/>
            <w:noWrap/>
            <w:vAlign w:val="bottom"/>
          </w:tcPr>
          <w:p w14:paraId="08D8D26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506</w:t>
            </w:r>
          </w:p>
        </w:tc>
        <w:tc>
          <w:tcPr>
            <w:tcW w:w="1243" w:type="dxa"/>
            <w:tcBorders>
              <w:top w:val="nil"/>
              <w:left w:val="nil"/>
              <w:right w:val="nil"/>
            </w:tcBorders>
            <w:shd w:val="clear" w:color="auto" w:fill="auto"/>
            <w:noWrap/>
            <w:vAlign w:val="bottom"/>
          </w:tcPr>
          <w:p w14:paraId="010C72D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0.107</w:t>
            </w:r>
          </w:p>
        </w:tc>
      </w:tr>
      <w:bookmarkEnd w:id="149"/>
    </w:tbl>
    <w:p w14:paraId="0790621C" w14:textId="77777777" w:rsidR="00142A7E" w:rsidRDefault="00142A7E" w:rsidP="009478ED">
      <w:pPr>
        <w:rPr>
          <w:rFonts w:ascii="Times New Roman" w:hAnsi="Times New Roman" w:cs="Times New Roman"/>
        </w:rPr>
      </w:pPr>
    </w:p>
    <w:p w14:paraId="0506DB94" w14:textId="6DDC184D" w:rsidR="009478ED" w:rsidRPr="007F37A0" w:rsidRDefault="009478ED" w:rsidP="009478ED">
      <w:pPr>
        <w:rPr>
          <w:rFonts w:ascii="Times New Roman" w:hAnsi="Times New Roman" w:cs="Times New Roman"/>
        </w:rPr>
      </w:pPr>
      <w:r w:rsidRPr="007F37A0">
        <w:rPr>
          <w:rFonts w:ascii="Times New Roman" w:hAnsi="Times New Roman" w:cs="Times New Roman"/>
        </w:rPr>
        <w:lastRenderedPageBreak/>
        <w:fldChar w:fldCharType="begin"/>
      </w:r>
      <w:r w:rsidRPr="007F37A0">
        <w:rPr>
          <w:rFonts w:ascii="Times New Roman" w:hAnsi="Times New Roman" w:cs="Times New Roman"/>
        </w:rPr>
        <w:instrText xml:space="preserve"> REF _Ref162000268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16</w:t>
      </w:r>
      <w:r w:rsidRPr="007F37A0">
        <w:rPr>
          <w:rFonts w:ascii="Times New Roman" w:hAnsi="Times New Roman" w:cs="Times New Roman"/>
        </w:rPr>
        <w:fldChar w:fldCharType="end"/>
      </w:r>
      <w:r w:rsidRPr="007F37A0">
        <w:rPr>
          <w:rFonts w:ascii="Times New Roman" w:hAnsi="Times New Roman" w:cs="Times New Roman"/>
        </w:rPr>
        <w:t>: Continued</w:t>
      </w:r>
    </w:p>
    <w:p w14:paraId="73225F28" w14:textId="77777777" w:rsidR="009478ED" w:rsidRPr="007F37A0" w:rsidRDefault="009478ED" w:rsidP="009478ED">
      <w:pPr>
        <w:rPr>
          <w:rFonts w:ascii="Times New Roman" w:hAnsi="Times New Roman" w:cs="Times New Roman"/>
          <w:b/>
          <w:bCs/>
        </w:rPr>
      </w:pPr>
    </w:p>
    <w:tbl>
      <w:tblPr>
        <w:tblW w:w="9330" w:type="dxa"/>
        <w:jc w:val="center"/>
        <w:tblLook w:val="04A0" w:firstRow="1" w:lastRow="0" w:firstColumn="1" w:lastColumn="0" w:noHBand="0" w:noVBand="1"/>
      </w:tblPr>
      <w:tblGrid>
        <w:gridCol w:w="2610"/>
        <w:gridCol w:w="4614"/>
        <w:gridCol w:w="863"/>
        <w:gridCol w:w="1243"/>
      </w:tblGrid>
      <w:tr w:rsidR="00142A7E" w:rsidRPr="007F37A0" w14:paraId="4CD2430E" w14:textId="77777777" w:rsidTr="00735871">
        <w:trPr>
          <w:trHeight w:val="276"/>
          <w:jc w:val="center"/>
        </w:trPr>
        <w:tc>
          <w:tcPr>
            <w:tcW w:w="2610" w:type="dxa"/>
            <w:tcBorders>
              <w:top w:val="nil"/>
              <w:left w:val="nil"/>
              <w:bottom w:val="nil"/>
              <w:right w:val="nil"/>
            </w:tcBorders>
            <w:shd w:val="clear" w:color="auto" w:fill="auto"/>
            <w:noWrap/>
            <w:vAlign w:val="bottom"/>
          </w:tcPr>
          <w:p w14:paraId="6D122636" w14:textId="0F8974BC" w:rsidR="00142A7E" w:rsidRPr="007F37A0" w:rsidRDefault="00142A7E" w:rsidP="00142A7E">
            <w:pPr>
              <w:spacing w:after="240"/>
              <w:rPr>
                <w:rFonts w:ascii="Times New Roman" w:hAnsi="Times New Roman" w:cs="Times New Roman"/>
              </w:rPr>
            </w:pPr>
            <w:r w:rsidRPr="007F37A0">
              <w:rPr>
                <w:rFonts w:ascii="Times New Roman" w:hAnsi="Times New Roman" w:cs="Times New Roman"/>
              </w:rPr>
              <w:t>Fuel Type -LIG</w:t>
            </w:r>
          </w:p>
        </w:tc>
        <w:tc>
          <w:tcPr>
            <w:tcW w:w="4614" w:type="dxa"/>
            <w:tcBorders>
              <w:top w:val="nil"/>
              <w:left w:val="nil"/>
              <w:right w:val="nil"/>
            </w:tcBorders>
            <w:vAlign w:val="bottom"/>
          </w:tcPr>
          <w:p w14:paraId="6C50C872" w14:textId="274FF8C3" w:rsidR="00142A7E" w:rsidRPr="007F37A0" w:rsidRDefault="00142A7E" w:rsidP="00142A7E">
            <w:pPr>
              <w:spacing w:after="240"/>
              <w:jc w:val="center"/>
              <w:rPr>
                <w:rFonts w:ascii="Times New Roman" w:hAnsi="Times New Roman" w:cs="Times New Roman"/>
              </w:rPr>
            </w:pPr>
            <w:r w:rsidRPr="007F37A0">
              <w:rPr>
                <w:rFonts w:ascii="Times New Roman" w:hAnsi="Times New Roman" w:cs="Times New Roman"/>
              </w:rPr>
              <w:t>Boiler ever used Lignite Coal</w:t>
            </w:r>
          </w:p>
        </w:tc>
        <w:tc>
          <w:tcPr>
            <w:tcW w:w="863" w:type="dxa"/>
            <w:tcBorders>
              <w:top w:val="nil"/>
              <w:left w:val="nil"/>
              <w:right w:val="nil"/>
            </w:tcBorders>
            <w:shd w:val="clear" w:color="auto" w:fill="auto"/>
            <w:noWrap/>
            <w:vAlign w:val="bottom"/>
          </w:tcPr>
          <w:p w14:paraId="7226ADBB" w14:textId="4207079D" w:rsidR="00142A7E" w:rsidRPr="007F37A0" w:rsidRDefault="00142A7E" w:rsidP="00142A7E">
            <w:pPr>
              <w:spacing w:after="240"/>
              <w:jc w:val="center"/>
              <w:rPr>
                <w:rFonts w:ascii="Times New Roman" w:hAnsi="Times New Roman" w:cs="Times New Roman"/>
              </w:rPr>
            </w:pPr>
            <w:r w:rsidRPr="007F37A0">
              <w:rPr>
                <w:rFonts w:ascii="Times New Roman" w:hAnsi="Times New Roman" w:cs="Times New Roman"/>
              </w:rPr>
              <w:t>38</w:t>
            </w:r>
          </w:p>
        </w:tc>
        <w:tc>
          <w:tcPr>
            <w:tcW w:w="1243" w:type="dxa"/>
            <w:tcBorders>
              <w:top w:val="nil"/>
              <w:left w:val="nil"/>
              <w:right w:val="nil"/>
            </w:tcBorders>
            <w:shd w:val="clear" w:color="auto" w:fill="auto"/>
            <w:noWrap/>
            <w:vAlign w:val="bottom"/>
          </w:tcPr>
          <w:p w14:paraId="50E3C390" w14:textId="22BBE369" w:rsidR="00142A7E" w:rsidRPr="007F37A0" w:rsidRDefault="00142A7E" w:rsidP="00142A7E">
            <w:pPr>
              <w:spacing w:after="240"/>
              <w:jc w:val="center"/>
              <w:rPr>
                <w:rFonts w:ascii="Times New Roman" w:hAnsi="Times New Roman" w:cs="Times New Roman"/>
              </w:rPr>
            </w:pPr>
            <w:r w:rsidRPr="007F37A0">
              <w:rPr>
                <w:rFonts w:ascii="Times New Roman" w:hAnsi="Times New Roman" w:cs="Times New Roman"/>
              </w:rPr>
              <w:t>0.008</w:t>
            </w:r>
          </w:p>
        </w:tc>
      </w:tr>
      <w:tr w:rsidR="009478ED" w:rsidRPr="007F37A0" w14:paraId="52547037" w14:textId="77777777" w:rsidTr="00735871">
        <w:trPr>
          <w:trHeight w:val="276"/>
          <w:jc w:val="center"/>
        </w:trPr>
        <w:tc>
          <w:tcPr>
            <w:tcW w:w="2610" w:type="dxa"/>
            <w:tcBorders>
              <w:top w:val="nil"/>
              <w:left w:val="nil"/>
              <w:bottom w:val="nil"/>
              <w:right w:val="nil"/>
            </w:tcBorders>
            <w:shd w:val="clear" w:color="auto" w:fill="auto"/>
            <w:noWrap/>
            <w:vAlign w:val="bottom"/>
          </w:tcPr>
          <w:p w14:paraId="08A969AF"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-MSW</w:t>
            </w:r>
          </w:p>
        </w:tc>
        <w:tc>
          <w:tcPr>
            <w:tcW w:w="4614" w:type="dxa"/>
            <w:tcBorders>
              <w:top w:val="nil"/>
              <w:left w:val="nil"/>
              <w:right w:val="nil"/>
            </w:tcBorders>
            <w:vAlign w:val="bottom"/>
          </w:tcPr>
          <w:p w14:paraId="664824A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Municipal Solid Waste</w:t>
            </w:r>
          </w:p>
        </w:tc>
        <w:tc>
          <w:tcPr>
            <w:tcW w:w="863" w:type="dxa"/>
            <w:tcBorders>
              <w:top w:val="nil"/>
              <w:left w:val="nil"/>
              <w:right w:val="nil"/>
            </w:tcBorders>
            <w:shd w:val="clear" w:color="auto" w:fill="auto"/>
            <w:noWrap/>
            <w:vAlign w:val="bottom"/>
          </w:tcPr>
          <w:p w14:paraId="78B22E5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w:t>
            </w:r>
          </w:p>
        </w:tc>
        <w:tc>
          <w:tcPr>
            <w:tcW w:w="1243" w:type="dxa"/>
            <w:tcBorders>
              <w:top w:val="nil"/>
              <w:left w:val="nil"/>
              <w:right w:val="nil"/>
            </w:tcBorders>
            <w:shd w:val="clear" w:color="auto" w:fill="auto"/>
            <w:noWrap/>
            <w:vAlign w:val="bottom"/>
          </w:tcPr>
          <w:p w14:paraId="66A7E6F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0.002</w:t>
            </w:r>
          </w:p>
        </w:tc>
      </w:tr>
      <w:tr w:rsidR="009478ED" w:rsidRPr="007F37A0" w14:paraId="4C82F75E" w14:textId="77777777" w:rsidTr="00735871">
        <w:trPr>
          <w:trHeight w:val="276"/>
          <w:jc w:val="center"/>
        </w:trPr>
        <w:tc>
          <w:tcPr>
            <w:tcW w:w="2610" w:type="dxa"/>
            <w:tcBorders>
              <w:top w:val="nil"/>
              <w:left w:val="nil"/>
              <w:bottom w:val="nil"/>
              <w:right w:val="nil"/>
            </w:tcBorders>
            <w:shd w:val="clear" w:color="auto" w:fill="auto"/>
            <w:noWrap/>
            <w:vAlign w:val="bottom"/>
          </w:tcPr>
          <w:p w14:paraId="0C61C9B2"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-NG</w:t>
            </w:r>
          </w:p>
        </w:tc>
        <w:tc>
          <w:tcPr>
            <w:tcW w:w="4614" w:type="dxa"/>
            <w:tcBorders>
              <w:top w:val="nil"/>
              <w:left w:val="nil"/>
              <w:right w:val="nil"/>
            </w:tcBorders>
            <w:vAlign w:val="bottom"/>
          </w:tcPr>
          <w:p w14:paraId="1E8371B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Natural Gas</w:t>
            </w:r>
          </w:p>
        </w:tc>
        <w:tc>
          <w:tcPr>
            <w:tcW w:w="863" w:type="dxa"/>
            <w:tcBorders>
              <w:top w:val="nil"/>
              <w:left w:val="nil"/>
              <w:right w:val="nil"/>
            </w:tcBorders>
            <w:shd w:val="clear" w:color="auto" w:fill="auto"/>
            <w:noWrap/>
            <w:vAlign w:val="bottom"/>
          </w:tcPr>
          <w:p w14:paraId="33AED20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1807</w:t>
            </w:r>
          </w:p>
        </w:tc>
        <w:tc>
          <w:tcPr>
            <w:tcW w:w="1243" w:type="dxa"/>
            <w:tcBorders>
              <w:top w:val="nil"/>
              <w:left w:val="nil"/>
              <w:right w:val="nil"/>
            </w:tcBorders>
            <w:shd w:val="clear" w:color="auto" w:fill="auto"/>
            <w:noWrap/>
            <w:vAlign w:val="bottom"/>
          </w:tcPr>
          <w:p w14:paraId="54BC07C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0.382</w:t>
            </w:r>
          </w:p>
        </w:tc>
      </w:tr>
      <w:tr w:rsidR="009478ED" w:rsidRPr="007F37A0" w14:paraId="7E7E9990" w14:textId="77777777" w:rsidTr="00735871">
        <w:trPr>
          <w:trHeight w:val="276"/>
          <w:jc w:val="center"/>
        </w:trPr>
        <w:tc>
          <w:tcPr>
            <w:tcW w:w="2610" w:type="dxa"/>
            <w:tcBorders>
              <w:top w:val="nil"/>
              <w:left w:val="nil"/>
              <w:bottom w:val="nil"/>
              <w:right w:val="nil"/>
            </w:tcBorders>
            <w:shd w:val="clear" w:color="auto" w:fill="auto"/>
            <w:noWrap/>
            <w:vAlign w:val="bottom"/>
          </w:tcPr>
          <w:p w14:paraId="5758B314"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-OBS</w:t>
            </w:r>
          </w:p>
        </w:tc>
        <w:tc>
          <w:tcPr>
            <w:tcW w:w="4614" w:type="dxa"/>
            <w:tcBorders>
              <w:top w:val="nil"/>
              <w:left w:val="nil"/>
              <w:right w:val="nil"/>
            </w:tcBorders>
            <w:vAlign w:val="bottom"/>
          </w:tcPr>
          <w:p w14:paraId="00DAEF9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Other Biomass Solid</w:t>
            </w:r>
          </w:p>
        </w:tc>
        <w:tc>
          <w:tcPr>
            <w:tcW w:w="863" w:type="dxa"/>
            <w:tcBorders>
              <w:top w:val="nil"/>
              <w:left w:val="nil"/>
              <w:right w:val="nil"/>
            </w:tcBorders>
            <w:shd w:val="clear" w:color="auto" w:fill="auto"/>
            <w:noWrap/>
            <w:vAlign w:val="bottom"/>
          </w:tcPr>
          <w:p w14:paraId="6A2742B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11</w:t>
            </w:r>
          </w:p>
        </w:tc>
        <w:tc>
          <w:tcPr>
            <w:tcW w:w="1243" w:type="dxa"/>
            <w:tcBorders>
              <w:top w:val="nil"/>
              <w:left w:val="nil"/>
              <w:right w:val="nil"/>
            </w:tcBorders>
            <w:shd w:val="clear" w:color="auto" w:fill="auto"/>
            <w:noWrap/>
            <w:vAlign w:val="bottom"/>
          </w:tcPr>
          <w:p w14:paraId="7F37107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0.002</w:t>
            </w:r>
          </w:p>
        </w:tc>
      </w:tr>
      <w:tr w:rsidR="009478ED" w:rsidRPr="007F37A0" w14:paraId="4EB39A71" w14:textId="77777777" w:rsidTr="00735871">
        <w:trPr>
          <w:trHeight w:val="276"/>
          <w:jc w:val="center"/>
        </w:trPr>
        <w:tc>
          <w:tcPr>
            <w:tcW w:w="2610" w:type="dxa"/>
            <w:tcBorders>
              <w:top w:val="nil"/>
              <w:left w:val="nil"/>
              <w:bottom w:val="nil"/>
              <w:right w:val="nil"/>
            </w:tcBorders>
            <w:shd w:val="clear" w:color="auto" w:fill="auto"/>
            <w:noWrap/>
            <w:vAlign w:val="bottom"/>
          </w:tcPr>
          <w:p w14:paraId="59D61356"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-OG</w:t>
            </w:r>
          </w:p>
        </w:tc>
        <w:tc>
          <w:tcPr>
            <w:tcW w:w="4614" w:type="dxa"/>
            <w:tcBorders>
              <w:top w:val="nil"/>
              <w:left w:val="nil"/>
              <w:right w:val="nil"/>
            </w:tcBorders>
            <w:vAlign w:val="bottom"/>
          </w:tcPr>
          <w:p w14:paraId="04B0A4F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Other Gas</w:t>
            </w:r>
          </w:p>
        </w:tc>
        <w:tc>
          <w:tcPr>
            <w:tcW w:w="863" w:type="dxa"/>
            <w:tcBorders>
              <w:top w:val="nil"/>
              <w:left w:val="nil"/>
              <w:right w:val="nil"/>
            </w:tcBorders>
            <w:shd w:val="clear" w:color="auto" w:fill="auto"/>
            <w:noWrap/>
            <w:vAlign w:val="bottom"/>
          </w:tcPr>
          <w:p w14:paraId="07B609C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97</w:t>
            </w:r>
          </w:p>
        </w:tc>
        <w:tc>
          <w:tcPr>
            <w:tcW w:w="1243" w:type="dxa"/>
            <w:tcBorders>
              <w:top w:val="nil"/>
              <w:left w:val="nil"/>
              <w:right w:val="nil"/>
            </w:tcBorders>
            <w:shd w:val="clear" w:color="auto" w:fill="auto"/>
            <w:noWrap/>
            <w:vAlign w:val="bottom"/>
          </w:tcPr>
          <w:p w14:paraId="6DA0D90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0.021</w:t>
            </w:r>
          </w:p>
        </w:tc>
      </w:tr>
      <w:tr w:rsidR="009478ED" w:rsidRPr="007F37A0" w14:paraId="263B7335" w14:textId="77777777" w:rsidTr="00735871">
        <w:trPr>
          <w:trHeight w:val="276"/>
          <w:jc w:val="center"/>
        </w:trPr>
        <w:tc>
          <w:tcPr>
            <w:tcW w:w="2610" w:type="dxa"/>
            <w:tcBorders>
              <w:top w:val="nil"/>
              <w:left w:val="nil"/>
              <w:bottom w:val="nil"/>
              <w:right w:val="nil"/>
            </w:tcBorders>
            <w:shd w:val="clear" w:color="auto" w:fill="auto"/>
            <w:noWrap/>
            <w:vAlign w:val="bottom"/>
          </w:tcPr>
          <w:p w14:paraId="5B38CF45"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-OTH</w:t>
            </w:r>
          </w:p>
        </w:tc>
        <w:tc>
          <w:tcPr>
            <w:tcW w:w="4614" w:type="dxa"/>
            <w:tcBorders>
              <w:top w:val="nil"/>
              <w:left w:val="nil"/>
              <w:right w:val="nil"/>
            </w:tcBorders>
            <w:vAlign w:val="bottom"/>
          </w:tcPr>
          <w:p w14:paraId="2D746B5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Other Fuel</w:t>
            </w:r>
          </w:p>
        </w:tc>
        <w:tc>
          <w:tcPr>
            <w:tcW w:w="863" w:type="dxa"/>
            <w:tcBorders>
              <w:top w:val="nil"/>
              <w:left w:val="nil"/>
              <w:right w:val="nil"/>
            </w:tcBorders>
            <w:shd w:val="clear" w:color="auto" w:fill="auto"/>
            <w:noWrap/>
            <w:vAlign w:val="bottom"/>
          </w:tcPr>
          <w:p w14:paraId="6646202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31</w:t>
            </w:r>
          </w:p>
        </w:tc>
        <w:tc>
          <w:tcPr>
            <w:tcW w:w="1243" w:type="dxa"/>
            <w:tcBorders>
              <w:top w:val="nil"/>
              <w:left w:val="nil"/>
              <w:right w:val="nil"/>
            </w:tcBorders>
            <w:shd w:val="clear" w:color="auto" w:fill="auto"/>
            <w:noWrap/>
            <w:vAlign w:val="bottom"/>
          </w:tcPr>
          <w:p w14:paraId="2B4C393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0.007</w:t>
            </w:r>
          </w:p>
        </w:tc>
      </w:tr>
      <w:tr w:rsidR="009478ED" w:rsidRPr="007F37A0" w14:paraId="781E3750" w14:textId="77777777" w:rsidTr="00735871">
        <w:trPr>
          <w:trHeight w:val="276"/>
          <w:jc w:val="center"/>
        </w:trPr>
        <w:tc>
          <w:tcPr>
            <w:tcW w:w="2610" w:type="dxa"/>
            <w:tcBorders>
              <w:top w:val="nil"/>
              <w:left w:val="nil"/>
              <w:bottom w:val="nil"/>
              <w:right w:val="nil"/>
            </w:tcBorders>
            <w:shd w:val="clear" w:color="auto" w:fill="auto"/>
            <w:noWrap/>
            <w:vAlign w:val="bottom"/>
          </w:tcPr>
          <w:p w14:paraId="51BF80A2"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-PC</w:t>
            </w:r>
          </w:p>
        </w:tc>
        <w:tc>
          <w:tcPr>
            <w:tcW w:w="4614" w:type="dxa"/>
            <w:tcBorders>
              <w:top w:val="nil"/>
              <w:left w:val="nil"/>
              <w:right w:val="nil"/>
            </w:tcBorders>
            <w:vAlign w:val="bottom"/>
          </w:tcPr>
          <w:p w14:paraId="3AB6B28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Petroleum Coke</w:t>
            </w:r>
          </w:p>
        </w:tc>
        <w:tc>
          <w:tcPr>
            <w:tcW w:w="863" w:type="dxa"/>
            <w:tcBorders>
              <w:top w:val="nil"/>
              <w:left w:val="nil"/>
              <w:right w:val="nil"/>
            </w:tcBorders>
            <w:shd w:val="clear" w:color="auto" w:fill="auto"/>
            <w:noWrap/>
            <w:vAlign w:val="bottom"/>
          </w:tcPr>
          <w:p w14:paraId="0DEB993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59</w:t>
            </w:r>
          </w:p>
        </w:tc>
        <w:tc>
          <w:tcPr>
            <w:tcW w:w="1243" w:type="dxa"/>
            <w:tcBorders>
              <w:top w:val="nil"/>
              <w:left w:val="nil"/>
              <w:right w:val="nil"/>
            </w:tcBorders>
            <w:shd w:val="clear" w:color="auto" w:fill="auto"/>
            <w:noWrap/>
            <w:vAlign w:val="bottom"/>
          </w:tcPr>
          <w:p w14:paraId="2260D6D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0.013</w:t>
            </w:r>
          </w:p>
        </w:tc>
      </w:tr>
      <w:tr w:rsidR="009478ED" w:rsidRPr="007F37A0" w14:paraId="68AE1FD3" w14:textId="77777777" w:rsidTr="00735871">
        <w:trPr>
          <w:trHeight w:val="276"/>
          <w:jc w:val="center"/>
        </w:trPr>
        <w:tc>
          <w:tcPr>
            <w:tcW w:w="2610" w:type="dxa"/>
            <w:tcBorders>
              <w:top w:val="nil"/>
              <w:left w:val="nil"/>
              <w:bottom w:val="nil"/>
              <w:right w:val="nil"/>
            </w:tcBorders>
            <w:shd w:val="clear" w:color="auto" w:fill="auto"/>
            <w:noWrap/>
            <w:vAlign w:val="bottom"/>
          </w:tcPr>
          <w:p w14:paraId="3A3CF006"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-RC</w:t>
            </w:r>
          </w:p>
        </w:tc>
        <w:tc>
          <w:tcPr>
            <w:tcW w:w="4614" w:type="dxa"/>
            <w:tcBorders>
              <w:top w:val="nil"/>
              <w:left w:val="nil"/>
              <w:right w:val="nil"/>
            </w:tcBorders>
            <w:vAlign w:val="bottom"/>
          </w:tcPr>
          <w:p w14:paraId="4ED0E8A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Refined Coal</w:t>
            </w:r>
          </w:p>
        </w:tc>
        <w:tc>
          <w:tcPr>
            <w:tcW w:w="863" w:type="dxa"/>
            <w:tcBorders>
              <w:top w:val="nil"/>
              <w:left w:val="nil"/>
              <w:right w:val="nil"/>
            </w:tcBorders>
            <w:shd w:val="clear" w:color="auto" w:fill="auto"/>
            <w:noWrap/>
            <w:vAlign w:val="bottom"/>
          </w:tcPr>
          <w:p w14:paraId="3F7B0E2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119</w:t>
            </w:r>
          </w:p>
        </w:tc>
        <w:tc>
          <w:tcPr>
            <w:tcW w:w="1243" w:type="dxa"/>
            <w:tcBorders>
              <w:top w:val="nil"/>
              <w:left w:val="nil"/>
              <w:right w:val="nil"/>
            </w:tcBorders>
            <w:shd w:val="clear" w:color="auto" w:fill="auto"/>
            <w:noWrap/>
            <w:vAlign w:val="bottom"/>
          </w:tcPr>
          <w:p w14:paraId="6EDB288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0.025</w:t>
            </w:r>
          </w:p>
        </w:tc>
      </w:tr>
      <w:tr w:rsidR="009478ED" w:rsidRPr="007F37A0" w14:paraId="6CF459C5" w14:textId="77777777" w:rsidTr="00735871">
        <w:trPr>
          <w:trHeight w:val="276"/>
          <w:jc w:val="center"/>
        </w:trPr>
        <w:tc>
          <w:tcPr>
            <w:tcW w:w="2610" w:type="dxa"/>
            <w:tcBorders>
              <w:top w:val="nil"/>
              <w:left w:val="nil"/>
              <w:bottom w:val="nil"/>
              <w:right w:val="nil"/>
            </w:tcBorders>
            <w:shd w:val="clear" w:color="auto" w:fill="auto"/>
            <w:noWrap/>
            <w:vAlign w:val="bottom"/>
          </w:tcPr>
          <w:p w14:paraId="7B07D3C4"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-RFO</w:t>
            </w:r>
          </w:p>
        </w:tc>
        <w:tc>
          <w:tcPr>
            <w:tcW w:w="4614" w:type="dxa"/>
            <w:tcBorders>
              <w:top w:val="nil"/>
              <w:left w:val="nil"/>
              <w:right w:val="nil"/>
            </w:tcBorders>
            <w:vAlign w:val="bottom"/>
          </w:tcPr>
          <w:p w14:paraId="7653F88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Residual Fuel Oil</w:t>
            </w:r>
          </w:p>
        </w:tc>
        <w:tc>
          <w:tcPr>
            <w:tcW w:w="863" w:type="dxa"/>
            <w:tcBorders>
              <w:top w:val="nil"/>
              <w:left w:val="nil"/>
              <w:right w:val="nil"/>
            </w:tcBorders>
            <w:shd w:val="clear" w:color="auto" w:fill="auto"/>
            <w:noWrap/>
            <w:vAlign w:val="bottom"/>
          </w:tcPr>
          <w:p w14:paraId="0E72CD8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299</w:t>
            </w:r>
          </w:p>
        </w:tc>
        <w:tc>
          <w:tcPr>
            <w:tcW w:w="1243" w:type="dxa"/>
            <w:tcBorders>
              <w:top w:val="nil"/>
              <w:left w:val="nil"/>
              <w:right w:val="nil"/>
            </w:tcBorders>
            <w:shd w:val="clear" w:color="auto" w:fill="auto"/>
            <w:noWrap/>
            <w:vAlign w:val="bottom"/>
          </w:tcPr>
          <w:p w14:paraId="6543969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0.063</w:t>
            </w:r>
          </w:p>
        </w:tc>
      </w:tr>
      <w:tr w:rsidR="009478ED" w:rsidRPr="007F37A0" w14:paraId="78174F53" w14:textId="77777777" w:rsidTr="00735871">
        <w:trPr>
          <w:trHeight w:val="276"/>
          <w:jc w:val="center"/>
        </w:trPr>
        <w:tc>
          <w:tcPr>
            <w:tcW w:w="2610" w:type="dxa"/>
            <w:tcBorders>
              <w:top w:val="nil"/>
              <w:left w:val="nil"/>
              <w:bottom w:val="nil"/>
              <w:right w:val="nil"/>
            </w:tcBorders>
            <w:shd w:val="clear" w:color="auto" w:fill="auto"/>
            <w:noWrap/>
            <w:vAlign w:val="bottom"/>
          </w:tcPr>
          <w:p w14:paraId="7524C8A2"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-SGC</w:t>
            </w:r>
          </w:p>
        </w:tc>
        <w:tc>
          <w:tcPr>
            <w:tcW w:w="4614" w:type="dxa"/>
            <w:tcBorders>
              <w:top w:val="nil"/>
              <w:left w:val="nil"/>
              <w:right w:val="nil"/>
            </w:tcBorders>
            <w:vAlign w:val="bottom"/>
          </w:tcPr>
          <w:p w14:paraId="1F31E89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Coal-Derived Synthesis Gas</w:t>
            </w:r>
          </w:p>
        </w:tc>
        <w:tc>
          <w:tcPr>
            <w:tcW w:w="863" w:type="dxa"/>
            <w:tcBorders>
              <w:top w:val="nil"/>
              <w:left w:val="nil"/>
              <w:right w:val="nil"/>
            </w:tcBorders>
            <w:shd w:val="clear" w:color="auto" w:fill="auto"/>
            <w:noWrap/>
            <w:vAlign w:val="bottom"/>
          </w:tcPr>
          <w:p w14:paraId="58B588F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w:t>
            </w:r>
          </w:p>
        </w:tc>
        <w:tc>
          <w:tcPr>
            <w:tcW w:w="1243" w:type="dxa"/>
            <w:tcBorders>
              <w:top w:val="nil"/>
              <w:left w:val="nil"/>
              <w:right w:val="nil"/>
            </w:tcBorders>
            <w:shd w:val="clear" w:color="auto" w:fill="auto"/>
            <w:noWrap/>
            <w:vAlign w:val="bottom"/>
          </w:tcPr>
          <w:p w14:paraId="4753E22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0.001</w:t>
            </w:r>
          </w:p>
        </w:tc>
      </w:tr>
      <w:tr w:rsidR="009478ED" w:rsidRPr="007F37A0" w14:paraId="1E7706F2" w14:textId="77777777" w:rsidTr="00735871">
        <w:trPr>
          <w:trHeight w:val="276"/>
          <w:jc w:val="center"/>
        </w:trPr>
        <w:tc>
          <w:tcPr>
            <w:tcW w:w="2610" w:type="dxa"/>
            <w:tcBorders>
              <w:top w:val="nil"/>
              <w:left w:val="nil"/>
              <w:bottom w:val="nil"/>
              <w:right w:val="nil"/>
            </w:tcBorders>
            <w:shd w:val="clear" w:color="auto" w:fill="auto"/>
            <w:noWrap/>
            <w:vAlign w:val="bottom"/>
          </w:tcPr>
          <w:p w14:paraId="314B1199"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-SLW</w:t>
            </w:r>
          </w:p>
        </w:tc>
        <w:tc>
          <w:tcPr>
            <w:tcW w:w="4614" w:type="dxa"/>
            <w:tcBorders>
              <w:top w:val="nil"/>
              <w:left w:val="nil"/>
              <w:right w:val="nil"/>
            </w:tcBorders>
            <w:vAlign w:val="bottom"/>
          </w:tcPr>
          <w:p w14:paraId="27EEEA8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Sludge Waste</w:t>
            </w:r>
          </w:p>
        </w:tc>
        <w:tc>
          <w:tcPr>
            <w:tcW w:w="863" w:type="dxa"/>
            <w:tcBorders>
              <w:top w:val="nil"/>
              <w:left w:val="nil"/>
              <w:right w:val="nil"/>
            </w:tcBorders>
            <w:shd w:val="clear" w:color="auto" w:fill="auto"/>
            <w:noWrap/>
            <w:vAlign w:val="bottom"/>
          </w:tcPr>
          <w:p w14:paraId="13A835F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17</w:t>
            </w:r>
          </w:p>
        </w:tc>
        <w:tc>
          <w:tcPr>
            <w:tcW w:w="1243" w:type="dxa"/>
            <w:tcBorders>
              <w:top w:val="nil"/>
              <w:left w:val="nil"/>
              <w:right w:val="nil"/>
            </w:tcBorders>
            <w:shd w:val="clear" w:color="auto" w:fill="auto"/>
            <w:noWrap/>
            <w:vAlign w:val="bottom"/>
          </w:tcPr>
          <w:p w14:paraId="372B981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0.004</w:t>
            </w:r>
          </w:p>
        </w:tc>
      </w:tr>
      <w:tr w:rsidR="009478ED" w:rsidRPr="007F37A0" w14:paraId="27331F09" w14:textId="77777777" w:rsidTr="00735871">
        <w:trPr>
          <w:trHeight w:val="276"/>
          <w:jc w:val="center"/>
        </w:trPr>
        <w:tc>
          <w:tcPr>
            <w:tcW w:w="2610" w:type="dxa"/>
            <w:tcBorders>
              <w:top w:val="nil"/>
              <w:left w:val="nil"/>
              <w:bottom w:val="nil"/>
              <w:right w:val="nil"/>
            </w:tcBorders>
            <w:shd w:val="clear" w:color="auto" w:fill="auto"/>
            <w:noWrap/>
            <w:vAlign w:val="bottom"/>
          </w:tcPr>
          <w:p w14:paraId="57524229"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-SUB</w:t>
            </w:r>
          </w:p>
        </w:tc>
        <w:tc>
          <w:tcPr>
            <w:tcW w:w="4614" w:type="dxa"/>
            <w:tcBorders>
              <w:top w:val="nil"/>
              <w:left w:val="nil"/>
              <w:right w:val="nil"/>
            </w:tcBorders>
            <w:vAlign w:val="bottom"/>
          </w:tcPr>
          <w:p w14:paraId="09C10D5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Subbituminous Coal</w:t>
            </w:r>
          </w:p>
        </w:tc>
        <w:tc>
          <w:tcPr>
            <w:tcW w:w="863" w:type="dxa"/>
            <w:tcBorders>
              <w:top w:val="nil"/>
              <w:left w:val="nil"/>
              <w:right w:val="nil"/>
            </w:tcBorders>
            <w:shd w:val="clear" w:color="auto" w:fill="auto"/>
            <w:noWrap/>
            <w:vAlign w:val="bottom"/>
          </w:tcPr>
          <w:p w14:paraId="4E29926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530</w:t>
            </w:r>
          </w:p>
        </w:tc>
        <w:tc>
          <w:tcPr>
            <w:tcW w:w="1243" w:type="dxa"/>
            <w:tcBorders>
              <w:top w:val="nil"/>
              <w:left w:val="nil"/>
              <w:right w:val="nil"/>
            </w:tcBorders>
            <w:shd w:val="clear" w:color="auto" w:fill="auto"/>
            <w:noWrap/>
            <w:vAlign w:val="bottom"/>
          </w:tcPr>
          <w:p w14:paraId="2BE2646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0.112</w:t>
            </w:r>
          </w:p>
        </w:tc>
      </w:tr>
      <w:tr w:rsidR="009478ED" w:rsidRPr="007F37A0" w14:paraId="39B316F4" w14:textId="77777777" w:rsidTr="00735871">
        <w:trPr>
          <w:trHeight w:val="276"/>
          <w:jc w:val="center"/>
        </w:trPr>
        <w:tc>
          <w:tcPr>
            <w:tcW w:w="2610" w:type="dxa"/>
            <w:tcBorders>
              <w:top w:val="nil"/>
              <w:left w:val="nil"/>
              <w:bottom w:val="nil"/>
              <w:right w:val="nil"/>
            </w:tcBorders>
            <w:shd w:val="clear" w:color="auto" w:fill="auto"/>
            <w:noWrap/>
            <w:vAlign w:val="bottom"/>
          </w:tcPr>
          <w:p w14:paraId="6F3A5EA7"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-WC</w:t>
            </w:r>
          </w:p>
        </w:tc>
        <w:tc>
          <w:tcPr>
            <w:tcW w:w="4614" w:type="dxa"/>
            <w:tcBorders>
              <w:top w:val="nil"/>
              <w:left w:val="nil"/>
              <w:right w:val="nil"/>
            </w:tcBorders>
            <w:vAlign w:val="bottom"/>
          </w:tcPr>
          <w:p w14:paraId="2D4E2A5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Waste/Other Coal</w:t>
            </w:r>
          </w:p>
        </w:tc>
        <w:tc>
          <w:tcPr>
            <w:tcW w:w="863" w:type="dxa"/>
            <w:tcBorders>
              <w:top w:val="nil"/>
              <w:left w:val="nil"/>
              <w:right w:val="nil"/>
            </w:tcBorders>
            <w:shd w:val="clear" w:color="auto" w:fill="auto"/>
            <w:noWrap/>
            <w:vAlign w:val="bottom"/>
          </w:tcPr>
          <w:p w14:paraId="2ABA7D2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17</w:t>
            </w:r>
          </w:p>
        </w:tc>
        <w:tc>
          <w:tcPr>
            <w:tcW w:w="1243" w:type="dxa"/>
            <w:tcBorders>
              <w:top w:val="nil"/>
              <w:left w:val="nil"/>
              <w:right w:val="nil"/>
            </w:tcBorders>
            <w:shd w:val="clear" w:color="auto" w:fill="auto"/>
            <w:noWrap/>
            <w:vAlign w:val="bottom"/>
          </w:tcPr>
          <w:p w14:paraId="4F603A8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0.004</w:t>
            </w:r>
          </w:p>
        </w:tc>
      </w:tr>
      <w:tr w:rsidR="009478ED" w:rsidRPr="007F37A0" w14:paraId="0B514C79" w14:textId="77777777" w:rsidTr="00735871">
        <w:trPr>
          <w:trHeight w:val="276"/>
          <w:jc w:val="center"/>
        </w:trPr>
        <w:tc>
          <w:tcPr>
            <w:tcW w:w="2610" w:type="dxa"/>
            <w:tcBorders>
              <w:top w:val="nil"/>
              <w:left w:val="nil"/>
              <w:bottom w:val="nil"/>
              <w:right w:val="nil"/>
            </w:tcBorders>
            <w:shd w:val="clear" w:color="auto" w:fill="auto"/>
            <w:noWrap/>
            <w:vAlign w:val="bottom"/>
          </w:tcPr>
          <w:p w14:paraId="26845F6A"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-WDL</w:t>
            </w:r>
          </w:p>
        </w:tc>
        <w:tc>
          <w:tcPr>
            <w:tcW w:w="4614" w:type="dxa"/>
            <w:tcBorders>
              <w:top w:val="nil"/>
              <w:left w:val="nil"/>
              <w:right w:val="nil"/>
            </w:tcBorders>
            <w:vAlign w:val="bottom"/>
          </w:tcPr>
          <w:p w14:paraId="3F4D380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Wood Waste Liquids</w:t>
            </w:r>
          </w:p>
        </w:tc>
        <w:tc>
          <w:tcPr>
            <w:tcW w:w="863" w:type="dxa"/>
            <w:tcBorders>
              <w:top w:val="nil"/>
              <w:left w:val="nil"/>
              <w:right w:val="nil"/>
            </w:tcBorders>
            <w:shd w:val="clear" w:color="auto" w:fill="auto"/>
            <w:noWrap/>
            <w:vAlign w:val="bottom"/>
          </w:tcPr>
          <w:p w14:paraId="106A57A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w:t>
            </w:r>
          </w:p>
        </w:tc>
        <w:tc>
          <w:tcPr>
            <w:tcW w:w="1243" w:type="dxa"/>
            <w:tcBorders>
              <w:top w:val="nil"/>
              <w:left w:val="nil"/>
              <w:right w:val="nil"/>
            </w:tcBorders>
            <w:shd w:val="clear" w:color="auto" w:fill="auto"/>
            <w:noWrap/>
            <w:vAlign w:val="bottom"/>
          </w:tcPr>
          <w:p w14:paraId="5AB2757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w:t>
            </w:r>
          </w:p>
        </w:tc>
      </w:tr>
      <w:tr w:rsidR="009478ED" w:rsidRPr="007F37A0" w14:paraId="6473BB35" w14:textId="77777777" w:rsidTr="00735871">
        <w:trPr>
          <w:trHeight w:val="276"/>
          <w:jc w:val="center"/>
        </w:trPr>
        <w:tc>
          <w:tcPr>
            <w:tcW w:w="2610" w:type="dxa"/>
            <w:tcBorders>
              <w:top w:val="nil"/>
              <w:left w:val="nil"/>
              <w:bottom w:val="nil"/>
              <w:right w:val="nil"/>
            </w:tcBorders>
            <w:shd w:val="clear" w:color="auto" w:fill="auto"/>
            <w:noWrap/>
            <w:vAlign w:val="bottom"/>
          </w:tcPr>
          <w:p w14:paraId="48EF6332"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Fuel Type -WDS</w:t>
            </w:r>
          </w:p>
        </w:tc>
        <w:tc>
          <w:tcPr>
            <w:tcW w:w="4614" w:type="dxa"/>
            <w:tcBorders>
              <w:top w:val="nil"/>
              <w:left w:val="nil"/>
              <w:right w:val="nil"/>
            </w:tcBorders>
            <w:vAlign w:val="bottom"/>
          </w:tcPr>
          <w:p w14:paraId="22BD599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used Wood/Wood Waste Solids</w:t>
            </w:r>
          </w:p>
        </w:tc>
        <w:tc>
          <w:tcPr>
            <w:tcW w:w="863" w:type="dxa"/>
            <w:tcBorders>
              <w:top w:val="nil"/>
              <w:left w:val="nil"/>
              <w:right w:val="nil"/>
            </w:tcBorders>
            <w:shd w:val="clear" w:color="auto" w:fill="auto"/>
            <w:noWrap/>
            <w:vAlign w:val="bottom"/>
          </w:tcPr>
          <w:p w14:paraId="5521F8C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91</w:t>
            </w:r>
          </w:p>
        </w:tc>
        <w:tc>
          <w:tcPr>
            <w:tcW w:w="1243" w:type="dxa"/>
            <w:tcBorders>
              <w:top w:val="nil"/>
              <w:left w:val="nil"/>
              <w:right w:val="nil"/>
            </w:tcBorders>
            <w:shd w:val="clear" w:color="auto" w:fill="auto"/>
            <w:noWrap/>
            <w:vAlign w:val="bottom"/>
          </w:tcPr>
          <w:p w14:paraId="1352A43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0.019</w:t>
            </w:r>
          </w:p>
        </w:tc>
      </w:tr>
      <w:tr w:rsidR="009478ED" w:rsidRPr="007F37A0" w14:paraId="0345DD8E" w14:textId="77777777" w:rsidTr="00735871">
        <w:trPr>
          <w:trHeight w:val="276"/>
          <w:jc w:val="center"/>
        </w:trPr>
        <w:tc>
          <w:tcPr>
            <w:tcW w:w="2610" w:type="dxa"/>
            <w:tcBorders>
              <w:top w:val="nil"/>
              <w:left w:val="nil"/>
              <w:bottom w:val="nil"/>
              <w:right w:val="nil"/>
            </w:tcBorders>
            <w:shd w:val="clear" w:color="auto" w:fill="auto"/>
            <w:noWrap/>
            <w:vAlign w:val="bottom"/>
          </w:tcPr>
          <w:p w14:paraId="46E1D48B"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ASCC</w:t>
            </w:r>
          </w:p>
        </w:tc>
        <w:tc>
          <w:tcPr>
            <w:tcW w:w="4614" w:type="dxa"/>
            <w:tcBorders>
              <w:top w:val="nil"/>
              <w:left w:val="nil"/>
              <w:right w:val="nil"/>
            </w:tcBorders>
            <w:vAlign w:val="bottom"/>
          </w:tcPr>
          <w:p w14:paraId="60A3AEB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Alaska Systems Coordinating Council Region</w:t>
            </w:r>
          </w:p>
        </w:tc>
        <w:tc>
          <w:tcPr>
            <w:tcW w:w="863" w:type="dxa"/>
            <w:tcBorders>
              <w:top w:val="nil"/>
              <w:left w:val="nil"/>
              <w:right w:val="nil"/>
            </w:tcBorders>
            <w:shd w:val="clear" w:color="auto" w:fill="auto"/>
            <w:noWrap/>
            <w:vAlign w:val="bottom"/>
          </w:tcPr>
          <w:p w14:paraId="0273652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33</w:t>
            </w:r>
          </w:p>
        </w:tc>
        <w:tc>
          <w:tcPr>
            <w:tcW w:w="1243" w:type="dxa"/>
            <w:tcBorders>
              <w:top w:val="nil"/>
              <w:left w:val="nil"/>
              <w:right w:val="nil"/>
            </w:tcBorders>
            <w:shd w:val="clear" w:color="auto" w:fill="auto"/>
            <w:noWrap/>
            <w:vAlign w:val="bottom"/>
          </w:tcPr>
          <w:p w14:paraId="1FFB35A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0.007</w:t>
            </w:r>
          </w:p>
        </w:tc>
      </w:tr>
      <w:tr w:rsidR="009478ED" w:rsidRPr="007F37A0" w14:paraId="5D44A914" w14:textId="77777777" w:rsidTr="00735871">
        <w:trPr>
          <w:trHeight w:val="276"/>
          <w:jc w:val="center"/>
        </w:trPr>
        <w:tc>
          <w:tcPr>
            <w:tcW w:w="2610" w:type="dxa"/>
            <w:tcBorders>
              <w:top w:val="nil"/>
              <w:left w:val="nil"/>
              <w:bottom w:val="nil"/>
              <w:right w:val="nil"/>
            </w:tcBorders>
            <w:shd w:val="clear" w:color="auto" w:fill="auto"/>
            <w:noWrap/>
          </w:tcPr>
          <w:p w14:paraId="2A513634"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FRCC</w:t>
            </w:r>
          </w:p>
        </w:tc>
        <w:tc>
          <w:tcPr>
            <w:tcW w:w="4614" w:type="dxa"/>
            <w:tcBorders>
              <w:top w:val="nil"/>
              <w:left w:val="nil"/>
              <w:right w:val="nil"/>
            </w:tcBorders>
          </w:tcPr>
          <w:p w14:paraId="0899236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Florida Reliability Coordinating Council Region</w:t>
            </w:r>
          </w:p>
        </w:tc>
        <w:tc>
          <w:tcPr>
            <w:tcW w:w="863" w:type="dxa"/>
            <w:tcBorders>
              <w:top w:val="nil"/>
              <w:left w:val="nil"/>
              <w:right w:val="nil"/>
            </w:tcBorders>
            <w:shd w:val="clear" w:color="auto" w:fill="auto"/>
            <w:noWrap/>
            <w:vAlign w:val="bottom"/>
          </w:tcPr>
          <w:p w14:paraId="75F05EA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14</w:t>
            </w:r>
          </w:p>
        </w:tc>
        <w:tc>
          <w:tcPr>
            <w:tcW w:w="1243" w:type="dxa"/>
            <w:tcBorders>
              <w:top w:val="nil"/>
              <w:left w:val="nil"/>
              <w:right w:val="nil"/>
            </w:tcBorders>
            <w:shd w:val="clear" w:color="auto" w:fill="auto"/>
            <w:noWrap/>
            <w:vAlign w:val="bottom"/>
          </w:tcPr>
          <w:p w14:paraId="216C92B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0.003</w:t>
            </w:r>
          </w:p>
        </w:tc>
      </w:tr>
      <w:tr w:rsidR="009478ED" w:rsidRPr="007F37A0" w14:paraId="4BA831BE" w14:textId="77777777" w:rsidTr="00735871">
        <w:trPr>
          <w:trHeight w:val="276"/>
          <w:jc w:val="center"/>
        </w:trPr>
        <w:tc>
          <w:tcPr>
            <w:tcW w:w="2610" w:type="dxa"/>
            <w:tcBorders>
              <w:top w:val="nil"/>
              <w:left w:val="nil"/>
              <w:bottom w:val="nil"/>
              <w:right w:val="nil"/>
            </w:tcBorders>
            <w:shd w:val="clear" w:color="auto" w:fill="auto"/>
            <w:noWrap/>
          </w:tcPr>
          <w:p w14:paraId="2E174C1E"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HICC</w:t>
            </w:r>
          </w:p>
        </w:tc>
        <w:tc>
          <w:tcPr>
            <w:tcW w:w="4614" w:type="dxa"/>
            <w:tcBorders>
              <w:top w:val="nil"/>
              <w:left w:val="nil"/>
              <w:right w:val="nil"/>
            </w:tcBorders>
          </w:tcPr>
          <w:p w14:paraId="4ECFEB4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Hawaii Coordinating Council Region</w:t>
            </w:r>
          </w:p>
        </w:tc>
        <w:tc>
          <w:tcPr>
            <w:tcW w:w="863" w:type="dxa"/>
            <w:tcBorders>
              <w:top w:val="nil"/>
              <w:left w:val="nil"/>
              <w:right w:val="nil"/>
            </w:tcBorders>
            <w:shd w:val="clear" w:color="auto" w:fill="auto"/>
            <w:noWrap/>
            <w:vAlign w:val="bottom"/>
          </w:tcPr>
          <w:p w14:paraId="198298A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45</w:t>
            </w:r>
          </w:p>
        </w:tc>
        <w:tc>
          <w:tcPr>
            <w:tcW w:w="1243" w:type="dxa"/>
            <w:tcBorders>
              <w:top w:val="nil"/>
              <w:left w:val="nil"/>
              <w:right w:val="nil"/>
            </w:tcBorders>
            <w:shd w:val="clear" w:color="auto" w:fill="auto"/>
            <w:noWrap/>
            <w:vAlign w:val="bottom"/>
          </w:tcPr>
          <w:p w14:paraId="4226200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0.001</w:t>
            </w:r>
          </w:p>
        </w:tc>
      </w:tr>
      <w:tr w:rsidR="009478ED" w:rsidRPr="007F37A0" w14:paraId="704F0CC3" w14:textId="77777777" w:rsidTr="00735871">
        <w:trPr>
          <w:trHeight w:val="276"/>
          <w:jc w:val="center"/>
        </w:trPr>
        <w:tc>
          <w:tcPr>
            <w:tcW w:w="2610" w:type="dxa"/>
            <w:tcBorders>
              <w:top w:val="nil"/>
              <w:left w:val="nil"/>
              <w:bottom w:val="nil"/>
              <w:right w:val="nil"/>
            </w:tcBorders>
            <w:shd w:val="clear" w:color="auto" w:fill="auto"/>
            <w:noWrap/>
          </w:tcPr>
          <w:p w14:paraId="0E892782" w14:textId="39A3ED37" w:rsidR="009478ED" w:rsidRPr="007F37A0" w:rsidRDefault="009478ED" w:rsidP="00735871">
            <w:pPr>
              <w:spacing w:after="240"/>
              <w:rPr>
                <w:rFonts w:ascii="Times New Roman" w:hAnsi="Times New Roman" w:cs="Times New Roman"/>
              </w:rPr>
            </w:pPr>
          </w:p>
        </w:tc>
        <w:tc>
          <w:tcPr>
            <w:tcW w:w="4614" w:type="dxa"/>
            <w:tcBorders>
              <w:top w:val="nil"/>
              <w:left w:val="nil"/>
              <w:right w:val="nil"/>
            </w:tcBorders>
          </w:tcPr>
          <w:p w14:paraId="3EBD65C4" w14:textId="7FA6B613" w:rsidR="009478ED" w:rsidRPr="007F37A0" w:rsidRDefault="009478ED" w:rsidP="00735871">
            <w:pPr>
              <w:spacing w:after="240"/>
              <w:jc w:val="center"/>
              <w:rPr>
                <w:rFonts w:ascii="Times New Roman" w:hAnsi="Times New Roman" w:cs="Times New Roman"/>
              </w:rPr>
            </w:pPr>
          </w:p>
        </w:tc>
        <w:tc>
          <w:tcPr>
            <w:tcW w:w="863" w:type="dxa"/>
            <w:tcBorders>
              <w:top w:val="nil"/>
              <w:left w:val="nil"/>
              <w:right w:val="nil"/>
            </w:tcBorders>
            <w:shd w:val="clear" w:color="auto" w:fill="auto"/>
            <w:noWrap/>
            <w:vAlign w:val="bottom"/>
          </w:tcPr>
          <w:p w14:paraId="02F5EB3F" w14:textId="4A38C9E8" w:rsidR="009478ED" w:rsidRPr="007F37A0" w:rsidRDefault="009478ED" w:rsidP="00735871">
            <w:pPr>
              <w:spacing w:after="240"/>
              <w:jc w:val="center"/>
              <w:rPr>
                <w:rFonts w:ascii="Times New Roman" w:hAnsi="Times New Roman" w:cs="Times New Roman"/>
              </w:rPr>
            </w:pPr>
          </w:p>
        </w:tc>
        <w:tc>
          <w:tcPr>
            <w:tcW w:w="1243" w:type="dxa"/>
            <w:tcBorders>
              <w:top w:val="nil"/>
              <w:left w:val="nil"/>
              <w:right w:val="nil"/>
            </w:tcBorders>
            <w:shd w:val="clear" w:color="auto" w:fill="auto"/>
            <w:noWrap/>
            <w:vAlign w:val="bottom"/>
          </w:tcPr>
          <w:p w14:paraId="2F4E779A" w14:textId="4E8B1F33" w:rsidR="009478ED" w:rsidRPr="007F37A0" w:rsidRDefault="009478ED" w:rsidP="00735871">
            <w:pPr>
              <w:spacing w:after="240"/>
              <w:jc w:val="center"/>
              <w:rPr>
                <w:rFonts w:ascii="Times New Roman" w:hAnsi="Times New Roman" w:cs="Times New Roman"/>
              </w:rPr>
            </w:pPr>
          </w:p>
        </w:tc>
      </w:tr>
    </w:tbl>
    <w:p w14:paraId="23A98010"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b/>
          <w:bCs/>
        </w:rPr>
        <w:t xml:space="preserve"> </w:t>
      </w:r>
    </w:p>
    <w:p w14:paraId="38A2BCF4" w14:textId="2FF9BD0E" w:rsidR="009478ED" w:rsidRPr="007F37A0" w:rsidRDefault="009478ED" w:rsidP="009478ED">
      <w:pPr>
        <w:rPr>
          <w:rFonts w:ascii="Times New Roman" w:hAnsi="Times New Roman" w:cs="Times New Roman"/>
        </w:rPr>
      </w:pPr>
      <w:r w:rsidRPr="007F37A0">
        <w:rPr>
          <w:rFonts w:ascii="Times New Roman" w:hAnsi="Times New Roman" w:cs="Times New Roman"/>
        </w:rPr>
        <w:lastRenderedPageBreak/>
        <w:fldChar w:fldCharType="begin"/>
      </w:r>
      <w:r w:rsidRPr="007F37A0">
        <w:rPr>
          <w:rFonts w:ascii="Times New Roman" w:hAnsi="Times New Roman" w:cs="Times New Roman"/>
        </w:rPr>
        <w:instrText xml:space="preserve"> REF _Ref162000268 \h </w:instrText>
      </w:r>
      <w:r w:rsidR="007F37A0">
        <w:rPr>
          <w:rFonts w:ascii="Times New Roman" w:hAnsi="Times New Roman" w:cs="Times New Roman"/>
        </w:rPr>
        <w:instrText xml:space="preserve">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16</w:t>
      </w:r>
      <w:r w:rsidRPr="007F37A0">
        <w:rPr>
          <w:rFonts w:ascii="Times New Roman" w:hAnsi="Times New Roman" w:cs="Times New Roman"/>
        </w:rPr>
        <w:fldChar w:fldCharType="end"/>
      </w:r>
      <w:r w:rsidRPr="007F37A0">
        <w:rPr>
          <w:rFonts w:ascii="Times New Roman" w:hAnsi="Times New Roman" w:cs="Times New Roman"/>
        </w:rPr>
        <w:t>: Continued</w:t>
      </w:r>
    </w:p>
    <w:p w14:paraId="5637BFFF" w14:textId="77777777" w:rsidR="009478ED" w:rsidRPr="007F37A0" w:rsidRDefault="009478ED" w:rsidP="009478ED">
      <w:pPr>
        <w:rPr>
          <w:rFonts w:ascii="Times New Roman" w:hAnsi="Times New Roman" w:cs="Times New Roman"/>
        </w:rPr>
      </w:pPr>
    </w:p>
    <w:tbl>
      <w:tblPr>
        <w:tblW w:w="9330" w:type="dxa"/>
        <w:jc w:val="center"/>
        <w:tblLook w:val="04A0" w:firstRow="1" w:lastRow="0" w:firstColumn="1" w:lastColumn="0" w:noHBand="0" w:noVBand="1"/>
      </w:tblPr>
      <w:tblGrid>
        <w:gridCol w:w="2610"/>
        <w:gridCol w:w="4614"/>
        <w:gridCol w:w="863"/>
        <w:gridCol w:w="1243"/>
      </w:tblGrid>
      <w:tr w:rsidR="00142A7E" w:rsidRPr="007F37A0" w14:paraId="3E567BE7" w14:textId="77777777" w:rsidTr="00735871">
        <w:trPr>
          <w:trHeight w:val="276"/>
          <w:jc w:val="center"/>
        </w:trPr>
        <w:tc>
          <w:tcPr>
            <w:tcW w:w="2610" w:type="dxa"/>
            <w:tcBorders>
              <w:top w:val="nil"/>
              <w:left w:val="nil"/>
              <w:bottom w:val="nil"/>
              <w:right w:val="nil"/>
            </w:tcBorders>
            <w:shd w:val="clear" w:color="auto" w:fill="auto"/>
            <w:noWrap/>
          </w:tcPr>
          <w:p w14:paraId="24DFE4B9" w14:textId="523E5A00" w:rsidR="00142A7E" w:rsidRPr="007F37A0" w:rsidRDefault="00142A7E" w:rsidP="00142A7E">
            <w:pPr>
              <w:spacing w:after="240"/>
              <w:rPr>
                <w:rFonts w:ascii="Times New Roman" w:hAnsi="Times New Roman" w:cs="Times New Roman"/>
              </w:rPr>
            </w:pPr>
            <w:r w:rsidRPr="007F37A0">
              <w:rPr>
                <w:rFonts w:ascii="Times New Roman" w:hAnsi="Times New Roman" w:cs="Times New Roman"/>
              </w:rPr>
              <w:t>NERC- MRO</w:t>
            </w:r>
          </w:p>
        </w:tc>
        <w:tc>
          <w:tcPr>
            <w:tcW w:w="4614" w:type="dxa"/>
            <w:tcBorders>
              <w:top w:val="nil"/>
              <w:left w:val="nil"/>
              <w:right w:val="nil"/>
            </w:tcBorders>
          </w:tcPr>
          <w:p w14:paraId="3C564867" w14:textId="3D0F8D0A" w:rsidR="00142A7E" w:rsidRPr="007F37A0" w:rsidRDefault="00142A7E" w:rsidP="00142A7E">
            <w:pPr>
              <w:spacing w:after="240"/>
              <w:jc w:val="center"/>
              <w:rPr>
                <w:rFonts w:ascii="Times New Roman" w:hAnsi="Times New Roman" w:cs="Times New Roman"/>
              </w:rPr>
            </w:pPr>
            <w:r w:rsidRPr="007F37A0">
              <w:rPr>
                <w:rFonts w:ascii="Times New Roman" w:hAnsi="Times New Roman" w:cs="Times New Roman"/>
              </w:rPr>
              <w:t>North American Electric Reliability Corporation – Midwest Reliability Organization Region</w:t>
            </w:r>
          </w:p>
        </w:tc>
        <w:tc>
          <w:tcPr>
            <w:tcW w:w="863" w:type="dxa"/>
            <w:tcBorders>
              <w:top w:val="nil"/>
              <w:left w:val="nil"/>
              <w:right w:val="nil"/>
            </w:tcBorders>
            <w:shd w:val="clear" w:color="auto" w:fill="auto"/>
            <w:noWrap/>
            <w:vAlign w:val="bottom"/>
          </w:tcPr>
          <w:p w14:paraId="55245DED" w14:textId="18A286B6" w:rsidR="00142A7E" w:rsidRPr="007F37A0" w:rsidRDefault="00142A7E" w:rsidP="00142A7E">
            <w:pPr>
              <w:spacing w:after="240"/>
              <w:jc w:val="center"/>
              <w:rPr>
                <w:rFonts w:ascii="Times New Roman" w:hAnsi="Times New Roman" w:cs="Times New Roman"/>
              </w:rPr>
            </w:pPr>
            <w:r w:rsidRPr="007F37A0">
              <w:rPr>
                <w:rFonts w:ascii="Times New Roman" w:hAnsi="Times New Roman" w:cs="Times New Roman"/>
              </w:rPr>
              <w:t>535</w:t>
            </w:r>
          </w:p>
        </w:tc>
        <w:tc>
          <w:tcPr>
            <w:tcW w:w="1243" w:type="dxa"/>
            <w:tcBorders>
              <w:top w:val="nil"/>
              <w:left w:val="nil"/>
              <w:right w:val="nil"/>
            </w:tcBorders>
            <w:shd w:val="clear" w:color="auto" w:fill="auto"/>
            <w:noWrap/>
            <w:vAlign w:val="bottom"/>
          </w:tcPr>
          <w:p w14:paraId="6F342403" w14:textId="2E16B1EF" w:rsidR="00142A7E" w:rsidRPr="007F37A0" w:rsidRDefault="00142A7E" w:rsidP="00142A7E">
            <w:pPr>
              <w:spacing w:after="240"/>
              <w:jc w:val="center"/>
              <w:rPr>
                <w:rFonts w:ascii="Times New Roman" w:hAnsi="Times New Roman" w:cs="Times New Roman"/>
              </w:rPr>
            </w:pPr>
            <w:r w:rsidRPr="007F37A0">
              <w:rPr>
                <w:rFonts w:ascii="Times New Roman" w:hAnsi="Times New Roman" w:cs="Times New Roman"/>
              </w:rPr>
              <w:t>0.113</w:t>
            </w:r>
          </w:p>
        </w:tc>
      </w:tr>
      <w:tr w:rsidR="009478ED" w:rsidRPr="007F37A0" w14:paraId="464A49DD" w14:textId="77777777" w:rsidTr="00735871">
        <w:trPr>
          <w:trHeight w:val="276"/>
          <w:jc w:val="center"/>
        </w:trPr>
        <w:tc>
          <w:tcPr>
            <w:tcW w:w="2610" w:type="dxa"/>
            <w:tcBorders>
              <w:top w:val="nil"/>
              <w:left w:val="nil"/>
              <w:bottom w:val="nil"/>
              <w:right w:val="nil"/>
            </w:tcBorders>
            <w:shd w:val="clear" w:color="auto" w:fill="auto"/>
            <w:noWrap/>
          </w:tcPr>
          <w:p w14:paraId="33CD6DEF"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NPCC</w:t>
            </w:r>
          </w:p>
        </w:tc>
        <w:tc>
          <w:tcPr>
            <w:tcW w:w="4614" w:type="dxa"/>
            <w:tcBorders>
              <w:top w:val="nil"/>
              <w:left w:val="nil"/>
              <w:right w:val="nil"/>
            </w:tcBorders>
          </w:tcPr>
          <w:p w14:paraId="6AFF2A8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Northeast Power Coordinating Council Region</w:t>
            </w:r>
          </w:p>
        </w:tc>
        <w:tc>
          <w:tcPr>
            <w:tcW w:w="863" w:type="dxa"/>
            <w:tcBorders>
              <w:top w:val="nil"/>
              <w:left w:val="nil"/>
              <w:right w:val="nil"/>
            </w:tcBorders>
            <w:shd w:val="clear" w:color="auto" w:fill="auto"/>
            <w:noWrap/>
            <w:vAlign w:val="bottom"/>
          </w:tcPr>
          <w:p w14:paraId="5A10ADC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436</w:t>
            </w:r>
          </w:p>
        </w:tc>
        <w:tc>
          <w:tcPr>
            <w:tcW w:w="1243" w:type="dxa"/>
            <w:tcBorders>
              <w:top w:val="nil"/>
              <w:left w:val="nil"/>
              <w:right w:val="nil"/>
            </w:tcBorders>
            <w:shd w:val="clear" w:color="auto" w:fill="auto"/>
            <w:noWrap/>
            <w:vAlign w:val="bottom"/>
          </w:tcPr>
          <w:p w14:paraId="4CE69E0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0.092</w:t>
            </w:r>
          </w:p>
        </w:tc>
      </w:tr>
      <w:tr w:rsidR="009478ED" w:rsidRPr="007F37A0" w14:paraId="4F49CC38" w14:textId="77777777" w:rsidTr="00735871">
        <w:trPr>
          <w:trHeight w:val="276"/>
          <w:jc w:val="center"/>
        </w:trPr>
        <w:tc>
          <w:tcPr>
            <w:tcW w:w="2610" w:type="dxa"/>
            <w:tcBorders>
              <w:top w:val="nil"/>
              <w:left w:val="nil"/>
              <w:bottom w:val="nil"/>
              <w:right w:val="nil"/>
            </w:tcBorders>
            <w:shd w:val="clear" w:color="auto" w:fill="auto"/>
            <w:noWrap/>
          </w:tcPr>
          <w:p w14:paraId="2B0087C4"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RFC</w:t>
            </w:r>
          </w:p>
        </w:tc>
        <w:tc>
          <w:tcPr>
            <w:tcW w:w="4614" w:type="dxa"/>
            <w:tcBorders>
              <w:top w:val="nil"/>
              <w:left w:val="nil"/>
              <w:right w:val="nil"/>
            </w:tcBorders>
          </w:tcPr>
          <w:p w14:paraId="4E6533E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ReliabilityFirst Corporation Region</w:t>
            </w:r>
          </w:p>
        </w:tc>
        <w:tc>
          <w:tcPr>
            <w:tcW w:w="863" w:type="dxa"/>
            <w:tcBorders>
              <w:top w:val="nil"/>
              <w:left w:val="nil"/>
              <w:right w:val="nil"/>
            </w:tcBorders>
            <w:shd w:val="clear" w:color="auto" w:fill="auto"/>
            <w:noWrap/>
            <w:vAlign w:val="bottom"/>
          </w:tcPr>
          <w:p w14:paraId="1B86277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1050</w:t>
            </w:r>
          </w:p>
        </w:tc>
        <w:tc>
          <w:tcPr>
            <w:tcW w:w="1243" w:type="dxa"/>
            <w:tcBorders>
              <w:top w:val="nil"/>
              <w:left w:val="nil"/>
              <w:right w:val="nil"/>
            </w:tcBorders>
            <w:shd w:val="clear" w:color="auto" w:fill="auto"/>
            <w:noWrap/>
            <w:vAlign w:val="bottom"/>
          </w:tcPr>
          <w:p w14:paraId="04A52A0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0.222</w:t>
            </w:r>
          </w:p>
        </w:tc>
      </w:tr>
      <w:tr w:rsidR="009478ED" w:rsidRPr="007F37A0" w14:paraId="33F1D8CF" w14:textId="77777777" w:rsidTr="00735871">
        <w:trPr>
          <w:trHeight w:val="276"/>
          <w:jc w:val="center"/>
        </w:trPr>
        <w:tc>
          <w:tcPr>
            <w:tcW w:w="2610" w:type="dxa"/>
            <w:tcBorders>
              <w:top w:val="nil"/>
              <w:left w:val="nil"/>
              <w:bottom w:val="nil"/>
              <w:right w:val="nil"/>
            </w:tcBorders>
            <w:shd w:val="clear" w:color="auto" w:fill="auto"/>
            <w:noWrap/>
          </w:tcPr>
          <w:p w14:paraId="5D2C6858"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SERC</w:t>
            </w:r>
          </w:p>
        </w:tc>
        <w:tc>
          <w:tcPr>
            <w:tcW w:w="4614" w:type="dxa"/>
            <w:tcBorders>
              <w:top w:val="nil"/>
              <w:left w:val="nil"/>
              <w:right w:val="nil"/>
            </w:tcBorders>
          </w:tcPr>
          <w:p w14:paraId="0BABD64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SERC Reliability Corporation Region</w:t>
            </w:r>
          </w:p>
        </w:tc>
        <w:tc>
          <w:tcPr>
            <w:tcW w:w="863" w:type="dxa"/>
            <w:tcBorders>
              <w:top w:val="nil"/>
              <w:left w:val="nil"/>
              <w:right w:val="nil"/>
            </w:tcBorders>
            <w:shd w:val="clear" w:color="auto" w:fill="auto"/>
            <w:noWrap/>
            <w:vAlign w:val="bottom"/>
          </w:tcPr>
          <w:p w14:paraId="5A493C1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1547</w:t>
            </w:r>
          </w:p>
        </w:tc>
        <w:tc>
          <w:tcPr>
            <w:tcW w:w="1243" w:type="dxa"/>
            <w:tcBorders>
              <w:top w:val="nil"/>
              <w:left w:val="nil"/>
              <w:right w:val="nil"/>
            </w:tcBorders>
            <w:shd w:val="clear" w:color="auto" w:fill="auto"/>
            <w:noWrap/>
            <w:vAlign w:val="bottom"/>
          </w:tcPr>
          <w:p w14:paraId="4693ECD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0.327</w:t>
            </w:r>
          </w:p>
        </w:tc>
      </w:tr>
      <w:tr w:rsidR="009478ED" w:rsidRPr="007F37A0" w14:paraId="75E01B58" w14:textId="77777777" w:rsidTr="00735871">
        <w:trPr>
          <w:trHeight w:val="276"/>
          <w:jc w:val="center"/>
        </w:trPr>
        <w:tc>
          <w:tcPr>
            <w:tcW w:w="2610" w:type="dxa"/>
            <w:tcBorders>
              <w:top w:val="nil"/>
              <w:left w:val="nil"/>
              <w:bottom w:val="nil"/>
              <w:right w:val="nil"/>
            </w:tcBorders>
            <w:shd w:val="clear" w:color="auto" w:fill="auto"/>
            <w:noWrap/>
          </w:tcPr>
          <w:p w14:paraId="60175BD5"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SPP</w:t>
            </w:r>
          </w:p>
        </w:tc>
        <w:tc>
          <w:tcPr>
            <w:tcW w:w="4614" w:type="dxa"/>
            <w:tcBorders>
              <w:top w:val="nil"/>
              <w:left w:val="nil"/>
              <w:right w:val="nil"/>
            </w:tcBorders>
          </w:tcPr>
          <w:p w14:paraId="7B2AE40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Southwest Power Pool Region</w:t>
            </w:r>
          </w:p>
        </w:tc>
        <w:tc>
          <w:tcPr>
            <w:tcW w:w="863" w:type="dxa"/>
            <w:tcBorders>
              <w:top w:val="nil"/>
              <w:left w:val="nil"/>
              <w:right w:val="nil"/>
            </w:tcBorders>
            <w:shd w:val="clear" w:color="auto" w:fill="auto"/>
            <w:noWrap/>
            <w:vAlign w:val="bottom"/>
          </w:tcPr>
          <w:p w14:paraId="377ABEB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w:t>
            </w:r>
          </w:p>
        </w:tc>
        <w:tc>
          <w:tcPr>
            <w:tcW w:w="1243" w:type="dxa"/>
            <w:tcBorders>
              <w:top w:val="nil"/>
              <w:left w:val="nil"/>
              <w:right w:val="nil"/>
            </w:tcBorders>
            <w:shd w:val="clear" w:color="auto" w:fill="auto"/>
            <w:noWrap/>
            <w:vAlign w:val="bottom"/>
          </w:tcPr>
          <w:p w14:paraId="7AF3CBD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0.002</w:t>
            </w:r>
          </w:p>
        </w:tc>
      </w:tr>
      <w:tr w:rsidR="009478ED" w:rsidRPr="007F37A0" w14:paraId="2979B316" w14:textId="77777777" w:rsidTr="00735871">
        <w:trPr>
          <w:trHeight w:val="276"/>
          <w:jc w:val="center"/>
        </w:trPr>
        <w:tc>
          <w:tcPr>
            <w:tcW w:w="2610" w:type="dxa"/>
            <w:tcBorders>
              <w:top w:val="nil"/>
              <w:left w:val="nil"/>
              <w:bottom w:val="nil"/>
              <w:right w:val="nil"/>
            </w:tcBorders>
            <w:shd w:val="clear" w:color="auto" w:fill="auto"/>
            <w:noWrap/>
          </w:tcPr>
          <w:p w14:paraId="3186052B"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TRE</w:t>
            </w:r>
          </w:p>
        </w:tc>
        <w:tc>
          <w:tcPr>
            <w:tcW w:w="4614" w:type="dxa"/>
            <w:tcBorders>
              <w:top w:val="nil"/>
              <w:left w:val="nil"/>
              <w:right w:val="nil"/>
            </w:tcBorders>
          </w:tcPr>
          <w:p w14:paraId="7D81026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Texas Reliability Entity Region</w:t>
            </w:r>
          </w:p>
        </w:tc>
        <w:tc>
          <w:tcPr>
            <w:tcW w:w="863" w:type="dxa"/>
            <w:tcBorders>
              <w:top w:val="nil"/>
              <w:left w:val="nil"/>
              <w:right w:val="nil"/>
            </w:tcBorders>
            <w:shd w:val="clear" w:color="auto" w:fill="auto"/>
            <w:noWrap/>
            <w:vAlign w:val="bottom"/>
          </w:tcPr>
          <w:p w14:paraId="5945598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354</w:t>
            </w:r>
          </w:p>
        </w:tc>
        <w:tc>
          <w:tcPr>
            <w:tcW w:w="1243" w:type="dxa"/>
            <w:tcBorders>
              <w:top w:val="nil"/>
              <w:left w:val="nil"/>
              <w:right w:val="nil"/>
            </w:tcBorders>
            <w:shd w:val="clear" w:color="auto" w:fill="auto"/>
            <w:noWrap/>
            <w:vAlign w:val="bottom"/>
          </w:tcPr>
          <w:p w14:paraId="548911B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0.075</w:t>
            </w:r>
          </w:p>
        </w:tc>
      </w:tr>
      <w:tr w:rsidR="009478ED" w:rsidRPr="007F37A0" w14:paraId="5328594D" w14:textId="77777777" w:rsidTr="00735871">
        <w:trPr>
          <w:trHeight w:val="276"/>
          <w:jc w:val="center"/>
        </w:trPr>
        <w:tc>
          <w:tcPr>
            <w:tcW w:w="2610" w:type="dxa"/>
            <w:tcBorders>
              <w:top w:val="nil"/>
              <w:left w:val="nil"/>
              <w:bottom w:val="nil"/>
              <w:right w:val="nil"/>
            </w:tcBorders>
            <w:shd w:val="clear" w:color="auto" w:fill="auto"/>
            <w:noWrap/>
          </w:tcPr>
          <w:p w14:paraId="3CD81468"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NERC- WECC</w:t>
            </w:r>
          </w:p>
        </w:tc>
        <w:tc>
          <w:tcPr>
            <w:tcW w:w="4614" w:type="dxa"/>
            <w:tcBorders>
              <w:top w:val="nil"/>
              <w:left w:val="nil"/>
              <w:right w:val="nil"/>
            </w:tcBorders>
          </w:tcPr>
          <w:p w14:paraId="4893A33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North American Electric Reliability Corporation – Western Electricity Coordinating Council Region</w:t>
            </w:r>
          </w:p>
        </w:tc>
        <w:tc>
          <w:tcPr>
            <w:tcW w:w="863" w:type="dxa"/>
            <w:tcBorders>
              <w:top w:val="nil"/>
              <w:left w:val="nil"/>
              <w:right w:val="nil"/>
            </w:tcBorders>
            <w:shd w:val="clear" w:color="auto" w:fill="auto"/>
            <w:noWrap/>
            <w:vAlign w:val="bottom"/>
          </w:tcPr>
          <w:p w14:paraId="62E928C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705</w:t>
            </w:r>
          </w:p>
        </w:tc>
        <w:tc>
          <w:tcPr>
            <w:tcW w:w="1243" w:type="dxa"/>
            <w:tcBorders>
              <w:top w:val="nil"/>
              <w:left w:val="nil"/>
              <w:right w:val="nil"/>
            </w:tcBorders>
            <w:shd w:val="clear" w:color="auto" w:fill="auto"/>
            <w:noWrap/>
            <w:vAlign w:val="bottom"/>
          </w:tcPr>
          <w:p w14:paraId="25CD61A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0.149</w:t>
            </w:r>
          </w:p>
        </w:tc>
      </w:tr>
      <w:tr w:rsidR="009478ED" w:rsidRPr="007F37A0" w14:paraId="0E4B4DC6" w14:textId="77777777" w:rsidTr="00735871">
        <w:trPr>
          <w:trHeight w:val="276"/>
          <w:jc w:val="center"/>
        </w:trPr>
        <w:tc>
          <w:tcPr>
            <w:tcW w:w="2610" w:type="dxa"/>
            <w:tcBorders>
              <w:top w:val="nil"/>
              <w:left w:val="nil"/>
              <w:bottom w:val="nil"/>
              <w:right w:val="nil"/>
            </w:tcBorders>
            <w:shd w:val="clear" w:color="auto" w:fill="auto"/>
            <w:noWrap/>
            <w:vAlign w:val="bottom"/>
          </w:tcPr>
          <w:p w14:paraId="4DF6AEB2"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CAA Non-attainment Status</w:t>
            </w:r>
          </w:p>
        </w:tc>
        <w:tc>
          <w:tcPr>
            <w:tcW w:w="4614" w:type="dxa"/>
            <w:tcBorders>
              <w:top w:val="nil"/>
              <w:left w:val="nil"/>
              <w:right w:val="nil"/>
            </w:tcBorders>
            <w:vAlign w:val="bottom"/>
          </w:tcPr>
          <w:p w14:paraId="0B98C6B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ever in Clean Air Act non-attainment status county</w:t>
            </w:r>
          </w:p>
        </w:tc>
        <w:tc>
          <w:tcPr>
            <w:tcW w:w="863" w:type="dxa"/>
            <w:tcBorders>
              <w:top w:val="nil"/>
              <w:left w:val="nil"/>
              <w:right w:val="nil"/>
            </w:tcBorders>
            <w:shd w:val="clear" w:color="auto" w:fill="auto"/>
            <w:noWrap/>
            <w:vAlign w:val="bottom"/>
          </w:tcPr>
          <w:p w14:paraId="7F0B60F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1325</w:t>
            </w:r>
          </w:p>
        </w:tc>
        <w:tc>
          <w:tcPr>
            <w:tcW w:w="1243" w:type="dxa"/>
            <w:tcBorders>
              <w:top w:val="nil"/>
              <w:left w:val="nil"/>
              <w:right w:val="nil"/>
            </w:tcBorders>
            <w:shd w:val="clear" w:color="auto" w:fill="auto"/>
            <w:noWrap/>
            <w:vAlign w:val="bottom"/>
          </w:tcPr>
          <w:p w14:paraId="72930C4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0.280</w:t>
            </w:r>
          </w:p>
        </w:tc>
      </w:tr>
      <w:tr w:rsidR="009478ED" w:rsidRPr="007F37A0" w14:paraId="0060587D" w14:textId="77777777" w:rsidTr="00735871">
        <w:trPr>
          <w:trHeight w:val="276"/>
          <w:jc w:val="center"/>
        </w:trPr>
        <w:tc>
          <w:tcPr>
            <w:tcW w:w="2610" w:type="dxa"/>
            <w:tcBorders>
              <w:top w:val="nil"/>
              <w:left w:val="nil"/>
              <w:bottom w:val="single" w:sz="4" w:space="0" w:color="000000"/>
              <w:right w:val="nil"/>
            </w:tcBorders>
            <w:shd w:val="clear" w:color="auto" w:fill="auto"/>
            <w:noWrap/>
            <w:vAlign w:val="bottom"/>
            <w:hideMark/>
          </w:tcPr>
          <w:p w14:paraId="79F3652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4614" w:type="dxa"/>
            <w:tcBorders>
              <w:top w:val="nil"/>
              <w:left w:val="nil"/>
              <w:bottom w:val="single" w:sz="4" w:space="0" w:color="auto"/>
              <w:right w:val="nil"/>
            </w:tcBorders>
          </w:tcPr>
          <w:p w14:paraId="097C0979" w14:textId="77777777" w:rsidR="009478ED" w:rsidRPr="007F37A0" w:rsidRDefault="009478ED" w:rsidP="00735871">
            <w:pPr>
              <w:rPr>
                <w:rFonts w:ascii="Times New Roman" w:hAnsi="Times New Roman" w:cs="Times New Roman"/>
              </w:rPr>
            </w:pPr>
          </w:p>
        </w:tc>
        <w:tc>
          <w:tcPr>
            <w:tcW w:w="863" w:type="dxa"/>
            <w:tcBorders>
              <w:top w:val="nil"/>
              <w:left w:val="nil"/>
              <w:bottom w:val="single" w:sz="4" w:space="0" w:color="auto"/>
              <w:right w:val="nil"/>
            </w:tcBorders>
            <w:shd w:val="clear" w:color="auto" w:fill="auto"/>
            <w:noWrap/>
            <w:vAlign w:val="bottom"/>
            <w:hideMark/>
          </w:tcPr>
          <w:p w14:paraId="76840FF1" w14:textId="77777777" w:rsidR="009478ED" w:rsidRPr="007F37A0" w:rsidRDefault="009478ED" w:rsidP="00735871">
            <w:pPr>
              <w:rPr>
                <w:rFonts w:ascii="Times New Roman" w:hAnsi="Times New Roman" w:cs="Times New Roman"/>
              </w:rPr>
            </w:pPr>
          </w:p>
        </w:tc>
        <w:tc>
          <w:tcPr>
            <w:tcW w:w="1243" w:type="dxa"/>
            <w:tcBorders>
              <w:top w:val="nil"/>
              <w:left w:val="nil"/>
              <w:bottom w:val="single" w:sz="4" w:space="0" w:color="auto"/>
              <w:right w:val="nil"/>
            </w:tcBorders>
            <w:shd w:val="clear" w:color="auto" w:fill="auto"/>
            <w:noWrap/>
            <w:vAlign w:val="bottom"/>
            <w:hideMark/>
          </w:tcPr>
          <w:p w14:paraId="4364781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bl>
    <w:p w14:paraId="0B2F5B20" w14:textId="77777777" w:rsidR="009478ED" w:rsidRPr="007F37A0" w:rsidRDefault="009478ED" w:rsidP="009478ED">
      <w:pPr>
        <w:rPr>
          <w:rFonts w:ascii="Times New Roman" w:hAnsi="Times New Roman" w:cs="Times New Roman"/>
        </w:rPr>
      </w:pPr>
      <w:r w:rsidRPr="007F37A0">
        <w:rPr>
          <w:rFonts w:ascii="Times New Roman" w:hAnsi="Times New Roman" w:cs="Times New Roman"/>
          <w:b/>
          <w:bCs/>
        </w:rPr>
        <w:br w:type="page"/>
      </w:r>
    </w:p>
    <w:p w14:paraId="32C79872" w14:textId="32E24C73" w:rsidR="009478ED" w:rsidRPr="007F37A0" w:rsidRDefault="009478ED" w:rsidP="007F37A0">
      <w:pPr>
        <w:pStyle w:val="Caption"/>
        <w:rPr>
          <w:rFonts w:cs="Times New Roman"/>
        </w:rPr>
      </w:pPr>
      <w:bookmarkStart w:id="150" w:name="_Ref160785181"/>
      <w:bookmarkStart w:id="151" w:name="_Toc160879136"/>
      <w:bookmarkStart w:id="152" w:name="_Toc164862552"/>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17</w:t>
      </w:r>
      <w:r w:rsidRPr="007F37A0">
        <w:rPr>
          <w:rFonts w:cs="Times New Roman"/>
          <w:noProof/>
        </w:rPr>
        <w:fldChar w:fldCharType="end"/>
      </w:r>
      <w:bookmarkEnd w:id="150"/>
      <w:r w:rsidRPr="007F37A0">
        <w:rPr>
          <w:rFonts w:cs="Times New Roman"/>
        </w:rPr>
        <w:t>: Descriptive Statistics for Continuous Boiler Attributes</w:t>
      </w:r>
      <w:bookmarkEnd w:id="151"/>
      <w:bookmarkEnd w:id="152"/>
    </w:p>
    <w:tbl>
      <w:tblPr>
        <w:tblW w:w="9630" w:type="dxa"/>
        <w:jc w:val="center"/>
        <w:tblLook w:val="04A0" w:firstRow="1" w:lastRow="0" w:firstColumn="1" w:lastColumn="0" w:noHBand="0" w:noVBand="1"/>
      </w:tblPr>
      <w:tblGrid>
        <w:gridCol w:w="1216"/>
        <w:gridCol w:w="1645"/>
        <w:gridCol w:w="1016"/>
        <w:gridCol w:w="1116"/>
        <w:gridCol w:w="1163"/>
        <w:gridCol w:w="1398"/>
        <w:gridCol w:w="1176"/>
        <w:gridCol w:w="900"/>
      </w:tblGrid>
      <w:tr w:rsidR="009478ED" w:rsidRPr="007F37A0" w14:paraId="194D2A41" w14:textId="77777777" w:rsidTr="00735871">
        <w:trPr>
          <w:trHeight w:val="288"/>
          <w:jc w:val="center"/>
        </w:trPr>
        <w:tc>
          <w:tcPr>
            <w:tcW w:w="1216" w:type="dxa"/>
            <w:tcBorders>
              <w:top w:val="single" w:sz="4" w:space="0" w:color="auto"/>
              <w:left w:val="nil"/>
              <w:bottom w:val="single" w:sz="4" w:space="0" w:color="auto"/>
              <w:right w:val="nil"/>
            </w:tcBorders>
            <w:shd w:val="clear" w:color="auto" w:fill="auto"/>
            <w:noWrap/>
            <w:vAlign w:val="bottom"/>
            <w:hideMark/>
          </w:tcPr>
          <w:p w14:paraId="2E3009A6" w14:textId="77777777" w:rsidR="009478ED" w:rsidRPr="007F37A0" w:rsidRDefault="009478ED" w:rsidP="00735871">
            <w:pPr>
              <w:jc w:val="center"/>
              <w:rPr>
                <w:rFonts w:ascii="Times New Roman" w:hAnsi="Times New Roman" w:cs="Times New Roman"/>
              </w:rPr>
            </w:pPr>
            <w:bookmarkStart w:id="153" w:name="_Hlk161928102"/>
            <w:r w:rsidRPr="007F37A0">
              <w:rPr>
                <w:rFonts w:ascii="Times New Roman" w:hAnsi="Times New Roman" w:cs="Times New Roman"/>
              </w:rPr>
              <w:t>Variable</w:t>
            </w:r>
          </w:p>
        </w:tc>
        <w:tc>
          <w:tcPr>
            <w:tcW w:w="1645" w:type="dxa"/>
            <w:tcBorders>
              <w:top w:val="single" w:sz="4" w:space="0" w:color="auto"/>
              <w:left w:val="nil"/>
              <w:bottom w:val="single" w:sz="4" w:space="0" w:color="auto"/>
              <w:right w:val="nil"/>
            </w:tcBorders>
            <w:vAlign w:val="bottom"/>
          </w:tcPr>
          <w:p w14:paraId="03EEF16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Description</w:t>
            </w:r>
          </w:p>
        </w:tc>
        <w:tc>
          <w:tcPr>
            <w:tcW w:w="1016" w:type="dxa"/>
            <w:tcBorders>
              <w:top w:val="single" w:sz="4" w:space="0" w:color="auto"/>
              <w:left w:val="nil"/>
              <w:bottom w:val="single" w:sz="4" w:space="0" w:color="auto"/>
              <w:right w:val="nil"/>
            </w:tcBorders>
            <w:shd w:val="clear" w:color="auto" w:fill="auto"/>
            <w:noWrap/>
            <w:vAlign w:val="bottom"/>
            <w:hideMark/>
          </w:tcPr>
          <w:p w14:paraId="00AF87D9" w14:textId="77777777" w:rsidR="009478ED" w:rsidRPr="007F37A0" w:rsidRDefault="009478ED" w:rsidP="00735871">
            <w:pPr>
              <w:jc w:val="center"/>
              <w:rPr>
                <w:rFonts w:ascii="Times New Roman" w:hAnsi="Times New Roman" w:cs="Times New Roman"/>
              </w:rPr>
            </w:pPr>
          </w:p>
        </w:tc>
        <w:tc>
          <w:tcPr>
            <w:tcW w:w="1116" w:type="dxa"/>
            <w:tcBorders>
              <w:top w:val="single" w:sz="4" w:space="0" w:color="auto"/>
              <w:left w:val="nil"/>
              <w:bottom w:val="single" w:sz="4" w:space="0" w:color="auto"/>
              <w:right w:val="nil"/>
            </w:tcBorders>
            <w:shd w:val="clear" w:color="auto" w:fill="auto"/>
            <w:noWrap/>
            <w:vAlign w:val="bottom"/>
            <w:hideMark/>
          </w:tcPr>
          <w:p w14:paraId="68FB4AF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Mean</w:t>
            </w:r>
          </w:p>
        </w:tc>
        <w:tc>
          <w:tcPr>
            <w:tcW w:w="1163" w:type="dxa"/>
            <w:tcBorders>
              <w:top w:val="single" w:sz="4" w:space="0" w:color="auto"/>
              <w:left w:val="nil"/>
              <w:bottom w:val="single" w:sz="4" w:space="0" w:color="auto"/>
              <w:right w:val="nil"/>
            </w:tcBorders>
            <w:shd w:val="clear" w:color="auto" w:fill="auto"/>
            <w:noWrap/>
            <w:vAlign w:val="bottom"/>
            <w:hideMark/>
          </w:tcPr>
          <w:p w14:paraId="0B78A21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Standard Deviation</w:t>
            </w:r>
          </w:p>
        </w:tc>
        <w:tc>
          <w:tcPr>
            <w:tcW w:w="1398" w:type="dxa"/>
            <w:tcBorders>
              <w:top w:val="single" w:sz="4" w:space="0" w:color="auto"/>
              <w:left w:val="nil"/>
              <w:bottom w:val="single" w:sz="4" w:space="0" w:color="auto"/>
              <w:right w:val="nil"/>
            </w:tcBorders>
            <w:shd w:val="clear" w:color="auto" w:fill="auto"/>
            <w:noWrap/>
            <w:vAlign w:val="bottom"/>
            <w:hideMark/>
          </w:tcPr>
          <w:p w14:paraId="2DF02A3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Min</w:t>
            </w:r>
          </w:p>
        </w:tc>
        <w:tc>
          <w:tcPr>
            <w:tcW w:w="1176" w:type="dxa"/>
            <w:tcBorders>
              <w:top w:val="single" w:sz="4" w:space="0" w:color="auto"/>
              <w:left w:val="nil"/>
              <w:bottom w:val="single" w:sz="4" w:space="0" w:color="auto"/>
              <w:right w:val="nil"/>
            </w:tcBorders>
            <w:shd w:val="clear" w:color="auto" w:fill="auto"/>
            <w:noWrap/>
            <w:vAlign w:val="bottom"/>
            <w:hideMark/>
          </w:tcPr>
          <w:p w14:paraId="718F9D1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Max</w:t>
            </w:r>
          </w:p>
        </w:tc>
        <w:tc>
          <w:tcPr>
            <w:tcW w:w="900" w:type="dxa"/>
            <w:tcBorders>
              <w:top w:val="single" w:sz="4" w:space="0" w:color="auto"/>
              <w:left w:val="nil"/>
              <w:bottom w:val="single" w:sz="4" w:space="0" w:color="auto"/>
              <w:right w:val="nil"/>
            </w:tcBorders>
            <w:shd w:val="clear" w:color="auto" w:fill="auto"/>
            <w:noWrap/>
            <w:vAlign w:val="bottom"/>
            <w:hideMark/>
          </w:tcPr>
          <w:p w14:paraId="2D89C4B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N/n/T-bar</w:t>
            </w:r>
          </w:p>
        </w:tc>
      </w:tr>
      <w:tr w:rsidR="009478ED" w:rsidRPr="007F37A0" w14:paraId="0E47BC72" w14:textId="77777777" w:rsidTr="00735871">
        <w:trPr>
          <w:trHeight w:val="288"/>
          <w:jc w:val="center"/>
        </w:trPr>
        <w:tc>
          <w:tcPr>
            <w:tcW w:w="1216" w:type="dxa"/>
            <w:tcBorders>
              <w:top w:val="nil"/>
              <w:left w:val="nil"/>
              <w:right w:val="nil"/>
            </w:tcBorders>
            <w:shd w:val="clear" w:color="auto" w:fill="auto"/>
            <w:noWrap/>
          </w:tcPr>
          <w:p w14:paraId="405ABDCE" w14:textId="77777777" w:rsidR="009478ED" w:rsidRPr="007F37A0" w:rsidRDefault="009478ED" w:rsidP="00735871">
            <w:pPr>
              <w:jc w:val="center"/>
              <w:rPr>
                <w:rFonts w:ascii="Times New Roman" w:hAnsi="Times New Roman" w:cs="Times New Roman"/>
              </w:rPr>
            </w:pPr>
          </w:p>
        </w:tc>
        <w:tc>
          <w:tcPr>
            <w:tcW w:w="1645" w:type="dxa"/>
            <w:tcBorders>
              <w:top w:val="nil"/>
              <w:left w:val="nil"/>
              <w:right w:val="nil"/>
            </w:tcBorders>
          </w:tcPr>
          <w:p w14:paraId="74305888" w14:textId="77777777" w:rsidR="009478ED" w:rsidRPr="007F37A0" w:rsidRDefault="009478ED" w:rsidP="00735871">
            <w:pPr>
              <w:jc w:val="center"/>
              <w:rPr>
                <w:rFonts w:ascii="Times New Roman" w:hAnsi="Times New Roman" w:cs="Times New Roman"/>
              </w:rPr>
            </w:pPr>
          </w:p>
        </w:tc>
        <w:tc>
          <w:tcPr>
            <w:tcW w:w="1016" w:type="dxa"/>
            <w:tcBorders>
              <w:top w:val="nil"/>
              <w:left w:val="nil"/>
              <w:bottom w:val="nil"/>
              <w:right w:val="nil"/>
            </w:tcBorders>
            <w:shd w:val="clear" w:color="auto" w:fill="auto"/>
            <w:noWrap/>
            <w:vAlign w:val="bottom"/>
          </w:tcPr>
          <w:p w14:paraId="7DC14B4B"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tcPr>
          <w:p w14:paraId="7B72800B" w14:textId="77777777" w:rsidR="009478ED" w:rsidRPr="007F37A0" w:rsidRDefault="009478ED" w:rsidP="00735871">
            <w:pPr>
              <w:jc w:val="center"/>
              <w:rPr>
                <w:rFonts w:ascii="Times New Roman" w:hAnsi="Times New Roman" w:cs="Times New Roman"/>
              </w:rPr>
            </w:pPr>
          </w:p>
        </w:tc>
        <w:tc>
          <w:tcPr>
            <w:tcW w:w="1163" w:type="dxa"/>
            <w:tcBorders>
              <w:top w:val="nil"/>
              <w:left w:val="nil"/>
              <w:bottom w:val="nil"/>
              <w:right w:val="nil"/>
            </w:tcBorders>
            <w:shd w:val="clear" w:color="auto" w:fill="auto"/>
            <w:noWrap/>
            <w:vAlign w:val="bottom"/>
          </w:tcPr>
          <w:p w14:paraId="72A71350" w14:textId="77777777" w:rsidR="009478ED" w:rsidRPr="007F37A0" w:rsidRDefault="009478ED" w:rsidP="00735871">
            <w:pPr>
              <w:jc w:val="center"/>
              <w:rPr>
                <w:rFonts w:ascii="Times New Roman" w:hAnsi="Times New Roman" w:cs="Times New Roman"/>
              </w:rPr>
            </w:pPr>
          </w:p>
        </w:tc>
        <w:tc>
          <w:tcPr>
            <w:tcW w:w="1398" w:type="dxa"/>
            <w:tcBorders>
              <w:top w:val="nil"/>
              <w:left w:val="nil"/>
              <w:bottom w:val="nil"/>
              <w:right w:val="nil"/>
            </w:tcBorders>
            <w:shd w:val="clear" w:color="auto" w:fill="auto"/>
            <w:noWrap/>
            <w:vAlign w:val="bottom"/>
          </w:tcPr>
          <w:p w14:paraId="0E9CE4DE" w14:textId="77777777" w:rsidR="009478ED" w:rsidRPr="007F37A0" w:rsidRDefault="009478ED" w:rsidP="00735871">
            <w:pPr>
              <w:jc w:val="center"/>
              <w:rPr>
                <w:rFonts w:ascii="Times New Roman" w:hAnsi="Times New Roman" w:cs="Times New Roman"/>
              </w:rPr>
            </w:pPr>
          </w:p>
        </w:tc>
        <w:tc>
          <w:tcPr>
            <w:tcW w:w="1176" w:type="dxa"/>
            <w:tcBorders>
              <w:top w:val="nil"/>
              <w:left w:val="nil"/>
              <w:bottom w:val="nil"/>
              <w:right w:val="nil"/>
            </w:tcBorders>
            <w:shd w:val="clear" w:color="auto" w:fill="auto"/>
            <w:noWrap/>
            <w:vAlign w:val="bottom"/>
          </w:tcPr>
          <w:p w14:paraId="3404D56B" w14:textId="77777777" w:rsidR="009478ED" w:rsidRPr="007F37A0" w:rsidRDefault="009478ED" w:rsidP="00735871">
            <w:pPr>
              <w:jc w:val="center"/>
              <w:rPr>
                <w:rFonts w:ascii="Times New Roman" w:hAnsi="Times New Roman" w:cs="Times New Roman"/>
              </w:rPr>
            </w:pPr>
          </w:p>
        </w:tc>
        <w:tc>
          <w:tcPr>
            <w:tcW w:w="900" w:type="dxa"/>
            <w:tcBorders>
              <w:top w:val="nil"/>
              <w:left w:val="nil"/>
              <w:bottom w:val="nil"/>
              <w:right w:val="nil"/>
            </w:tcBorders>
            <w:shd w:val="clear" w:color="auto" w:fill="auto"/>
            <w:noWrap/>
            <w:vAlign w:val="bottom"/>
          </w:tcPr>
          <w:p w14:paraId="387C2943" w14:textId="77777777" w:rsidR="009478ED" w:rsidRPr="007F37A0" w:rsidRDefault="009478ED" w:rsidP="00735871">
            <w:pPr>
              <w:jc w:val="center"/>
              <w:rPr>
                <w:rFonts w:ascii="Times New Roman" w:hAnsi="Times New Roman" w:cs="Times New Roman"/>
              </w:rPr>
            </w:pPr>
          </w:p>
        </w:tc>
      </w:tr>
      <w:tr w:rsidR="009478ED" w:rsidRPr="007F37A0" w14:paraId="44798636" w14:textId="77777777" w:rsidTr="00735871">
        <w:trPr>
          <w:trHeight w:val="288"/>
          <w:jc w:val="center"/>
        </w:trPr>
        <w:tc>
          <w:tcPr>
            <w:tcW w:w="1216" w:type="dxa"/>
            <w:vMerge w:val="restart"/>
            <w:tcBorders>
              <w:top w:val="nil"/>
              <w:left w:val="nil"/>
              <w:right w:val="nil"/>
            </w:tcBorders>
            <w:shd w:val="clear" w:color="auto" w:fill="auto"/>
            <w:noWrap/>
          </w:tcPr>
          <w:p w14:paraId="7115115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Fuel Switching</w:t>
            </w:r>
          </w:p>
        </w:tc>
        <w:tc>
          <w:tcPr>
            <w:tcW w:w="1645" w:type="dxa"/>
            <w:vMerge w:val="restart"/>
            <w:tcBorders>
              <w:top w:val="nil"/>
              <w:left w:val="nil"/>
              <w:right w:val="nil"/>
            </w:tcBorders>
          </w:tcPr>
          <w:p w14:paraId="5048269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switches fuel type</w:t>
            </w:r>
          </w:p>
        </w:tc>
        <w:tc>
          <w:tcPr>
            <w:tcW w:w="1016" w:type="dxa"/>
            <w:tcBorders>
              <w:top w:val="nil"/>
              <w:left w:val="nil"/>
              <w:bottom w:val="nil"/>
              <w:right w:val="nil"/>
            </w:tcBorders>
            <w:shd w:val="clear" w:color="auto" w:fill="auto"/>
            <w:noWrap/>
            <w:vAlign w:val="bottom"/>
          </w:tcPr>
          <w:p w14:paraId="7AFCD71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overall</w:t>
            </w:r>
          </w:p>
        </w:tc>
        <w:tc>
          <w:tcPr>
            <w:tcW w:w="1116" w:type="dxa"/>
            <w:tcBorders>
              <w:top w:val="nil"/>
              <w:left w:val="nil"/>
              <w:bottom w:val="nil"/>
              <w:right w:val="nil"/>
            </w:tcBorders>
            <w:shd w:val="clear" w:color="auto" w:fill="auto"/>
            <w:noWrap/>
            <w:vAlign w:val="bottom"/>
          </w:tcPr>
          <w:p w14:paraId="50D4EA6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0.130</w:t>
            </w:r>
          </w:p>
        </w:tc>
        <w:tc>
          <w:tcPr>
            <w:tcW w:w="1163" w:type="dxa"/>
            <w:tcBorders>
              <w:top w:val="nil"/>
              <w:left w:val="nil"/>
              <w:bottom w:val="nil"/>
              <w:right w:val="nil"/>
            </w:tcBorders>
            <w:shd w:val="clear" w:color="auto" w:fill="auto"/>
            <w:noWrap/>
            <w:vAlign w:val="bottom"/>
          </w:tcPr>
          <w:p w14:paraId="1330F88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0.336</w:t>
            </w:r>
          </w:p>
        </w:tc>
        <w:tc>
          <w:tcPr>
            <w:tcW w:w="1398" w:type="dxa"/>
            <w:tcBorders>
              <w:top w:val="nil"/>
              <w:left w:val="nil"/>
              <w:bottom w:val="nil"/>
              <w:right w:val="nil"/>
            </w:tcBorders>
            <w:shd w:val="clear" w:color="auto" w:fill="auto"/>
            <w:noWrap/>
            <w:vAlign w:val="bottom"/>
          </w:tcPr>
          <w:p w14:paraId="58BB836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w:t>
            </w:r>
          </w:p>
        </w:tc>
        <w:tc>
          <w:tcPr>
            <w:tcW w:w="1176" w:type="dxa"/>
            <w:tcBorders>
              <w:top w:val="nil"/>
              <w:left w:val="nil"/>
              <w:bottom w:val="nil"/>
              <w:right w:val="nil"/>
            </w:tcBorders>
            <w:shd w:val="clear" w:color="auto" w:fill="auto"/>
            <w:noWrap/>
            <w:vAlign w:val="bottom"/>
          </w:tcPr>
          <w:p w14:paraId="2CADB66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w:t>
            </w:r>
          </w:p>
        </w:tc>
        <w:tc>
          <w:tcPr>
            <w:tcW w:w="900" w:type="dxa"/>
            <w:tcBorders>
              <w:top w:val="nil"/>
              <w:left w:val="nil"/>
              <w:bottom w:val="nil"/>
              <w:right w:val="nil"/>
            </w:tcBorders>
            <w:shd w:val="clear" w:color="auto" w:fill="auto"/>
            <w:noWrap/>
            <w:vAlign w:val="bottom"/>
          </w:tcPr>
          <w:p w14:paraId="1F3B640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50039</w:t>
            </w:r>
          </w:p>
        </w:tc>
      </w:tr>
      <w:tr w:rsidR="009478ED" w:rsidRPr="007F37A0" w14:paraId="70040AD8" w14:textId="77777777" w:rsidTr="00735871">
        <w:trPr>
          <w:trHeight w:val="288"/>
          <w:jc w:val="center"/>
        </w:trPr>
        <w:tc>
          <w:tcPr>
            <w:tcW w:w="1216" w:type="dxa"/>
            <w:vMerge/>
            <w:tcBorders>
              <w:left w:val="nil"/>
              <w:right w:val="nil"/>
            </w:tcBorders>
            <w:shd w:val="clear" w:color="auto" w:fill="auto"/>
            <w:noWrap/>
          </w:tcPr>
          <w:p w14:paraId="051E9066"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right w:val="nil"/>
            </w:tcBorders>
          </w:tcPr>
          <w:p w14:paraId="0096572D"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nil"/>
              <w:right w:val="nil"/>
            </w:tcBorders>
            <w:shd w:val="clear" w:color="auto" w:fill="auto"/>
            <w:noWrap/>
            <w:vAlign w:val="bottom"/>
          </w:tcPr>
          <w:p w14:paraId="229AFCB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between</w:t>
            </w:r>
          </w:p>
        </w:tc>
        <w:tc>
          <w:tcPr>
            <w:tcW w:w="1116" w:type="dxa"/>
            <w:tcBorders>
              <w:top w:val="nil"/>
              <w:left w:val="nil"/>
              <w:bottom w:val="nil"/>
              <w:right w:val="nil"/>
            </w:tcBorders>
            <w:shd w:val="clear" w:color="auto" w:fill="auto"/>
            <w:noWrap/>
            <w:vAlign w:val="bottom"/>
          </w:tcPr>
          <w:p w14:paraId="2EDDC82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nil"/>
              <w:right w:val="nil"/>
            </w:tcBorders>
            <w:shd w:val="clear" w:color="auto" w:fill="auto"/>
            <w:noWrap/>
            <w:vAlign w:val="bottom"/>
          </w:tcPr>
          <w:p w14:paraId="0D53828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0.222</w:t>
            </w:r>
          </w:p>
        </w:tc>
        <w:tc>
          <w:tcPr>
            <w:tcW w:w="1398" w:type="dxa"/>
            <w:tcBorders>
              <w:top w:val="nil"/>
              <w:left w:val="nil"/>
              <w:bottom w:val="nil"/>
              <w:right w:val="nil"/>
            </w:tcBorders>
            <w:shd w:val="clear" w:color="auto" w:fill="auto"/>
            <w:noWrap/>
            <w:vAlign w:val="bottom"/>
          </w:tcPr>
          <w:p w14:paraId="57C4344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w:t>
            </w:r>
          </w:p>
        </w:tc>
        <w:tc>
          <w:tcPr>
            <w:tcW w:w="1176" w:type="dxa"/>
            <w:tcBorders>
              <w:top w:val="nil"/>
              <w:left w:val="nil"/>
              <w:bottom w:val="nil"/>
              <w:right w:val="nil"/>
            </w:tcBorders>
            <w:shd w:val="clear" w:color="auto" w:fill="auto"/>
            <w:noWrap/>
            <w:vAlign w:val="bottom"/>
          </w:tcPr>
          <w:p w14:paraId="1D1649D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w:t>
            </w:r>
          </w:p>
        </w:tc>
        <w:tc>
          <w:tcPr>
            <w:tcW w:w="900" w:type="dxa"/>
            <w:tcBorders>
              <w:top w:val="nil"/>
              <w:left w:val="nil"/>
              <w:bottom w:val="nil"/>
              <w:right w:val="nil"/>
            </w:tcBorders>
            <w:shd w:val="clear" w:color="auto" w:fill="auto"/>
            <w:noWrap/>
            <w:vAlign w:val="bottom"/>
          </w:tcPr>
          <w:p w14:paraId="7B1BAE8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4731</w:t>
            </w:r>
          </w:p>
        </w:tc>
      </w:tr>
      <w:tr w:rsidR="009478ED" w:rsidRPr="007F37A0" w14:paraId="488701C0" w14:textId="77777777" w:rsidTr="00735871">
        <w:trPr>
          <w:trHeight w:val="288"/>
          <w:jc w:val="center"/>
        </w:trPr>
        <w:tc>
          <w:tcPr>
            <w:tcW w:w="1216" w:type="dxa"/>
            <w:vMerge/>
            <w:tcBorders>
              <w:left w:val="nil"/>
              <w:bottom w:val="single" w:sz="4" w:space="0" w:color="auto"/>
              <w:right w:val="nil"/>
            </w:tcBorders>
            <w:shd w:val="clear" w:color="auto" w:fill="auto"/>
            <w:noWrap/>
          </w:tcPr>
          <w:p w14:paraId="66210683"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bottom w:val="single" w:sz="4" w:space="0" w:color="auto"/>
              <w:right w:val="nil"/>
            </w:tcBorders>
          </w:tcPr>
          <w:p w14:paraId="1C03CE25"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single" w:sz="4" w:space="0" w:color="auto"/>
              <w:right w:val="nil"/>
            </w:tcBorders>
            <w:shd w:val="clear" w:color="auto" w:fill="auto"/>
            <w:noWrap/>
            <w:vAlign w:val="bottom"/>
          </w:tcPr>
          <w:p w14:paraId="5908334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within</w:t>
            </w:r>
          </w:p>
        </w:tc>
        <w:tc>
          <w:tcPr>
            <w:tcW w:w="1116" w:type="dxa"/>
            <w:tcBorders>
              <w:top w:val="nil"/>
              <w:left w:val="nil"/>
              <w:bottom w:val="single" w:sz="4" w:space="0" w:color="auto"/>
              <w:right w:val="nil"/>
            </w:tcBorders>
            <w:shd w:val="clear" w:color="auto" w:fill="auto"/>
            <w:noWrap/>
            <w:vAlign w:val="bottom"/>
          </w:tcPr>
          <w:p w14:paraId="2AA378A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single" w:sz="4" w:space="0" w:color="auto"/>
              <w:right w:val="nil"/>
            </w:tcBorders>
            <w:shd w:val="clear" w:color="auto" w:fill="auto"/>
            <w:noWrap/>
            <w:vAlign w:val="bottom"/>
          </w:tcPr>
          <w:p w14:paraId="5C58FE1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0.319</w:t>
            </w:r>
          </w:p>
        </w:tc>
        <w:tc>
          <w:tcPr>
            <w:tcW w:w="1398" w:type="dxa"/>
            <w:tcBorders>
              <w:top w:val="nil"/>
              <w:left w:val="nil"/>
              <w:bottom w:val="single" w:sz="4" w:space="0" w:color="auto"/>
              <w:right w:val="nil"/>
            </w:tcBorders>
            <w:shd w:val="clear" w:color="auto" w:fill="auto"/>
            <w:noWrap/>
            <w:vAlign w:val="bottom"/>
          </w:tcPr>
          <w:p w14:paraId="5D191E4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-0.703</w:t>
            </w:r>
          </w:p>
        </w:tc>
        <w:tc>
          <w:tcPr>
            <w:tcW w:w="1176" w:type="dxa"/>
            <w:tcBorders>
              <w:top w:val="nil"/>
              <w:left w:val="nil"/>
              <w:bottom w:val="single" w:sz="4" w:space="0" w:color="auto"/>
              <w:right w:val="nil"/>
            </w:tcBorders>
            <w:shd w:val="clear" w:color="auto" w:fill="auto"/>
            <w:noWrap/>
            <w:vAlign w:val="bottom"/>
          </w:tcPr>
          <w:p w14:paraId="27ACA80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1.059</w:t>
            </w:r>
          </w:p>
        </w:tc>
        <w:tc>
          <w:tcPr>
            <w:tcW w:w="900" w:type="dxa"/>
            <w:tcBorders>
              <w:top w:val="nil"/>
              <w:left w:val="nil"/>
              <w:bottom w:val="single" w:sz="4" w:space="0" w:color="auto"/>
              <w:right w:val="nil"/>
            </w:tcBorders>
            <w:shd w:val="clear" w:color="auto" w:fill="auto"/>
            <w:noWrap/>
            <w:vAlign w:val="bottom"/>
          </w:tcPr>
          <w:p w14:paraId="25B5BFA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10.577</w:t>
            </w:r>
          </w:p>
        </w:tc>
      </w:tr>
      <w:tr w:rsidR="009478ED" w:rsidRPr="007F37A0" w14:paraId="7219C66B" w14:textId="77777777" w:rsidTr="00735871">
        <w:trPr>
          <w:trHeight w:val="288"/>
          <w:jc w:val="center"/>
        </w:trPr>
        <w:tc>
          <w:tcPr>
            <w:tcW w:w="1216" w:type="dxa"/>
            <w:vMerge w:val="restart"/>
            <w:tcBorders>
              <w:top w:val="single" w:sz="4" w:space="0" w:color="auto"/>
              <w:left w:val="nil"/>
              <w:right w:val="nil"/>
            </w:tcBorders>
            <w:shd w:val="clear" w:color="auto" w:fill="auto"/>
            <w:noWrap/>
            <w:hideMark/>
          </w:tcPr>
          <w:p w14:paraId="7E5AFB8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Age in 2009</w:t>
            </w:r>
          </w:p>
        </w:tc>
        <w:tc>
          <w:tcPr>
            <w:tcW w:w="1645" w:type="dxa"/>
            <w:vMerge w:val="restart"/>
            <w:tcBorders>
              <w:top w:val="single" w:sz="4" w:space="0" w:color="auto"/>
              <w:left w:val="nil"/>
              <w:right w:val="nil"/>
            </w:tcBorders>
          </w:tcPr>
          <w:p w14:paraId="0370C05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age in 2009, time invariant</w:t>
            </w:r>
          </w:p>
        </w:tc>
        <w:tc>
          <w:tcPr>
            <w:tcW w:w="1016" w:type="dxa"/>
            <w:tcBorders>
              <w:top w:val="single" w:sz="4" w:space="0" w:color="auto"/>
              <w:left w:val="nil"/>
              <w:bottom w:val="nil"/>
              <w:right w:val="nil"/>
            </w:tcBorders>
            <w:shd w:val="clear" w:color="auto" w:fill="auto"/>
            <w:noWrap/>
            <w:vAlign w:val="bottom"/>
            <w:hideMark/>
          </w:tcPr>
          <w:p w14:paraId="178F8FF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overall</w:t>
            </w:r>
          </w:p>
        </w:tc>
        <w:tc>
          <w:tcPr>
            <w:tcW w:w="1116" w:type="dxa"/>
            <w:tcBorders>
              <w:top w:val="single" w:sz="4" w:space="0" w:color="auto"/>
              <w:left w:val="nil"/>
              <w:bottom w:val="nil"/>
              <w:right w:val="nil"/>
            </w:tcBorders>
            <w:shd w:val="clear" w:color="auto" w:fill="auto"/>
            <w:noWrap/>
            <w:vAlign w:val="bottom"/>
            <w:hideMark/>
          </w:tcPr>
          <w:p w14:paraId="7992BFB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26.637</w:t>
            </w:r>
          </w:p>
        </w:tc>
        <w:tc>
          <w:tcPr>
            <w:tcW w:w="1163" w:type="dxa"/>
            <w:tcBorders>
              <w:top w:val="single" w:sz="4" w:space="0" w:color="auto"/>
              <w:left w:val="nil"/>
              <w:bottom w:val="nil"/>
              <w:right w:val="nil"/>
            </w:tcBorders>
            <w:shd w:val="clear" w:color="auto" w:fill="auto"/>
            <w:noWrap/>
            <w:vAlign w:val="bottom"/>
            <w:hideMark/>
          </w:tcPr>
          <w:p w14:paraId="0DD17FD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18.858</w:t>
            </w:r>
          </w:p>
        </w:tc>
        <w:tc>
          <w:tcPr>
            <w:tcW w:w="1398" w:type="dxa"/>
            <w:tcBorders>
              <w:top w:val="single" w:sz="4" w:space="0" w:color="auto"/>
              <w:left w:val="nil"/>
              <w:bottom w:val="nil"/>
              <w:right w:val="nil"/>
            </w:tcBorders>
            <w:shd w:val="clear" w:color="auto" w:fill="auto"/>
            <w:noWrap/>
            <w:vAlign w:val="bottom"/>
            <w:hideMark/>
          </w:tcPr>
          <w:p w14:paraId="3921082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w:t>
            </w:r>
          </w:p>
        </w:tc>
        <w:tc>
          <w:tcPr>
            <w:tcW w:w="1176" w:type="dxa"/>
            <w:tcBorders>
              <w:top w:val="single" w:sz="4" w:space="0" w:color="auto"/>
              <w:left w:val="nil"/>
              <w:bottom w:val="nil"/>
              <w:right w:val="nil"/>
            </w:tcBorders>
            <w:shd w:val="clear" w:color="auto" w:fill="auto"/>
            <w:noWrap/>
            <w:vAlign w:val="bottom"/>
            <w:hideMark/>
          </w:tcPr>
          <w:p w14:paraId="4343C0B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83</w:t>
            </w:r>
          </w:p>
        </w:tc>
        <w:tc>
          <w:tcPr>
            <w:tcW w:w="900" w:type="dxa"/>
            <w:tcBorders>
              <w:top w:val="single" w:sz="4" w:space="0" w:color="auto"/>
              <w:left w:val="nil"/>
              <w:bottom w:val="nil"/>
              <w:right w:val="nil"/>
            </w:tcBorders>
            <w:shd w:val="clear" w:color="auto" w:fill="auto"/>
            <w:noWrap/>
            <w:vAlign w:val="bottom"/>
            <w:hideMark/>
          </w:tcPr>
          <w:p w14:paraId="194473C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46410</w:t>
            </w:r>
          </w:p>
        </w:tc>
      </w:tr>
      <w:tr w:rsidR="009478ED" w:rsidRPr="007F37A0" w14:paraId="52A4BF45" w14:textId="77777777" w:rsidTr="00735871">
        <w:trPr>
          <w:trHeight w:val="288"/>
          <w:jc w:val="center"/>
        </w:trPr>
        <w:tc>
          <w:tcPr>
            <w:tcW w:w="1216" w:type="dxa"/>
            <w:vMerge/>
            <w:tcBorders>
              <w:left w:val="nil"/>
              <w:right w:val="nil"/>
            </w:tcBorders>
            <w:shd w:val="clear" w:color="auto" w:fill="auto"/>
            <w:noWrap/>
            <w:hideMark/>
          </w:tcPr>
          <w:p w14:paraId="61DDFB1E"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right w:val="nil"/>
            </w:tcBorders>
          </w:tcPr>
          <w:p w14:paraId="1BF79EAB"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right w:val="nil"/>
            </w:tcBorders>
            <w:shd w:val="clear" w:color="auto" w:fill="auto"/>
            <w:noWrap/>
            <w:vAlign w:val="bottom"/>
            <w:hideMark/>
          </w:tcPr>
          <w:p w14:paraId="058EC7C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between</w:t>
            </w:r>
          </w:p>
        </w:tc>
        <w:tc>
          <w:tcPr>
            <w:tcW w:w="1116" w:type="dxa"/>
            <w:tcBorders>
              <w:top w:val="nil"/>
              <w:left w:val="nil"/>
              <w:right w:val="nil"/>
            </w:tcBorders>
            <w:shd w:val="clear" w:color="auto" w:fill="auto"/>
            <w:noWrap/>
            <w:vAlign w:val="bottom"/>
            <w:hideMark/>
          </w:tcPr>
          <w:p w14:paraId="51923BC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right w:val="nil"/>
            </w:tcBorders>
            <w:shd w:val="clear" w:color="auto" w:fill="auto"/>
            <w:noWrap/>
            <w:vAlign w:val="bottom"/>
            <w:hideMark/>
          </w:tcPr>
          <w:p w14:paraId="720D685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20.075</w:t>
            </w:r>
          </w:p>
        </w:tc>
        <w:tc>
          <w:tcPr>
            <w:tcW w:w="1398" w:type="dxa"/>
            <w:tcBorders>
              <w:top w:val="nil"/>
              <w:left w:val="nil"/>
              <w:right w:val="nil"/>
            </w:tcBorders>
            <w:shd w:val="clear" w:color="auto" w:fill="auto"/>
            <w:noWrap/>
            <w:vAlign w:val="bottom"/>
            <w:hideMark/>
          </w:tcPr>
          <w:p w14:paraId="076899E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w:t>
            </w:r>
          </w:p>
        </w:tc>
        <w:tc>
          <w:tcPr>
            <w:tcW w:w="1176" w:type="dxa"/>
            <w:tcBorders>
              <w:top w:val="nil"/>
              <w:left w:val="nil"/>
              <w:right w:val="nil"/>
            </w:tcBorders>
            <w:shd w:val="clear" w:color="auto" w:fill="auto"/>
            <w:noWrap/>
            <w:vAlign w:val="bottom"/>
            <w:hideMark/>
          </w:tcPr>
          <w:p w14:paraId="52E5646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83</w:t>
            </w:r>
          </w:p>
        </w:tc>
        <w:tc>
          <w:tcPr>
            <w:tcW w:w="900" w:type="dxa"/>
            <w:tcBorders>
              <w:top w:val="nil"/>
              <w:left w:val="nil"/>
              <w:right w:val="nil"/>
            </w:tcBorders>
            <w:shd w:val="clear" w:color="auto" w:fill="auto"/>
            <w:noWrap/>
            <w:vAlign w:val="bottom"/>
            <w:hideMark/>
          </w:tcPr>
          <w:p w14:paraId="454A68D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4240</w:t>
            </w:r>
          </w:p>
        </w:tc>
      </w:tr>
      <w:tr w:rsidR="009478ED" w:rsidRPr="007F37A0" w14:paraId="41421698" w14:textId="77777777" w:rsidTr="00735871">
        <w:trPr>
          <w:trHeight w:val="288"/>
          <w:jc w:val="center"/>
        </w:trPr>
        <w:tc>
          <w:tcPr>
            <w:tcW w:w="1216" w:type="dxa"/>
            <w:tcBorders>
              <w:top w:val="nil"/>
              <w:left w:val="nil"/>
              <w:bottom w:val="single" w:sz="4" w:space="0" w:color="auto"/>
              <w:right w:val="nil"/>
            </w:tcBorders>
            <w:shd w:val="clear" w:color="auto" w:fill="auto"/>
            <w:noWrap/>
            <w:hideMark/>
          </w:tcPr>
          <w:p w14:paraId="154A98A1" w14:textId="77777777" w:rsidR="009478ED" w:rsidRPr="007F37A0" w:rsidRDefault="009478ED" w:rsidP="00735871">
            <w:pPr>
              <w:spacing w:after="240"/>
              <w:jc w:val="center"/>
              <w:rPr>
                <w:rFonts w:ascii="Times New Roman" w:hAnsi="Times New Roman" w:cs="Times New Roman"/>
              </w:rPr>
            </w:pPr>
          </w:p>
        </w:tc>
        <w:tc>
          <w:tcPr>
            <w:tcW w:w="1645" w:type="dxa"/>
            <w:tcBorders>
              <w:top w:val="nil"/>
              <w:left w:val="nil"/>
              <w:bottom w:val="single" w:sz="4" w:space="0" w:color="auto"/>
              <w:right w:val="nil"/>
            </w:tcBorders>
          </w:tcPr>
          <w:p w14:paraId="69CE14CE"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single" w:sz="4" w:space="0" w:color="auto"/>
              <w:right w:val="nil"/>
            </w:tcBorders>
            <w:shd w:val="clear" w:color="auto" w:fill="auto"/>
            <w:noWrap/>
            <w:vAlign w:val="bottom"/>
            <w:hideMark/>
          </w:tcPr>
          <w:p w14:paraId="2201052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within</w:t>
            </w:r>
          </w:p>
        </w:tc>
        <w:tc>
          <w:tcPr>
            <w:tcW w:w="1116" w:type="dxa"/>
            <w:tcBorders>
              <w:top w:val="nil"/>
              <w:left w:val="nil"/>
              <w:bottom w:val="single" w:sz="4" w:space="0" w:color="auto"/>
              <w:right w:val="nil"/>
            </w:tcBorders>
            <w:shd w:val="clear" w:color="auto" w:fill="auto"/>
            <w:noWrap/>
            <w:vAlign w:val="bottom"/>
            <w:hideMark/>
          </w:tcPr>
          <w:p w14:paraId="1C2F1BE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single" w:sz="4" w:space="0" w:color="auto"/>
              <w:right w:val="nil"/>
            </w:tcBorders>
            <w:shd w:val="clear" w:color="auto" w:fill="auto"/>
            <w:noWrap/>
            <w:vAlign w:val="bottom"/>
            <w:hideMark/>
          </w:tcPr>
          <w:p w14:paraId="564E675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w:t>
            </w:r>
          </w:p>
        </w:tc>
        <w:tc>
          <w:tcPr>
            <w:tcW w:w="1398" w:type="dxa"/>
            <w:tcBorders>
              <w:top w:val="nil"/>
              <w:left w:val="nil"/>
              <w:bottom w:val="single" w:sz="4" w:space="0" w:color="auto"/>
              <w:right w:val="nil"/>
            </w:tcBorders>
            <w:shd w:val="clear" w:color="auto" w:fill="auto"/>
            <w:noWrap/>
            <w:vAlign w:val="bottom"/>
            <w:hideMark/>
          </w:tcPr>
          <w:p w14:paraId="18DFB9E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26.637</w:t>
            </w:r>
          </w:p>
        </w:tc>
        <w:tc>
          <w:tcPr>
            <w:tcW w:w="1176" w:type="dxa"/>
            <w:tcBorders>
              <w:top w:val="nil"/>
              <w:left w:val="nil"/>
              <w:bottom w:val="single" w:sz="4" w:space="0" w:color="auto"/>
              <w:right w:val="nil"/>
            </w:tcBorders>
            <w:shd w:val="clear" w:color="auto" w:fill="auto"/>
            <w:noWrap/>
            <w:vAlign w:val="bottom"/>
            <w:hideMark/>
          </w:tcPr>
          <w:p w14:paraId="59EB43A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26.637</w:t>
            </w:r>
          </w:p>
        </w:tc>
        <w:tc>
          <w:tcPr>
            <w:tcW w:w="900" w:type="dxa"/>
            <w:tcBorders>
              <w:top w:val="nil"/>
              <w:left w:val="nil"/>
              <w:bottom w:val="single" w:sz="4" w:space="0" w:color="auto"/>
              <w:right w:val="nil"/>
            </w:tcBorders>
            <w:shd w:val="clear" w:color="auto" w:fill="auto"/>
            <w:noWrap/>
            <w:vAlign w:val="bottom"/>
            <w:hideMark/>
          </w:tcPr>
          <w:p w14:paraId="318E759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10.946</w:t>
            </w:r>
          </w:p>
        </w:tc>
      </w:tr>
      <w:tr w:rsidR="009478ED" w:rsidRPr="007F37A0" w14:paraId="3A29A943" w14:textId="77777777" w:rsidTr="00735871">
        <w:trPr>
          <w:trHeight w:val="288"/>
          <w:jc w:val="center"/>
        </w:trPr>
        <w:tc>
          <w:tcPr>
            <w:tcW w:w="1216" w:type="dxa"/>
            <w:vMerge w:val="restart"/>
            <w:tcBorders>
              <w:top w:val="single" w:sz="4" w:space="0" w:color="auto"/>
              <w:left w:val="nil"/>
              <w:right w:val="nil"/>
            </w:tcBorders>
            <w:shd w:val="clear" w:color="auto" w:fill="auto"/>
            <w:noWrap/>
            <w:hideMark/>
          </w:tcPr>
          <w:p w14:paraId="1F699EE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Efficiency 100% Load</w:t>
            </w:r>
          </w:p>
        </w:tc>
        <w:tc>
          <w:tcPr>
            <w:tcW w:w="1645" w:type="dxa"/>
            <w:vMerge w:val="restart"/>
            <w:tcBorders>
              <w:top w:val="single" w:sz="4" w:space="0" w:color="auto"/>
              <w:left w:val="nil"/>
              <w:right w:val="nil"/>
            </w:tcBorders>
          </w:tcPr>
          <w:p w14:paraId="3202146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efficiency when burning at 100 percent load (nearest 0.1 percent)</w:t>
            </w:r>
          </w:p>
        </w:tc>
        <w:tc>
          <w:tcPr>
            <w:tcW w:w="1016" w:type="dxa"/>
            <w:tcBorders>
              <w:top w:val="single" w:sz="4" w:space="0" w:color="auto"/>
              <w:left w:val="nil"/>
              <w:bottom w:val="nil"/>
              <w:right w:val="nil"/>
            </w:tcBorders>
            <w:shd w:val="clear" w:color="auto" w:fill="auto"/>
            <w:noWrap/>
            <w:vAlign w:val="bottom"/>
            <w:hideMark/>
          </w:tcPr>
          <w:p w14:paraId="14D4AED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overall</w:t>
            </w:r>
          </w:p>
        </w:tc>
        <w:tc>
          <w:tcPr>
            <w:tcW w:w="1116" w:type="dxa"/>
            <w:tcBorders>
              <w:top w:val="single" w:sz="4" w:space="0" w:color="auto"/>
              <w:left w:val="nil"/>
              <w:bottom w:val="nil"/>
              <w:right w:val="nil"/>
            </w:tcBorders>
            <w:shd w:val="clear" w:color="auto" w:fill="auto"/>
            <w:noWrap/>
            <w:vAlign w:val="bottom"/>
            <w:hideMark/>
          </w:tcPr>
          <w:p w14:paraId="3E456E7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0.848</w:t>
            </w:r>
          </w:p>
        </w:tc>
        <w:tc>
          <w:tcPr>
            <w:tcW w:w="1163" w:type="dxa"/>
            <w:tcBorders>
              <w:top w:val="single" w:sz="4" w:space="0" w:color="auto"/>
              <w:left w:val="nil"/>
              <w:bottom w:val="nil"/>
              <w:right w:val="nil"/>
            </w:tcBorders>
            <w:shd w:val="clear" w:color="auto" w:fill="auto"/>
            <w:noWrap/>
            <w:vAlign w:val="bottom"/>
            <w:hideMark/>
          </w:tcPr>
          <w:p w14:paraId="08AC843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0.105</w:t>
            </w:r>
          </w:p>
        </w:tc>
        <w:tc>
          <w:tcPr>
            <w:tcW w:w="1398" w:type="dxa"/>
            <w:tcBorders>
              <w:top w:val="single" w:sz="4" w:space="0" w:color="auto"/>
              <w:left w:val="nil"/>
              <w:bottom w:val="nil"/>
              <w:right w:val="nil"/>
            </w:tcBorders>
            <w:shd w:val="clear" w:color="auto" w:fill="auto"/>
            <w:noWrap/>
            <w:vAlign w:val="bottom"/>
            <w:hideMark/>
          </w:tcPr>
          <w:p w14:paraId="5D58B41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0.264</w:t>
            </w:r>
          </w:p>
        </w:tc>
        <w:tc>
          <w:tcPr>
            <w:tcW w:w="1176" w:type="dxa"/>
            <w:tcBorders>
              <w:top w:val="single" w:sz="4" w:space="0" w:color="auto"/>
              <w:left w:val="nil"/>
              <w:bottom w:val="nil"/>
              <w:right w:val="nil"/>
            </w:tcBorders>
            <w:shd w:val="clear" w:color="auto" w:fill="auto"/>
            <w:noWrap/>
            <w:vAlign w:val="bottom"/>
            <w:hideMark/>
          </w:tcPr>
          <w:p w14:paraId="2F01406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w:t>
            </w:r>
          </w:p>
        </w:tc>
        <w:tc>
          <w:tcPr>
            <w:tcW w:w="900" w:type="dxa"/>
            <w:tcBorders>
              <w:top w:val="single" w:sz="4" w:space="0" w:color="auto"/>
              <w:left w:val="nil"/>
              <w:bottom w:val="nil"/>
              <w:right w:val="nil"/>
            </w:tcBorders>
            <w:shd w:val="clear" w:color="auto" w:fill="auto"/>
            <w:noWrap/>
            <w:vAlign w:val="bottom"/>
            <w:hideMark/>
          </w:tcPr>
          <w:p w14:paraId="5E1080C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27699</w:t>
            </w:r>
          </w:p>
        </w:tc>
      </w:tr>
      <w:tr w:rsidR="009478ED" w:rsidRPr="007F37A0" w14:paraId="7E4FB35D" w14:textId="77777777" w:rsidTr="00735871">
        <w:trPr>
          <w:trHeight w:val="288"/>
          <w:jc w:val="center"/>
        </w:trPr>
        <w:tc>
          <w:tcPr>
            <w:tcW w:w="1216" w:type="dxa"/>
            <w:vMerge/>
            <w:tcBorders>
              <w:left w:val="nil"/>
              <w:right w:val="nil"/>
            </w:tcBorders>
            <w:shd w:val="clear" w:color="auto" w:fill="auto"/>
            <w:noWrap/>
            <w:hideMark/>
          </w:tcPr>
          <w:p w14:paraId="6B4F4E0C"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right w:val="nil"/>
            </w:tcBorders>
          </w:tcPr>
          <w:p w14:paraId="5C7212FA"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right w:val="nil"/>
            </w:tcBorders>
            <w:shd w:val="clear" w:color="auto" w:fill="auto"/>
            <w:noWrap/>
            <w:vAlign w:val="bottom"/>
            <w:hideMark/>
          </w:tcPr>
          <w:p w14:paraId="1F4EDAF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between</w:t>
            </w:r>
          </w:p>
        </w:tc>
        <w:tc>
          <w:tcPr>
            <w:tcW w:w="1116" w:type="dxa"/>
            <w:tcBorders>
              <w:top w:val="nil"/>
              <w:left w:val="nil"/>
              <w:right w:val="nil"/>
            </w:tcBorders>
            <w:shd w:val="clear" w:color="auto" w:fill="auto"/>
            <w:noWrap/>
            <w:vAlign w:val="bottom"/>
            <w:hideMark/>
          </w:tcPr>
          <w:p w14:paraId="2F32D68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right w:val="nil"/>
            </w:tcBorders>
            <w:shd w:val="clear" w:color="auto" w:fill="auto"/>
            <w:noWrap/>
            <w:vAlign w:val="bottom"/>
            <w:hideMark/>
          </w:tcPr>
          <w:p w14:paraId="4C5DA82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0.099</w:t>
            </w:r>
          </w:p>
        </w:tc>
        <w:tc>
          <w:tcPr>
            <w:tcW w:w="1398" w:type="dxa"/>
            <w:tcBorders>
              <w:top w:val="nil"/>
              <w:left w:val="nil"/>
              <w:right w:val="nil"/>
            </w:tcBorders>
            <w:shd w:val="clear" w:color="auto" w:fill="auto"/>
            <w:noWrap/>
            <w:vAlign w:val="bottom"/>
            <w:hideMark/>
          </w:tcPr>
          <w:p w14:paraId="4007C9B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0.264</w:t>
            </w:r>
          </w:p>
        </w:tc>
        <w:tc>
          <w:tcPr>
            <w:tcW w:w="1176" w:type="dxa"/>
            <w:tcBorders>
              <w:top w:val="nil"/>
              <w:left w:val="nil"/>
              <w:right w:val="nil"/>
            </w:tcBorders>
            <w:shd w:val="clear" w:color="auto" w:fill="auto"/>
            <w:noWrap/>
            <w:vAlign w:val="bottom"/>
            <w:hideMark/>
          </w:tcPr>
          <w:p w14:paraId="05D22F2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0.996</w:t>
            </w:r>
          </w:p>
        </w:tc>
        <w:tc>
          <w:tcPr>
            <w:tcW w:w="900" w:type="dxa"/>
            <w:tcBorders>
              <w:top w:val="nil"/>
              <w:left w:val="nil"/>
              <w:right w:val="nil"/>
            </w:tcBorders>
            <w:shd w:val="clear" w:color="auto" w:fill="auto"/>
            <w:noWrap/>
            <w:vAlign w:val="bottom"/>
            <w:hideMark/>
          </w:tcPr>
          <w:p w14:paraId="6B678B1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2631</w:t>
            </w:r>
          </w:p>
        </w:tc>
      </w:tr>
      <w:tr w:rsidR="009478ED" w:rsidRPr="007F37A0" w14:paraId="56C4CFB4" w14:textId="77777777" w:rsidTr="00735871">
        <w:trPr>
          <w:trHeight w:val="288"/>
          <w:jc w:val="center"/>
        </w:trPr>
        <w:tc>
          <w:tcPr>
            <w:tcW w:w="1216" w:type="dxa"/>
            <w:tcBorders>
              <w:top w:val="nil"/>
              <w:left w:val="nil"/>
              <w:bottom w:val="single" w:sz="4" w:space="0" w:color="auto"/>
              <w:right w:val="nil"/>
            </w:tcBorders>
            <w:shd w:val="clear" w:color="auto" w:fill="auto"/>
            <w:noWrap/>
            <w:hideMark/>
          </w:tcPr>
          <w:p w14:paraId="52A0F809"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bottom w:val="single" w:sz="4" w:space="0" w:color="auto"/>
              <w:right w:val="nil"/>
            </w:tcBorders>
          </w:tcPr>
          <w:p w14:paraId="045857DA"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single" w:sz="4" w:space="0" w:color="auto"/>
              <w:right w:val="nil"/>
            </w:tcBorders>
            <w:shd w:val="clear" w:color="auto" w:fill="auto"/>
            <w:noWrap/>
            <w:vAlign w:val="bottom"/>
            <w:hideMark/>
          </w:tcPr>
          <w:p w14:paraId="4C2EECD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within</w:t>
            </w:r>
          </w:p>
        </w:tc>
        <w:tc>
          <w:tcPr>
            <w:tcW w:w="1116" w:type="dxa"/>
            <w:tcBorders>
              <w:top w:val="nil"/>
              <w:left w:val="nil"/>
              <w:bottom w:val="single" w:sz="4" w:space="0" w:color="auto"/>
              <w:right w:val="nil"/>
            </w:tcBorders>
            <w:shd w:val="clear" w:color="auto" w:fill="auto"/>
            <w:noWrap/>
            <w:vAlign w:val="bottom"/>
            <w:hideMark/>
          </w:tcPr>
          <w:p w14:paraId="3F41834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single" w:sz="4" w:space="0" w:color="auto"/>
              <w:right w:val="nil"/>
            </w:tcBorders>
            <w:shd w:val="clear" w:color="auto" w:fill="auto"/>
            <w:noWrap/>
            <w:vAlign w:val="bottom"/>
            <w:hideMark/>
          </w:tcPr>
          <w:p w14:paraId="4F55D59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0.019</w:t>
            </w:r>
          </w:p>
        </w:tc>
        <w:tc>
          <w:tcPr>
            <w:tcW w:w="1398" w:type="dxa"/>
            <w:tcBorders>
              <w:top w:val="nil"/>
              <w:left w:val="nil"/>
              <w:bottom w:val="single" w:sz="4" w:space="0" w:color="auto"/>
              <w:right w:val="nil"/>
            </w:tcBorders>
            <w:shd w:val="clear" w:color="auto" w:fill="auto"/>
            <w:noWrap/>
            <w:vAlign w:val="bottom"/>
            <w:hideMark/>
          </w:tcPr>
          <w:p w14:paraId="2AF0E94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0.446</w:t>
            </w:r>
          </w:p>
        </w:tc>
        <w:tc>
          <w:tcPr>
            <w:tcW w:w="1176" w:type="dxa"/>
            <w:tcBorders>
              <w:top w:val="nil"/>
              <w:left w:val="nil"/>
              <w:bottom w:val="single" w:sz="4" w:space="0" w:color="auto"/>
              <w:right w:val="nil"/>
            </w:tcBorders>
            <w:shd w:val="clear" w:color="auto" w:fill="auto"/>
            <w:noWrap/>
            <w:vAlign w:val="bottom"/>
            <w:hideMark/>
          </w:tcPr>
          <w:p w14:paraId="77327C0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1.121</w:t>
            </w:r>
          </w:p>
        </w:tc>
        <w:tc>
          <w:tcPr>
            <w:tcW w:w="900" w:type="dxa"/>
            <w:tcBorders>
              <w:top w:val="nil"/>
              <w:left w:val="nil"/>
              <w:bottom w:val="single" w:sz="4" w:space="0" w:color="auto"/>
              <w:right w:val="nil"/>
            </w:tcBorders>
            <w:shd w:val="clear" w:color="auto" w:fill="auto"/>
            <w:noWrap/>
            <w:vAlign w:val="bottom"/>
            <w:hideMark/>
          </w:tcPr>
          <w:p w14:paraId="66CCB83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10.528</w:t>
            </w:r>
          </w:p>
        </w:tc>
      </w:tr>
      <w:tr w:rsidR="009478ED" w:rsidRPr="007F37A0" w14:paraId="477224A2" w14:textId="77777777" w:rsidTr="00735871">
        <w:trPr>
          <w:trHeight w:val="288"/>
          <w:jc w:val="center"/>
        </w:trPr>
        <w:tc>
          <w:tcPr>
            <w:tcW w:w="1216" w:type="dxa"/>
            <w:vMerge w:val="restart"/>
            <w:tcBorders>
              <w:top w:val="single" w:sz="4" w:space="0" w:color="auto"/>
              <w:left w:val="nil"/>
              <w:right w:val="nil"/>
            </w:tcBorders>
            <w:shd w:val="clear" w:color="auto" w:fill="auto"/>
            <w:noWrap/>
            <w:hideMark/>
          </w:tcPr>
          <w:p w14:paraId="57611A8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Efficiency 50% Load</w:t>
            </w:r>
          </w:p>
        </w:tc>
        <w:tc>
          <w:tcPr>
            <w:tcW w:w="1645" w:type="dxa"/>
            <w:vMerge w:val="restart"/>
            <w:tcBorders>
              <w:top w:val="single" w:sz="4" w:space="0" w:color="auto"/>
              <w:left w:val="nil"/>
              <w:right w:val="nil"/>
            </w:tcBorders>
          </w:tcPr>
          <w:p w14:paraId="4343D40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Boiler efficiency when burning at 50 percent load (nearest 0.1 percent)</w:t>
            </w:r>
          </w:p>
        </w:tc>
        <w:tc>
          <w:tcPr>
            <w:tcW w:w="1016" w:type="dxa"/>
            <w:tcBorders>
              <w:top w:val="single" w:sz="4" w:space="0" w:color="auto"/>
              <w:left w:val="nil"/>
              <w:bottom w:val="nil"/>
              <w:right w:val="nil"/>
            </w:tcBorders>
            <w:shd w:val="clear" w:color="auto" w:fill="auto"/>
            <w:noWrap/>
            <w:vAlign w:val="bottom"/>
            <w:hideMark/>
          </w:tcPr>
          <w:p w14:paraId="1C2B189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overall</w:t>
            </w:r>
          </w:p>
        </w:tc>
        <w:tc>
          <w:tcPr>
            <w:tcW w:w="1116" w:type="dxa"/>
            <w:tcBorders>
              <w:top w:val="single" w:sz="4" w:space="0" w:color="auto"/>
              <w:left w:val="nil"/>
              <w:bottom w:val="nil"/>
              <w:right w:val="nil"/>
            </w:tcBorders>
            <w:shd w:val="clear" w:color="auto" w:fill="auto"/>
            <w:noWrap/>
            <w:vAlign w:val="bottom"/>
            <w:hideMark/>
          </w:tcPr>
          <w:p w14:paraId="3C5A59B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0.838</w:t>
            </w:r>
          </w:p>
        </w:tc>
        <w:tc>
          <w:tcPr>
            <w:tcW w:w="1163" w:type="dxa"/>
            <w:tcBorders>
              <w:top w:val="single" w:sz="4" w:space="0" w:color="auto"/>
              <w:left w:val="nil"/>
              <w:bottom w:val="nil"/>
              <w:right w:val="nil"/>
            </w:tcBorders>
            <w:shd w:val="clear" w:color="auto" w:fill="auto"/>
            <w:noWrap/>
            <w:vAlign w:val="bottom"/>
            <w:hideMark/>
          </w:tcPr>
          <w:p w14:paraId="71301ED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0.117</w:t>
            </w:r>
          </w:p>
        </w:tc>
        <w:tc>
          <w:tcPr>
            <w:tcW w:w="1398" w:type="dxa"/>
            <w:tcBorders>
              <w:top w:val="single" w:sz="4" w:space="0" w:color="auto"/>
              <w:left w:val="nil"/>
              <w:bottom w:val="nil"/>
              <w:right w:val="nil"/>
            </w:tcBorders>
            <w:shd w:val="clear" w:color="auto" w:fill="auto"/>
            <w:noWrap/>
            <w:vAlign w:val="bottom"/>
            <w:hideMark/>
          </w:tcPr>
          <w:p w14:paraId="5E1CE14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0.25</w:t>
            </w:r>
          </w:p>
        </w:tc>
        <w:tc>
          <w:tcPr>
            <w:tcW w:w="1176" w:type="dxa"/>
            <w:tcBorders>
              <w:top w:val="single" w:sz="4" w:space="0" w:color="auto"/>
              <w:left w:val="nil"/>
              <w:bottom w:val="nil"/>
              <w:right w:val="nil"/>
            </w:tcBorders>
            <w:shd w:val="clear" w:color="auto" w:fill="auto"/>
            <w:noWrap/>
            <w:vAlign w:val="bottom"/>
            <w:hideMark/>
          </w:tcPr>
          <w:p w14:paraId="14FAFDF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w:t>
            </w:r>
          </w:p>
        </w:tc>
        <w:tc>
          <w:tcPr>
            <w:tcW w:w="900" w:type="dxa"/>
            <w:tcBorders>
              <w:top w:val="single" w:sz="4" w:space="0" w:color="auto"/>
              <w:left w:val="nil"/>
              <w:bottom w:val="nil"/>
              <w:right w:val="nil"/>
            </w:tcBorders>
            <w:shd w:val="clear" w:color="auto" w:fill="auto"/>
            <w:noWrap/>
            <w:vAlign w:val="bottom"/>
            <w:hideMark/>
          </w:tcPr>
          <w:p w14:paraId="7BECD34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26834</w:t>
            </w:r>
          </w:p>
        </w:tc>
      </w:tr>
      <w:tr w:rsidR="009478ED" w:rsidRPr="007F37A0" w14:paraId="3BB0E405" w14:textId="77777777" w:rsidTr="00735871">
        <w:trPr>
          <w:trHeight w:val="288"/>
          <w:jc w:val="center"/>
        </w:trPr>
        <w:tc>
          <w:tcPr>
            <w:tcW w:w="1216" w:type="dxa"/>
            <w:vMerge/>
            <w:tcBorders>
              <w:left w:val="nil"/>
              <w:right w:val="nil"/>
            </w:tcBorders>
            <w:shd w:val="clear" w:color="auto" w:fill="auto"/>
            <w:noWrap/>
            <w:hideMark/>
          </w:tcPr>
          <w:p w14:paraId="00F42C9A"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right w:val="nil"/>
            </w:tcBorders>
          </w:tcPr>
          <w:p w14:paraId="325FC9F1"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right w:val="nil"/>
            </w:tcBorders>
            <w:shd w:val="clear" w:color="auto" w:fill="auto"/>
            <w:noWrap/>
            <w:vAlign w:val="bottom"/>
            <w:hideMark/>
          </w:tcPr>
          <w:p w14:paraId="1FD2ECA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between</w:t>
            </w:r>
          </w:p>
        </w:tc>
        <w:tc>
          <w:tcPr>
            <w:tcW w:w="1116" w:type="dxa"/>
            <w:tcBorders>
              <w:top w:val="nil"/>
              <w:left w:val="nil"/>
              <w:right w:val="nil"/>
            </w:tcBorders>
            <w:shd w:val="clear" w:color="auto" w:fill="auto"/>
            <w:noWrap/>
            <w:vAlign w:val="bottom"/>
            <w:hideMark/>
          </w:tcPr>
          <w:p w14:paraId="79CDC0A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right w:val="nil"/>
            </w:tcBorders>
            <w:shd w:val="clear" w:color="auto" w:fill="auto"/>
            <w:noWrap/>
            <w:vAlign w:val="bottom"/>
            <w:hideMark/>
          </w:tcPr>
          <w:p w14:paraId="6564EA7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0.116</w:t>
            </w:r>
          </w:p>
        </w:tc>
        <w:tc>
          <w:tcPr>
            <w:tcW w:w="1398" w:type="dxa"/>
            <w:tcBorders>
              <w:top w:val="nil"/>
              <w:left w:val="nil"/>
              <w:right w:val="nil"/>
            </w:tcBorders>
            <w:shd w:val="clear" w:color="auto" w:fill="auto"/>
            <w:noWrap/>
            <w:vAlign w:val="bottom"/>
            <w:hideMark/>
          </w:tcPr>
          <w:p w14:paraId="6B84FD4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0.252</w:t>
            </w:r>
          </w:p>
        </w:tc>
        <w:tc>
          <w:tcPr>
            <w:tcW w:w="1176" w:type="dxa"/>
            <w:tcBorders>
              <w:top w:val="nil"/>
              <w:left w:val="nil"/>
              <w:right w:val="nil"/>
            </w:tcBorders>
            <w:shd w:val="clear" w:color="auto" w:fill="auto"/>
            <w:noWrap/>
            <w:vAlign w:val="bottom"/>
            <w:hideMark/>
          </w:tcPr>
          <w:p w14:paraId="67F653C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0.996</w:t>
            </w:r>
          </w:p>
        </w:tc>
        <w:tc>
          <w:tcPr>
            <w:tcW w:w="900" w:type="dxa"/>
            <w:tcBorders>
              <w:top w:val="nil"/>
              <w:left w:val="nil"/>
              <w:right w:val="nil"/>
            </w:tcBorders>
            <w:shd w:val="clear" w:color="auto" w:fill="auto"/>
            <w:noWrap/>
            <w:vAlign w:val="bottom"/>
            <w:hideMark/>
          </w:tcPr>
          <w:p w14:paraId="6FF8ED3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2577</w:t>
            </w:r>
          </w:p>
        </w:tc>
      </w:tr>
      <w:tr w:rsidR="009478ED" w:rsidRPr="007F37A0" w14:paraId="7B61A72A" w14:textId="77777777" w:rsidTr="00735871">
        <w:trPr>
          <w:trHeight w:val="288"/>
          <w:jc w:val="center"/>
        </w:trPr>
        <w:tc>
          <w:tcPr>
            <w:tcW w:w="1216" w:type="dxa"/>
            <w:tcBorders>
              <w:top w:val="nil"/>
              <w:left w:val="nil"/>
              <w:bottom w:val="single" w:sz="4" w:space="0" w:color="auto"/>
              <w:right w:val="nil"/>
            </w:tcBorders>
            <w:shd w:val="clear" w:color="auto" w:fill="auto"/>
            <w:noWrap/>
            <w:hideMark/>
          </w:tcPr>
          <w:p w14:paraId="0C285EAC"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bottom w:val="single" w:sz="4" w:space="0" w:color="auto"/>
              <w:right w:val="nil"/>
            </w:tcBorders>
          </w:tcPr>
          <w:p w14:paraId="03C4B192"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single" w:sz="4" w:space="0" w:color="auto"/>
              <w:right w:val="nil"/>
            </w:tcBorders>
            <w:shd w:val="clear" w:color="auto" w:fill="auto"/>
            <w:noWrap/>
            <w:vAlign w:val="bottom"/>
            <w:hideMark/>
          </w:tcPr>
          <w:p w14:paraId="2BDCF3A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within</w:t>
            </w:r>
          </w:p>
        </w:tc>
        <w:tc>
          <w:tcPr>
            <w:tcW w:w="1116" w:type="dxa"/>
            <w:tcBorders>
              <w:top w:val="nil"/>
              <w:left w:val="nil"/>
              <w:bottom w:val="single" w:sz="4" w:space="0" w:color="auto"/>
              <w:right w:val="nil"/>
            </w:tcBorders>
            <w:shd w:val="clear" w:color="auto" w:fill="auto"/>
            <w:noWrap/>
            <w:vAlign w:val="bottom"/>
            <w:hideMark/>
          </w:tcPr>
          <w:p w14:paraId="567BF75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single" w:sz="4" w:space="0" w:color="auto"/>
              <w:right w:val="nil"/>
            </w:tcBorders>
            <w:shd w:val="clear" w:color="auto" w:fill="auto"/>
            <w:noWrap/>
            <w:vAlign w:val="bottom"/>
            <w:hideMark/>
          </w:tcPr>
          <w:p w14:paraId="6CCC2B0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0.02</w:t>
            </w:r>
          </w:p>
        </w:tc>
        <w:tc>
          <w:tcPr>
            <w:tcW w:w="1398" w:type="dxa"/>
            <w:tcBorders>
              <w:top w:val="nil"/>
              <w:left w:val="nil"/>
              <w:bottom w:val="single" w:sz="4" w:space="0" w:color="auto"/>
              <w:right w:val="nil"/>
            </w:tcBorders>
            <w:shd w:val="clear" w:color="auto" w:fill="auto"/>
            <w:noWrap/>
            <w:vAlign w:val="bottom"/>
            <w:hideMark/>
          </w:tcPr>
          <w:p w14:paraId="6F9C943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0.369</w:t>
            </w:r>
          </w:p>
        </w:tc>
        <w:tc>
          <w:tcPr>
            <w:tcW w:w="1176" w:type="dxa"/>
            <w:tcBorders>
              <w:top w:val="nil"/>
              <w:left w:val="nil"/>
              <w:bottom w:val="single" w:sz="4" w:space="0" w:color="auto"/>
              <w:right w:val="nil"/>
            </w:tcBorders>
            <w:shd w:val="clear" w:color="auto" w:fill="auto"/>
            <w:noWrap/>
            <w:vAlign w:val="bottom"/>
            <w:hideMark/>
          </w:tcPr>
          <w:p w14:paraId="64F01EE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1.148</w:t>
            </w:r>
          </w:p>
        </w:tc>
        <w:tc>
          <w:tcPr>
            <w:tcW w:w="900" w:type="dxa"/>
            <w:tcBorders>
              <w:top w:val="nil"/>
              <w:left w:val="nil"/>
              <w:bottom w:val="single" w:sz="4" w:space="0" w:color="auto"/>
              <w:right w:val="nil"/>
            </w:tcBorders>
            <w:shd w:val="clear" w:color="auto" w:fill="auto"/>
            <w:noWrap/>
            <w:vAlign w:val="bottom"/>
            <w:hideMark/>
          </w:tcPr>
          <w:p w14:paraId="6ADEAB6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10.413</w:t>
            </w:r>
          </w:p>
        </w:tc>
      </w:tr>
      <w:tr w:rsidR="009478ED" w:rsidRPr="007F37A0" w14:paraId="38B15072" w14:textId="77777777" w:rsidTr="00735871">
        <w:trPr>
          <w:trHeight w:val="288"/>
          <w:jc w:val="center"/>
        </w:trPr>
        <w:tc>
          <w:tcPr>
            <w:tcW w:w="1216" w:type="dxa"/>
            <w:tcBorders>
              <w:top w:val="single" w:sz="4" w:space="0" w:color="auto"/>
              <w:left w:val="nil"/>
              <w:bottom w:val="nil"/>
              <w:right w:val="nil"/>
            </w:tcBorders>
            <w:shd w:val="clear" w:color="auto" w:fill="auto"/>
            <w:noWrap/>
            <w:hideMark/>
          </w:tcPr>
          <w:p w14:paraId="6C56EB1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Air Flow 100% Load</w:t>
            </w:r>
          </w:p>
        </w:tc>
        <w:tc>
          <w:tcPr>
            <w:tcW w:w="1645" w:type="dxa"/>
            <w:vMerge w:val="restart"/>
            <w:tcBorders>
              <w:top w:val="single" w:sz="4" w:space="0" w:color="auto"/>
              <w:left w:val="nil"/>
              <w:right w:val="nil"/>
            </w:tcBorders>
          </w:tcPr>
          <w:p w14:paraId="5D84F24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Total air flow including excess air at 100 percent load, reported at standard temperature and pressure</w:t>
            </w:r>
          </w:p>
        </w:tc>
        <w:tc>
          <w:tcPr>
            <w:tcW w:w="1016" w:type="dxa"/>
            <w:tcBorders>
              <w:top w:val="single" w:sz="4" w:space="0" w:color="auto"/>
              <w:left w:val="nil"/>
              <w:bottom w:val="nil"/>
              <w:right w:val="nil"/>
            </w:tcBorders>
            <w:shd w:val="clear" w:color="auto" w:fill="auto"/>
            <w:noWrap/>
            <w:vAlign w:val="bottom"/>
            <w:hideMark/>
          </w:tcPr>
          <w:p w14:paraId="504F2E1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overall</w:t>
            </w:r>
          </w:p>
        </w:tc>
        <w:tc>
          <w:tcPr>
            <w:tcW w:w="1116" w:type="dxa"/>
            <w:tcBorders>
              <w:top w:val="single" w:sz="4" w:space="0" w:color="auto"/>
              <w:left w:val="nil"/>
              <w:bottom w:val="nil"/>
              <w:right w:val="nil"/>
            </w:tcBorders>
            <w:shd w:val="clear" w:color="auto" w:fill="auto"/>
            <w:noWrap/>
            <w:vAlign w:val="bottom"/>
            <w:hideMark/>
          </w:tcPr>
          <w:p w14:paraId="08A7E6D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700133.4</w:t>
            </w:r>
          </w:p>
        </w:tc>
        <w:tc>
          <w:tcPr>
            <w:tcW w:w="1163" w:type="dxa"/>
            <w:tcBorders>
              <w:top w:val="single" w:sz="4" w:space="0" w:color="auto"/>
              <w:left w:val="nil"/>
              <w:bottom w:val="nil"/>
              <w:right w:val="nil"/>
            </w:tcBorders>
            <w:shd w:val="clear" w:color="auto" w:fill="auto"/>
            <w:noWrap/>
            <w:vAlign w:val="bottom"/>
            <w:hideMark/>
          </w:tcPr>
          <w:p w14:paraId="2C4FD90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745061.3</w:t>
            </w:r>
          </w:p>
        </w:tc>
        <w:tc>
          <w:tcPr>
            <w:tcW w:w="1398" w:type="dxa"/>
            <w:tcBorders>
              <w:top w:val="single" w:sz="4" w:space="0" w:color="auto"/>
              <w:left w:val="nil"/>
              <w:bottom w:val="nil"/>
              <w:right w:val="nil"/>
            </w:tcBorders>
            <w:shd w:val="clear" w:color="auto" w:fill="auto"/>
            <w:noWrap/>
            <w:vAlign w:val="bottom"/>
            <w:hideMark/>
          </w:tcPr>
          <w:p w14:paraId="0E46360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24</w:t>
            </w:r>
          </w:p>
        </w:tc>
        <w:tc>
          <w:tcPr>
            <w:tcW w:w="1176" w:type="dxa"/>
            <w:tcBorders>
              <w:top w:val="single" w:sz="4" w:space="0" w:color="auto"/>
              <w:left w:val="nil"/>
              <w:bottom w:val="nil"/>
              <w:right w:val="nil"/>
            </w:tcBorders>
            <w:shd w:val="clear" w:color="auto" w:fill="auto"/>
            <w:noWrap/>
            <w:vAlign w:val="bottom"/>
            <w:hideMark/>
          </w:tcPr>
          <w:p w14:paraId="3693FC9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10000000</w:t>
            </w:r>
          </w:p>
        </w:tc>
        <w:tc>
          <w:tcPr>
            <w:tcW w:w="900" w:type="dxa"/>
            <w:tcBorders>
              <w:top w:val="single" w:sz="4" w:space="0" w:color="auto"/>
              <w:left w:val="nil"/>
              <w:bottom w:val="nil"/>
              <w:right w:val="nil"/>
            </w:tcBorders>
            <w:shd w:val="clear" w:color="auto" w:fill="auto"/>
            <w:noWrap/>
            <w:vAlign w:val="bottom"/>
            <w:hideMark/>
          </w:tcPr>
          <w:p w14:paraId="664D25D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27717</w:t>
            </w:r>
          </w:p>
        </w:tc>
      </w:tr>
      <w:tr w:rsidR="009478ED" w:rsidRPr="007F37A0" w14:paraId="228D223A" w14:textId="77777777" w:rsidTr="00735871">
        <w:trPr>
          <w:trHeight w:val="288"/>
          <w:jc w:val="center"/>
        </w:trPr>
        <w:tc>
          <w:tcPr>
            <w:tcW w:w="1216" w:type="dxa"/>
            <w:tcBorders>
              <w:top w:val="nil"/>
              <w:left w:val="nil"/>
              <w:right w:val="nil"/>
            </w:tcBorders>
            <w:shd w:val="clear" w:color="auto" w:fill="auto"/>
            <w:noWrap/>
            <w:hideMark/>
          </w:tcPr>
          <w:p w14:paraId="0567E6C1"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right w:val="nil"/>
            </w:tcBorders>
          </w:tcPr>
          <w:p w14:paraId="7E0C3C92"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right w:val="nil"/>
            </w:tcBorders>
            <w:shd w:val="clear" w:color="auto" w:fill="auto"/>
            <w:noWrap/>
            <w:vAlign w:val="bottom"/>
            <w:hideMark/>
          </w:tcPr>
          <w:p w14:paraId="367CB1A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between</w:t>
            </w:r>
          </w:p>
        </w:tc>
        <w:tc>
          <w:tcPr>
            <w:tcW w:w="1116" w:type="dxa"/>
            <w:tcBorders>
              <w:top w:val="nil"/>
              <w:left w:val="nil"/>
              <w:right w:val="nil"/>
            </w:tcBorders>
            <w:shd w:val="clear" w:color="auto" w:fill="auto"/>
            <w:noWrap/>
            <w:vAlign w:val="bottom"/>
            <w:hideMark/>
          </w:tcPr>
          <w:p w14:paraId="68B88DB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right w:val="nil"/>
            </w:tcBorders>
            <w:shd w:val="clear" w:color="auto" w:fill="auto"/>
            <w:noWrap/>
            <w:vAlign w:val="bottom"/>
            <w:hideMark/>
          </w:tcPr>
          <w:p w14:paraId="0B217FD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755426</w:t>
            </w:r>
          </w:p>
        </w:tc>
        <w:tc>
          <w:tcPr>
            <w:tcW w:w="1398" w:type="dxa"/>
            <w:tcBorders>
              <w:top w:val="nil"/>
              <w:left w:val="nil"/>
              <w:right w:val="nil"/>
            </w:tcBorders>
            <w:shd w:val="clear" w:color="auto" w:fill="auto"/>
            <w:noWrap/>
            <w:vAlign w:val="bottom"/>
            <w:hideMark/>
          </w:tcPr>
          <w:p w14:paraId="1F325D8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24</w:t>
            </w:r>
          </w:p>
        </w:tc>
        <w:tc>
          <w:tcPr>
            <w:tcW w:w="1176" w:type="dxa"/>
            <w:tcBorders>
              <w:top w:val="nil"/>
              <w:left w:val="nil"/>
              <w:right w:val="nil"/>
            </w:tcBorders>
            <w:shd w:val="clear" w:color="auto" w:fill="auto"/>
            <w:noWrap/>
            <w:vAlign w:val="bottom"/>
            <w:hideMark/>
          </w:tcPr>
          <w:p w14:paraId="6A3BF37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8961832</w:t>
            </w:r>
          </w:p>
        </w:tc>
        <w:tc>
          <w:tcPr>
            <w:tcW w:w="900" w:type="dxa"/>
            <w:tcBorders>
              <w:top w:val="nil"/>
              <w:left w:val="nil"/>
              <w:right w:val="nil"/>
            </w:tcBorders>
            <w:shd w:val="clear" w:color="auto" w:fill="auto"/>
            <w:noWrap/>
            <w:vAlign w:val="bottom"/>
            <w:hideMark/>
          </w:tcPr>
          <w:p w14:paraId="18F8F9A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2638</w:t>
            </w:r>
          </w:p>
        </w:tc>
      </w:tr>
      <w:tr w:rsidR="009478ED" w:rsidRPr="007F37A0" w14:paraId="6DA8713C" w14:textId="77777777" w:rsidTr="00735871">
        <w:trPr>
          <w:trHeight w:val="288"/>
          <w:jc w:val="center"/>
        </w:trPr>
        <w:tc>
          <w:tcPr>
            <w:tcW w:w="1216" w:type="dxa"/>
            <w:tcBorders>
              <w:top w:val="nil"/>
              <w:left w:val="nil"/>
              <w:bottom w:val="single" w:sz="4" w:space="0" w:color="auto"/>
              <w:right w:val="nil"/>
            </w:tcBorders>
            <w:shd w:val="clear" w:color="auto" w:fill="auto"/>
            <w:noWrap/>
            <w:hideMark/>
          </w:tcPr>
          <w:p w14:paraId="1B66E044"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bottom w:val="single" w:sz="4" w:space="0" w:color="auto"/>
              <w:right w:val="nil"/>
            </w:tcBorders>
          </w:tcPr>
          <w:p w14:paraId="54B65855"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single" w:sz="4" w:space="0" w:color="auto"/>
              <w:right w:val="nil"/>
            </w:tcBorders>
            <w:shd w:val="clear" w:color="auto" w:fill="auto"/>
            <w:noWrap/>
            <w:vAlign w:val="bottom"/>
            <w:hideMark/>
          </w:tcPr>
          <w:p w14:paraId="7267A79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within</w:t>
            </w:r>
          </w:p>
        </w:tc>
        <w:tc>
          <w:tcPr>
            <w:tcW w:w="1116" w:type="dxa"/>
            <w:tcBorders>
              <w:top w:val="nil"/>
              <w:left w:val="nil"/>
              <w:bottom w:val="single" w:sz="4" w:space="0" w:color="auto"/>
              <w:right w:val="nil"/>
            </w:tcBorders>
            <w:shd w:val="clear" w:color="auto" w:fill="auto"/>
            <w:noWrap/>
            <w:vAlign w:val="bottom"/>
            <w:hideMark/>
          </w:tcPr>
          <w:p w14:paraId="0D954F9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single" w:sz="4" w:space="0" w:color="auto"/>
              <w:right w:val="nil"/>
            </w:tcBorders>
            <w:shd w:val="clear" w:color="auto" w:fill="auto"/>
            <w:noWrap/>
            <w:vAlign w:val="bottom"/>
            <w:hideMark/>
          </w:tcPr>
          <w:p w14:paraId="341AC73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95698.04</w:t>
            </w:r>
          </w:p>
        </w:tc>
        <w:tc>
          <w:tcPr>
            <w:tcW w:w="1398" w:type="dxa"/>
            <w:tcBorders>
              <w:top w:val="nil"/>
              <w:left w:val="nil"/>
              <w:bottom w:val="single" w:sz="4" w:space="0" w:color="auto"/>
              <w:right w:val="nil"/>
            </w:tcBorders>
            <w:shd w:val="clear" w:color="auto" w:fill="auto"/>
            <w:noWrap/>
            <w:vAlign w:val="bottom"/>
            <w:hideMark/>
          </w:tcPr>
          <w:p w14:paraId="0258884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-2154338</w:t>
            </w:r>
          </w:p>
        </w:tc>
        <w:tc>
          <w:tcPr>
            <w:tcW w:w="1176" w:type="dxa"/>
            <w:tcBorders>
              <w:top w:val="nil"/>
              <w:left w:val="nil"/>
              <w:bottom w:val="single" w:sz="4" w:space="0" w:color="auto"/>
              <w:right w:val="nil"/>
            </w:tcBorders>
            <w:shd w:val="clear" w:color="auto" w:fill="auto"/>
            <w:noWrap/>
            <w:vAlign w:val="bottom"/>
            <w:hideMark/>
          </w:tcPr>
          <w:p w14:paraId="196FFD3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8673515</w:t>
            </w:r>
          </w:p>
        </w:tc>
        <w:tc>
          <w:tcPr>
            <w:tcW w:w="900" w:type="dxa"/>
            <w:tcBorders>
              <w:top w:val="nil"/>
              <w:left w:val="nil"/>
              <w:bottom w:val="single" w:sz="4" w:space="0" w:color="auto"/>
              <w:right w:val="nil"/>
            </w:tcBorders>
            <w:shd w:val="clear" w:color="auto" w:fill="auto"/>
            <w:noWrap/>
            <w:vAlign w:val="bottom"/>
            <w:hideMark/>
          </w:tcPr>
          <w:p w14:paraId="78519AB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10.507</w:t>
            </w:r>
          </w:p>
        </w:tc>
      </w:tr>
      <w:bookmarkEnd w:id="153"/>
    </w:tbl>
    <w:p w14:paraId="720CEB3A" w14:textId="77777777" w:rsidR="009478ED" w:rsidRPr="007F37A0" w:rsidRDefault="009478ED" w:rsidP="009478ED">
      <w:pPr>
        <w:rPr>
          <w:rFonts w:ascii="Times New Roman" w:hAnsi="Times New Roman" w:cs="Times New Roman"/>
        </w:rPr>
      </w:pPr>
    </w:p>
    <w:p w14:paraId="74A90794" w14:textId="77777777" w:rsidR="009478ED" w:rsidRPr="007F37A0" w:rsidRDefault="009478ED" w:rsidP="009478ED">
      <w:pPr>
        <w:rPr>
          <w:rFonts w:ascii="Times New Roman" w:hAnsi="Times New Roman" w:cs="Times New Roman"/>
        </w:rPr>
      </w:pPr>
    </w:p>
    <w:p w14:paraId="1394AE2E" w14:textId="77777777" w:rsidR="009478ED" w:rsidRPr="007F37A0" w:rsidRDefault="009478ED" w:rsidP="009478ED">
      <w:pPr>
        <w:rPr>
          <w:rFonts w:ascii="Times New Roman" w:hAnsi="Times New Roman" w:cs="Times New Roman"/>
        </w:rPr>
      </w:pPr>
    </w:p>
    <w:p w14:paraId="49EAE677" w14:textId="77777777" w:rsidR="009478ED" w:rsidRPr="007F37A0" w:rsidRDefault="009478ED" w:rsidP="009478ED">
      <w:pPr>
        <w:rPr>
          <w:rFonts w:ascii="Times New Roman" w:hAnsi="Times New Roman" w:cs="Times New Roman"/>
        </w:rPr>
      </w:pPr>
    </w:p>
    <w:p w14:paraId="53982F35" w14:textId="77777777" w:rsidR="009478ED" w:rsidRPr="007F37A0" w:rsidRDefault="009478ED" w:rsidP="009478ED">
      <w:pPr>
        <w:rPr>
          <w:rFonts w:ascii="Times New Roman" w:hAnsi="Times New Roman" w:cs="Times New Roman"/>
        </w:rPr>
      </w:pPr>
    </w:p>
    <w:p w14:paraId="1057E524" w14:textId="77777777" w:rsidR="009478ED" w:rsidRPr="007F37A0" w:rsidRDefault="009478ED" w:rsidP="009478ED">
      <w:pPr>
        <w:rPr>
          <w:rFonts w:ascii="Times New Roman" w:hAnsi="Times New Roman" w:cs="Times New Roman"/>
        </w:rPr>
      </w:pPr>
    </w:p>
    <w:p w14:paraId="16FE443D" w14:textId="5E9D8124" w:rsidR="009478ED" w:rsidRPr="007F37A0" w:rsidRDefault="009478ED" w:rsidP="009478ED">
      <w:pPr>
        <w:rPr>
          <w:rFonts w:ascii="Times New Roman" w:hAnsi="Times New Roman" w:cs="Times New Roman"/>
        </w:rPr>
      </w:pPr>
      <w:r w:rsidRPr="007F37A0">
        <w:rPr>
          <w:rFonts w:ascii="Times New Roman" w:hAnsi="Times New Roman" w:cs="Times New Roman"/>
        </w:rPr>
        <w:fldChar w:fldCharType="begin"/>
      </w:r>
      <w:r w:rsidRPr="007F37A0">
        <w:rPr>
          <w:rFonts w:ascii="Times New Roman" w:hAnsi="Times New Roman" w:cs="Times New Roman"/>
        </w:rPr>
        <w:instrText xml:space="preserve"> REF _Ref160785181 \h  \* MERGEFORMAT </w:instrText>
      </w:r>
      <w:r w:rsidRPr="007F37A0">
        <w:rPr>
          <w:rFonts w:ascii="Times New Roman" w:hAnsi="Times New Roman" w:cs="Times New Roman"/>
        </w:rPr>
      </w:r>
      <w:r w:rsidRPr="007F37A0">
        <w:rPr>
          <w:rFonts w:ascii="Times New Roman" w:hAnsi="Times New Roman" w:cs="Times New Roman"/>
        </w:rPr>
        <w:fldChar w:fldCharType="separate"/>
      </w:r>
      <w:r w:rsidR="00142A7E" w:rsidRPr="00142A7E">
        <w:rPr>
          <w:rFonts w:ascii="Times New Roman" w:hAnsi="Times New Roman" w:cs="Times New Roman"/>
        </w:rPr>
        <w:t xml:space="preserve">Table </w:t>
      </w:r>
      <w:r w:rsidR="00142A7E" w:rsidRPr="00142A7E">
        <w:rPr>
          <w:rFonts w:ascii="Times New Roman" w:hAnsi="Times New Roman" w:cs="Times New Roman"/>
          <w:noProof/>
        </w:rPr>
        <w:t>17</w:t>
      </w:r>
      <w:r w:rsidRPr="007F37A0">
        <w:rPr>
          <w:rFonts w:ascii="Times New Roman" w:hAnsi="Times New Roman" w:cs="Times New Roman"/>
        </w:rPr>
        <w:fldChar w:fldCharType="end"/>
      </w:r>
      <w:r w:rsidRPr="007F37A0">
        <w:rPr>
          <w:rFonts w:ascii="Times New Roman" w:hAnsi="Times New Roman" w:cs="Times New Roman"/>
        </w:rPr>
        <w:t>: Continued</w:t>
      </w:r>
    </w:p>
    <w:p w14:paraId="338C8771" w14:textId="77777777" w:rsidR="009478ED" w:rsidRPr="007F37A0" w:rsidRDefault="009478ED" w:rsidP="009478ED">
      <w:pPr>
        <w:rPr>
          <w:rFonts w:ascii="Times New Roman" w:hAnsi="Times New Roman" w:cs="Times New Roman"/>
        </w:rPr>
      </w:pPr>
    </w:p>
    <w:tbl>
      <w:tblPr>
        <w:tblW w:w="9630" w:type="dxa"/>
        <w:jc w:val="center"/>
        <w:tblLook w:val="04A0" w:firstRow="1" w:lastRow="0" w:firstColumn="1" w:lastColumn="0" w:noHBand="0" w:noVBand="1"/>
      </w:tblPr>
      <w:tblGrid>
        <w:gridCol w:w="1216"/>
        <w:gridCol w:w="1645"/>
        <w:gridCol w:w="1016"/>
        <w:gridCol w:w="1116"/>
        <w:gridCol w:w="1163"/>
        <w:gridCol w:w="1398"/>
        <w:gridCol w:w="1176"/>
        <w:gridCol w:w="900"/>
      </w:tblGrid>
      <w:tr w:rsidR="009478ED" w:rsidRPr="007F37A0" w14:paraId="79D390B7" w14:textId="77777777" w:rsidTr="00735871">
        <w:trPr>
          <w:trHeight w:val="288"/>
          <w:jc w:val="center"/>
        </w:trPr>
        <w:tc>
          <w:tcPr>
            <w:tcW w:w="1216" w:type="dxa"/>
            <w:vMerge w:val="restart"/>
            <w:tcBorders>
              <w:top w:val="single" w:sz="4" w:space="0" w:color="auto"/>
              <w:left w:val="nil"/>
              <w:right w:val="nil"/>
            </w:tcBorders>
            <w:shd w:val="clear" w:color="auto" w:fill="auto"/>
            <w:noWrap/>
            <w:hideMark/>
          </w:tcPr>
          <w:p w14:paraId="3134C52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Max Steam Flow</w:t>
            </w:r>
          </w:p>
        </w:tc>
        <w:tc>
          <w:tcPr>
            <w:tcW w:w="1645" w:type="dxa"/>
            <w:vMerge w:val="restart"/>
            <w:tcBorders>
              <w:top w:val="single" w:sz="4" w:space="0" w:color="auto"/>
              <w:left w:val="nil"/>
              <w:right w:val="nil"/>
            </w:tcBorders>
          </w:tcPr>
          <w:p w14:paraId="507B5CF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Maximum continuous steam flow at 100% load (thousand pounds per hour)</w:t>
            </w:r>
          </w:p>
        </w:tc>
        <w:tc>
          <w:tcPr>
            <w:tcW w:w="1016" w:type="dxa"/>
            <w:tcBorders>
              <w:top w:val="single" w:sz="4" w:space="0" w:color="auto"/>
              <w:left w:val="nil"/>
              <w:bottom w:val="nil"/>
              <w:right w:val="nil"/>
            </w:tcBorders>
            <w:shd w:val="clear" w:color="auto" w:fill="auto"/>
            <w:noWrap/>
            <w:vAlign w:val="bottom"/>
            <w:hideMark/>
          </w:tcPr>
          <w:p w14:paraId="27AAC26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overall</w:t>
            </w:r>
          </w:p>
        </w:tc>
        <w:tc>
          <w:tcPr>
            <w:tcW w:w="1116" w:type="dxa"/>
            <w:tcBorders>
              <w:top w:val="single" w:sz="4" w:space="0" w:color="auto"/>
              <w:left w:val="nil"/>
              <w:bottom w:val="nil"/>
              <w:right w:val="nil"/>
            </w:tcBorders>
            <w:shd w:val="clear" w:color="auto" w:fill="auto"/>
            <w:noWrap/>
            <w:vAlign w:val="bottom"/>
            <w:hideMark/>
          </w:tcPr>
          <w:p w14:paraId="5CF1C71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1585.017</w:t>
            </w:r>
          </w:p>
        </w:tc>
        <w:tc>
          <w:tcPr>
            <w:tcW w:w="1163" w:type="dxa"/>
            <w:tcBorders>
              <w:top w:val="single" w:sz="4" w:space="0" w:color="auto"/>
              <w:left w:val="nil"/>
              <w:bottom w:val="nil"/>
              <w:right w:val="nil"/>
            </w:tcBorders>
            <w:shd w:val="clear" w:color="auto" w:fill="auto"/>
            <w:noWrap/>
            <w:vAlign w:val="bottom"/>
            <w:hideMark/>
          </w:tcPr>
          <w:p w14:paraId="42704C2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1660.851</w:t>
            </w:r>
          </w:p>
        </w:tc>
        <w:tc>
          <w:tcPr>
            <w:tcW w:w="1398" w:type="dxa"/>
            <w:tcBorders>
              <w:top w:val="single" w:sz="4" w:space="0" w:color="auto"/>
              <w:left w:val="nil"/>
              <w:bottom w:val="nil"/>
              <w:right w:val="nil"/>
            </w:tcBorders>
            <w:shd w:val="clear" w:color="auto" w:fill="auto"/>
            <w:noWrap/>
            <w:vAlign w:val="bottom"/>
            <w:hideMark/>
          </w:tcPr>
          <w:p w14:paraId="6926128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60</w:t>
            </w:r>
          </w:p>
        </w:tc>
        <w:tc>
          <w:tcPr>
            <w:tcW w:w="1176" w:type="dxa"/>
            <w:tcBorders>
              <w:top w:val="single" w:sz="4" w:space="0" w:color="auto"/>
              <w:left w:val="nil"/>
              <w:bottom w:val="nil"/>
              <w:right w:val="nil"/>
            </w:tcBorders>
            <w:shd w:val="clear" w:color="auto" w:fill="auto"/>
            <w:noWrap/>
            <w:vAlign w:val="bottom"/>
            <w:hideMark/>
          </w:tcPr>
          <w:p w14:paraId="74A11B1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13000</w:t>
            </w:r>
          </w:p>
        </w:tc>
        <w:tc>
          <w:tcPr>
            <w:tcW w:w="900" w:type="dxa"/>
            <w:tcBorders>
              <w:top w:val="single" w:sz="4" w:space="0" w:color="auto"/>
              <w:left w:val="nil"/>
              <w:bottom w:val="nil"/>
              <w:right w:val="nil"/>
            </w:tcBorders>
            <w:shd w:val="clear" w:color="auto" w:fill="auto"/>
            <w:noWrap/>
            <w:vAlign w:val="bottom"/>
            <w:hideMark/>
          </w:tcPr>
          <w:p w14:paraId="6398D94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28257</w:t>
            </w:r>
          </w:p>
        </w:tc>
      </w:tr>
      <w:tr w:rsidR="009478ED" w:rsidRPr="007F37A0" w14:paraId="6F09F0A1" w14:textId="77777777" w:rsidTr="00735871">
        <w:trPr>
          <w:trHeight w:val="288"/>
          <w:jc w:val="center"/>
        </w:trPr>
        <w:tc>
          <w:tcPr>
            <w:tcW w:w="1216" w:type="dxa"/>
            <w:vMerge/>
            <w:tcBorders>
              <w:left w:val="nil"/>
              <w:right w:val="nil"/>
            </w:tcBorders>
            <w:shd w:val="clear" w:color="auto" w:fill="auto"/>
            <w:noWrap/>
            <w:hideMark/>
          </w:tcPr>
          <w:p w14:paraId="4463B138"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right w:val="nil"/>
            </w:tcBorders>
          </w:tcPr>
          <w:p w14:paraId="3F928B2F"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right w:val="nil"/>
            </w:tcBorders>
            <w:shd w:val="clear" w:color="auto" w:fill="auto"/>
            <w:noWrap/>
            <w:vAlign w:val="bottom"/>
            <w:hideMark/>
          </w:tcPr>
          <w:p w14:paraId="73F25BB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between</w:t>
            </w:r>
          </w:p>
        </w:tc>
        <w:tc>
          <w:tcPr>
            <w:tcW w:w="1116" w:type="dxa"/>
            <w:tcBorders>
              <w:top w:val="nil"/>
              <w:left w:val="nil"/>
              <w:right w:val="nil"/>
            </w:tcBorders>
            <w:shd w:val="clear" w:color="auto" w:fill="auto"/>
            <w:noWrap/>
            <w:vAlign w:val="bottom"/>
            <w:hideMark/>
          </w:tcPr>
          <w:p w14:paraId="33B687C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right w:val="nil"/>
            </w:tcBorders>
            <w:shd w:val="clear" w:color="auto" w:fill="auto"/>
            <w:noWrap/>
            <w:vAlign w:val="bottom"/>
            <w:hideMark/>
          </w:tcPr>
          <w:p w14:paraId="7C83AB9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1563.235</w:t>
            </w:r>
          </w:p>
        </w:tc>
        <w:tc>
          <w:tcPr>
            <w:tcW w:w="1398" w:type="dxa"/>
            <w:tcBorders>
              <w:top w:val="nil"/>
              <w:left w:val="nil"/>
              <w:right w:val="nil"/>
            </w:tcBorders>
            <w:shd w:val="clear" w:color="auto" w:fill="auto"/>
            <w:noWrap/>
            <w:vAlign w:val="bottom"/>
            <w:hideMark/>
          </w:tcPr>
          <w:p w14:paraId="625AB8F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60</w:t>
            </w:r>
          </w:p>
        </w:tc>
        <w:tc>
          <w:tcPr>
            <w:tcW w:w="1176" w:type="dxa"/>
            <w:tcBorders>
              <w:top w:val="nil"/>
              <w:left w:val="nil"/>
              <w:right w:val="nil"/>
            </w:tcBorders>
            <w:shd w:val="clear" w:color="auto" w:fill="auto"/>
            <w:noWrap/>
            <w:vAlign w:val="bottom"/>
            <w:hideMark/>
          </w:tcPr>
          <w:p w14:paraId="4D75BD6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13000</w:t>
            </w:r>
          </w:p>
        </w:tc>
        <w:tc>
          <w:tcPr>
            <w:tcW w:w="900" w:type="dxa"/>
            <w:tcBorders>
              <w:top w:val="nil"/>
              <w:left w:val="nil"/>
              <w:right w:val="nil"/>
            </w:tcBorders>
            <w:shd w:val="clear" w:color="auto" w:fill="auto"/>
            <w:noWrap/>
            <w:vAlign w:val="bottom"/>
            <w:hideMark/>
          </w:tcPr>
          <w:p w14:paraId="38F0200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2666</w:t>
            </w:r>
          </w:p>
        </w:tc>
      </w:tr>
      <w:tr w:rsidR="009478ED" w:rsidRPr="007F37A0" w14:paraId="3EA6C7B1" w14:textId="77777777" w:rsidTr="00735871">
        <w:trPr>
          <w:trHeight w:val="288"/>
          <w:jc w:val="center"/>
        </w:trPr>
        <w:tc>
          <w:tcPr>
            <w:tcW w:w="1216" w:type="dxa"/>
            <w:vMerge/>
            <w:tcBorders>
              <w:left w:val="nil"/>
              <w:bottom w:val="single" w:sz="4" w:space="0" w:color="auto"/>
              <w:right w:val="nil"/>
            </w:tcBorders>
            <w:shd w:val="clear" w:color="auto" w:fill="auto"/>
            <w:noWrap/>
            <w:hideMark/>
          </w:tcPr>
          <w:p w14:paraId="6B6137E3"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bottom w:val="single" w:sz="4" w:space="0" w:color="auto"/>
              <w:right w:val="nil"/>
            </w:tcBorders>
          </w:tcPr>
          <w:p w14:paraId="0BA9F2C8"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single" w:sz="4" w:space="0" w:color="auto"/>
              <w:right w:val="nil"/>
            </w:tcBorders>
            <w:shd w:val="clear" w:color="auto" w:fill="auto"/>
            <w:noWrap/>
            <w:vAlign w:val="bottom"/>
            <w:hideMark/>
          </w:tcPr>
          <w:p w14:paraId="11D3AB1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within</w:t>
            </w:r>
          </w:p>
        </w:tc>
        <w:tc>
          <w:tcPr>
            <w:tcW w:w="1116" w:type="dxa"/>
            <w:tcBorders>
              <w:top w:val="nil"/>
              <w:left w:val="nil"/>
              <w:bottom w:val="single" w:sz="4" w:space="0" w:color="auto"/>
              <w:right w:val="nil"/>
            </w:tcBorders>
            <w:shd w:val="clear" w:color="auto" w:fill="auto"/>
            <w:noWrap/>
            <w:vAlign w:val="bottom"/>
            <w:hideMark/>
          </w:tcPr>
          <w:p w14:paraId="005843D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single" w:sz="4" w:space="0" w:color="auto"/>
              <w:right w:val="nil"/>
            </w:tcBorders>
            <w:shd w:val="clear" w:color="auto" w:fill="auto"/>
            <w:noWrap/>
            <w:vAlign w:val="bottom"/>
            <w:hideMark/>
          </w:tcPr>
          <w:p w14:paraId="552E58F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63.606</w:t>
            </w:r>
          </w:p>
        </w:tc>
        <w:tc>
          <w:tcPr>
            <w:tcW w:w="1398" w:type="dxa"/>
            <w:tcBorders>
              <w:top w:val="nil"/>
              <w:left w:val="nil"/>
              <w:bottom w:val="single" w:sz="4" w:space="0" w:color="auto"/>
              <w:right w:val="nil"/>
            </w:tcBorders>
            <w:shd w:val="clear" w:color="auto" w:fill="auto"/>
            <w:noWrap/>
            <w:vAlign w:val="bottom"/>
            <w:hideMark/>
          </w:tcPr>
          <w:p w14:paraId="6E17730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-985.683</w:t>
            </w:r>
          </w:p>
        </w:tc>
        <w:tc>
          <w:tcPr>
            <w:tcW w:w="1176" w:type="dxa"/>
            <w:tcBorders>
              <w:top w:val="nil"/>
              <w:left w:val="nil"/>
              <w:bottom w:val="single" w:sz="4" w:space="0" w:color="auto"/>
              <w:right w:val="nil"/>
            </w:tcBorders>
            <w:shd w:val="clear" w:color="auto" w:fill="auto"/>
            <w:noWrap/>
            <w:vAlign w:val="bottom"/>
            <w:hideMark/>
          </w:tcPr>
          <w:p w14:paraId="14A52C2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2441.917</w:t>
            </w:r>
          </w:p>
        </w:tc>
        <w:tc>
          <w:tcPr>
            <w:tcW w:w="900" w:type="dxa"/>
            <w:tcBorders>
              <w:top w:val="nil"/>
              <w:left w:val="nil"/>
              <w:bottom w:val="single" w:sz="4" w:space="0" w:color="auto"/>
              <w:right w:val="nil"/>
            </w:tcBorders>
            <w:shd w:val="clear" w:color="auto" w:fill="auto"/>
            <w:noWrap/>
            <w:vAlign w:val="bottom"/>
            <w:hideMark/>
          </w:tcPr>
          <w:p w14:paraId="1F9BFF8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10.599</w:t>
            </w:r>
          </w:p>
        </w:tc>
      </w:tr>
      <w:tr w:rsidR="009478ED" w:rsidRPr="007F37A0" w14:paraId="7660269D" w14:textId="77777777" w:rsidTr="00735871">
        <w:trPr>
          <w:trHeight w:val="288"/>
          <w:jc w:val="center"/>
        </w:trPr>
        <w:tc>
          <w:tcPr>
            <w:tcW w:w="1216" w:type="dxa"/>
            <w:vMerge w:val="restart"/>
            <w:tcBorders>
              <w:top w:val="single" w:sz="4" w:space="0" w:color="auto"/>
              <w:left w:val="nil"/>
              <w:right w:val="nil"/>
            </w:tcBorders>
            <w:shd w:val="clear" w:color="auto" w:fill="auto"/>
            <w:noWrap/>
            <w:hideMark/>
          </w:tcPr>
          <w:p w14:paraId="1F47AF7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Turndown Ratio</w:t>
            </w:r>
          </w:p>
        </w:tc>
        <w:tc>
          <w:tcPr>
            <w:tcW w:w="1645" w:type="dxa"/>
            <w:vMerge w:val="restart"/>
            <w:tcBorders>
              <w:top w:val="single" w:sz="4" w:space="0" w:color="auto"/>
              <w:left w:val="nil"/>
              <w:right w:val="nil"/>
            </w:tcBorders>
          </w:tcPr>
          <w:p w14:paraId="1C240E4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Ratio of maximum heat output to minimum heat output</w:t>
            </w:r>
          </w:p>
        </w:tc>
        <w:tc>
          <w:tcPr>
            <w:tcW w:w="1016" w:type="dxa"/>
            <w:tcBorders>
              <w:top w:val="single" w:sz="4" w:space="0" w:color="auto"/>
              <w:left w:val="nil"/>
              <w:bottom w:val="nil"/>
              <w:right w:val="nil"/>
            </w:tcBorders>
            <w:shd w:val="clear" w:color="auto" w:fill="auto"/>
            <w:noWrap/>
            <w:vAlign w:val="bottom"/>
            <w:hideMark/>
          </w:tcPr>
          <w:p w14:paraId="2E437DC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overall</w:t>
            </w:r>
          </w:p>
        </w:tc>
        <w:tc>
          <w:tcPr>
            <w:tcW w:w="1116" w:type="dxa"/>
            <w:tcBorders>
              <w:top w:val="single" w:sz="4" w:space="0" w:color="auto"/>
              <w:left w:val="nil"/>
              <w:bottom w:val="nil"/>
              <w:right w:val="nil"/>
            </w:tcBorders>
            <w:shd w:val="clear" w:color="auto" w:fill="auto"/>
            <w:noWrap/>
            <w:vAlign w:val="bottom"/>
            <w:hideMark/>
          </w:tcPr>
          <w:p w14:paraId="6E3DDF1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15.387</w:t>
            </w:r>
          </w:p>
        </w:tc>
        <w:tc>
          <w:tcPr>
            <w:tcW w:w="1163" w:type="dxa"/>
            <w:tcBorders>
              <w:top w:val="single" w:sz="4" w:space="0" w:color="auto"/>
              <w:left w:val="nil"/>
              <w:bottom w:val="nil"/>
              <w:right w:val="nil"/>
            </w:tcBorders>
            <w:shd w:val="clear" w:color="auto" w:fill="auto"/>
            <w:noWrap/>
            <w:vAlign w:val="bottom"/>
            <w:hideMark/>
          </w:tcPr>
          <w:p w14:paraId="56A34E7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128.172</w:t>
            </w:r>
          </w:p>
        </w:tc>
        <w:tc>
          <w:tcPr>
            <w:tcW w:w="1398" w:type="dxa"/>
            <w:tcBorders>
              <w:top w:val="single" w:sz="4" w:space="0" w:color="auto"/>
              <w:left w:val="nil"/>
              <w:bottom w:val="nil"/>
              <w:right w:val="nil"/>
            </w:tcBorders>
            <w:shd w:val="clear" w:color="auto" w:fill="auto"/>
            <w:noWrap/>
            <w:vAlign w:val="bottom"/>
            <w:hideMark/>
          </w:tcPr>
          <w:p w14:paraId="5206FDF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w:t>
            </w:r>
          </w:p>
        </w:tc>
        <w:tc>
          <w:tcPr>
            <w:tcW w:w="1176" w:type="dxa"/>
            <w:tcBorders>
              <w:top w:val="single" w:sz="4" w:space="0" w:color="auto"/>
              <w:left w:val="nil"/>
              <w:bottom w:val="nil"/>
              <w:right w:val="nil"/>
            </w:tcBorders>
            <w:shd w:val="clear" w:color="auto" w:fill="auto"/>
            <w:noWrap/>
            <w:vAlign w:val="bottom"/>
            <w:hideMark/>
          </w:tcPr>
          <w:p w14:paraId="714A6796"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2034</w:t>
            </w:r>
          </w:p>
        </w:tc>
        <w:tc>
          <w:tcPr>
            <w:tcW w:w="900" w:type="dxa"/>
            <w:tcBorders>
              <w:top w:val="single" w:sz="4" w:space="0" w:color="auto"/>
              <w:left w:val="nil"/>
              <w:bottom w:val="nil"/>
              <w:right w:val="nil"/>
            </w:tcBorders>
            <w:shd w:val="clear" w:color="auto" w:fill="auto"/>
            <w:noWrap/>
            <w:vAlign w:val="bottom"/>
            <w:hideMark/>
          </w:tcPr>
          <w:p w14:paraId="4E74EACA"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18558</w:t>
            </w:r>
          </w:p>
        </w:tc>
      </w:tr>
      <w:tr w:rsidR="009478ED" w:rsidRPr="007F37A0" w14:paraId="3232AB7A" w14:textId="77777777" w:rsidTr="00735871">
        <w:trPr>
          <w:trHeight w:val="288"/>
          <w:jc w:val="center"/>
        </w:trPr>
        <w:tc>
          <w:tcPr>
            <w:tcW w:w="1216" w:type="dxa"/>
            <w:vMerge/>
            <w:tcBorders>
              <w:left w:val="nil"/>
              <w:right w:val="nil"/>
            </w:tcBorders>
            <w:shd w:val="clear" w:color="auto" w:fill="auto"/>
            <w:noWrap/>
            <w:hideMark/>
          </w:tcPr>
          <w:p w14:paraId="61B65011"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right w:val="nil"/>
            </w:tcBorders>
          </w:tcPr>
          <w:p w14:paraId="2A2A7FE8"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right w:val="nil"/>
            </w:tcBorders>
            <w:shd w:val="clear" w:color="auto" w:fill="auto"/>
            <w:noWrap/>
            <w:vAlign w:val="bottom"/>
            <w:hideMark/>
          </w:tcPr>
          <w:p w14:paraId="3B79B80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between</w:t>
            </w:r>
          </w:p>
        </w:tc>
        <w:tc>
          <w:tcPr>
            <w:tcW w:w="1116" w:type="dxa"/>
            <w:tcBorders>
              <w:top w:val="nil"/>
              <w:left w:val="nil"/>
              <w:right w:val="nil"/>
            </w:tcBorders>
            <w:shd w:val="clear" w:color="auto" w:fill="auto"/>
            <w:noWrap/>
            <w:vAlign w:val="bottom"/>
            <w:hideMark/>
          </w:tcPr>
          <w:p w14:paraId="4796C39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right w:val="nil"/>
            </w:tcBorders>
            <w:shd w:val="clear" w:color="auto" w:fill="auto"/>
            <w:noWrap/>
            <w:vAlign w:val="bottom"/>
            <w:hideMark/>
          </w:tcPr>
          <w:p w14:paraId="7DDA047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185.365</w:t>
            </w:r>
          </w:p>
        </w:tc>
        <w:tc>
          <w:tcPr>
            <w:tcW w:w="1398" w:type="dxa"/>
            <w:tcBorders>
              <w:top w:val="nil"/>
              <w:left w:val="nil"/>
              <w:right w:val="nil"/>
            </w:tcBorders>
            <w:shd w:val="clear" w:color="auto" w:fill="auto"/>
            <w:noWrap/>
            <w:vAlign w:val="bottom"/>
            <w:hideMark/>
          </w:tcPr>
          <w:p w14:paraId="2FE950A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0.1</w:t>
            </w:r>
          </w:p>
        </w:tc>
        <w:tc>
          <w:tcPr>
            <w:tcW w:w="1176" w:type="dxa"/>
            <w:tcBorders>
              <w:top w:val="nil"/>
              <w:left w:val="nil"/>
              <w:right w:val="nil"/>
            </w:tcBorders>
            <w:shd w:val="clear" w:color="auto" w:fill="auto"/>
            <w:noWrap/>
            <w:vAlign w:val="bottom"/>
            <w:hideMark/>
          </w:tcPr>
          <w:p w14:paraId="24C8A66F"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2034</w:t>
            </w:r>
          </w:p>
        </w:tc>
        <w:tc>
          <w:tcPr>
            <w:tcW w:w="900" w:type="dxa"/>
            <w:tcBorders>
              <w:top w:val="nil"/>
              <w:left w:val="nil"/>
              <w:right w:val="nil"/>
            </w:tcBorders>
            <w:shd w:val="clear" w:color="auto" w:fill="auto"/>
            <w:noWrap/>
            <w:vAlign w:val="bottom"/>
            <w:hideMark/>
          </w:tcPr>
          <w:p w14:paraId="40A5C2E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2314</w:t>
            </w:r>
          </w:p>
        </w:tc>
      </w:tr>
      <w:tr w:rsidR="009478ED" w:rsidRPr="007F37A0" w14:paraId="04D0E049" w14:textId="77777777" w:rsidTr="00735871">
        <w:trPr>
          <w:trHeight w:val="288"/>
          <w:jc w:val="center"/>
        </w:trPr>
        <w:tc>
          <w:tcPr>
            <w:tcW w:w="1216" w:type="dxa"/>
            <w:vMerge/>
            <w:tcBorders>
              <w:left w:val="nil"/>
              <w:bottom w:val="single" w:sz="4" w:space="0" w:color="auto"/>
              <w:right w:val="nil"/>
            </w:tcBorders>
            <w:shd w:val="clear" w:color="auto" w:fill="auto"/>
            <w:noWrap/>
            <w:hideMark/>
          </w:tcPr>
          <w:p w14:paraId="5CE92A74"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bottom w:val="single" w:sz="4" w:space="0" w:color="auto"/>
              <w:right w:val="nil"/>
            </w:tcBorders>
          </w:tcPr>
          <w:p w14:paraId="780E9AC0"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single" w:sz="4" w:space="0" w:color="auto"/>
              <w:right w:val="nil"/>
            </w:tcBorders>
            <w:shd w:val="clear" w:color="auto" w:fill="auto"/>
            <w:noWrap/>
            <w:vAlign w:val="bottom"/>
            <w:hideMark/>
          </w:tcPr>
          <w:p w14:paraId="6353A631" w14:textId="77777777" w:rsidR="009478ED" w:rsidRPr="007F37A0" w:rsidRDefault="009478ED" w:rsidP="00735871">
            <w:pPr>
              <w:spacing w:after="240"/>
              <w:ind w:left="720" w:hanging="720"/>
              <w:jc w:val="center"/>
              <w:rPr>
                <w:rFonts w:ascii="Times New Roman" w:hAnsi="Times New Roman" w:cs="Times New Roman"/>
              </w:rPr>
            </w:pPr>
            <w:r w:rsidRPr="007F37A0">
              <w:rPr>
                <w:rFonts w:ascii="Times New Roman" w:hAnsi="Times New Roman" w:cs="Times New Roman"/>
              </w:rPr>
              <w:t>within</w:t>
            </w:r>
          </w:p>
        </w:tc>
        <w:tc>
          <w:tcPr>
            <w:tcW w:w="1116" w:type="dxa"/>
            <w:tcBorders>
              <w:top w:val="nil"/>
              <w:left w:val="nil"/>
              <w:bottom w:val="single" w:sz="4" w:space="0" w:color="auto"/>
              <w:right w:val="nil"/>
            </w:tcBorders>
            <w:shd w:val="clear" w:color="auto" w:fill="auto"/>
            <w:noWrap/>
            <w:vAlign w:val="bottom"/>
            <w:hideMark/>
          </w:tcPr>
          <w:p w14:paraId="1B1B9C1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single" w:sz="4" w:space="0" w:color="auto"/>
              <w:right w:val="nil"/>
            </w:tcBorders>
            <w:shd w:val="clear" w:color="auto" w:fill="auto"/>
            <w:noWrap/>
            <w:vAlign w:val="bottom"/>
            <w:hideMark/>
          </w:tcPr>
          <w:p w14:paraId="0D40D71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46.906</w:t>
            </w:r>
          </w:p>
        </w:tc>
        <w:tc>
          <w:tcPr>
            <w:tcW w:w="1398" w:type="dxa"/>
            <w:tcBorders>
              <w:top w:val="nil"/>
              <w:left w:val="nil"/>
              <w:bottom w:val="single" w:sz="4" w:space="0" w:color="auto"/>
              <w:right w:val="nil"/>
            </w:tcBorders>
            <w:shd w:val="clear" w:color="auto" w:fill="auto"/>
            <w:noWrap/>
            <w:vAlign w:val="bottom"/>
            <w:hideMark/>
          </w:tcPr>
          <w:p w14:paraId="0B890718"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-991.263</w:t>
            </w:r>
          </w:p>
        </w:tc>
        <w:tc>
          <w:tcPr>
            <w:tcW w:w="1176" w:type="dxa"/>
            <w:tcBorders>
              <w:top w:val="nil"/>
              <w:left w:val="nil"/>
              <w:bottom w:val="single" w:sz="4" w:space="0" w:color="auto"/>
              <w:right w:val="nil"/>
            </w:tcBorders>
            <w:shd w:val="clear" w:color="auto" w:fill="auto"/>
            <w:noWrap/>
            <w:vAlign w:val="bottom"/>
            <w:hideMark/>
          </w:tcPr>
          <w:p w14:paraId="22E1E6D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1832.217</w:t>
            </w:r>
          </w:p>
        </w:tc>
        <w:tc>
          <w:tcPr>
            <w:tcW w:w="900" w:type="dxa"/>
            <w:tcBorders>
              <w:top w:val="nil"/>
              <w:left w:val="nil"/>
              <w:bottom w:val="single" w:sz="4" w:space="0" w:color="auto"/>
              <w:right w:val="nil"/>
            </w:tcBorders>
            <w:shd w:val="clear" w:color="auto" w:fill="auto"/>
            <w:noWrap/>
            <w:vAlign w:val="bottom"/>
            <w:hideMark/>
          </w:tcPr>
          <w:p w14:paraId="4F622FC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8.02</w:t>
            </w:r>
          </w:p>
        </w:tc>
      </w:tr>
      <w:tr w:rsidR="009478ED" w:rsidRPr="007F37A0" w14:paraId="0D4C26E4" w14:textId="77777777" w:rsidTr="00735871">
        <w:trPr>
          <w:trHeight w:val="288"/>
          <w:jc w:val="center"/>
        </w:trPr>
        <w:tc>
          <w:tcPr>
            <w:tcW w:w="1216" w:type="dxa"/>
            <w:vMerge w:val="restart"/>
            <w:tcBorders>
              <w:top w:val="single" w:sz="4" w:space="0" w:color="auto"/>
              <w:left w:val="nil"/>
              <w:right w:val="nil"/>
            </w:tcBorders>
            <w:shd w:val="clear" w:color="auto" w:fill="auto"/>
            <w:noWrap/>
            <w:hideMark/>
          </w:tcPr>
          <w:p w14:paraId="5C38F9F4"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Waste Heat Input</w:t>
            </w:r>
          </w:p>
        </w:tc>
        <w:tc>
          <w:tcPr>
            <w:tcW w:w="1645" w:type="dxa"/>
            <w:vMerge w:val="restart"/>
            <w:tcBorders>
              <w:top w:val="single" w:sz="4" w:space="0" w:color="auto"/>
              <w:left w:val="nil"/>
              <w:right w:val="nil"/>
            </w:tcBorders>
          </w:tcPr>
          <w:p w14:paraId="10D9F0A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Design waste-heat input rate at max continuous steam flow (million Btu per hour)</w:t>
            </w:r>
          </w:p>
        </w:tc>
        <w:tc>
          <w:tcPr>
            <w:tcW w:w="1016" w:type="dxa"/>
            <w:tcBorders>
              <w:top w:val="single" w:sz="4" w:space="0" w:color="auto"/>
              <w:left w:val="nil"/>
              <w:bottom w:val="nil"/>
              <w:right w:val="nil"/>
            </w:tcBorders>
            <w:shd w:val="clear" w:color="auto" w:fill="auto"/>
            <w:noWrap/>
            <w:vAlign w:val="bottom"/>
            <w:hideMark/>
          </w:tcPr>
          <w:p w14:paraId="13F185B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overall</w:t>
            </w:r>
          </w:p>
        </w:tc>
        <w:tc>
          <w:tcPr>
            <w:tcW w:w="1116" w:type="dxa"/>
            <w:tcBorders>
              <w:top w:val="single" w:sz="4" w:space="0" w:color="auto"/>
              <w:left w:val="nil"/>
              <w:bottom w:val="nil"/>
              <w:right w:val="nil"/>
            </w:tcBorders>
            <w:shd w:val="clear" w:color="auto" w:fill="auto"/>
            <w:noWrap/>
            <w:vAlign w:val="bottom"/>
            <w:hideMark/>
          </w:tcPr>
          <w:p w14:paraId="33A48C6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6347.339</w:t>
            </w:r>
          </w:p>
        </w:tc>
        <w:tc>
          <w:tcPr>
            <w:tcW w:w="1163" w:type="dxa"/>
            <w:tcBorders>
              <w:top w:val="single" w:sz="4" w:space="0" w:color="auto"/>
              <w:left w:val="nil"/>
              <w:bottom w:val="nil"/>
              <w:right w:val="nil"/>
            </w:tcBorders>
            <w:shd w:val="clear" w:color="auto" w:fill="auto"/>
            <w:noWrap/>
            <w:vAlign w:val="bottom"/>
            <w:hideMark/>
          </w:tcPr>
          <w:p w14:paraId="4AAB6F70"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109670.8</w:t>
            </w:r>
          </w:p>
        </w:tc>
        <w:tc>
          <w:tcPr>
            <w:tcW w:w="1398" w:type="dxa"/>
            <w:tcBorders>
              <w:top w:val="single" w:sz="4" w:space="0" w:color="auto"/>
              <w:left w:val="nil"/>
              <w:bottom w:val="nil"/>
              <w:right w:val="nil"/>
            </w:tcBorders>
            <w:shd w:val="clear" w:color="auto" w:fill="auto"/>
            <w:noWrap/>
            <w:vAlign w:val="bottom"/>
            <w:hideMark/>
          </w:tcPr>
          <w:p w14:paraId="2DDEE69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w:t>
            </w:r>
          </w:p>
        </w:tc>
        <w:tc>
          <w:tcPr>
            <w:tcW w:w="1176" w:type="dxa"/>
            <w:tcBorders>
              <w:top w:val="single" w:sz="4" w:space="0" w:color="auto"/>
              <w:left w:val="nil"/>
              <w:bottom w:val="nil"/>
              <w:right w:val="nil"/>
            </w:tcBorders>
            <w:shd w:val="clear" w:color="auto" w:fill="auto"/>
            <w:noWrap/>
            <w:vAlign w:val="bottom"/>
            <w:hideMark/>
          </w:tcPr>
          <w:p w14:paraId="5B420773"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2578684</w:t>
            </w:r>
          </w:p>
        </w:tc>
        <w:tc>
          <w:tcPr>
            <w:tcW w:w="900" w:type="dxa"/>
            <w:tcBorders>
              <w:top w:val="single" w:sz="4" w:space="0" w:color="auto"/>
              <w:left w:val="nil"/>
              <w:bottom w:val="nil"/>
              <w:right w:val="nil"/>
            </w:tcBorders>
            <w:shd w:val="clear" w:color="auto" w:fill="auto"/>
            <w:noWrap/>
            <w:vAlign w:val="bottom"/>
            <w:hideMark/>
          </w:tcPr>
          <w:p w14:paraId="0F24AEA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9502</w:t>
            </w:r>
          </w:p>
        </w:tc>
      </w:tr>
      <w:tr w:rsidR="009478ED" w:rsidRPr="007F37A0" w14:paraId="60D65002" w14:textId="77777777" w:rsidTr="00735871">
        <w:trPr>
          <w:trHeight w:val="288"/>
          <w:jc w:val="center"/>
        </w:trPr>
        <w:tc>
          <w:tcPr>
            <w:tcW w:w="1216" w:type="dxa"/>
            <w:vMerge/>
            <w:tcBorders>
              <w:left w:val="nil"/>
              <w:right w:val="nil"/>
            </w:tcBorders>
            <w:shd w:val="clear" w:color="auto" w:fill="auto"/>
            <w:noWrap/>
            <w:hideMark/>
          </w:tcPr>
          <w:p w14:paraId="3D7CA87C"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right w:val="nil"/>
            </w:tcBorders>
          </w:tcPr>
          <w:p w14:paraId="7258649A"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right w:val="nil"/>
            </w:tcBorders>
            <w:shd w:val="clear" w:color="auto" w:fill="auto"/>
            <w:noWrap/>
            <w:vAlign w:val="bottom"/>
            <w:hideMark/>
          </w:tcPr>
          <w:p w14:paraId="441853B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between</w:t>
            </w:r>
          </w:p>
        </w:tc>
        <w:tc>
          <w:tcPr>
            <w:tcW w:w="1116" w:type="dxa"/>
            <w:tcBorders>
              <w:top w:val="nil"/>
              <w:left w:val="nil"/>
              <w:right w:val="nil"/>
            </w:tcBorders>
            <w:shd w:val="clear" w:color="auto" w:fill="auto"/>
            <w:noWrap/>
            <w:vAlign w:val="bottom"/>
            <w:hideMark/>
          </w:tcPr>
          <w:p w14:paraId="744F8EE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right w:val="nil"/>
            </w:tcBorders>
            <w:shd w:val="clear" w:color="auto" w:fill="auto"/>
            <w:noWrap/>
            <w:vAlign w:val="bottom"/>
            <w:hideMark/>
          </w:tcPr>
          <w:p w14:paraId="2B2B344D"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143215.9</w:t>
            </w:r>
          </w:p>
        </w:tc>
        <w:tc>
          <w:tcPr>
            <w:tcW w:w="1398" w:type="dxa"/>
            <w:tcBorders>
              <w:top w:val="nil"/>
              <w:left w:val="nil"/>
              <w:right w:val="nil"/>
            </w:tcBorders>
            <w:shd w:val="clear" w:color="auto" w:fill="auto"/>
            <w:noWrap/>
            <w:vAlign w:val="bottom"/>
            <w:hideMark/>
          </w:tcPr>
          <w:p w14:paraId="338240EB"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0.2</w:t>
            </w:r>
          </w:p>
        </w:tc>
        <w:tc>
          <w:tcPr>
            <w:tcW w:w="1176" w:type="dxa"/>
            <w:tcBorders>
              <w:top w:val="nil"/>
              <w:left w:val="nil"/>
              <w:right w:val="nil"/>
            </w:tcBorders>
            <w:shd w:val="clear" w:color="auto" w:fill="auto"/>
            <w:noWrap/>
            <w:vAlign w:val="bottom"/>
            <w:hideMark/>
          </w:tcPr>
          <w:p w14:paraId="27015422"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2578684</w:t>
            </w:r>
          </w:p>
        </w:tc>
        <w:tc>
          <w:tcPr>
            <w:tcW w:w="900" w:type="dxa"/>
            <w:tcBorders>
              <w:top w:val="nil"/>
              <w:left w:val="nil"/>
              <w:right w:val="nil"/>
            </w:tcBorders>
            <w:shd w:val="clear" w:color="auto" w:fill="auto"/>
            <w:noWrap/>
            <w:vAlign w:val="bottom"/>
            <w:hideMark/>
          </w:tcPr>
          <w:p w14:paraId="7905713E"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842</w:t>
            </w:r>
          </w:p>
        </w:tc>
      </w:tr>
      <w:tr w:rsidR="009478ED" w:rsidRPr="007F37A0" w14:paraId="47EC5587" w14:textId="77777777" w:rsidTr="00735871">
        <w:trPr>
          <w:trHeight w:val="288"/>
          <w:jc w:val="center"/>
        </w:trPr>
        <w:tc>
          <w:tcPr>
            <w:tcW w:w="1216" w:type="dxa"/>
            <w:vMerge/>
            <w:tcBorders>
              <w:left w:val="nil"/>
              <w:bottom w:val="single" w:sz="4" w:space="0" w:color="auto"/>
              <w:right w:val="nil"/>
            </w:tcBorders>
            <w:shd w:val="clear" w:color="auto" w:fill="auto"/>
            <w:noWrap/>
            <w:hideMark/>
          </w:tcPr>
          <w:p w14:paraId="18C83991" w14:textId="77777777" w:rsidR="009478ED" w:rsidRPr="007F37A0" w:rsidRDefault="009478ED" w:rsidP="00735871">
            <w:pPr>
              <w:spacing w:after="240"/>
              <w:jc w:val="center"/>
              <w:rPr>
                <w:rFonts w:ascii="Times New Roman" w:hAnsi="Times New Roman" w:cs="Times New Roman"/>
              </w:rPr>
            </w:pPr>
          </w:p>
        </w:tc>
        <w:tc>
          <w:tcPr>
            <w:tcW w:w="1645" w:type="dxa"/>
            <w:vMerge/>
            <w:tcBorders>
              <w:left w:val="nil"/>
              <w:bottom w:val="single" w:sz="4" w:space="0" w:color="auto"/>
              <w:right w:val="nil"/>
            </w:tcBorders>
          </w:tcPr>
          <w:p w14:paraId="5455252C" w14:textId="77777777" w:rsidR="009478ED" w:rsidRPr="007F37A0" w:rsidRDefault="009478ED" w:rsidP="00735871">
            <w:pPr>
              <w:spacing w:after="240"/>
              <w:jc w:val="center"/>
              <w:rPr>
                <w:rFonts w:ascii="Times New Roman" w:hAnsi="Times New Roman" w:cs="Times New Roman"/>
              </w:rPr>
            </w:pPr>
          </w:p>
        </w:tc>
        <w:tc>
          <w:tcPr>
            <w:tcW w:w="1016" w:type="dxa"/>
            <w:tcBorders>
              <w:top w:val="nil"/>
              <w:left w:val="nil"/>
              <w:bottom w:val="single" w:sz="4" w:space="0" w:color="auto"/>
              <w:right w:val="nil"/>
            </w:tcBorders>
            <w:shd w:val="clear" w:color="auto" w:fill="auto"/>
            <w:noWrap/>
            <w:vAlign w:val="bottom"/>
            <w:hideMark/>
          </w:tcPr>
          <w:p w14:paraId="617FFD5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within</w:t>
            </w:r>
          </w:p>
        </w:tc>
        <w:tc>
          <w:tcPr>
            <w:tcW w:w="1116" w:type="dxa"/>
            <w:tcBorders>
              <w:top w:val="nil"/>
              <w:left w:val="nil"/>
              <w:bottom w:val="single" w:sz="4" w:space="0" w:color="auto"/>
              <w:right w:val="nil"/>
            </w:tcBorders>
            <w:shd w:val="clear" w:color="auto" w:fill="auto"/>
            <w:noWrap/>
            <w:vAlign w:val="bottom"/>
            <w:hideMark/>
          </w:tcPr>
          <w:p w14:paraId="06271C8C"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w:t>
            </w:r>
          </w:p>
        </w:tc>
        <w:tc>
          <w:tcPr>
            <w:tcW w:w="1163" w:type="dxa"/>
            <w:tcBorders>
              <w:top w:val="nil"/>
              <w:left w:val="nil"/>
              <w:bottom w:val="single" w:sz="4" w:space="0" w:color="auto"/>
              <w:right w:val="nil"/>
            </w:tcBorders>
            <w:shd w:val="clear" w:color="auto" w:fill="auto"/>
            <w:noWrap/>
            <w:vAlign w:val="bottom"/>
            <w:hideMark/>
          </w:tcPr>
          <w:p w14:paraId="257ED8D7"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1845.272</w:t>
            </w:r>
          </w:p>
        </w:tc>
        <w:tc>
          <w:tcPr>
            <w:tcW w:w="1398" w:type="dxa"/>
            <w:tcBorders>
              <w:top w:val="nil"/>
              <w:left w:val="nil"/>
              <w:bottom w:val="single" w:sz="4" w:space="0" w:color="auto"/>
              <w:right w:val="nil"/>
            </w:tcBorders>
            <w:shd w:val="clear" w:color="auto" w:fill="auto"/>
            <w:noWrap/>
            <w:vAlign w:val="bottom"/>
            <w:hideMark/>
          </w:tcPr>
          <w:p w14:paraId="0E516981"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-19887.1</w:t>
            </w:r>
          </w:p>
        </w:tc>
        <w:tc>
          <w:tcPr>
            <w:tcW w:w="1176" w:type="dxa"/>
            <w:tcBorders>
              <w:top w:val="nil"/>
              <w:left w:val="nil"/>
              <w:bottom w:val="single" w:sz="4" w:space="0" w:color="auto"/>
              <w:right w:val="nil"/>
            </w:tcBorders>
            <w:shd w:val="clear" w:color="auto" w:fill="auto"/>
            <w:noWrap/>
            <w:vAlign w:val="bottom"/>
            <w:hideMark/>
          </w:tcPr>
          <w:p w14:paraId="64493295"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67560.94</w:t>
            </w:r>
          </w:p>
        </w:tc>
        <w:tc>
          <w:tcPr>
            <w:tcW w:w="900" w:type="dxa"/>
            <w:tcBorders>
              <w:top w:val="nil"/>
              <w:left w:val="nil"/>
              <w:bottom w:val="single" w:sz="4" w:space="0" w:color="auto"/>
              <w:right w:val="nil"/>
            </w:tcBorders>
            <w:shd w:val="clear" w:color="auto" w:fill="auto"/>
            <w:noWrap/>
            <w:vAlign w:val="bottom"/>
            <w:hideMark/>
          </w:tcPr>
          <w:p w14:paraId="67266B39" w14:textId="77777777" w:rsidR="009478ED" w:rsidRPr="007F37A0" w:rsidRDefault="009478ED" w:rsidP="00735871">
            <w:pPr>
              <w:spacing w:after="240"/>
              <w:jc w:val="center"/>
              <w:rPr>
                <w:rFonts w:ascii="Times New Roman" w:hAnsi="Times New Roman" w:cs="Times New Roman"/>
              </w:rPr>
            </w:pPr>
            <w:r w:rsidRPr="007F37A0">
              <w:rPr>
                <w:rFonts w:ascii="Times New Roman" w:hAnsi="Times New Roman" w:cs="Times New Roman"/>
              </w:rPr>
              <w:t>11.285</w:t>
            </w:r>
          </w:p>
        </w:tc>
      </w:tr>
      <w:tr w:rsidR="009478ED" w:rsidRPr="007F37A0" w14:paraId="3FAB378E" w14:textId="77777777" w:rsidTr="00735871">
        <w:trPr>
          <w:trHeight w:val="288"/>
          <w:jc w:val="center"/>
        </w:trPr>
        <w:tc>
          <w:tcPr>
            <w:tcW w:w="9630" w:type="dxa"/>
            <w:gridSpan w:val="8"/>
            <w:tcBorders>
              <w:top w:val="single" w:sz="4" w:space="0" w:color="auto"/>
              <w:left w:val="nil"/>
              <w:bottom w:val="single" w:sz="4" w:space="0" w:color="auto"/>
              <w:right w:val="nil"/>
            </w:tcBorders>
            <w:shd w:val="clear" w:color="auto" w:fill="auto"/>
            <w:noWrap/>
          </w:tcPr>
          <w:p w14:paraId="509A047E" w14:textId="77777777" w:rsidR="009478ED" w:rsidRPr="007F37A0" w:rsidRDefault="009478ED" w:rsidP="00735871">
            <w:pPr>
              <w:spacing w:after="240"/>
              <w:rPr>
                <w:rFonts w:ascii="Times New Roman" w:hAnsi="Times New Roman" w:cs="Times New Roman"/>
              </w:rPr>
            </w:pPr>
            <w:r w:rsidRPr="007F37A0">
              <w:rPr>
                <w:rFonts w:ascii="Times New Roman" w:hAnsi="Times New Roman" w:cs="Times New Roman"/>
              </w:rPr>
              <w:t>Notes: since data are available for the panel, and vary over time, I report the overall, between, and within variation for boilers. N refers to the total number of observations, n refers to the number of boilers for which there are observations, and T-bar refers to the average number of observations.</w:t>
            </w:r>
          </w:p>
        </w:tc>
      </w:tr>
    </w:tbl>
    <w:p w14:paraId="267F1E00"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t xml:space="preserve"> </w:t>
      </w:r>
      <w:r w:rsidRPr="007F37A0">
        <w:rPr>
          <w:rFonts w:ascii="Times New Roman" w:hAnsi="Times New Roman" w:cs="Times New Roman"/>
        </w:rPr>
        <w:br w:type="page"/>
      </w:r>
    </w:p>
    <w:tbl>
      <w:tblPr>
        <w:tblW w:w="9850" w:type="dxa"/>
        <w:jc w:val="center"/>
        <w:tblLook w:val="04A0" w:firstRow="1" w:lastRow="0" w:firstColumn="1" w:lastColumn="0" w:noHBand="0" w:noVBand="1"/>
      </w:tblPr>
      <w:tblGrid>
        <w:gridCol w:w="1508"/>
        <w:gridCol w:w="4651"/>
        <w:gridCol w:w="3691"/>
      </w:tblGrid>
      <w:tr w:rsidR="009478ED" w:rsidRPr="007F37A0" w14:paraId="49B80729" w14:textId="77777777" w:rsidTr="00735871">
        <w:trPr>
          <w:trHeight w:val="804"/>
          <w:jc w:val="center"/>
        </w:trPr>
        <w:tc>
          <w:tcPr>
            <w:tcW w:w="9850" w:type="dxa"/>
            <w:gridSpan w:val="3"/>
            <w:tcBorders>
              <w:bottom w:val="single" w:sz="4" w:space="0" w:color="auto"/>
            </w:tcBorders>
            <w:shd w:val="clear" w:color="auto" w:fill="auto"/>
            <w:vAlign w:val="center"/>
          </w:tcPr>
          <w:p w14:paraId="75AEB08D" w14:textId="7ACC53AC" w:rsidR="009478ED" w:rsidRPr="007F37A0" w:rsidRDefault="009478ED" w:rsidP="007F37A0">
            <w:pPr>
              <w:pStyle w:val="Caption"/>
              <w:rPr>
                <w:rFonts w:cs="Times New Roman"/>
                <w:b/>
              </w:rPr>
            </w:pPr>
            <w:bookmarkStart w:id="154" w:name="_Ref160879326"/>
            <w:bookmarkStart w:id="155" w:name="_Ref160785207"/>
            <w:bookmarkStart w:id="156" w:name="_Toc160879137"/>
            <w:bookmarkStart w:id="157" w:name="_Toc164862553"/>
            <w:r w:rsidRPr="007F37A0">
              <w:rPr>
                <w:rFonts w:cs="Times New Roman"/>
              </w:rPr>
              <w:lastRenderedPageBreak/>
              <w:t xml:space="preserve">Table </w:t>
            </w:r>
            <w:r w:rsidRPr="007F37A0">
              <w:rPr>
                <w:rFonts w:cs="Times New Roman"/>
                <w:b/>
              </w:rPr>
              <w:fldChar w:fldCharType="begin"/>
            </w:r>
            <w:r w:rsidRPr="007F37A0">
              <w:rPr>
                <w:rFonts w:cs="Times New Roman"/>
              </w:rPr>
              <w:instrText xml:space="preserve"> SEQ Table \* ARABIC </w:instrText>
            </w:r>
            <w:r w:rsidRPr="007F37A0">
              <w:rPr>
                <w:rFonts w:cs="Times New Roman"/>
                <w:b/>
              </w:rPr>
              <w:fldChar w:fldCharType="separate"/>
            </w:r>
            <w:r w:rsidR="00142A7E">
              <w:rPr>
                <w:rFonts w:cs="Times New Roman"/>
                <w:noProof/>
              </w:rPr>
              <w:t>18</w:t>
            </w:r>
            <w:r w:rsidRPr="007F37A0">
              <w:rPr>
                <w:rFonts w:cs="Times New Roman"/>
                <w:b/>
              </w:rPr>
              <w:fldChar w:fldCharType="end"/>
            </w:r>
            <w:bookmarkEnd w:id="154"/>
            <w:r w:rsidRPr="007F37A0">
              <w:rPr>
                <w:rFonts w:cs="Times New Roman"/>
              </w:rPr>
              <w:t>: Pollution Control Equipment Description and Aggregation</w:t>
            </w:r>
            <w:bookmarkEnd w:id="155"/>
            <w:bookmarkEnd w:id="156"/>
            <w:bookmarkEnd w:id="157"/>
          </w:p>
        </w:tc>
      </w:tr>
      <w:tr w:rsidR="009478ED" w:rsidRPr="007F37A0" w14:paraId="1D2E0379" w14:textId="77777777" w:rsidTr="00735871">
        <w:trPr>
          <w:trHeight w:val="804"/>
          <w:jc w:val="center"/>
        </w:trPr>
        <w:tc>
          <w:tcPr>
            <w:tcW w:w="150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3F78623" w14:textId="77777777" w:rsidR="009478ED" w:rsidRPr="007F37A0" w:rsidRDefault="009478ED" w:rsidP="00735871">
            <w:pPr>
              <w:jc w:val="center"/>
              <w:rPr>
                <w:rFonts w:ascii="Times New Roman" w:hAnsi="Times New Roman" w:cs="Times New Roman"/>
                <w:b/>
                <w:bCs/>
              </w:rPr>
            </w:pPr>
            <w:r w:rsidRPr="007F37A0">
              <w:rPr>
                <w:rFonts w:ascii="Times New Roman" w:hAnsi="Times New Roman" w:cs="Times New Roman"/>
                <w:b/>
                <w:bCs/>
              </w:rPr>
              <w:t>EIA Equipment Type Code</w:t>
            </w:r>
          </w:p>
        </w:tc>
        <w:tc>
          <w:tcPr>
            <w:tcW w:w="4651" w:type="dxa"/>
            <w:tcBorders>
              <w:top w:val="single" w:sz="4" w:space="0" w:color="auto"/>
              <w:left w:val="nil"/>
              <w:bottom w:val="single" w:sz="8" w:space="0" w:color="auto"/>
              <w:right w:val="single" w:sz="8" w:space="0" w:color="auto"/>
            </w:tcBorders>
            <w:shd w:val="clear" w:color="auto" w:fill="auto"/>
            <w:vAlign w:val="center"/>
            <w:hideMark/>
          </w:tcPr>
          <w:p w14:paraId="39E1C92D" w14:textId="77777777" w:rsidR="009478ED" w:rsidRPr="007F37A0" w:rsidRDefault="009478ED" w:rsidP="00735871">
            <w:pPr>
              <w:jc w:val="center"/>
              <w:rPr>
                <w:rFonts w:ascii="Times New Roman" w:hAnsi="Times New Roman" w:cs="Times New Roman"/>
                <w:b/>
                <w:bCs/>
              </w:rPr>
            </w:pPr>
            <w:r w:rsidRPr="007F37A0">
              <w:rPr>
                <w:rFonts w:ascii="Times New Roman" w:hAnsi="Times New Roman" w:cs="Times New Roman"/>
                <w:b/>
                <w:bCs/>
              </w:rPr>
              <w:t>Equipment Type Description</w:t>
            </w:r>
          </w:p>
        </w:tc>
        <w:tc>
          <w:tcPr>
            <w:tcW w:w="3691" w:type="dxa"/>
            <w:tcBorders>
              <w:top w:val="single" w:sz="4" w:space="0" w:color="auto"/>
              <w:left w:val="nil"/>
              <w:bottom w:val="single" w:sz="8" w:space="0" w:color="auto"/>
              <w:right w:val="single" w:sz="8" w:space="0" w:color="auto"/>
            </w:tcBorders>
            <w:shd w:val="clear" w:color="auto" w:fill="auto"/>
          </w:tcPr>
          <w:p w14:paraId="25EFA2BC" w14:textId="77777777" w:rsidR="009478ED" w:rsidRPr="007F37A0" w:rsidRDefault="009478ED" w:rsidP="00735871">
            <w:pPr>
              <w:jc w:val="center"/>
              <w:rPr>
                <w:rFonts w:ascii="Times New Roman" w:hAnsi="Times New Roman" w:cs="Times New Roman"/>
                <w:b/>
                <w:bCs/>
              </w:rPr>
            </w:pPr>
          </w:p>
          <w:p w14:paraId="7542C289" w14:textId="77777777" w:rsidR="009478ED" w:rsidRPr="007F37A0" w:rsidRDefault="009478ED" w:rsidP="00735871">
            <w:pPr>
              <w:jc w:val="center"/>
              <w:rPr>
                <w:rFonts w:ascii="Times New Roman" w:hAnsi="Times New Roman" w:cs="Times New Roman"/>
                <w:b/>
                <w:bCs/>
              </w:rPr>
            </w:pPr>
            <w:r w:rsidRPr="007F37A0">
              <w:rPr>
                <w:rFonts w:ascii="Times New Roman" w:hAnsi="Times New Roman" w:cs="Times New Roman"/>
                <w:b/>
                <w:bCs/>
              </w:rPr>
              <w:t>Aggregation</w:t>
            </w:r>
          </w:p>
        </w:tc>
      </w:tr>
      <w:tr w:rsidR="009478ED" w:rsidRPr="007F37A0" w14:paraId="112C3D92" w14:textId="77777777" w:rsidTr="00735871">
        <w:trPr>
          <w:trHeight w:val="502"/>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0947FC9F"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JB</w:t>
            </w:r>
          </w:p>
        </w:tc>
        <w:tc>
          <w:tcPr>
            <w:tcW w:w="4651" w:type="dxa"/>
            <w:tcBorders>
              <w:top w:val="nil"/>
              <w:left w:val="nil"/>
              <w:bottom w:val="single" w:sz="8" w:space="0" w:color="auto"/>
              <w:right w:val="single" w:sz="8" w:space="0" w:color="auto"/>
            </w:tcBorders>
            <w:shd w:val="clear" w:color="auto" w:fill="auto"/>
            <w:vAlign w:val="center"/>
            <w:hideMark/>
          </w:tcPr>
          <w:p w14:paraId="29B31410"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Jet bubbling reactor (wet) scrubber</w:t>
            </w:r>
          </w:p>
        </w:tc>
        <w:tc>
          <w:tcPr>
            <w:tcW w:w="3691" w:type="dxa"/>
            <w:tcBorders>
              <w:top w:val="nil"/>
              <w:left w:val="nil"/>
              <w:bottom w:val="single" w:sz="8" w:space="0" w:color="auto"/>
              <w:right w:val="single" w:sz="8" w:space="0" w:color="auto"/>
            </w:tcBorders>
          </w:tcPr>
          <w:p w14:paraId="56157B69"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Wet Type Technology</w:t>
            </w:r>
          </w:p>
        </w:tc>
      </w:tr>
      <w:tr w:rsidR="009478ED" w:rsidRPr="007F37A0" w14:paraId="2286BAE7" w14:textId="77777777" w:rsidTr="00735871">
        <w:trPr>
          <w:trHeight w:val="403"/>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6942B605"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MA</w:t>
            </w:r>
          </w:p>
        </w:tc>
        <w:tc>
          <w:tcPr>
            <w:tcW w:w="4651" w:type="dxa"/>
            <w:tcBorders>
              <w:top w:val="nil"/>
              <w:left w:val="nil"/>
              <w:bottom w:val="single" w:sz="8" w:space="0" w:color="auto"/>
              <w:right w:val="single" w:sz="8" w:space="0" w:color="auto"/>
            </w:tcBorders>
            <w:shd w:val="clear" w:color="auto" w:fill="auto"/>
            <w:vAlign w:val="center"/>
            <w:hideMark/>
          </w:tcPr>
          <w:p w14:paraId="3F4DCF8F"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Mechanically aided type (wet) scrubber</w:t>
            </w:r>
          </w:p>
        </w:tc>
        <w:tc>
          <w:tcPr>
            <w:tcW w:w="3691" w:type="dxa"/>
            <w:tcBorders>
              <w:top w:val="nil"/>
              <w:left w:val="nil"/>
              <w:bottom w:val="single" w:sz="8" w:space="0" w:color="auto"/>
              <w:right w:val="single" w:sz="8" w:space="0" w:color="auto"/>
            </w:tcBorders>
          </w:tcPr>
          <w:p w14:paraId="27207073"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Wet Type Technology</w:t>
            </w:r>
          </w:p>
        </w:tc>
      </w:tr>
      <w:tr w:rsidR="009478ED" w:rsidRPr="007F37A0" w14:paraId="28C5E8ED" w14:textId="77777777" w:rsidTr="00735871">
        <w:trPr>
          <w:trHeight w:val="385"/>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25BD0291"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w:t>
            </w:r>
          </w:p>
        </w:tc>
        <w:tc>
          <w:tcPr>
            <w:tcW w:w="4651" w:type="dxa"/>
            <w:tcBorders>
              <w:top w:val="nil"/>
              <w:left w:val="nil"/>
              <w:bottom w:val="single" w:sz="8" w:space="0" w:color="auto"/>
              <w:right w:val="single" w:sz="8" w:space="0" w:color="auto"/>
            </w:tcBorders>
            <w:shd w:val="clear" w:color="auto" w:fill="auto"/>
            <w:vAlign w:val="center"/>
            <w:hideMark/>
          </w:tcPr>
          <w:p w14:paraId="5F183590"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Packed type (wet) scrubber</w:t>
            </w:r>
          </w:p>
        </w:tc>
        <w:tc>
          <w:tcPr>
            <w:tcW w:w="3691" w:type="dxa"/>
            <w:tcBorders>
              <w:top w:val="nil"/>
              <w:left w:val="nil"/>
              <w:bottom w:val="single" w:sz="8" w:space="0" w:color="auto"/>
              <w:right w:val="single" w:sz="8" w:space="0" w:color="auto"/>
            </w:tcBorders>
          </w:tcPr>
          <w:p w14:paraId="3ECBBAB1"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Wet Type Technology</w:t>
            </w:r>
          </w:p>
        </w:tc>
      </w:tr>
      <w:tr w:rsidR="009478ED" w:rsidRPr="007F37A0" w14:paraId="1593FFB4" w14:textId="77777777" w:rsidTr="00735871">
        <w:trPr>
          <w:trHeight w:val="43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4B8590A8"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SP</w:t>
            </w:r>
          </w:p>
        </w:tc>
        <w:tc>
          <w:tcPr>
            <w:tcW w:w="4651" w:type="dxa"/>
            <w:tcBorders>
              <w:top w:val="nil"/>
              <w:left w:val="nil"/>
              <w:bottom w:val="single" w:sz="8" w:space="0" w:color="auto"/>
              <w:right w:val="single" w:sz="8" w:space="0" w:color="auto"/>
            </w:tcBorders>
            <w:shd w:val="clear" w:color="auto" w:fill="auto"/>
            <w:vAlign w:val="center"/>
            <w:hideMark/>
          </w:tcPr>
          <w:p w14:paraId="5E0B5E96"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Spray type (wet) scrubber</w:t>
            </w:r>
          </w:p>
        </w:tc>
        <w:tc>
          <w:tcPr>
            <w:tcW w:w="3691" w:type="dxa"/>
            <w:tcBorders>
              <w:top w:val="nil"/>
              <w:left w:val="nil"/>
              <w:bottom w:val="single" w:sz="8" w:space="0" w:color="auto"/>
              <w:right w:val="single" w:sz="8" w:space="0" w:color="auto"/>
            </w:tcBorders>
          </w:tcPr>
          <w:p w14:paraId="75388D5C"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Wet Type Technology</w:t>
            </w:r>
          </w:p>
        </w:tc>
      </w:tr>
      <w:tr w:rsidR="009478ED" w:rsidRPr="007F37A0" w14:paraId="6CB803EE" w14:textId="77777777" w:rsidTr="00735871">
        <w:trPr>
          <w:trHeight w:val="439"/>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69C56AD7"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TR</w:t>
            </w:r>
          </w:p>
        </w:tc>
        <w:tc>
          <w:tcPr>
            <w:tcW w:w="4651" w:type="dxa"/>
            <w:tcBorders>
              <w:top w:val="nil"/>
              <w:left w:val="nil"/>
              <w:bottom w:val="single" w:sz="8" w:space="0" w:color="auto"/>
              <w:right w:val="single" w:sz="8" w:space="0" w:color="auto"/>
            </w:tcBorders>
            <w:shd w:val="clear" w:color="auto" w:fill="auto"/>
            <w:vAlign w:val="center"/>
            <w:hideMark/>
          </w:tcPr>
          <w:p w14:paraId="55A09AC3"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Tray type (wet) scrubber</w:t>
            </w:r>
          </w:p>
        </w:tc>
        <w:tc>
          <w:tcPr>
            <w:tcW w:w="3691" w:type="dxa"/>
            <w:tcBorders>
              <w:top w:val="nil"/>
              <w:left w:val="nil"/>
              <w:bottom w:val="single" w:sz="8" w:space="0" w:color="auto"/>
              <w:right w:val="single" w:sz="8" w:space="0" w:color="auto"/>
            </w:tcBorders>
          </w:tcPr>
          <w:p w14:paraId="0D5E10D2"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Wet Type Technology</w:t>
            </w:r>
          </w:p>
        </w:tc>
      </w:tr>
      <w:tr w:rsidR="009478ED" w:rsidRPr="007F37A0" w14:paraId="6416D2D3" w14:textId="77777777" w:rsidTr="00735871">
        <w:trPr>
          <w:trHeight w:val="54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6A7BB1C7"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VE</w:t>
            </w:r>
          </w:p>
        </w:tc>
        <w:tc>
          <w:tcPr>
            <w:tcW w:w="4651" w:type="dxa"/>
            <w:tcBorders>
              <w:top w:val="nil"/>
              <w:left w:val="nil"/>
              <w:bottom w:val="single" w:sz="8" w:space="0" w:color="auto"/>
              <w:right w:val="single" w:sz="8" w:space="0" w:color="auto"/>
            </w:tcBorders>
            <w:shd w:val="clear" w:color="auto" w:fill="auto"/>
            <w:vAlign w:val="center"/>
            <w:hideMark/>
          </w:tcPr>
          <w:p w14:paraId="266003EC"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Venturi type (wet) scrubber</w:t>
            </w:r>
          </w:p>
        </w:tc>
        <w:tc>
          <w:tcPr>
            <w:tcW w:w="3691" w:type="dxa"/>
            <w:tcBorders>
              <w:top w:val="nil"/>
              <w:left w:val="nil"/>
              <w:bottom w:val="single" w:sz="8" w:space="0" w:color="auto"/>
              <w:right w:val="single" w:sz="8" w:space="0" w:color="auto"/>
            </w:tcBorders>
          </w:tcPr>
          <w:p w14:paraId="4C834C66"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Wet Type Technology</w:t>
            </w:r>
          </w:p>
        </w:tc>
      </w:tr>
      <w:tr w:rsidR="009478ED" w:rsidRPr="007F37A0" w14:paraId="27F412CF" w14:textId="77777777" w:rsidTr="00735871">
        <w:trPr>
          <w:trHeight w:val="54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5AA2C676"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BS</w:t>
            </w:r>
          </w:p>
        </w:tc>
        <w:tc>
          <w:tcPr>
            <w:tcW w:w="4651" w:type="dxa"/>
            <w:tcBorders>
              <w:top w:val="nil"/>
              <w:left w:val="nil"/>
              <w:bottom w:val="single" w:sz="8" w:space="0" w:color="auto"/>
              <w:right w:val="single" w:sz="8" w:space="0" w:color="auto"/>
            </w:tcBorders>
            <w:shd w:val="clear" w:color="auto" w:fill="auto"/>
            <w:vAlign w:val="center"/>
            <w:hideMark/>
          </w:tcPr>
          <w:p w14:paraId="31A48698"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Baghouse (fabric filter), shake and deflate</w:t>
            </w:r>
          </w:p>
        </w:tc>
        <w:tc>
          <w:tcPr>
            <w:tcW w:w="3691" w:type="dxa"/>
            <w:tcBorders>
              <w:top w:val="nil"/>
              <w:left w:val="nil"/>
              <w:bottom w:val="single" w:sz="8" w:space="0" w:color="auto"/>
              <w:right w:val="single" w:sz="8" w:space="0" w:color="auto"/>
            </w:tcBorders>
          </w:tcPr>
          <w:p w14:paraId="0FCC3403"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7A8DD0D0" w14:textId="77777777" w:rsidTr="00735871">
        <w:trPr>
          <w:trHeight w:val="54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5982601F"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BP</w:t>
            </w:r>
          </w:p>
        </w:tc>
        <w:tc>
          <w:tcPr>
            <w:tcW w:w="4651" w:type="dxa"/>
            <w:tcBorders>
              <w:top w:val="nil"/>
              <w:left w:val="nil"/>
              <w:bottom w:val="single" w:sz="8" w:space="0" w:color="auto"/>
              <w:right w:val="single" w:sz="8" w:space="0" w:color="auto"/>
            </w:tcBorders>
            <w:shd w:val="clear" w:color="auto" w:fill="auto"/>
            <w:vAlign w:val="center"/>
            <w:hideMark/>
          </w:tcPr>
          <w:p w14:paraId="79AE65B1"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Baghouse (fabric filter), pulse</w:t>
            </w:r>
          </w:p>
        </w:tc>
        <w:tc>
          <w:tcPr>
            <w:tcW w:w="3691" w:type="dxa"/>
            <w:tcBorders>
              <w:top w:val="nil"/>
              <w:left w:val="nil"/>
              <w:bottom w:val="single" w:sz="8" w:space="0" w:color="auto"/>
              <w:right w:val="single" w:sz="8" w:space="0" w:color="auto"/>
            </w:tcBorders>
          </w:tcPr>
          <w:p w14:paraId="32802EBD"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149201E6" w14:textId="77777777" w:rsidTr="00735871">
        <w:trPr>
          <w:trHeight w:val="54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2D90B8B2"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BR</w:t>
            </w:r>
          </w:p>
        </w:tc>
        <w:tc>
          <w:tcPr>
            <w:tcW w:w="4651" w:type="dxa"/>
            <w:tcBorders>
              <w:top w:val="nil"/>
              <w:left w:val="nil"/>
              <w:bottom w:val="single" w:sz="8" w:space="0" w:color="auto"/>
              <w:right w:val="single" w:sz="8" w:space="0" w:color="auto"/>
            </w:tcBorders>
            <w:shd w:val="clear" w:color="auto" w:fill="auto"/>
            <w:vAlign w:val="center"/>
            <w:hideMark/>
          </w:tcPr>
          <w:p w14:paraId="240A4554"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Baghouse (fabric filter), reverse air</w:t>
            </w:r>
          </w:p>
        </w:tc>
        <w:tc>
          <w:tcPr>
            <w:tcW w:w="3691" w:type="dxa"/>
            <w:tcBorders>
              <w:top w:val="nil"/>
              <w:left w:val="nil"/>
              <w:bottom w:val="single" w:sz="8" w:space="0" w:color="auto"/>
              <w:right w:val="single" w:sz="8" w:space="0" w:color="auto"/>
            </w:tcBorders>
          </w:tcPr>
          <w:p w14:paraId="391277FD"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7767DEF1" w14:textId="77777777" w:rsidTr="00735871">
        <w:trPr>
          <w:trHeight w:val="54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405F97FE"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EC</w:t>
            </w:r>
          </w:p>
        </w:tc>
        <w:tc>
          <w:tcPr>
            <w:tcW w:w="4651" w:type="dxa"/>
            <w:tcBorders>
              <w:top w:val="nil"/>
              <w:left w:val="nil"/>
              <w:bottom w:val="single" w:sz="8" w:space="0" w:color="auto"/>
              <w:right w:val="single" w:sz="8" w:space="0" w:color="auto"/>
            </w:tcBorders>
            <w:shd w:val="clear" w:color="auto" w:fill="auto"/>
            <w:vAlign w:val="center"/>
            <w:hideMark/>
          </w:tcPr>
          <w:p w14:paraId="2E56B108"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Electrostatic precipitator, cold side, with flue gas conditioning</w:t>
            </w:r>
          </w:p>
        </w:tc>
        <w:tc>
          <w:tcPr>
            <w:tcW w:w="3691" w:type="dxa"/>
            <w:tcBorders>
              <w:top w:val="nil"/>
              <w:left w:val="nil"/>
              <w:bottom w:val="single" w:sz="8" w:space="0" w:color="auto"/>
              <w:right w:val="single" w:sz="8" w:space="0" w:color="auto"/>
            </w:tcBorders>
          </w:tcPr>
          <w:p w14:paraId="4ED25DDE"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5CCBAEAF" w14:textId="77777777" w:rsidTr="00735871">
        <w:trPr>
          <w:trHeight w:val="54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66E0C6D3"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EH</w:t>
            </w:r>
          </w:p>
        </w:tc>
        <w:tc>
          <w:tcPr>
            <w:tcW w:w="4651" w:type="dxa"/>
            <w:tcBorders>
              <w:top w:val="nil"/>
              <w:left w:val="nil"/>
              <w:bottom w:val="single" w:sz="8" w:space="0" w:color="auto"/>
              <w:right w:val="single" w:sz="8" w:space="0" w:color="auto"/>
            </w:tcBorders>
            <w:shd w:val="clear" w:color="auto" w:fill="auto"/>
            <w:vAlign w:val="center"/>
            <w:hideMark/>
          </w:tcPr>
          <w:p w14:paraId="58386F7B"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Electrostatic precipitator, hot side, with flue gas conditioning</w:t>
            </w:r>
          </w:p>
        </w:tc>
        <w:tc>
          <w:tcPr>
            <w:tcW w:w="3691" w:type="dxa"/>
            <w:tcBorders>
              <w:top w:val="nil"/>
              <w:left w:val="nil"/>
              <w:bottom w:val="single" w:sz="8" w:space="0" w:color="auto"/>
              <w:right w:val="single" w:sz="8" w:space="0" w:color="auto"/>
            </w:tcBorders>
          </w:tcPr>
          <w:p w14:paraId="0819B1EE"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75CB7D15" w14:textId="77777777" w:rsidTr="00735871">
        <w:trPr>
          <w:trHeight w:val="54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0CF94466"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EK</w:t>
            </w:r>
          </w:p>
        </w:tc>
        <w:tc>
          <w:tcPr>
            <w:tcW w:w="4651" w:type="dxa"/>
            <w:tcBorders>
              <w:top w:val="nil"/>
              <w:left w:val="nil"/>
              <w:bottom w:val="single" w:sz="8" w:space="0" w:color="auto"/>
              <w:right w:val="single" w:sz="8" w:space="0" w:color="auto"/>
            </w:tcBorders>
            <w:shd w:val="clear" w:color="auto" w:fill="auto"/>
            <w:vAlign w:val="center"/>
            <w:hideMark/>
          </w:tcPr>
          <w:p w14:paraId="51C1A1D8"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Electrostatic precipitator, cold side, without flue gas conditioning</w:t>
            </w:r>
          </w:p>
        </w:tc>
        <w:tc>
          <w:tcPr>
            <w:tcW w:w="3691" w:type="dxa"/>
            <w:tcBorders>
              <w:top w:val="nil"/>
              <w:left w:val="nil"/>
              <w:bottom w:val="single" w:sz="8" w:space="0" w:color="auto"/>
              <w:right w:val="single" w:sz="8" w:space="0" w:color="auto"/>
            </w:tcBorders>
          </w:tcPr>
          <w:p w14:paraId="0C6ABC6E"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61F0A740" w14:textId="77777777" w:rsidTr="00735871">
        <w:trPr>
          <w:trHeight w:val="540"/>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1A8A8684"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EW</w:t>
            </w:r>
          </w:p>
        </w:tc>
        <w:tc>
          <w:tcPr>
            <w:tcW w:w="4651" w:type="dxa"/>
            <w:tcBorders>
              <w:top w:val="nil"/>
              <w:left w:val="nil"/>
              <w:bottom w:val="single" w:sz="8" w:space="0" w:color="auto"/>
              <w:right w:val="single" w:sz="8" w:space="0" w:color="auto"/>
            </w:tcBorders>
            <w:shd w:val="clear" w:color="auto" w:fill="auto"/>
            <w:vAlign w:val="center"/>
            <w:hideMark/>
          </w:tcPr>
          <w:p w14:paraId="4F574168"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Electrostatic precipitator, hot side, without flue gas conditioning</w:t>
            </w:r>
          </w:p>
        </w:tc>
        <w:tc>
          <w:tcPr>
            <w:tcW w:w="3691" w:type="dxa"/>
            <w:tcBorders>
              <w:top w:val="nil"/>
              <w:left w:val="nil"/>
              <w:bottom w:val="single" w:sz="8" w:space="0" w:color="auto"/>
              <w:right w:val="single" w:sz="8" w:space="0" w:color="auto"/>
            </w:tcBorders>
          </w:tcPr>
          <w:p w14:paraId="6175093F"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4515A590" w14:textId="77777777" w:rsidTr="00735871">
        <w:trPr>
          <w:trHeight w:val="276"/>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684D3BA2"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MC</w:t>
            </w:r>
          </w:p>
        </w:tc>
        <w:tc>
          <w:tcPr>
            <w:tcW w:w="4651" w:type="dxa"/>
            <w:tcBorders>
              <w:top w:val="nil"/>
              <w:left w:val="nil"/>
              <w:bottom w:val="single" w:sz="8" w:space="0" w:color="auto"/>
              <w:right w:val="single" w:sz="8" w:space="0" w:color="auto"/>
            </w:tcBorders>
            <w:shd w:val="clear" w:color="auto" w:fill="auto"/>
            <w:vAlign w:val="center"/>
            <w:hideMark/>
          </w:tcPr>
          <w:p w14:paraId="75F59994"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Multiple cyclone</w:t>
            </w:r>
          </w:p>
        </w:tc>
        <w:tc>
          <w:tcPr>
            <w:tcW w:w="3691" w:type="dxa"/>
            <w:tcBorders>
              <w:top w:val="nil"/>
              <w:left w:val="nil"/>
              <w:bottom w:val="single" w:sz="8" w:space="0" w:color="auto"/>
              <w:right w:val="single" w:sz="8" w:space="0" w:color="auto"/>
            </w:tcBorders>
          </w:tcPr>
          <w:p w14:paraId="6A11B9E6"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6C77A3A8" w14:textId="77777777" w:rsidTr="00735871">
        <w:trPr>
          <w:trHeight w:val="276"/>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6A7D6C90"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SC</w:t>
            </w:r>
          </w:p>
        </w:tc>
        <w:tc>
          <w:tcPr>
            <w:tcW w:w="4651" w:type="dxa"/>
            <w:tcBorders>
              <w:top w:val="nil"/>
              <w:left w:val="nil"/>
              <w:bottom w:val="single" w:sz="8" w:space="0" w:color="auto"/>
              <w:right w:val="single" w:sz="8" w:space="0" w:color="auto"/>
            </w:tcBorders>
            <w:shd w:val="clear" w:color="auto" w:fill="auto"/>
            <w:vAlign w:val="center"/>
            <w:hideMark/>
          </w:tcPr>
          <w:p w14:paraId="68BAB5B0"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Single cyclone</w:t>
            </w:r>
          </w:p>
        </w:tc>
        <w:tc>
          <w:tcPr>
            <w:tcW w:w="3691" w:type="dxa"/>
            <w:tcBorders>
              <w:top w:val="nil"/>
              <w:left w:val="nil"/>
              <w:bottom w:val="single" w:sz="8" w:space="0" w:color="auto"/>
              <w:right w:val="single" w:sz="8" w:space="0" w:color="auto"/>
            </w:tcBorders>
          </w:tcPr>
          <w:p w14:paraId="5DD917EC"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7198C19F" w14:textId="77777777" w:rsidTr="00735871">
        <w:trPr>
          <w:trHeight w:val="276"/>
          <w:jc w:val="center"/>
        </w:trPr>
        <w:tc>
          <w:tcPr>
            <w:tcW w:w="1508" w:type="dxa"/>
            <w:tcBorders>
              <w:top w:val="nil"/>
              <w:left w:val="single" w:sz="8" w:space="0" w:color="auto"/>
              <w:bottom w:val="single" w:sz="8" w:space="0" w:color="auto"/>
              <w:right w:val="single" w:sz="8" w:space="0" w:color="auto"/>
            </w:tcBorders>
            <w:shd w:val="clear" w:color="auto" w:fill="auto"/>
            <w:vAlign w:val="center"/>
          </w:tcPr>
          <w:p w14:paraId="44CE4597"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ACI</w:t>
            </w:r>
          </w:p>
        </w:tc>
        <w:tc>
          <w:tcPr>
            <w:tcW w:w="4651" w:type="dxa"/>
            <w:tcBorders>
              <w:top w:val="nil"/>
              <w:left w:val="nil"/>
              <w:bottom w:val="single" w:sz="8" w:space="0" w:color="auto"/>
              <w:right w:val="single" w:sz="8" w:space="0" w:color="auto"/>
            </w:tcBorders>
            <w:shd w:val="clear" w:color="auto" w:fill="auto"/>
            <w:vAlign w:val="center"/>
          </w:tcPr>
          <w:p w14:paraId="38507883"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Activated carbon injection system</w:t>
            </w:r>
          </w:p>
        </w:tc>
        <w:tc>
          <w:tcPr>
            <w:tcW w:w="3691" w:type="dxa"/>
            <w:tcBorders>
              <w:top w:val="nil"/>
              <w:left w:val="nil"/>
              <w:bottom w:val="single" w:sz="8" w:space="0" w:color="auto"/>
              <w:right w:val="single" w:sz="8" w:space="0" w:color="auto"/>
            </w:tcBorders>
          </w:tcPr>
          <w:p w14:paraId="022C1E73"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Particulate Control Technology</w:t>
            </w:r>
          </w:p>
        </w:tc>
      </w:tr>
      <w:tr w:rsidR="009478ED" w:rsidRPr="007F37A0" w14:paraId="20A28B6A" w14:textId="77777777" w:rsidTr="00735871">
        <w:trPr>
          <w:trHeight w:val="276"/>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0C48D22D"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CD</w:t>
            </w:r>
          </w:p>
        </w:tc>
        <w:tc>
          <w:tcPr>
            <w:tcW w:w="4651" w:type="dxa"/>
            <w:tcBorders>
              <w:top w:val="nil"/>
              <w:left w:val="nil"/>
              <w:bottom w:val="single" w:sz="8" w:space="0" w:color="auto"/>
              <w:right w:val="single" w:sz="8" w:space="0" w:color="auto"/>
            </w:tcBorders>
            <w:shd w:val="clear" w:color="auto" w:fill="auto"/>
            <w:vAlign w:val="center"/>
            <w:hideMark/>
          </w:tcPr>
          <w:p w14:paraId="60B3B1A2"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Circulating dry scrubber</w:t>
            </w:r>
          </w:p>
        </w:tc>
        <w:tc>
          <w:tcPr>
            <w:tcW w:w="3691" w:type="dxa"/>
            <w:tcBorders>
              <w:top w:val="nil"/>
              <w:left w:val="nil"/>
              <w:bottom w:val="single" w:sz="8" w:space="0" w:color="auto"/>
              <w:right w:val="single" w:sz="8" w:space="0" w:color="auto"/>
            </w:tcBorders>
          </w:tcPr>
          <w:p w14:paraId="68B270E9"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Dry Type Technology</w:t>
            </w:r>
          </w:p>
        </w:tc>
      </w:tr>
      <w:tr w:rsidR="009478ED" w:rsidRPr="007F37A0" w14:paraId="7B94BAD7" w14:textId="77777777" w:rsidTr="00735871">
        <w:trPr>
          <w:trHeight w:val="276"/>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16CB2326"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SD</w:t>
            </w:r>
          </w:p>
        </w:tc>
        <w:tc>
          <w:tcPr>
            <w:tcW w:w="4651" w:type="dxa"/>
            <w:tcBorders>
              <w:top w:val="nil"/>
              <w:left w:val="nil"/>
              <w:bottom w:val="single" w:sz="8" w:space="0" w:color="auto"/>
              <w:right w:val="single" w:sz="8" w:space="0" w:color="auto"/>
            </w:tcBorders>
            <w:shd w:val="clear" w:color="auto" w:fill="auto"/>
            <w:vAlign w:val="center"/>
            <w:hideMark/>
          </w:tcPr>
          <w:p w14:paraId="0A1020C8"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Spray dryer type / dry FGD / semi-dry FGD</w:t>
            </w:r>
          </w:p>
        </w:tc>
        <w:tc>
          <w:tcPr>
            <w:tcW w:w="3691" w:type="dxa"/>
            <w:tcBorders>
              <w:top w:val="nil"/>
              <w:left w:val="nil"/>
              <w:bottom w:val="single" w:sz="8" w:space="0" w:color="auto"/>
              <w:right w:val="single" w:sz="8" w:space="0" w:color="auto"/>
            </w:tcBorders>
          </w:tcPr>
          <w:p w14:paraId="27C64012"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Dry Type Technology</w:t>
            </w:r>
          </w:p>
        </w:tc>
      </w:tr>
      <w:tr w:rsidR="009478ED" w:rsidRPr="007F37A0" w14:paraId="28A5548C" w14:textId="77777777" w:rsidTr="00735871">
        <w:trPr>
          <w:trHeight w:val="276"/>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13D0D52D"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DSI</w:t>
            </w:r>
          </w:p>
        </w:tc>
        <w:tc>
          <w:tcPr>
            <w:tcW w:w="4651" w:type="dxa"/>
            <w:tcBorders>
              <w:top w:val="nil"/>
              <w:left w:val="nil"/>
              <w:bottom w:val="single" w:sz="8" w:space="0" w:color="auto"/>
              <w:right w:val="single" w:sz="8" w:space="0" w:color="auto"/>
            </w:tcBorders>
            <w:shd w:val="clear" w:color="auto" w:fill="auto"/>
            <w:vAlign w:val="center"/>
            <w:hideMark/>
          </w:tcPr>
          <w:p w14:paraId="4D8ED79E"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Dry sorbent (powder) injection type (DSI)</w:t>
            </w:r>
          </w:p>
        </w:tc>
        <w:tc>
          <w:tcPr>
            <w:tcW w:w="3691" w:type="dxa"/>
            <w:tcBorders>
              <w:top w:val="nil"/>
              <w:left w:val="nil"/>
              <w:bottom w:val="single" w:sz="8" w:space="0" w:color="auto"/>
              <w:right w:val="single" w:sz="8" w:space="0" w:color="auto"/>
            </w:tcBorders>
          </w:tcPr>
          <w:p w14:paraId="7BF2B20B"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Dry Type Technology</w:t>
            </w:r>
          </w:p>
        </w:tc>
      </w:tr>
      <w:tr w:rsidR="009478ED" w:rsidRPr="007F37A0" w14:paraId="3E2C68F1" w14:textId="77777777" w:rsidTr="00735871">
        <w:trPr>
          <w:trHeight w:val="276"/>
          <w:jc w:val="center"/>
        </w:trPr>
        <w:tc>
          <w:tcPr>
            <w:tcW w:w="1508" w:type="dxa"/>
            <w:tcBorders>
              <w:top w:val="nil"/>
              <w:left w:val="single" w:sz="8" w:space="0" w:color="auto"/>
              <w:bottom w:val="single" w:sz="8" w:space="0" w:color="auto"/>
              <w:right w:val="single" w:sz="8" w:space="0" w:color="auto"/>
            </w:tcBorders>
            <w:shd w:val="clear" w:color="auto" w:fill="auto"/>
            <w:vAlign w:val="center"/>
          </w:tcPr>
          <w:p w14:paraId="69A93EC5"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LIJ</w:t>
            </w:r>
          </w:p>
        </w:tc>
        <w:tc>
          <w:tcPr>
            <w:tcW w:w="4651" w:type="dxa"/>
            <w:tcBorders>
              <w:top w:val="nil"/>
              <w:left w:val="nil"/>
              <w:bottom w:val="single" w:sz="8" w:space="0" w:color="auto"/>
              <w:right w:val="single" w:sz="8" w:space="0" w:color="auto"/>
            </w:tcBorders>
            <w:shd w:val="clear" w:color="auto" w:fill="auto"/>
            <w:vAlign w:val="center"/>
          </w:tcPr>
          <w:p w14:paraId="1CDA0973"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Lime injection</w:t>
            </w:r>
          </w:p>
        </w:tc>
        <w:tc>
          <w:tcPr>
            <w:tcW w:w="3691" w:type="dxa"/>
            <w:tcBorders>
              <w:top w:val="nil"/>
              <w:left w:val="nil"/>
              <w:bottom w:val="single" w:sz="8" w:space="0" w:color="auto"/>
              <w:right w:val="single" w:sz="8" w:space="0" w:color="auto"/>
            </w:tcBorders>
          </w:tcPr>
          <w:p w14:paraId="73A93A3F"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Dry Type Technology</w:t>
            </w:r>
          </w:p>
        </w:tc>
      </w:tr>
      <w:tr w:rsidR="009478ED" w:rsidRPr="007F37A0" w14:paraId="5F1C9A2D" w14:textId="77777777" w:rsidTr="00735871">
        <w:trPr>
          <w:trHeight w:val="276"/>
          <w:jc w:val="center"/>
        </w:trPr>
        <w:tc>
          <w:tcPr>
            <w:tcW w:w="1508" w:type="dxa"/>
            <w:tcBorders>
              <w:top w:val="nil"/>
              <w:left w:val="single" w:sz="8" w:space="0" w:color="auto"/>
              <w:bottom w:val="single" w:sz="8" w:space="0" w:color="auto"/>
              <w:right w:val="single" w:sz="8" w:space="0" w:color="auto"/>
            </w:tcBorders>
            <w:shd w:val="clear" w:color="auto" w:fill="auto"/>
            <w:vAlign w:val="center"/>
            <w:hideMark/>
          </w:tcPr>
          <w:p w14:paraId="48C2A850"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SN</w:t>
            </w:r>
          </w:p>
        </w:tc>
        <w:tc>
          <w:tcPr>
            <w:tcW w:w="4651" w:type="dxa"/>
            <w:tcBorders>
              <w:top w:val="nil"/>
              <w:left w:val="nil"/>
              <w:bottom w:val="single" w:sz="8" w:space="0" w:color="auto"/>
              <w:right w:val="single" w:sz="8" w:space="0" w:color="auto"/>
            </w:tcBorders>
            <w:shd w:val="clear" w:color="auto" w:fill="auto"/>
            <w:vAlign w:val="center"/>
            <w:hideMark/>
          </w:tcPr>
          <w:p w14:paraId="6EBFD8D4"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Selective noncatalytic reduction</w:t>
            </w:r>
          </w:p>
        </w:tc>
        <w:tc>
          <w:tcPr>
            <w:tcW w:w="3691" w:type="dxa"/>
            <w:tcBorders>
              <w:top w:val="nil"/>
              <w:left w:val="nil"/>
              <w:bottom w:val="single" w:sz="8" w:space="0" w:color="auto"/>
              <w:right w:val="single" w:sz="8" w:space="0" w:color="auto"/>
            </w:tcBorders>
          </w:tcPr>
          <w:p w14:paraId="50EE4011"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Selective Noncatalytic Reduction Technology</w:t>
            </w:r>
          </w:p>
        </w:tc>
      </w:tr>
      <w:tr w:rsidR="009478ED" w:rsidRPr="007F37A0" w14:paraId="58BE87A9" w14:textId="77777777" w:rsidTr="00735871">
        <w:trPr>
          <w:trHeight w:val="276"/>
          <w:jc w:val="center"/>
        </w:trPr>
        <w:tc>
          <w:tcPr>
            <w:tcW w:w="1508" w:type="dxa"/>
            <w:tcBorders>
              <w:top w:val="nil"/>
              <w:left w:val="single" w:sz="8" w:space="0" w:color="auto"/>
              <w:bottom w:val="single" w:sz="4" w:space="0" w:color="auto"/>
              <w:right w:val="single" w:sz="8" w:space="0" w:color="auto"/>
            </w:tcBorders>
            <w:shd w:val="clear" w:color="auto" w:fill="auto"/>
            <w:vAlign w:val="center"/>
            <w:hideMark/>
          </w:tcPr>
          <w:p w14:paraId="67538D8E"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SR</w:t>
            </w:r>
          </w:p>
        </w:tc>
        <w:tc>
          <w:tcPr>
            <w:tcW w:w="4651" w:type="dxa"/>
            <w:tcBorders>
              <w:top w:val="nil"/>
              <w:left w:val="nil"/>
              <w:bottom w:val="single" w:sz="4" w:space="0" w:color="auto"/>
              <w:right w:val="single" w:sz="8" w:space="0" w:color="auto"/>
            </w:tcBorders>
            <w:shd w:val="clear" w:color="auto" w:fill="auto"/>
            <w:vAlign w:val="center"/>
            <w:hideMark/>
          </w:tcPr>
          <w:p w14:paraId="0B6A7F4B"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Selective catalytic reduction</w:t>
            </w:r>
          </w:p>
        </w:tc>
        <w:tc>
          <w:tcPr>
            <w:tcW w:w="3691" w:type="dxa"/>
            <w:tcBorders>
              <w:top w:val="nil"/>
              <w:left w:val="nil"/>
              <w:bottom w:val="single" w:sz="4" w:space="0" w:color="auto"/>
              <w:right w:val="single" w:sz="8" w:space="0" w:color="auto"/>
            </w:tcBorders>
          </w:tcPr>
          <w:p w14:paraId="0FA219A5"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Selective Catalytic Reduction Technology</w:t>
            </w:r>
          </w:p>
        </w:tc>
      </w:tr>
      <w:tr w:rsidR="009478ED" w:rsidRPr="007F37A0" w14:paraId="1530B8E3" w14:textId="77777777" w:rsidTr="00735871">
        <w:trPr>
          <w:trHeight w:val="276"/>
          <w:jc w:val="center"/>
        </w:trPr>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74B7E"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OT</w:t>
            </w:r>
          </w:p>
        </w:tc>
        <w:tc>
          <w:tcPr>
            <w:tcW w:w="4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7E63C"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 xml:space="preserve">Other equipment </w:t>
            </w:r>
          </w:p>
        </w:tc>
        <w:tc>
          <w:tcPr>
            <w:tcW w:w="3691" w:type="dxa"/>
            <w:tcBorders>
              <w:top w:val="single" w:sz="4" w:space="0" w:color="auto"/>
              <w:left w:val="single" w:sz="4" w:space="0" w:color="auto"/>
              <w:bottom w:val="single" w:sz="4" w:space="0" w:color="auto"/>
              <w:right w:val="single" w:sz="4" w:space="0" w:color="auto"/>
            </w:tcBorders>
          </w:tcPr>
          <w:p w14:paraId="50D84DE2" w14:textId="77777777" w:rsidR="009478ED" w:rsidRPr="007F37A0" w:rsidRDefault="009478ED" w:rsidP="00735871">
            <w:pPr>
              <w:jc w:val="center"/>
              <w:rPr>
                <w:rFonts w:ascii="Times New Roman" w:hAnsi="Times New Roman" w:cs="Times New Roman"/>
                <w:sz w:val="20"/>
                <w:szCs w:val="20"/>
              </w:rPr>
            </w:pPr>
            <w:r w:rsidRPr="007F37A0">
              <w:rPr>
                <w:rFonts w:ascii="Times New Roman" w:hAnsi="Times New Roman" w:cs="Times New Roman"/>
                <w:sz w:val="20"/>
                <w:szCs w:val="20"/>
              </w:rPr>
              <w:t>Other Technology</w:t>
            </w:r>
          </w:p>
        </w:tc>
      </w:tr>
      <w:tr w:rsidR="009478ED" w:rsidRPr="007F37A0" w14:paraId="4DA83F82" w14:textId="77777777" w:rsidTr="00735871">
        <w:trPr>
          <w:trHeight w:val="276"/>
          <w:jc w:val="center"/>
        </w:trPr>
        <w:tc>
          <w:tcPr>
            <w:tcW w:w="98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9319185" w14:textId="77777777" w:rsidR="009478ED" w:rsidRPr="007F37A0" w:rsidRDefault="009478ED" w:rsidP="00735871">
            <w:pPr>
              <w:rPr>
                <w:rFonts w:ascii="Times New Roman" w:hAnsi="Times New Roman" w:cs="Times New Roman"/>
                <w:sz w:val="20"/>
                <w:szCs w:val="20"/>
              </w:rPr>
            </w:pPr>
            <w:r w:rsidRPr="007F37A0">
              <w:rPr>
                <w:rFonts w:ascii="Times New Roman" w:hAnsi="Times New Roman" w:cs="Times New Roman"/>
                <w:sz w:val="20"/>
                <w:szCs w:val="20"/>
              </w:rPr>
              <w:t>Notes: the first two columns give the EIA reported code and description for each technology present in the data. The last column gives the aggregated group used in the analysis. For example, when I refer to wet type technology this includes 6 different types of wet scrubber technologies.</w:t>
            </w:r>
          </w:p>
        </w:tc>
      </w:tr>
    </w:tbl>
    <w:p w14:paraId="4A992DCD" w14:textId="50D08A49" w:rsidR="009478ED" w:rsidRPr="007F37A0" w:rsidRDefault="009478ED" w:rsidP="009478ED">
      <w:pPr>
        <w:rPr>
          <w:rFonts w:ascii="Times New Roman" w:hAnsi="Times New Roman" w:cs="Times New Roman"/>
        </w:rPr>
      </w:pPr>
      <w:bookmarkStart w:id="158" w:name="_Ref164526631"/>
      <w:bookmarkStart w:id="159" w:name="_Toc164862554"/>
      <w:r w:rsidRPr="007F37A0">
        <w:rPr>
          <w:rFonts w:ascii="Times New Roman" w:hAnsi="Times New Roman" w:cs="Times New Roman"/>
        </w:rPr>
        <w:lastRenderedPageBreak/>
        <w:t xml:space="preserve">Table </w:t>
      </w:r>
      <w:r w:rsidRPr="007F37A0">
        <w:rPr>
          <w:rFonts w:ascii="Times New Roman" w:hAnsi="Times New Roman" w:cs="Times New Roman"/>
          <w:b/>
          <w:bCs/>
        </w:rPr>
        <w:fldChar w:fldCharType="begin"/>
      </w:r>
      <w:r w:rsidRPr="007F37A0">
        <w:rPr>
          <w:rFonts w:ascii="Times New Roman" w:hAnsi="Times New Roman" w:cs="Times New Roman"/>
        </w:rPr>
        <w:instrText xml:space="preserve"> SEQ Table \* ARABIC </w:instrText>
      </w:r>
      <w:r w:rsidRPr="007F37A0">
        <w:rPr>
          <w:rFonts w:ascii="Times New Roman" w:hAnsi="Times New Roman" w:cs="Times New Roman"/>
          <w:b/>
          <w:bCs/>
        </w:rPr>
        <w:fldChar w:fldCharType="separate"/>
      </w:r>
      <w:r w:rsidR="00142A7E">
        <w:rPr>
          <w:rFonts w:ascii="Times New Roman" w:hAnsi="Times New Roman" w:cs="Times New Roman"/>
          <w:noProof/>
        </w:rPr>
        <w:t>19</w:t>
      </w:r>
      <w:r w:rsidRPr="007F37A0">
        <w:rPr>
          <w:rFonts w:ascii="Times New Roman" w:hAnsi="Times New Roman" w:cs="Times New Roman"/>
          <w:b/>
          <w:bCs/>
        </w:rPr>
        <w:fldChar w:fldCharType="end"/>
      </w:r>
      <w:bookmarkEnd w:id="158"/>
      <w:r w:rsidRPr="007F37A0">
        <w:rPr>
          <w:rFonts w:ascii="Times New Roman" w:hAnsi="Times New Roman" w:cs="Times New Roman"/>
        </w:rPr>
        <w:t>: Fuel Switching Matrix</w:t>
      </w:r>
      <w:bookmarkEnd w:id="159"/>
    </w:p>
    <w:tbl>
      <w:tblPr>
        <w:tblStyle w:val="TableGrid"/>
        <w:tblW w:w="0" w:type="auto"/>
        <w:tblLook w:val="04A0" w:firstRow="1" w:lastRow="0" w:firstColumn="1" w:lastColumn="0" w:noHBand="0" w:noVBand="1"/>
      </w:tblPr>
      <w:tblGrid>
        <w:gridCol w:w="1287"/>
        <w:gridCol w:w="1287"/>
        <w:gridCol w:w="926"/>
        <w:gridCol w:w="1287"/>
        <w:gridCol w:w="986"/>
        <w:gridCol w:w="986"/>
      </w:tblGrid>
      <w:tr w:rsidR="009478ED" w:rsidRPr="007F37A0" w14:paraId="20358A90" w14:textId="77777777" w:rsidTr="00735871">
        <w:tc>
          <w:tcPr>
            <w:tcW w:w="1287" w:type="dxa"/>
          </w:tcPr>
          <w:p w14:paraId="717EE790" w14:textId="77777777" w:rsidR="009478ED" w:rsidRPr="007F37A0" w:rsidRDefault="009478ED" w:rsidP="00735871">
            <w:pPr>
              <w:rPr>
                <w:rFonts w:ascii="Times New Roman" w:hAnsi="Times New Roman" w:cs="Times New Roman"/>
              </w:rPr>
            </w:pPr>
          </w:p>
        </w:tc>
        <w:tc>
          <w:tcPr>
            <w:tcW w:w="1287" w:type="dxa"/>
          </w:tcPr>
          <w:p w14:paraId="2C867434" w14:textId="77777777" w:rsidR="009478ED" w:rsidRPr="007F37A0" w:rsidRDefault="009478ED" w:rsidP="00735871">
            <w:pPr>
              <w:rPr>
                <w:rFonts w:ascii="Times New Roman" w:hAnsi="Times New Roman" w:cs="Times New Roman"/>
              </w:rPr>
            </w:pPr>
          </w:p>
        </w:tc>
        <w:tc>
          <w:tcPr>
            <w:tcW w:w="3199" w:type="dxa"/>
            <w:gridSpan w:val="3"/>
          </w:tcPr>
          <w:p w14:paraId="3D24B02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To Fuel Type</w:t>
            </w:r>
          </w:p>
        </w:tc>
        <w:tc>
          <w:tcPr>
            <w:tcW w:w="986" w:type="dxa"/>
          </w:tcPr>
          <w:p w14:paraId="4386AA06" w14:textId="77777777" w:rsidR="009478ED" w:rsidRPr="007F37A0" w:rsidRDefault="009478ED" w:rsidP="00735871">
            <w:pPr>
              <w:rPr>
                <w:rFonts w:ascii="Times New Roman" w:hAnsi="Times New Roman" w:cs="Times New Roman"/>
              </w:rPr>
            </w:pPr>
          </w:p>
        </w:tc>
      </w:tr>
      <w:tr w:rsidR="009478ED" w:rsidRPr="007F37A0" w14:paraId="3DEE640D" w14:textId="77777777" w:rsidTr="00735871">
        <w:tc>
          <w:tcPr>
            <w:tcW w:w="1287" w:type="dxa"/>
          </w:tcPr>
          <w:p w14:paraId="41117CBF" w14:textId="77777777" w:rsidR="009478ED" w:rsidRPr="007F37A0" w:rsidRDefault="009478ED" w:rsidP="00735871">
            <w:pPr>
              <w:rPr>
                <w:rFonts w:ascii="Times New Roman" w:hAnsi="Times New Roman" w:cs="Times New Roman"/>
              </w:rPr>
            </w:pPr>
          </w:p>
        </w:tc>
        <w:tc>
          <w:tcPr>
            <w:tcW w:w="1287" w:type="dxa"/>
          </w:tcPr>
          <w:p w14:paraId="56EB7B56" w14:textId="77777777" w:rsidR="009478ED" w:rsidRPr="007F37A0" w:rsidRDefault="009478ED" w:rsidP="00735871">
            <w:pPr>
              <w:rPr>
                <w:rFonts w:ascii="Times New Roman" w:hAnsi="Times New Roman" w:cs="Times New Roman"/>
              </w:rPr>
            </w:pPr>
          </w:p>
        </w:tc>
        <w:tc>
          <w:tcPr>
            <w:tcW w:w="926" w:type="dxa"/>
          </w:tcPr>
          <w:p w14:paraId="22E764D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Coal</w:t>
            </w:r>
          </w:p>
        </w:tc>
        <w:tc>
          <w:tcPr>
            <w:tcW w:w="1287" w:type="dxa"/>
          </w:tcPr>
          <w:p w14:paraId="22135FD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Petroleum</w:t>
            </w:r>
          </w:p>
        </w:tc>
        <w:tc>
          <w:tcPr>
            <w:tcW w:w="986" w:type="dxa"/>
          </w:tcPr>
          <w:p w14:paraId="5C50CAF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Natural Gas</w:t>
            </w:r>
          </w:p>
        </w:tc>
        <w:tc>
          <w:tcPr>
            <w:tcW w:w="986" w:type="dxa"/>
          </w:tcPr>
          <w:p w14:paraId="22875C5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Total</w:t>
            </w:r>
          </w:p>
        </w:tc>
      </w:tr>
      <w:tr w:rsidR="009478ED" w:rsidRPr="007F37A0" w14:paraId="15D7A19D" w14:textId="77777777" w:rsidTr="00735871">
        <w:tc>
          <w:tcPr>
            <w:tcW w:w="1287" w:type="dxa"/>
            <w:vMerge w:val="restart"/>
          </w:tcPr>
          <w:p w14:paraId="7D81168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From Fuel Type</w:t>
            </w:r>
          </w:p>
        </w:tc>
        <w:tc>
          <w:tcPr>
            <w:tcW w:w="1287" w:type="dxa"/>
          </w:tcPr>
          <w:p w14:paraId="5C49D75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Coal</w:t>
            </w:r>
          </w:p>
        </w:tc>
        <w:tc>
          <w:tcPr>
            <w:tcW w:w="926" w:type="dxa"/>
          </w:tcPr>
          <w:p w14:paraId="17D6009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12,450</w:t>
            </w:r>
          </w:p>
        </w:tc>
        <w:tc>
          <w:tcPr>
            <w:tcW w:w="1287" w:type="dxa"/>
          </w:tcPr>
          <w:p w14:paraId="07E1633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629</w:t>
            </w:r>
          </w:p>
        </w:tc>
        <w:tc>
          <w:tcPr>
            <w:tcW w:w="986" w:type="dxa"/>
          </w:tcPr>
          <w:p w14:paraId="6CA918D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428</w:t>
            </w:r>
          </w:p>
        </w:tc>
        <w:tc>
          <w:tcPr>
            <w:tcW w:w="986" w:type="dxa"/>
          </w:tcPr>
          <w:p w14:paraId="2E29D4D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13,507</w:t>
            </w:r>
          </w:p>
        </w:tc>
      </w:tr>
      <w:tr w:rsidR="009478ED" w:rsidRPr="007F37A0" w14:paraId="497DC0EC" w14:textId="77777777" w:rsidTr="00735871">
        <w:tc>
          <w:tcPr>
            <w:tcW w:w="1287" w:type="dxa"/>
            <w:vMerge/>
          </w:tcPr>
          <w:p w14:paraId="0C5FC587" w14:textId="77777777" w:rsidR="009478ED" w:rsidRPr="007F37A0" w:rsidRDefault="009478ED" w:rsidP="00735871">
            <w:pPr>
              <w:rPr>
                <w:rFonts w:ascii="Times New Roman" w:hAnsi="Times New Roman" w:cs="Times New Roman"/>
              </w:rPr>
            </w:pPr>
          </w:p>
        </w:tc>
        <w:tc>
          <w:tcPr>
            <w:tcW w:w="1287" w:type="dxa"/>
          </w:tcPr>
          <w:p w14:paraId="5129761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Petroleum</w:t>
            </w:r>
          </w:p>
        </w:tc>
        <w:tc>
          <w:tcPr>
            <w:tcW w:w="926" w:type="dxa"/>
          </w:tcPr>
          <w:p w14:paraId="3EA3B34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551</w:t>
            </w:r>
          </w:p>
        </w:tc>
        <w:tc>
          <w:tcPr>
            <w:tcW w:w="1287" w:type="dxa"/>
          </w:tcPr>
          <w:p w14:paraId="2921BF1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843</w:t>
            </w:r>
          </w:p>
        </w:tc>
        <w:tc>
          <w:tcPr>
            <w:tcW w:w="986" w:type="dxa"/>
          </w:tcPr>
          <w:p w14:paraId="0EAC27A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740</w:t>
            </w:r>
          </w:p>
        </w:tc>
        <w:tc>
          <w:tcPr>
            <w:tcW w:w="986" w:type="dxa"/>
          </w:tcPr>
          <w:p w14:paraId="7D79ECC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2,134</w:t>
            </w:r>
          </w:p>
        </w:tc>
      </w:tr>
      <w:tr w:rsidR="009478ED" w:rsidRPr="007F37A0" w14:paraId="09C010E8" w14:textId="77777777" w:rsidTr="00735871">
        <w:tc>
          <w:tcPr>
            <w:tcW w:w="1287" w:type="dxa"/>
            <w:vMerge/>
          </w:tcPr>
          <w:p w14:paraId="785EF8C5" w14:textId="77777777" w:rsidR="009478ED" w:rsidRPr="007F37A0" w:rsidRDefault="009478ED" w:rsidP="00735871">
            <w:pPr>
              <w:rPr>
                <w:rFonts w:ascii="Times New Roman" w:hAnsi="Times New Roman" w:cs="Times New Roman"/>
              </w:rPr>
            </w:pPr>
          </w:p>
        </w:tc>
        <w:tc>
          <w:tcPr>
            <w:tcW w:w="1287" w:type="dxa"/>
          </w:tcPr>
          <w:p w14:paraId="6E7A920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Natural Gas</w:t>
            </w:r>
          </w:p>
        </w:tc>
        <w:tc>
          <w:tcPr>
            <w:tcW w:w="926" w:type="dxa"/>
          </w:tcPr>
          <w:p w14:paraId="6F4014B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332</w:t>
            </w:r>
          </w:p>
        </w:tc>
        <w:tc>
          <w:tcPr>
            <w:tcW w:w="1287" w:type="dxa"/>
          </w:tcPr>
          <w:p w14:paraId="0866AC8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726</w:t>
            </w:r>
          </w:p>
        </w:tc>
        <w:tc>
          <w:tcPr>
            <w:tcW w:w="986" w:type="dxa"/>
          </w:tcPr>
          <w:p w14:paraId="65F5BC5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1,005</w:t>
            </w:r>
          </w:p>
        </w:tc>
        <w:tc>
          <w:tcPr>
            <w:tcW w:w="986" w:type="dxa"/>
          </w:tcPr>
          <w:p w14:paraId="1F4734C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2,063</w:t>
            </w:r>
          </w:p>
        </w:tc>
      </w:tr>
      <w:tr w:rsidR="009478ED" w:rsidRPr="007F37A0" w14:paraId="2D1C9110" w14:textId="77777777" w:rsidTr="00735871">
        <w:tc>
          <w:tcPr>
            <w:tcW w:w="1287" w:type="dxa"/>
          </w:tcPr>
          <w:p w14:paraId="2855559F" w14:textId="77777777" w:rsidR="009478ED" w:rsidRPr="007F37A0" w:rsidRDefault="009478ED" w:rsidP="00735871">
            <w:pPr>
              <w:rPr>
                <w:rFonts w:ascii="Times New Roman" w:hAnsi="Times New Roman" w:cs="Times New Roman"/>
              </w:rPr>
            </w:pPr>
          </w:p>
        </w:tc>
        <w:tc>
          <w:tcPr>
            <w:tcW w:w="1287" w:type="dxa"/>
          </w:tcPr>
          <w:p w14:paraId="6CC2773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Total</w:t>
            </w:r>
          </w:p>
        </w:tc>
        <w:tc>
          <w:tcPr>
            <w:tcW w:w="926" w:type="dxa"/>
          </w:tcPr>
          <w:p w14:paraId="7B64A3F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13,333</w:t>
            </w:r>
          </w:p>
        </w:tc>
        <w:tc>
          <w:tcPr>
            <w:tcW w:w="1287" w:type="dxa"/>
          </w:tcPr>
          <w:p w14:paraId="5EF3280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2,198</w:t>
            </w:r>
          </w:p>
        </w:tc>
        <w:tc>
          <w:tcPr>
            <w:tcW w:w="986" w:type="dxa"/>
          </w:tcPr>
          <w:p w14:paraId="3154552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2,173</w:t>
            </w:r>
          </w:p>
        </w:tc>
        <w:tc>
          <w:tcPr>
            <w:tcW w:w="986" w:type="dxa"/>
          </w:tcPr>
          <w:p w14:paraId="0B53E8F4" w14:textId="77777777" w:rsidR="009478ED" w:rsidRPr="007F37A0" w:rsidRDefault="009478ED" w:rsidP="00735871">
            <w:pPr>
              <w:rPr>
                <w:rFonts w:ascii="Times New Roman" w:hAnsi="Times New Roman" w:cs="Times New Roman"/>
              </w:rPr>
            </w:pPr>
          </w:p>
        </w:tc>
      </w:tr>
    </w:tbl>
    <w:p w14:paraId="3BF5E409" w14:textId="77777777" w:rsidR="009478ED" w:rsidRPr="007F37A0" w:rsidRDefault="009478ED" w:rsidP="009478ED">
      <w:pPr>
        <w:rPr>
          <w:rFonts w:ascii="Times New Roman" w:hAnsi="Times New Roman" w:cs="Times New Roman"/>
        </w:rPr>
      </w:pPr>
    </w:p>
    <w:p w14:paraId="633A0336"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439A1592" w14:textId="6BAC302A" w:rsidR="009478ED" w:rsidRPr="007F37A0" w:rsidRDefault="009478ED" w:rsidP="007F37A0">
      <w:pPr>
        <w:pStyle w:val="Caption"/>
        <w:rPr>
          <w:rFonts w:cs="Times New Roman"/>
        </w:rPr>
      </w:pPr>
      <w:bookmarkStart w:id="160" w:name="_Ref164531299"/>
      <w:bookmarkStart w:id="161" w:name="_Toc164862555"/>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20</w:t>
      </w:r>
      <w:r w:rsidRPr="007F37A0">
        <w:rPr>
          <w:rFonts w:cs="Times New Roman"/>
        </w:rPr>
        <w:fldChar w:fldCharType="end"/>
      </w:r>
      <w:bookmarkEnd w:id="160"/>
      <w:r w:rsidRPr="007F37A0">
        <w:rPr>
          <w:rFonts w:cs="Times New Roman"/>
        </w:rPr>
        <w:t>: Comparison of Treated and Control – SO</w:t>
      </w:r>
      <w:r w:rsidRPr="007F37A0">
        <w:rPr>
          <w:rFonts w:cs="Times New Roman"/>
          <w:vertAlign w:val="subscript"/>
        </w:rPr>
        <w:t>2</w:t>
      </w:r>
      <w:bookmarkEnd w:id="161"/>
    </w:p>
    <w:tbl>
      <w:tblPr>
        <w:tblW w:w="8640" w:type="dxa"/>
        <w:tblCellMar>
          <w:left w:w="0" w:type="dxa"/>
          <w:right w:w="0" w:type="dxa"/>
        </w:tblCellMar>
        <w:tblLook w:val="04A0" w:firstRow="1" w:lastRow="0" w:firstColumn="1" w:lastColumn="0" w:noHBand="0" w:noVBand="1"/>
      </w:tblPr>
      <w:tblGrid>
        <w:gridCol w:w="3509"/>
        <w:gridCol w:w="1801"/>
        <w:gridCol w:w="1800"/>
        <w:gridCol w:w="1530"/>
      </w:tblGrid>
      <w:tr w:rsidR="009478ED" w:rsidRPr="007F37A0" w14:paraId="039971F4" w14:textId="77777777" w:rsidTr="00735871">
        <w:trPr>
          <w:trHeight w:val="276"/>
        </w:trPr>
        <w:tc>
          <w:tcPr>
            <w:tcW w:w="3509"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093A4B8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801"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1C70F49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1800"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3464A15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530" w:type="dxa"/>
            <w:tcBorders>
              <w:top w:val="single" w:sz="4" w:space="0" w:color="000000"/>
              <w:left w:val="nil"/>
              <w:bottom w:val="nil"/>
              <w:right w:val="nil"/>
            </w:tcBorders>
          </w:tcPr>
          <w:p w14:paraId="138F82C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r>
      <w:tr w:rsidR="009478ED" w:rsidRPr="007F37A0" w14:paraId="4169A9E6"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0B546B4" w14:textId="77777777" w:rsidR="009478ED" w:rsidRPr="007F37A0" w:rsidRDefault="009478ED" w:rsidP="00735871">
            <w:pPr>
              <w:jc w:val="center"/>
              <w:rPr>
                <w:rFonts w:ascii="Times New Roman" w:hAnsi="Times New Roman" w:cs="Times New Roman"/>
              </w:rPr>
            </w:pP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5662F8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SO2 Treated</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2C3AE4A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SO2 Control</w:t>
            </w:r>
          </w:p>
        </w:tc>
        <w:tc>
          <w:tcPr>
            <w:tcW w:w="1530" w:type="dxa"/>
            <w:tcBorders>
              <w:top w:val="nil"/>
              <w:left w:val="nil"/>
              <w:bottom w:val="nil"/>
              <w:right w:val="nil"/>
            </w:tcBorders>
          </w:tcPr>
          <w:p w14:paraId="6A61B50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Difference</w:t>
            </w:r>
          </w:p>
        </w:tc>
      </w:tr>
      <w:tr w:rsidR="009478ED" w:rsidRPr="007F37A0" w14:paraId="27459A1D" w14:textId="77777777" w:rsidTr="00735871">
        <w:trPr>
          <w:trHeight w:val="276"/>
        </w:trPr>
        <w:tc>
          <w:tcPr>
            <w:tcW w:w="3509"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0DA7C1C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801"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77C1FEB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00"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6855328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tcPr>
          <w:p w14:paraId="27815278" w14:textId="77777777" w:rsidR="009478ED" w:rsidRPr="007F37A0" w:rsidRDefault="009478ED" w:rsidP="00735871">
            <w:pPr>
              <w:jc w:val="center"/>
              <w:rPr>
                <w:rFonts w:ascii="Times New Roman" w:hAnsi="Times New Roman" w:cs="Times New Roman"/>
              </w:rPr>
            </w:pPr>
          </w:p>
        </w:tc>
      </w:tr>
      <w:tr w:rsidR="009478ED" w:rsidRPr="007F37A0" w14:paraId="51FB8469"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436202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Total Observations</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B7D4FC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3,462</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316AD25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2,248</w:t>
            </w:r>
          </w:p>
        </w:tc>
        <w:tc>
          <w:tcPr>
            <w:tcW w:w="1530" w:type="dxa"/>
            <w:tcBorders>
              <w:top w:val="nil"/>
              <w:left w:val="nil"/>
              <w:bottom w:val="nil"/>
              <w:right w:val="nil"/>
            </w:tcBorders>
          </w:tcPr>
          <w:p w14:paraId="6A15661E" w14:textId="77777777" w:rsidR="009478ED" w:rsidRPr="007F37A0" w:rsidRDefault="009478ED" w:rsidP="00735871">
            <w:pPr>
              <w:jc w:val="center"/>
              <w:rPr>
                <w:rFonts w:ascii="Times New Roman" w:hAnsi="Times New Roman" w:cs="Times New Roman"/>
              </w:rPr>
            </w:pPr>
          </w:p>
        </w:tc>
      </w:tr>
      <w:tr w:rsidR="009478ED" w:rsidRPr="007F37A0" w14:paraId="32325D01"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9137F1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Wet Type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C008CF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0.113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7C2CF59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0.075</w:t>
            </w:r>
          </w:p>
        </w:tc>
        <w:tc>
          <w:tcPr>
            <w:tcW w:w="1530" w:type="dxa"/>
            <w:tcBorders>
              <w:top w:val="nil"/>
              <w:left w:val="nil"/>
              <w:bottom w:val="nil"/>
              <w:right w:val="nil"/>
            </w:tcBorders>
            <w:vAlign w:val="bottom"/>
          </w:tcPr>
          <w:p w14:paraId="63D6601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0.038***</w:t>
            </w:r>
          </w:p>
        </w:tc>
      </w:tr>
      <w:tr w:rsidR="009478ED" w:rsidRPr="007F37A0" w14:paraId="2651C6B2"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5126BDB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Dry Type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5649D55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0.107</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98AA16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0.095</w:t>
            </w:r>
          </w:p>
        </w:tc>
        <w:tc>
          <w:tcPr>
            <w:tcW w:w="1530" w:type="dxa"/>
            <w:tcBorders>
              <w:top w:val="nil"/>
              <w:left w:val="nil"/>
              <w:bottom w:val="nil"/>
              <w:right w:val="nil"/>
            </w:tcBorders>
            <w:vAlign w:val="bottom"/>
          </w:tcPr>
          <w:p w14:paraId="065FDA9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0.012</w:t>
            </w:r>
          </w:p>
        </w:tc>
      </w:tr>
      <w:tr w:rsidR="009478ED" w:rsidRPr="007F37A0" w14:paraId="07643E55"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2A406D7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Particulate Control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4B416B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BD7617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530" w:type="dxa"/>
            <w:tcBorders>
              <w:top w:val="nil"/>
              <w:left w:val="nil"/>
              <w:bottom w:val="nil"/>
              <w:right w:val="nil"/>
            </w:tcBorders>
            <w:vAlign w:val="bottom"/>
          </w:tcPr>
          <w:p w14:paraId="60C1D70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r>
      <w:tr w:rsidR="009478ED" w:rsidRPr="007F37A0" w14:paraId="0559BAFB"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2BB7FB3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Selective Noncatalytic Reduction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C2DAA5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EEC0C3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0.089</w:t>
            </w:r>
          </w:p>
        </w:tc>
        <w:tc>
          <w:tcPr>
            <w:tcW w:w="1530" w:type="dxa"/>
            <w:tcBorders>
              <w:top w:val="nil"/>
              <w:left w:val="nil"/>
              <w:bottom w:val="nil"/>
              <w:right w:val="nil"/>
            </w:tcBorders>
            <w:vAlign w:val="bottom"/>
          </w:tcPr>
          <w:p w14:paraId="109D808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0.012</w:t>
            </w:r>
          </w:p>
        </w:tc>
      </w:tr>
      <w:tr w:rsidR="009478ED" w:rsidRPr="007F37A0" w14:paraId="792F9202"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5E66D82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Selective Catalytic Reduction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2A7FD12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0.242</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4885FE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0.284</w:t>
            </w:r>
          </w:p>
        </w:tc>
        <w:tc>
          <w:tcPr>
            <w:tcW w:w="1530" w:type="dxa"/>
            <w:tcBorders>
              <w:top w:val="nil"/>
              <w:left w:val="nil"/>
              <w:bottom w:val="nil"/>
              <w:right w:val="nil"/>
            </w:tcBorders>
            <w:vAlign w:val="bottom"/>
          </w:tcPr>
          <w:p w14:paraId="7ED2D48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-0.042***</w:t>
            </w:r>
          </w:p>
        </w:tc>
      </w:tr>
      <w:tr w:rsidR="009478ED" w:rsidRPr="007F37A0" w14:paraId="27ABAE36"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10150A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Other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A7F451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1F89A4C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c>
          <w:tcPr>
            <w:tcW w:w="1530" w:type="dxa"/>
            <w:tcBorders>
              <w:top w:val="nil"/>
              <w:left w:val="nil"/>
              <w:bottom w:val="nil"/>
              <w:right w:val="nil"/>
            </w:tcBorders>
            <w:vAlign w:val="bottom"/>
          </w:tcPr>
          <w:p w14:paraId="7E83F71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r>
      <w:tr w:rsidR="009478ED" w:rsidRPr="007F37A0" w14:paraId="2A82CBEC"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00471A9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Fly Ash Reinjection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2D31B6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0.037</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37CFC38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0.026</w:t>
            </w:r>
          </w:p>
        </w:tc>
        <w:tc>
          <w:tcPr>
            <w:tcW w:w="1530" w:type="dxa"/>
            <w:tcBorders>
              <w:top w:val="nil"/>
              <w:left w:val="nil"/>
              <w:bottom w:val="nil"/>
              <w:right w:val="nil"/>
            </w:tcBorders>
            <w:vAlign w:val="bottom"/>
          </w:tcPr>
          <w:p w14:paraId="388D946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0.011</w:t>
            </w:r>
          </w:p>
        </w:tc>
      </w:tr>
      <w:tr w:rsidR="009478ED" w:rsidRPr="007F37A0" w14:paraId="0D3A3695"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6D5DF6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Heat Recovery Steam Generator</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5E8FF0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0.153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68CDD2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0.350</w:t>
            </w:r>
          </w:p>
        </w:tc>
        <w:tc>
          <w:tcPr>
            <w:tcW w:w="1530" w:type="dxa"/>
            <w:tcBorders>
              <w:top w:val="nil"/>
              <w:left w:val="nil"/>
              <w:bottom w:val="nil"/>
              <w:right w:val="nil"/>
            </w:tcBorders>
            <w:vAlign w:val="bottom"/>
          </w:tcPr>
          <w:p w14:paraId="750CF5A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-0.197***</w:t>
            </w:r>
          </w:p>
        </w:tc>
      </w:tr>
      <w:tr w:rsidR="009478ED" w:rsidRPr="007F37A0" w14:paraId="09F2B7D9"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0D4CBD4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-AB</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5406541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11D5B80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530" w:type="dxa"/>
            <w:tcBorders>
              <w:top w:val="nil"/>
              <w:left w:val="nil"/>
              <w:bottom w:val="nil"/>
              <w:right w:val="nil"/>
            </w:tcBorders>
            <w:vAlign w:val="bottom"/>
          </w:tcPr>
          <w:p w14:paraId="4F018FB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r>
      <w:tr w:rsidR="009478ED" w:rsidRPr="007F37A0" w14:paraId="47189F97"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F83AFF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-BIT</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A01553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0.226</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02E0BD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0.055</w:t>
            </w:r>
          </w:p>
        </w:tc>
        <w:tc>
          <w:tcPr>
            <w:tcW w:w="1530" w:type="dxa"/>
            <w:tcBorders>
              <w:top w:val="nil"/>
              <w:left w:val="nil"/>
              <w:bottom w:val="nil"/>
              <w:right w:val="nil"/>
            </w:tcBorders>
            <w:vAlign w:val="bottom"/>
          </w:tcPr>
          <w:p w14:paraId="61885B0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0.171***</w:t>
            </w:r>
          </w:p>
        </w:tc>
      </w:tr>
      <w:tr w:rsidR="009478ED" w:rsidRPr="007F37A0" w14:paraId="5CE5D8DB"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16AF365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-BLQ</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5AC4F40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0D1DE5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c>
          <w:tcPr>
            <w:tcW w:w="1530" w:type="dxa"/>
            <w:tcBorders>
              <w:top w:val="nil"/>
              <w:left w:val="nil"/>
              <w:bottom w:val="nil"/>
              <w:right w:val="nil"/>
            </w:tcBorders>
            <w:vAlign w:val="bottom"/>
          </w:tcPr>
          <w:p w14:paraId="1E4BCC3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r>
      <w:tr w:rsidR="009478ED" w:rsidRPr="007F37A0" w14:paraId="109947E5"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8BD2DF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-DFO</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C991F7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0.116</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959F89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0.079</w:t>
            </w:r>
          </w:p>
        </w:tc>
        <w:tc>
          <w:tcPr>
            <w:tcW w:w="1530" w:type="dxa"/>
            <w:tcBorders>
              <w:top w:val="nil"/>
              <w:left w:val="nil"/>
              <w:bottom w:val="nil"/>
              <w:right w:val="nil"/>
            </w:tcBorders>
            <w:vAlign w:val="bottom"/>
          </w:tcPr>
          <w:p w14:paraId="3BA3A90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0.037***</w:t>
            </w:r>
          </w:p>
        </w:tc>
      </w:tr>
      <w:tr w:rsidR="009478ED" w:rsidRPr="007F37A0" w14:paraId="427E7970"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6367CC7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-LIG</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201B0A5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48690FD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0.017</w:t>
            </w:r>
          </w:p>
        </w:tc>
        <w:tc>
          <w:tcPr>
            <w:tcW w:w="1530" w:type="dxa"/>
            <w:tcBorders>
              <w:top w:val="nil"/>
              <w:left w:val="nil"/>
              <w:bottom w:val="nil"/>
              <w:right w:val="nil"/>
            </w:tcBorders>
            <w:vAlign w:val="bottom"/>
          </w:tcPr>
          <w:p w14:paraId="0191693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w:t>
            </w:r>
          </w:p>
        </w:tc>
      </w:tr>
      <w:tr w:rsidR="009478ED" w:rsidRPr="007F37A0" w14:paraId="0D65D9C2"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09058D5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-MSW</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50C04C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291FBBF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530" w:type="dxa"/>
            <w:tcBorders>
              <w:top w:val="nil"/>
              <w:left w:val="nil"/>
              <w:bottom w:val="nil"/>
              <w:right w:val="nil"/>
            </w:tcBorders>
            <w:vAlign w:val="bottom"/>
          </w:tcPr>
          <w:p w14:paraId="417A56E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219F3002"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175F8D2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-NG</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7B76C1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0.370</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2BB3E9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0.445</w:t>
            </w:r>
          </w:p>
        </w:tc>
        <w:tc>
          <w:tcPr>
            <w:tcW w:w="1530" w:type="dxa"/>
            <w:tcBorders>
              <w:top w:val="nil"/>
              <w:left w:val="nil"/>
              <w:bottom w:val="nil"/>
              <w:right w:val="nil"/>
            </w:tcBorders>
            <w:vAlign w:val="bottom"/>
          </w:tcPr>
          <w:p w14:paraId="445C3D0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-0.075</w:t>
            </w:r>
          </w:p>
        </w:tc>
      </w:tr>
      <w:tr w:rsidR="009478ED" w:rsidRPr="007F37A0" w14:paraId="3795503B"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301821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-OBS</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BE94DA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054E5A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530" w:type="dxa"/>
            <w:tcBorders>
              <w:top w:val="nil"/>
              <w:left w:val="nil"/>
              <w:bottom w:val="nil"/>
              <w:right w:val="nil"/>
            </w:tcBorders>
            <w:vAlign w:val="bottom"/>
          </w:tcPr>
          <w:p w14:paraId="33FACCF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r>
      <w:tr w:rsidR="009478ED" w:rsidRPr="007F37A0" w14:paraId="7136FA80"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633CBF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-OG</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C25799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0.025</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4B7214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0.031</w:t>
            </w:r>
          </w:p>
        </w:tc>
        <w:tc>
          <w:tcPr>
            <w:tcW w:w="1530" w:type="dxa"/>
            <w:tcBorders>
              <w:top w:val="nil"/>
              <w:left w:val="nil"/>
              <w:bottom w:val="nil"/>
              <w:right w:val="nil"/>
            </w:tcBorders>
            <w:vAlign w:val="bottom"/>
          </w:tcPr>
          <w:p w14:paraId="00845ED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r>
      <w:tr w:rsidR="009478ED" w:rsidRPr="007F37A0" w14:paraId="476667FD"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6534FAA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-OTH</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C80011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15B629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c>
          <w:tcPr>
            <w:tcW w:w="1530" w:type="dxa"/>
            <w:tcBorders>
              <w:top w:val="nil"/>
              <w:left w:val="nil"/>
              <w:bottom w:val="nil"/>
              <w:right w:val="nil"/>
            </w:tcBorders>
            <w:vAlign w:val="bottom"/>
          </w:tcPr>
          <w:p w14:paraId="085531D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037D16EE"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EB02F0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-PC</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809CCE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0.017</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7B06A92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0.008</w:t>
            </w:r>
          </w:p>
        </w:tc>
        <w:tc>
          <w:tcPr>
            <w:tcW w:w="1530" w:type="dxa"/>
            <w:tcBorders>
              <w:top w:val="nil"/>
              <w:left w:val="nil"/>
              <w:bottom w:val="nil"/>
              <w:right w:val="nil"/>
            </w:tcBorders>
            <w:vAlign w:val="bottom"/>
          </w:tcPr>
          <w:p w14:paraId="4995662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r>
      <w:tr w:rsidR="009478ED" w:rsidRPr="007F37A0" w14:paraId="35DCC438"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0E5486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-RC</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2716999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290FF6E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0.017</w:t>
            </w:r>
          </w:p>
        </w:tc>
        <w:tc>
          <w:tcPr>
            <w:tcW w:w="1530" w:type="dxa"/>
            <w:tcBorders>
              <w:top w:val="nil"/>
              <w:left w:val="nil"/>
              <w:bottom w:val="nil"/>
              <w:right w:val="nil"/>
            </w:tcBorders>
            <w:vAlign w:val="bottom"/>
          </w:tcPr>
          <w:p w14:paraId="6480A23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r>
      <w:tr w:rsidR="009478ED" w:rsidRPr="007F37A0" w14:paraId="7E415797"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1606BD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-RFO</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B14F1B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0.056</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D8ABE2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0.059</w:t>
            </w:r>
          </w:p>
        </w:tc>
        <w:tc>
          <w:tcPr>
            <w:tcW w:w="1530" w:type="dxa"/>
            <w:tcBorders>
              <w:top w:val="nil"/>
              <w:left w:val="nil"/>
              <w:bottom w:val="nil"/>
              <w:right w:val="nil"/>
            </w:tcBorders>
            <w:vAlign w:val="bottom"/>
          </w:tcPr>
          <w:p w14:paraId="1EAD6D2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39F4668B"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2BCA47A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-SGC</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A2C693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4CDA47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c>
          <w:tcPr>
            <w:tcW w:w="1530" w:type="dxa"/>
            <w:tcBorders>
              <w:top w:val="nil"/>
              <w:left w:val="nil"/>
              <w:bottom w:val="nil"/>
              <w:right w:val="nil"/>
            </w:tcBorders>
            <w:vAlign w:val="bottom"/>
          </w:tcPr>
          <w:p w14:paraId="402A831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r>
      <w:tr w:rsidR="009478ED" w:rsidRPr="007F37A0" w14:paraId="5DC70891"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00EC42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-SLW</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186F37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3136EF2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530" w:type="dxa"/>
            <w:tcBorders>
              <w:top w:val="nil"/>
              <w:left w:val="nil"/>
              <w:bottom w:val="nil"/>
              <w:right w:val="nil"/>
            </w:tcBorders>
            <w:vAlign w:val="bottom"/>
          </w:tcPr>
          <w:p w14:paraId="23826E1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726ABBFE"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7A0837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-SUB</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23DF89A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0.120</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1AF977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0.090</w:t>
            </w:r>
          </w:p>
        </w:tc>
        <w:tc>
          <w:tcPr>
            <w:tcW w:w="1530" w:type="dxa"/>
            <w:tcBorders>
              <w:top w:val="nil"/>
              <w:left w:val="nil"/>
              <w:bottom w:val="nil"/>
              <w:right w:val="nil"/>
            </w:tcBorders>
            <w:vAlign w:val="bottom"/>
          </w:tcPr>
          <w:p w14:paraId="58528FF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0.03***</w:t>
            </w:r>
          </w:p>
        </w:tc>
      </w:tr>
      <w:tr w:rsidR="009478ED" w:rsidRPr="007F37A0" w14:paraId="6AD27047"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03BAEC5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-WC</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50ABDF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7826BB8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530" w:type="dxa"/>
            <w:tcBorders>
              <w:top w:val="nil"/>
              <w:left w:val="nil"/>
              <w:bottom w:val="nil"/>
              <w:right w:val="nil"/>
            </w:tcBorders>
            <w:vAlign w:val="bottom"/>
          </w:tcPr>
          <w:p w14:paraId="00F5A54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54395826"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262A4BA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-WDL</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FA6293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487854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530" w:type="dxa"/>
            <w:tcBorders>
              <w:top w:val="nil"/>
              <w:left w:val="nil"/>
              <w:bottom w:val="nil"/>
              <w:right w:val="nil"/>
            </w:tcBorders>
            <w:vAlign w:val="bottom"/>
          </w:tcPr>
          <w:p w14:paraId="3E12043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70725448"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6F7884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-WDS</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51345A9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0845FA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0.014</w:t>
            </w:r>
          </w:p>
        </w:tc>
        <w:tc>
          <w:tcPr>
            <w:tcW w:w="1530" w:type="dxa"/>
            <w:tcBorders>
              <w:top w:val="nil"/>
              <w:left w:val="nil"/>
              <w:bottom w:val="nil"/>
              <w:right w:val="nil"/>
            </w:tcBorders>
            <w:vAlign w:val="bottom"/>
          </w:tcPr>
          <w:p w14:paraId="5156226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r>
      <w:tr w:rsidR="009478ED" w:rsidRPr="007F37A0" w14:paraId="397C839C"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6D1834F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CAA Non-attainment Status</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54B47CE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0.204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2B29C64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0.334</w:t>
            </w:r>
          </w:p>
        </w:tc>
        <w:tc>
          <w:tcPr>
            <w:tcW w:w="1530" w:type="dxa"/>
            <w:tcBorders>
              <w:top w:val="nil"/>
              <w:left w:val="nil"/>
              <w:bottom w:val="nil"/>
              <w:right w:val="nil"/>
            </w:tcBorders>
            <w:vAlign w:val="bottom"/>
          </w:tcPr>
          <w:p w14:paraId="7CA74E8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-0.13***</w:t>
            </w:r>
          </w:p>
        </w:tc>
      </w:tr>
      <w:tr w:rsidR="009478ED" w:rsidRPr="007F37A0" w14:paraId="5617F6BA" w14:textId="77777777" w:rsidTr="00735871">
        <w:trPr>
          <w:trHeight w:val="276"/>
        </w:trPr>
        <w:tc>
          <w:tcPr>
            <w:tcW w:w="350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8D1C72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80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2D2B21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0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807AED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530" w:type="dxa"/>
            <w:tcBorders>
              <w:top w:val="nil"/>
              <w:left w:val="nil"/>
              <w:bottom w:val="single" w:sz="4" w:space="0" w:color="auto"/>
              <w:right w:val="nil"/>
            </w:tcBorders>
          </w:tcPr>
          <w:p w14:paraId="29CA6F2E" w14:textId="77777777" w:rsidR="009478ED" w:rsidRPr="007F37A0" w:rsidRDefault="009478ED" w:rsidP="00735871">
            <w:pPr>
              <w:jc w:val="center"/>
              <w:rPr>
                <w:rFonts w:ascii="Times New Roman" w:hAnsi="Times New Roman" w:cs="Times New Roman"/>
              </w:rPr>
            </w:pPr>
          </w:p>
        </w:tc>
      </w:tr>
      <w:tr w:rsidR="009478ED" w:rsidRPr="007F37A0" w14:paraId="566A58B9" w14:textId="77777777" w:rsidTr="00735871">
        <w:trPr>
          <w:trHeight w:val="276"/>
        </w:trPr>
        <w:tc>
          <w:tcPr>
            <w:tcW w:w="8640" w:type="dxa"/>
            <w:gridSpan w:val="4"/>
            <w:tcBorders>
              <w:top w:val="single" w:sz="4" w:space="0" w:color="auto"/>
              <w:left w:val="nil"/>
              <w:bottom w:val="single" w:sz="4" w:space="0" w:color="000000"/>
              <w:right w:val="nil"/>
            </w:tcBorders>
            <w:shd w:val="clear" w:color="auto" w:fill="auto"/>
            <w:noWrap/>
            <w:tcMar>
              <w:top w:w="15" w:type="dxa"/>
              <w:left w:w="15" w:type="dxa"/>
              <w:bottom w:w="0" w:type="dxa"/>
              <w:right w:w="15" w:type="dxa"/>
            </w:tcMar>
            <w:vAlign w:val="bottom"/>
          </w:tcPr>
          <w:p w14:paraId="70610E3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 Difference is Treated minus Control with statistical significance from t-test with unequal variances.</w:t>
            </w:r>
          </w:p>
        </w:tc>
      </w:tr>
    </w:tbl>
    <w:p w14:paraId="48DA92D7"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t xml:space="preserve"> </w:t>
      </w:r>
    </w:p>
    <w:p w14:paraId="04400F96"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28A299ED" w14:textId="0EF6CFB9" w:rsidR="009478ED" w:rsidRPr="007F37A0" w:rsidRDefault="009478ED" w:rsidP="007F37A0">
      <w:pPr>
        <w:pStyle w:val="Caption"/>
        <w:rPr>
          <w:rFonts w:cs="Times New Roman"/>
        </w:rPr>
      </w:pPr>
      <w:bookmarkStart w:id="162" w:name="_Ref164531302"/>
      <w:bookmarkStart w:id="163" w:name="_Toc164862556"/>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21</w:t>
      </w:r>
      <w:r w:rsidRPr="007F37A0">
        <w:rPr>
          <w:rFonts w:cs="Times New Roman"/>
        </w:rPr>
        <w:fldChar w:fldCharType="end"/>
      </w:r>
      <w:bookmarkEnd w:id="162"/>
      <w:r w:rsidRPr="007F37A0">
        <w:rPr>
          <w:rFonts w:cs="Times New Roman"/>
        </w:rPr>
        <w:t>: Comparison of Treated and Control – NO</w:t>
      </w:r>
      <w:r w:rsidRPr="007F37A0">
        <w:rPr>
          <w:rFonts w:cs="Times New Roman"/>
          <w:vertAlign w:val="subscript"/>
        </w:rPr>
        <w:t>x</w:t>
      </w:r>
      <w:bookmarkEnd w:id="163"/>
    </w:p>
    <w:tbl>
      <w:tblPr>
        <w:tblW w:w="8640" w:type="dxa"/>
        <w:tblCellMar>
          <w:left w:w="0" w:type="dxa"/>
          <w:right w:w="0" w:type="dxa"/>
        </w:tblCellMar>
        <w:tblLook w:val="04A0" w:firstRow="1" w:lastRow="0" w:firstColumn="1" w:lastColumn="0" w:noHBand="0" w:noVBand="1"/>
      </w:tblPr>
      <w:tblGrid>
        <w:gridCol w:w="3509"/>
        <w:gridCol w:w="1801"/>
        <w:gridCol w:w="1800"/>
        <w:gridCol w:w="1530"/>
      </w:tblGrid>
      <w:tr w:rsidR="009478ED" w:rsidRPr="007F37A0" w14:paraId="36DC559B" w14:textId="77777777" w:rsidTr="00735871">
        <w:trPr>
          <w:trHeight w:val="276"/>
        </w:trPr>
        <w:tc>
          <w:tcPr>
            <w:tcW w:w="3509"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00F7E7E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801"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418925D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1800"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457EAD6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530" w:type="dxa"/>
            <w:tcBorders>
              <w:top w:val="single" w:sz="4" w:space="0" w:color="000000"/>
              <w:left w:val="nil"/>
              <w:bottom w:val="nil"/>
              <w:right w:val="nil"/>
            </w:tcBorders>
          </w:tcPr>
          <w:p w14:paraId="27CE77F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r>
      <w:tr w:rsidR="009478ED" w:rsidRPr="007F37A0" w14:paraId="6BF4A159"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DCCFB38" w14:textId="77777777" w:rsidR="009478ED" w:rsidRPr="007F37A0" w:rsidRDefault="009478ED" w:rsidP="00735871">
            <w:pPr>
              <w:jc w:val="center"/>
              <w:rPr>
                <w:rFonts w:ascii="Times New Roman" w:hAnsi="Times New Roman" w:cs="Times New Roman"/>
              </w:rPr>
            </w:pP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7BCE59F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Treated</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365F96D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Control</w:t>
            </w:r>
          </w:p>
        </w:tc>
        <w:tc>
          <w:tcPr>
            <w:tcW w:w="1530" w:type="dxa"/>
            <w:tcBorders>
              <w:top w:val="nil"/>
              <w:left w:val="nil"/>
              <w:bottom w:val="nil"/>
              <w:right w:val="nil"/>
            </w:tcBorders>
          </w:tcPr>
          <w:p w14:paraId="0C2B15E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Difference</w:t>
            </w:r>
          </w:p>
        </w:tc>
      </w:tr>
      <w:tr w:rsidR="009478ED" w:rsidRPr="007F37A0" w14:paraId="39E41B40" w14:textId="77777777" w:rsidTr="00735871">
        <w:trPr>
          <w:trHeight w:val="276"/>
        </w:trPr>
        <w:tc>
          <w:tcPr>
            <w:tcW w:w="3509"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22DED06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801"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58ED45F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00"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21A148E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tcPr>
          <w:p w14:paraId="4376A6A7" w14:textId="77777777" w:rsidR="009478ED" w:rsidRPr="007F37A0" w:rsidRDefault="009478ED" w:rsidP="00735871">
            <w:pPr>
              <w:jc w:val="center"/>
              <w:rPr>
                <w:rFonts w:ascii="Times New Roman" w:hAnsi="Times New Roman" w:cs="Times New Roman"/>
              </w:rPr>
            </w:pPr>
          </w:p>
        </w:tc>
      </w:tr>
      <w:tr w:rsidR="009478ED" w:rsidRPr="007F37A0" w14:paraId="77755066"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EF6442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Total Observations</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8A0BD0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3,767</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981300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1,539</w:t>
            </w:r>
          </w:p>
        </w:tc>
        <w:tc>
          <w:tcPr>
            <w:tcW w:w="1530" w:type="dxa"/>
            <w:tcBorders>
              <w:top w:val="nil"/>
              <w:left w:val="nil"/>
              <w:bottom w:val="nil"/>
              <w:right w:val="nil"/>
            </w:tcBorders>
          </w:tcPr>
          <w:p w14:paraId="4C1C5F00" w14:textId="77777777" w:rsidR="009478ED" w:rsidRPr="007F37A0" w:rsidRDefault="009478ED" w:rsidP="00735871">
            <w:pPr>
              <w:jc w:val="center"/>
              <w:rPr>
                <w:rFonts w:ascii="Times New Roman" w:hAnsi="Times New Roman" w:cs="Times New Roman"/>
              </w:rPr>
            </w:pPr>
          </w:p>
        </w:tc>
      </w:tr>
      <w:tr w:rsidR="009478ED" w:rsidRPr="007F37A0" w14:paraId="64036994"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6A9A4B3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Wet Type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C4582D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0.105</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1B9022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0.087</w:t>
            </w:r>
          </w:p>
        </w:tc>
        <w:tc>
          <w:tcPr>
            <w:tcW w:w="1530" w:type="dxa"/>
            <w:tcBorders>
              <w:top w:val="nil"/>
              <w:left w:val="nil"/>
              <w:bottom w:val="nil"/>
              <w:right w:val="nil"/>
            </w:tcBorders>
            <w:vAlign w:val="bottom"/>
          </w:tcPr>
          <w:p w14:paraId="4193F3F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0.018</w:t>
            </w:r>
          </w:p>
        </w:tc>
      </w:tr>
      <w:tr w:rsidR="009478ED" w:rsidRPr="007F37A0" w14:paraId="04CF90C9"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1F62F9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Dry Type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C8D02D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0.111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18B18D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0.123</w:t>
            </w:r>
          </w:p>
        </w:tc>
        <w:tc>
          <w:tcPr>
            <w:tcW w:w="1530" w:type="dxa"/>
            <w:tcBorders>
              <w:top w:val="nil"/>
              <w:left w:val="nil"/>
              <w:bottom w:val="nil"/>
              <w:right w:val="nil"/>
            </w:tcBorders>
            <w:vAlign w:val="bottom"/>
          </w:tcPr>
          <w:p w14:paraId="6E887A7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-0.012*</w:t>
            </w:r>
          </w:p>
        </w:tc>
      </w:tr>
      <w:tr w:rsidR="009478ED" w:rsidRPr="007F37A0" w14:paraId="16CF4898"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29F2293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Particulate Control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A24E82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4EB9FC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530" w:type="dxa"/>
            <w:tcBorders>
              <w:top w:val="nil"/>
              <w:left w:val="nil"/>
              <w:bottom w:val="nil"/>
              <w:right w:val="nil"/>
            </w:tcBorders>
            <w:vAlign w:val="bottom"/>
          </w:tcPr>
          <w:p w14:paraId="5E5C525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r>
      <w:tr w:rsidR="009478ED" w:rsidRPr="007F37A0" w14:paraId="2ACF778D"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2920AE2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Selective Noncatalytic Reduction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65C6248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7D74FDE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0.107</w:t>
            </w:r>
          </w:p>
        </w:tc>
        <w:tc>
          <w:tcPr>
            <w:tcW w:w="1530" w:type="dxa"/>
            <w:tcBorders>
              <w:top w:val="nil"/>
              <w:left w:val="nil"/>
              <w:bottom w:val="nil"/>
              <w:right w:val="nil"/>
            </w:tcBorders>
            <w:vAlign w:val="bottom"/>
          </w:tcPr>
          <w:p w14:paraId="0C3D681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r>
      <w:tr w:rsidR="009478ED" w:rsidRPr="007F37A0" w14:paraId="6DD7571F"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42A285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Selective Catalytic Reduction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05ACD2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0.243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67D1D8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0.288</w:t>
            </w:r>
          </w:p>
        </w:tc>
        <w:tc>
          <w:tcPr>
            <w:tcW w:w="1530" w:type="dxa"/>
            <w:tcBorders>
              <w:top w:val="nil"/>
              <w:left w:val="nil"/>
              <w:bottom w:val="nil"/>
              <w:right w:val="nil"/>
            </w:tcBorders>
            <w:vAlign w:val="bottom"/>
          </w:tcPr>
          <w:p w14:paraId="08E254A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-0.045***</w:t>
            </w:r>
          </w:p>
        </w:tc>
      </w:tr>
      <w:tr w:rsidR="009478ED" w:rsidRPr="007F37A0" w14:paraId="7CBB264C"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9363E2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Other Technology (mean)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0FACAE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204732C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c>
          <w:tcPr>
            <w:tcW w:w="1530" w:type="dxa"/>
            <w:tcBorders>
              <w:top w:val="nil"/>
              <w:left w:val="nil"/>
              <w:bottom w:val="nil"/>
              <w:right w:val="nil"/>
            </w:tcBorders>
            <w:vAlign w:val="bottom"/>
          </w:tcPr>
          <w:p w14:paraId="66739F8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r>
      <w:tr w:rsidR="009478ED" w:rsidRPr="007F37A0" w14:paraId="24B160F8"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2B93D4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Fly Ash Reinjection</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770967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0.036</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548827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0.029</w:t>
            </w:r>
          </w:p>
        </w:tc>
        <w:tc>
          <w:tcPr>
            <w:tcW w:w="1530" w:type="dxa"/>
            <w:tcBorders>
              <w:top w:val="nil"/>
              <w:left w:val="nil"/>
              <w:bottom w:val="nil"/>
              <w:right w:val="nil"/>
            </w:tcBorders>
            <w:vAlign w:val="bottom"/>
          </w:tcPr>
          <w:p w14:paraId="49C1A3B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0.008</w:t>
            </w:r>
          </w:p>
        </w:tc>
      </w:tr>
      <w:tr w:rsidR="009478ED" w:rsidRPr="007F37A0" w14:paraId="266C5BFA"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43E1CF4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Heat Recovery Steam Generator</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8D8BD3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0.231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3DDECCB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0.288</w:t>
            </w:r>
          </w:p>
        </w:tc>
        <w:tc>
          <w:tcPr>
            <w:tcW w:w="1530" w:type="dxa"/>
            <w:tcBorders>
              <w:top w:val="nil"/>
              <w:left w:val="nil"/>
              <w:bottom w:val="nil"/>
              <w:right w:val="nil"/>
            </w:tcBorders>
            <w:vAlign w:val="bottom"/>
          </w:tcPr>
          <w:p w14:paraId="275FEF4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-0.057***</w:t>
            </w:r>
          </w:p>
        </w:tc>
      </w:tr>
      <w:tr w:rsidR="009478ED" w:rsidRPr="007F37A0" w14:paraId="3F4D2C2A"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26115B1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-AB</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2E04FF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7268323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530" w:type="dxa"/>
            <w:tcBorders>
              <w:top w:val="nil"/>
              <w:left w:val="nil"/>
              <w:bottom w:val="nil"/>
              <w:right w:val="nil"/>
            </w:tcBorders>
            <w:vAlign w:val="bottom"/>
          </w:tcPr>
          <w:p w14:paraId="225C058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58ABE579"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0EA4277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-BIT</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A8AE2C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0.213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4D2A273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0.068</w:t>
            </w:r>
          </w:p>
        </w:tc>
        <w:tc>
          <w:tcPr>
            <w:tcW w:w="1530" w:type="dxa"/>
            <w:tcBorders>
              <w:top w:val="nil"/>
              <w:left w:val="nil"/>
              <w:bottom w:val="nil"/>
              <w:right w:val="nil"/>
            </w:tcBorders>
            <w:vAlign w:val="bottom"/>
          </w:tcPr>
          <w:p w14:paraId="652F0A5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0.145***</w:t>
            </w:r>
          </w:p>
        </w:tc>
      </w:tr>
      <w:tr w:rsidR="009478ED" w:rsidRPr="007F37A0" w14:paraId="7FBA1A29"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558F2C3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-BLQ</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709F60D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2D5205E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c>
          <w:tcPr>
            <w:tcW w:w="1530" w:type="dxa"/>
            <w:tcBorders>
              <w:top w:val="nil"/>
              <w:left w:val="nil"/>
              <w:bottom w:val="nil"/>
              <w:right w:val="nil"/>
            </w:tcBorders>
            <w:vAlign w:val="bottom"/>
          </w:tcPr>
          <w:p w14:paraId="3EB9FA0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r>
      <w:tr w:rsidR="009478ED" w:rsidRPr="007F37A0" w14:paraId="48E700D7"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218A908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-DFO</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5BD6773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0.113</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4DA81DF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0.073</w:t>
            </w:r>
          </w:p>
        </w:tc>
        <w:tc>
          <w:tcPr>
            <w:tcW w:w="1530" w:type="dxa"/>
            <w:tcBorders>
              <w:top w:val="nil"/>
              <w:left w:val="nil"/>
              <w:bottom w:val="nil"/>
              <w:right w:val="nil"/>
            </w:tcBorders>
            <w:vAlign w:val="bottom"/>
          </w:tcPr>
          <w:p w14:paraId="45938F2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0.04***</w:t>
            </w:r>
          </w:p>
        </w:tc>
      </w:tr>
      <w:tr w:rsidR="009478ED" w:rsidRPr="007F37A0" w14:paraId="7F256FB6"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61180AC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-LIG</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72614F0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1A20986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c>
          <w:tcPr>
            <w:tcW w:w="1530" w:type="dxa"/>
            <w:tcBorders>
              <w:top w:val="nil"/>
              <w:left w:val="nil"/>
              <w:bottom w:val="nil"/>
              <w:right w:val="nil"/>
            </w:tcBorders>
            <w:vAlign w:val="bottom"/>
          </w:tcPr>
          <w:p w14:paraId="6F8291E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0A612A90"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5A3B9CE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-MSW</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BFFAA5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A3632E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530" w:type="dxa"/>
            <w:tcBorders>
              <w:top w:val="nil"/>
              <w:left w:val="nil"/>
              <w:bottom w:val="nil"/>
              <w:right w:val="nil"/>
            </w:tcBorders>
            <w:vAlign w:val="bottom"/>
          </w:tcPr>
          <w:p w14:paraId="6C4ABDD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47DA1E55"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4CAA80C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-NG</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41BEB9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0.381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7E293B9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0.373</w:t>
            </w:r>
          </w:p>
        </w:tc>
        <w:tc>
          <w:tcPr>
            <w:tcW w:w="1530" w:type="dxa"/>
            <w:tcBorders>
              <w:top w:val="nil"/>
              <w:left w:val="nil"/>
              <w:bottom w:val="nil"/>
              <w:right w:val="nil"/>
            </w:tcBorders>
            <w:vAlign w:val="bottom"/>
          </w:tcPr>
          <w:p w14:paraId="0EE0243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0.008</w:t>
            </w:r>
          </w:p>
        </w:tc>
      </w:tr>
      <w:tr w:rsidR="009478ED" w:rsidRPr="007F37A0" w14:paraId="4D59B342"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15CA803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-OBS</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4A68A7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419C23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530" w:type="dxa"/>
            <w:tcBorders>
              <w:top w:val="nil"/>
              <w:left w:val="nil"/>
              <w:bottom w:val="nil"/>
              <w:right w:val="nil"/>
            </w:tcBorders>
            <w:vAlign w:val="bottom"/>
          </w:tcPr>
          <w:p w14:paraId="7B3C24B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r>
      <w:tr w:rsidR="009478ED" w:rsidRPr="007F37A0" w14:paraId="0C8EB39B"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053ED41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-OG</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565BBD3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1876C3A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0.008</w:t>
            </w:r>
          </w:p>
        </w:tc>
        <w:tc>
          <w:tcPr>
            <w:tcW w:w="1530" w:type="dxa"/>
            <w:tcBorders>
              <w:top w:val="nil"/>
              <w:left w:val="nil"/>
              <w:bottom w:val="nil"/>
              <w:right w:val="nil"/>
            </w:tcBorders>
            <w:vAlign w:val="bottom"/>
          </w:tcPr>
          <w:p w14:paraId="1F3D450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0.016***</w:t>
            </w:r>
          </w:p>
        </w:tc>
      </w:tr>
      <w:tr w:rsidR="009478ED" w:rsidRPr="007F37A0" w14:paraId="308277B6"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598CF76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-OTH</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0FFC302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8D09DD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c>
          <w:tcPr>
            <w:tcW w:w="1530" w:type="dxa"/>
            <w:tcBorders>
              <w:top w:val="nil"/>
              <w:left w:val="nil"/>
              <w:bottom w:val="nil"/>
              <w:right w:val="nil"/>
            </w:tcBorders>
            <w:vAlign w:val="bottom"/>
          </w:tcPr>
          <w:p w14:paraId="5645029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5CB92775"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183754D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-PC</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DBD854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0.016</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AAEED3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c>
          <w:tcPr>
            <w:tcW w:w="1530" w:type="dxa"/>
            <w:tcBorders>
              <w:top w:val="nil"/>
              <w:left w:val="nil"/>
              <w:bottom w:val="nil"/>
              <w:right w:val="nil"/>
            </w:tcBorders>
            <w:vAlign w:val="bottom"/>
          </w:tcPr>
          <w:p w14:paraId="73CEB9C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0.011***</w:t>
            </w:r>
          </w:p>
        </w:tc>
      </w:tr>
      <w:tr w:rsidR="009478ED" w:rsidRPr="007F37A0" w14:paraId="16A78EB1"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462BA79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-RC</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3C84D6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64D44B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0.018</w:t>
            </w:r>
          </w:p>
        </w:tc>
        <w:tc>
          <w:tcPr>
            <w:tcW w:w="1530" w:type="dxa"/>
            <w:tcBorders>
              <w:top w:val="nil"/>
              <w:left w:val="nil"/>
              <w:bottom w:val="nil"/>
              <w:right w:val="nil"/>
            </w:tcBorders>
            <w:vAlign w:val="bottom"/>
          </w:tcPr>
          <w:p w14:paraId="5D51654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r>
      <w:tr w:rsidR="009478ED" w:rsidRPr="007F37A0" w14:paraId="0098271E"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519E8B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-RFO</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3E020BE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0.061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6F8F58B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0.066</w:t>
            </w:r>
          </w:p>
        </w:tc>
        <w:tc>
          <w:tcPr>
            <w:tcW w:w="1530" w:type="dxa"/>
            <w:tcBorders>
              <w:top w:val="nil"/>
              <w:left w:val="nil"/>
              <w:bottom w:val="nil"/>
              <w:right w:val="nil"/>
            </w:tcBorders>
            <w:vAlign w:val="bottom"/>
          </w:tcPr>
          <w:p w14:paraId="694B160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r>
      <w:tr w:rsidR="009478ED" w:rsidRPr="007F37A0" w14:paraId="56487755"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68215BF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-SGC</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62D1600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155CECC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530" w:type="dxa"/>
            <w:tcBorders>
              <w:top w:val="nil"/>
              <w:left w:val="nil"/>
              <w:bottom w:val="nil"/>
              <w:right w:val="nil"/>
            </w:tcBorders>
            <w:vAlign w:val="bottom"/>
          </w:tcPr>
          <w:p w14:paraId="28F4E6D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r>
      <w:tr w:rsidR="009478ED" w:rsidRPr="007F37A0" w14:paraId="740818D3"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516DEA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-SLW</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49699B2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73719D6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530" w:type="dxa"/>
            <w:tcBorders>
              <w:top w:val="nil"/>
              <w:left w:val="nil"/>
              <w:bottom w:val="nil"/>
              <w:right w:val="nil"/>
            </w:tcBorders>
            <w:vAlign w:val="bottom"/>
          </w:tcPr>
          <w:p w14:paraId="68B1474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5DE5D690"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75AD530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-SUB</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155747D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0.117</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06B557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0.099</w:t>
            </w:r>
          </w:p>
        </w:tc>
        <w:tc>
          <w:tcPr>
            <w:tcW w:w="1530" w:type="dxa"/>
            <w:tcBorders>
              <w:top w:val="nil"/>
              <w:left w:val="nil"/>
              <w:bottom w:val="nil"/>
              <w:right w:val="nil"/>
            </w:tcBorders>
            <w:vAlign w:val="bottom"/>
          </w:tcPr>
          <w:p w14:paraId="40BAEB6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0.018***</w:t>
            </w:r>
          </w:p>
        </w:tc>
      </w:tr>
      <w:tr w:rsidR="009478ED" w:rsidRPr="007F37A0" w14:paraId="5842B649"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55652DB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-WC</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2598032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3BCB23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530" w:type="dxa"/>
            <w:tcBorders>
              <w:top w:val="nil"/>
              <w:left w:val="nil"/>
              <w:bottom w:val="nil"/>
              <w:right w:val="nil"/>
            </w:tcBorders>
            <w:vAlign w:val="bottom"/>
          </w:tcPr>
          <w:p w14:paraId="090D24A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15B0D1B5"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1257F62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-WDL</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538ACB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0EA604F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530" w:type="dxa"/>
            <w:tcBorders>
              <w:top w:val="nil"/>
              <w:left w:val="nil"/>
              <w:bottom w:val="nil"/>
              <w:right w:val="nil"/>
            </w:tcBorders>
            <w:vAlign w:val="bottom"/>
          </w:tcPr>
          <w:p w14:paraId="121A4AB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57F06112"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B69B8F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Type -WDS</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61E995A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0.022</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591EEAC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0.013</w:t>
            </w:r>
          </w:p>
        </w:tc>
        <w:tc>
          <w:tcPr>
            <w:tcW w:w="1530" w:type="dxa"/>
            <w:tcBorders>
              <w:top w:val="nil"/>
              <w:left w:val="nil"/>
              <w:bottom w:val="nil"/>
              <w:right w:val="nil"/>
            </w:tcBorders>
            <w:vAlign w:val="bottom"/>
          </w:tcPr>
          <w:p w14:paraId="1222B11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r>
      <w:tr w:rsidR="009478ED" w:rsidRPr="007F37A0" w14:paraId="7664BF84" w14:textId="77777777" w:rsidTr="00735871">
        <w:trPr>
          <w:trHeight w:val="276"/>
        </w:trPr>
        <w:tc>
          <w:tcPr>
            <w:tcW w:w="3509" w:type="dxa"/>
            <w:tcBorders>
              <w:top w:val="nil"/>
              <w:left w:val="nil"/>
              <w:bottom w:val="nil"/>
              <w:right w:val="nil"/>
            </w:tcBorders>
            <w:shd w:val="clear" w:color="auto" w:fill="auto"/>
            <w:noWrap/>
            <w:tcMar>
              <w:top w:w="15" w:type="dxa"/>
              <w:left w:w="15" w:type="dxa"/>
              <w:bottom w:w="0" w:type="dxa"/>
              <w:right w:w="15" w:type="dxa"/>
            </w:tcMar>
            <w:vAlign w:val="bottom"/>
            <w:hideMark/>
          </w:tcPr>
          <w:p w14:paraId="3BC8E5B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CAA Non-attainment Status</w:t>
            </w:r>
          </w:p>
        </w:tc>
        <w:tc>
          <w:tcPr>
            <w:tcW w:w="1801" w:type="dxa"/>
            <w:tcBorders>
              <w:top w:val="nil"/>
              <w:left w:val="nil"/>
              <w:bottom w:val="nil"/>
              <w:right w:val="nil"/>
            </w:tcBorders>
            <w:shd w:val="clear" w:color="auto" w:fill="auto"/>
            <w:noWrap/>
            <w:tcMar>
              <w:top w:w="15" w:type="dxa"/>
              <w:left w:w="15" w:type="dxa"/>
              <w:bottom w:w="0" w:type="dxa"/>
              <w:right w:w="15" w:type="dxa"/>
            </w:tcMar>
            <w:vAlign w:val="bottom"/>
            <w:hideMark/>
          </w:tcPr>
          <w:p w14:paraId="2520EF0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0.231</w:t>
            </w:r>
          </w:p>
        </w:tc>
        <w:tc>
          <w:tcPr>
            <w:tcW w:w="1800" w:type="dxa"/>
            <w:tcBorders>
              <w:top w:val="nil"/>
              <w:left w:val="nil"/>
              <w:bottom w:val="nil"/>
              <w:right w:val="nil"/>
            </w:tcBorders>
            <w:shd w:val="clear" w:color="auto" w:fill="auto"/>
            <w:noWrap/>
            <w:tcMar>
              <w:top w:w="15" w:type="dxa"/>
              <w:left w:w="15" w:type="dxa"/>
              <w:bottom w:w="0" w:type="dxa"/>
              <w:right w:w="15" w:type="dxa"/>
            </w:tcMar>
            <w:vAlign w:val="bottom"/>
            <w:hideMark/>
          </w:tcPr>
          <w:p w14:paraId="7B7EA1B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0.332</w:t>
            </w:r>
          </w:p>
        </w:tc>
        <w:tc>
          <w:tcPr>
            <w:tcW w:w="1530" w:type="dxa"/>
            <w:tcBorders>
              <w:top w:val="nil"/>
              <w:left w:val="nil"/>
              <w:bottom w:val="nil"/>
              <w:right w:val="nil"/>
            </w:tcBorders>
            <w:vAlign w:val="bottom"/>
          </w:tcPr>
          <w:p w14:paraId="440E5F2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-0.101***</w:t>
            </w:r>
          </w:p>
        </w:tc>
      </w:tr>
      <w:tr w:rsidR="009478ED" w:rsidRPr="007F37A0" w14:paraId="699652F6" w14:textId="77777777" w:rsidTr="00735871">
        <w:trPr>
          <w:trHeight w:val="276"/>
        </w:trPr>
        <w:tc>
          <w:tcPr>
            <w:tcW w:w="350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2142A2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80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AA311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0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CD1567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530" w:type="dxa"/>
            <w:tcBorders>
              <w:top w:val="nil"/>
              <w:left w:val="nil"/>
              <w:bottom w:val="single" w:sz="4" w:space="0" w:color="auto"/>
              <w:right w:val="nil"/>
            </w:tcBorders>
          </w:tcPr>
          <w:p w14:paraId="15EE1488" w14:textId="77777777" w:rsidR="009478ED" w:rsidRPr="007F37A0" w:rsidRDefault="009478ED" w:rsidP="00735871">
            <w:pPr>
              <w:jc w:val="center"/>
              <w:rPr>
                <w:rFonts w:ascii="Times New Roman" w:hAnsi="Times New Roman" w:cs="Times New Roman"/>
              </w:rPr>
            </w:pPr>
          </w:p>
        </w:tc>
      </w:tr>
      <w:tr w:rsidR="009478ED" w:rsidRPr="007F37A0" w14:paraId="6F6282F4" w14:textId="77777777" w:rsidTr="00735871">
        <w:trPr>
          <w:trHeight w:val="276"/>
        </w:trPr>
        <w:tc>
          <w:tcPr>
            <w:tcW w:w="8640" w:type="dxa"/>
            <w:gridSpan w:val="4"/>
            <w:tcBorders>
              <w:top w:val="single" w:sz="4" w:space="0" w:color="auto"/>
              <w:left w:val="nil"/>
              <w:bottom w:val="single" w:sz="4" w:space="0" w:color="000000"/>
              <w:right w:val="nil"/>
            </w:tcBorders>
            <w:shd w:val="clear" w:color="auto" w:fill="auto"/>
            <w:noWrap/>
            <w:tcMar>
              <w:top w:w="15" w:type="dxa"/>
              <w:left w:w="15" w:type="dxa"/>
              <w:bottom w:w="0" w:type="dxa"/>
              <w:right w:w="15" w:type="dxa"/>
            </w:tcMar>
            <w:vAlign w:val="bottom"/>
          </w:tcPr>
          <w:p w14:paraId="46F991F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 Difference is Treated minus Control with statistical significance from t-test with unequal variances.</w:t>
            </w:r>
          </w:p>
        </w:tc>
      </w:tr>
    </w:tbl>
    <w:p w14:paraId="3146C7FF"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03735722" w14:textId="2D002C89" w:rsidR="009478ED" w:rsidRPr="007F37A0" w:rsidRDefault="009478ED" w:rsidP="007F37A0">
      <w:pPr>
        <w:pStyle w:val="Caption"/>
        <w:rPr>
          <w:rFonts w:cs="Times New Roman"/>
        </w:rPr>
      </w:pPr>
      <w:bookmarkStart w:id="164" w:name="_Ref164512356"/>
      <w:bookmarkStart w:id="165" w:name="_Toc164862557"/>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22</w:t>
      </w:r>
      <w:r w:rsidRPr="007F37A0">
        <w:rPr>
          <w:rFonts w:cs="Times New Roman"/>
        </w:rPr>
        <w:fldChar w:fldCharType="end"/>
      </w:r>
      <w:bookmarkEnd w:id="164"/>
      <w:r w:rsidRPr="007F37A0">
        <w:rPr>
          <w:rFonts w:cs="Times New Roman"/>
        </w:rPr>
        <w:t>: Fuel Switching from SO2 Regulation - Multinomial Logit</w:t>
      </w:r>
      <w:bookmarkEnd w:id="165"/>
    </w:p>
    <w:tbl>
      <w:tblPr>
        <w:tblW w:w="9567" w:type="dxa"/>
        <w:jc w:val="center"/>
        <w:tblLook w:val="04A0" w:firstRow="1" w:lastRow="0" w:firstColumn="1" w:lastColumn="0" w:noHBand="0" w:noVBand="1"/>
      </w:tblPr>
      <w:tblGrid>
        <w:gridCol w:w="3060"/>
        <w:gridCol w:w="1162"/>
        <w:gridCol w:w="2256"/>
        <w:gridCol w:w="1633"/>
        <w:gridCol w:w="1456"/>
      </w:tblGrid>
      <w:tr w:rsidR="009478ED" w:rsidRPr="007F37A0" w14:paraId="1B64DE7B"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7AE2707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5C02740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6" w:type="dxa"/>
            <w:tcBorders>
              <w:top w:val="single" w:sz="4" w:space="0" w:color="000000"/>
              <w:left w:val="nil"/>
              <w:bottom w:val="nil"/>
              <w:right w:val="nil"/>
            </w:tcBorders>
            <w:shd w:val="clear" w:color="auto" w:fill="auto"/>
            <w:noWrap/>
            <w:vAlign w:val="bottom"/>
            <w:hideMark/>
          </w:tcPr>
          <w:p w14:paraId="652929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633" w:type="dxa"/>
            <w:tcBorders>
              <w:top w:val="single" w:sz="4" w:space="0" w:color="000000"/>
              <w:left w:val="nil"/>
              <w:bottom w:val="nil"/>
              <w:right w:val="nil"/>
            </w:tcBorders>
            <w:shd w:val="clear" w:color="auto" w:fill="auto"/>
            <w:noWrap/>
            <w:vAlign w:val="bottom"/>
            <w:hideMark/>
          </w:tcPr>
          <w:p w14:paraId="772227C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456" w:type="dxa"/>
            <w:tcBorders>
              <w:top w:val="single" w:sz="4" w:space="0" w:color="000000"/>
              <w:left w:val="nil"/>
              <w:bottom w:val="nil"/>
              <w:right w:val="nil"/>
            </w:tcBorders>
            <w:shd w:val="clear" w:color="auto" w:fill="auto"/>
            <w:noWrap/>
            <w:vAlign w:val="bottom"/>
            <w:hideMark/>
          </w:tcPr>
          <w:p w14:paraId="745C7E4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428891A9"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7B7DE3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33D3B88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Switch Fuel Type </w:t>
            </w:r>
          </w:p>
        </w:tc>
        <w:tc>
          <w:tcPr>
            <w:tcW w:w="1162" w:type="dxa"/>
            <w:tcBorders>
              <w:top w:val="nil"/>
              <w:left w:val="nil"/>
              <w:bottom w:val="nil"/>
              <w:right w:val="nil"/>
            </w:tcBorders>
            <w:shd w:val="clear" w:color="auto" w:fill="auto"/>
            <w:noWrap/>
            <w:vAlign w:val="bottom"/>
            <w:hideMark/>
          </w:tcPr>
          <w:p w14:paraId="5C5B95E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6" w:type="dxa"/>
            <w:tcBorders>
              <w:top w:val="nil"/>
              <w:left w:val="nil"/>
              <w:bottom w:val="nil"/>
              <w:right w:val="nil"/>
            </w:tcBorders>
            <w:shd w:val="clear" w:color="auto" w:fill="auto"/>
            <w:noWrap/>
            <w:vAlign w:val="bottom"/>
            <w:hideMark/>
          </w:tcPr>
          <w:p w14:paraId="4093480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633" w:type="dxa"/>
            <w:tcBorders>
              <w:top w:val="nil"/>
              <w:left w:val="nil"/>
              <w:bottom w:val="nil"/>
              <w:right w:val="nil"/>
            </w:tcBorders>
            <w:shd w:val="clear" w:color="auto" w:fill="auto"/>
            <w:noWrap/>
            <w:vAlign w:val="bottom"/>
            <w:hideMark/>
          </w:tcPr>
          <w:p w14:paraId="6D3E8DA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456" w:type="dxa"/>
            <w:tcBorders>
              <w:top w:val="nil"/>
              <w:left w:val="nil"/>
              <w:bottom w:val="nil"/>
              <w:right w:val="nil"/>
            </w:tcBorders>
            <w:shd w:val="clear" w:color="auto" w:fill="auto"/>
            <w:noWrap/>
            <w:vAlign w:val="bottom"/>
            <w:hideMark/>
          </w:tcPr>
          <w:p w14:paraId="13CD357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35795763"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0C48D72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617326C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6" w:type="dxa"/>
            <w:tcBorders>
              <w:top w:val="single" w:sz="4" w:space="0" w:color="000000"/>
              <w:left w:val="nil"/>
              <w:bottom w:val="nil"/>
              <w:right w:val="nil"/>
            </w:tcBorders>
            <w:shd w:val="clear" w:color="auto" w:fill="auto"/>
            <w:noWrap/>
            <w:vAlign w:val="bottom"/>
            <w:hideMark/>
          </w:tcPr>
          <w:p w14:paraId="19A33C7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633" w:type="dxa"/>
            <w:tcBorders>
              <w:top w:val="single" w:sz="4" w:space="0" w:color="000000"/>
              <w:left w:val="nil"/>
              <w:bottom w:val="nil"/>
              <w:right w:val="nil"/>
            </w:tcBorders>
            <w:shd w:val="clear" w:color="auto" w:fill="auto"/>
            <w:noWrap/>
            <w:vAlign w:val="bottom"/>
            <w:hideMark/>
          </w:tcPr>
          <w:p w14:paraId="2653867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6D5A1F8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2F330EE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B1A51D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SO2 Treatment</w:t>
            </w:r>
          </w:p>
        </w:tc>
        <w:tc>
          <w:tcPr>
            <w:tcW w:w="1162" w:type="dxa"/>
            <w:tcBorders>
              <w:top w:val="nil"/>
              <w:left w:val="nil"/>
              <w:bottom w:val="nil"/>
              <w:right w:val="nil"/>
            </w:tcBorders>
            <w:shd w:val="clear" w:color="auto" w:fill="auto"/>
            <w:noWrap/>
            <w:vAlign w:val="bottom"/>
            <w:hideMark/>
          </w:tcPr>
          <w:p w14:paraId="0BC2C65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0.553***</w:t>
            </w:r>
          </w:p>
        </w:tc>
        <w:tc>
          <w:tcPr>
            <w:tcW w:w="2256" w:type="dxa"/>
            <w:tcBorders>
              <w:top w:val="nil"/>
              <w:left w:val="nil"/>
              <w:bottom w:val="nil"/>
              <w:right w:val="nil"/>
            </w:tcBorders>
            <w:shd w:val="clear" w:color="auto" w:fill="auto"/>
            <w:noWrap/>
            <w:vAlign w:val="bottom"/>
            <w:hideMark/>
          </w:tcPr>
          <w:p w14:paraId="4A40405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0.428***</w:t>
            </w:r>
          </w:p>
        </w:tc>
        <w:tc>
          <w:tcPr>
            <w:tcW w:w="1633" w:type="dxa"/>
            <w:tcBorders>
              <w:top w:val="nil"/>
              <w:left w:val="nil"/>
              <w:bottom w:val="nil"/>
              <w:right w:val="nil"/>
            </w:tcBorders>
            <w:shd w:val="clear" w:color="auto" w:fill="auto"/>
            <w:noWrap/>
            <w:vAlign w:val="bottom"/>
            <w:hideMark/>
          </w:tcPr>
          <w:p w14:paraId="1DF114B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0.459***</w:t>
            </w:r>
          </w:p>
        </w:tc>
        <w:tc>
          <w:tcPr>
            <w:tcW w:w="1456" w:type="dxa"/>
            <w:tcBorders>
              <w:top w:val="nil"/>
              <w:left w:val="nil"/>
              <w:bottom w:val="nil"/>
              <w:right w:val="nil"/>
            </w:tcBorders>
            <w:shd w:val="clear" w:color="auto" w:fill="auto"/>
            <w:noWrap/>
            <w:vAlign w:val="bottom"/>
            <w:hideMark/>
          </w:tcPr>
          <w:p w14:paraId="44B3579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0.418***</w:t>
            </w:r>
          </w:p>
        </w:tc>
      </w:tr>
      <w:tr w:rsidR="009478ED" w:rsidRPr="007F37A0" w14:paraId="19BF68F3"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54D044E1"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54EF611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(0.062)</w:t>
            </w:r>
          </w:p>
        </w:tc>
        <w:tc>
          <w:tcPr>
            <w:tcW w:w="2256" w:type="dxa"/>
            <w:tcBorders>
              <w:top w:val="nil"/>
              <w:left w:val="nil"/>
              <w:bottom w:val="nil"/>
              <w:right w:val="nil"/>
            </w:tcBorders>
            <w:shd w:val="clear" w:color="auto" w:fill="auto"/>
            <w:noWrap/>
            <w:vAlign w:val="bottom"/>
            <w:hideMark/>
          </w:tcPr>
          <w:p w14:paraId="7E6C00F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(0.086)</w:t>
            </w:r>
          </w:p>
        </w:tc>
        <w:tc>
          <w:tcPr>
            <w:tcW w:w="1633" w:type="dxa"/>
            <w:tcBorders>
              <w:top w:val="nil"/>
              <w:left w:val="nil"/>
              <w:bottom w:val="nil"/>
              <w:right w:val="nil"/>
            </w:tcBorders>
            <w:shd w:val="clear" w:color="auto" w:fill="auto"/>
            <w:noWrap/>
            <w:vAlign w:val="bottom"/>
            <w:hideMark/>
          </w:tcPr>
          <w:p w14:paraId="106E3FF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(0.086)</w:t>
            </w:r>
          </w:p>
        </w:tc>
        <w:tc>
          <w:tcPr>
            <w:tcW w:w="1456" w:type="dxa"/>
            <w:tcBorders>
              <w:top w:val="nil"/>
              <w:left w:val="nil"/>
              <w:bottom w:val="nil"/>
              <w:right w:val="nil"/>
            </w:tcBorders>
            <w:shd w:val="clear" w:color="auto" w:fill="auto"/>
            <w:noWrap/>
            <w:vAlign w:val="bottom"/>
            <w:hideMark/>
          </w:tcPr>
          <w:p w14:paraId="709831E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(0.094)</w:t>
            </w:r>
          </w:p>
        </w:tc>
      </w:tr>
      <w:tr w:rsidR="009478ED" w:rsidRPr="007F37A0" w14:paraId="311B6F9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5F29F9D5"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68624C20" w14:textId="77777777" w:rsidR="009478ED" w:rsidRPr="007F37A0" w:rsidRDefault="009478ED" w:rsidP="00735871">
            <w:pPr>
              <w:rPr>
                <w:rFonts w:ascii="Times New Roman" w:hAnsi="Times New Roman" w:cs="Times New Roman"/>
              </w:rPr>
            </w:pPr>
          </w:p>
        </w:tc>
        <w:tc>
          <w:tcPr>
            <w:tcW w:w="2256" w:type="dxa"/>
            <w:tcBorders>
              <w:top w:val="nil"/>
              <w:left w:val="nil"/>
              <w:bottom w:val="nil"/>
              <w:right w:val="nil"/>
            </w:tcBorders>
            <w:shd w:val="clear" w:color="auto" w:fill="auto"/>
            <w:noWrap/>
            <w:vAlign w:val="bottom"/>
            <w:hideMark/>
          </w:tcPr>
          <w:p w14:paraId="1E0F491C" w14:textId="77777777" w:rsidR="009478ED" w:rsidRPr="007F37A0" w:rsidRDefault="009478ED" w:rsidP="00735871">
            <w:pPr>
              <w:jc w:val="center"/>
              <w:rPr>
                <w:rFonts w:ascii="Times New Roman" w:hAnsi="Times New Roman" w:cs="Times New Roman"/>
              </w:rPr>
            </w:pPr>
          </w:p>
        </w:tc>
        <w:tc>
          <w:tcPr>
            <w:tcW w:w="1633" w:type="dxa"/>
            <w:tcBorders>
              <w:top w:val="nil"/>
              <w:left w:val="nil"/>
              <w:bottom w:val="nil"/>
              <w:right w:val="nil"/>
            </w:tcBorders>
            <w:shd w:val="clear" w:color="auto" w:fill="auto"/>
            <w:noWrap/>
            <w:vAlign w:val="bottom"/>
            <w:hideMark/>
          </w:tcPr>
          <w:p w14:paraId="4B7476B6"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4DFAFF28" w14:textId="77777777" w:rsidR="009478ED" w:rsidRPr="007F37A0" w:rsidRDefault="009478ED" w:rsidP="00735871">
            <w:pPr>
              <w:jc w:val="center"/>
              <w:rPr>
                <w:rFonts w:ascii="Times New Roman" w:hAnsi="Times New Roman" w:cs="Times New Roman"/>
              </w:rPr>
            </w:pPr>
          </w:p>
        </w:tc>
      </w:tr>
      <w:tr w:rsidR="009478ED" w:rsidRPr="007F37A0" w14:paraId="0AA6D62B"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495717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62" w:type="dxa"/>
            <w:tcBorders>
              <w:top w:val="nil"/>
              <w:left w:val="nil"/>
              <w:bottom w:val="nil"/>
              <w:right w:val="nil"/>
            </w:tcBorders>
            <w:shd w:val="clear" w:color="auto" w:fill="auto"/>
            <w:noWrap/>
            <w:vAlign w:val="bottom"/>
            <w:hideMark/>
          </w:tcPr>
          <w:p w14:paraId="742F9CA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6" w:type="dxa"/>
            <w:tcBorders>
              <w:top w:val="nil"/>
              <w:left w:val="nil"/>
              <w:bottom w:val="nil"/>
              <w:right w:val="nil"/>
            </w:tcBorders>
            <w:shd w:val="clear" w:color="auto" w:fill="auto"/>
            <w:noWrap/>
            <w:vAlign w:val="bottom"/>
            <w:hideMark/>
          </w:tcPr>
          <w:p w14:paraId="6198AC9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633" w:type="dxa"/>
            <w:tcBorders>
              <w:top w:val="nil"/>
              <w:left w:val="nil"/>
              <w:bottom w:val="nil"/>
              <w:right w:val="nil"/>
            </w:tcBorders>
            <w:shd w:val="clear" w:color="auto" w:fill="auto"/>
            <w:noWrap/>
            <w:vAlign w:val="bottom"/>
            <w:hideMark/>
          </w:tcPr>
          <w:p w14:paraId="39232B6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1544C78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4A0E3D34"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3D72E07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62" w:type="dxa"/>
            <w:tcBorders>
              <w:top w:val="nil"/>
              <w:left w:val="nil"/>
              <w:bottom w:val="nil"/>
              <w:right w:val="nil"/>
            </w:tcBorders>
            <w:shd w:val="clear" w:color="auto" w:fill="auto"/>
            <w:noWrap/>
            <w:vAlign w:val="bottom"/>
            <w:hideMark/>
          </w:tcPr>
          <w:p w14:paraId="7B1A6C4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6" w:type="dxa"/>
            <w:tcBorders>
              <w:top w:val="nil"/>
              <w:left w:val="nil"/>
              <w:bottom w:val="nil"/>
              <w:right w:val="nil"/>
            </w:tcBorders>
            <w:shd w:val="clear" w:color="auto" w:fill="auto"/>
            <w:noWrap/>
            <w:vAlign w:val="bottom"/>
            <w:hideMark/>
          </w:tcPr>
          <w:p w14:paraId="3FB8D65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31033C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642712E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58FDE75"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1F4EE0B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62" w:type="dxa"/>
            <w:tcBorders>
              <w:top w:val="nil"/>
              <w:left w:val="nil"/>
              <w:bottom w:val="nil"/>
              <w:right w:val="nil"/>
            </w:tcBorders>
            <w:shd w:val="clear" w:color="auto" w:fill="auto"/>
            <w:noWrap/>
            <w:vAlign w:val="bottom"/>
            <w:hideMark/>
          </w:tcPr>
          <w:p w14:paraId="300E8FE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39B2CA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1AFD9B8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0E4559B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7465DC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4B55F69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62" w:type="dxa"/>
            <w:tcBorders>
              <w:top w:val="nil"/>
              <w:left w:val="nil"/>
              <w:bottom w:val="nil"/>
              <w:right w:val="nil"/>
            </w:tcBorders>
            <w:shd w:val="clear" w:color="auto" w:fill="auto"/>
            <w:noWrap/>
            <w:vAlign w:val="bottom"/>
            <w:hideMark/>
          </w:tcPr>
          <w:p w14:paraId="3BE1A84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5B0209E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nil"/>
              <w:right w:val="nil"/>
            </w:tcBorders>
            <w:shd w:val="clear" w:color="auto" w:fill="auto"/>
            <w:noWrap/>
            <w:vAlign w:val="bottom"/>
            <w:hideMark/>
          </w:tcPr>
          <w:p w14:paraId="7841E54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1305241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2895864" w14:textId="77777777" w:rsidTr="00735871">
        <w:trPr>
          <w:trHeight w:val="276"/>
          <w:jc w:val="center"/>
        </w:trPr>
        <w:tc>
          <w:tcPr>
            <w:tcW w:w="3060" w:type="dxa"/>
            <w:tcBorders>
              <w:top w:val="nil"/>
              <w:left w:val="nil"/>
              <w:bottom w:val="single" w:sz="4" w:space="0" w:color="000000"/>
              <w:right w:val="nil"/>
            </w:tcBorders>
            <w:shd w:val="clear" w:color="auto" w:fill="auto"/>
            <w:noWrap/>
            <w:vAlign w:val="bottom"/>
            <w:hideMark/>
          </w:tcPr>
          <w:p w14:paraId="718933F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62" w:type="dxa"/>
            <w:tcBorders>
              <w:top w:val="nil"/>
              <w:left w:val="nil"/>
              <w:bottom w:val="single" w:sz="4" w:space="0" w:color="000000"/>
              <w:right w:val="nil"/>
            </w:tcBorders>
            <w:shd w:val="clear" w:color="auto" w:fill="auto"/>
            <w:noWrap/>
            <w:vAlign w:val="bottom"/>
            <w:hideMark/>
          </w:tcPr>
          <w:p w14:paraId="379BC1A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single" w:sz="4" w:space="0" w:color="000000"/>
              <w:right w:val="nil"/>
            </w:tcBorders>
            <w:shd w:val="clear" w:color="auto" w:fill="auto"/>
            <w:noWrap/>
            <w:vAlign w:val="bottom"/>
            <w:hideMark/>
          </w:tcPr>
          <w:p w14:paraId="6D60262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single" w:sz="4" w:space="0" w:color="000000"/>
              <w:right w:val="nil"/>
            </w:tcBorders>
            <w:shd w:val="clear" w:color="auto" w:fill="auto"/>
            <w:noWrap/>
            <w:vAlign w:val="bottom"/>
            <w:hideMark/>
          </w:tcPr>
          <w:p w14:paraId="1CA4E99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000000"/>
              <w:right w:val="nil"/>
            </w:tcBorders>
            <w:shd w:val="clear" w:color="auto" w:fill="auto"/>
            <w:noWrap/>
            <w:vAlign w:val="bottom"/>
            <w:hideMark/>
          </w:tcPr>
          <w:p w14:paraId="7DA1C82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EA8BCFC"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2A10B97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and waste heat input control variables were dropped for convergence.</w:t>
            </w:r>
          </w:p>
        </w:tc>
      </w:tr>
      <w:tr w:rsidR="009478ED" w:rsidRPr="007F37A0" w14:paraId="7877BAF5"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0A6701D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2CBD627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switching fuel type reported in this table. SO2 treatment is an indicator variable for treatment under either CAIR or CSAPR for SO2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244C44A3"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1CF1EFF8" w14:textId="09C57452" w:rsidR="009478ED" w:rsidRPr="007F37A0" w:rsidRDefault="009478ED" w:rsidP="007F37A0">
      <w:pPr>
        <w:pStyle w:val="Caption"/>
        <w:rPr>
          <w:rFonts w:cs="Times New Roman"/>
        </w:rPr>
      </w:pPr>
      <w:bookmarkStart w:id="166" w:name="_Toc164862558"/>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23</w:t>
      </w:r>
      <w:r w:rsidRPr="007F37A0">
        <w:rPr>
          <w:rFonts w:cs="Times New Roman"/>
        </w:rPr>
        <w:fldChar w:fldCharType="end"/>
      </w:r>
      <w:r w:rsidRPr="007F37A0">
        <w:rPr>
          <w:rFonts w:cs="Times New Roman"/>
        </w:rPr>
        <w:t>: New Wet SO</w:t>
      </w:r>
      <w:r w:rsidRPr="007F37A0">
        <w:rPr>
          <w:rFonts w:cs="Times New Roman"/>
          <w:vertAlign w:val="subscript"/>
        </w:rPr>
        <w:t>2</w:t>
      </w:r>
      <w:r w:rsidRPr="007F37A0">
        <w:rPr>
          <w:rFonts w:cs="Times New Roman"/>
        </w:rPr>
        <w:t xml:space="preserve"> Abatement Technology - Multinomial Logit</w:t>
      </w:r>
      <w:bookmarkEnd w:id="166"/>
    </w:p>
    <w:tbl>
      <w:tblPr>
        <w:tblW w:w="9567" w:type="dxa"/>
        <w:jc w:val="center"/>
        <w:tblLook w:val="04A0" w:firstRow="1" w:lastRow="0" w:firstColumn="1" w:lastColumn="0" w:noHBand="0" w:noVBand="1"/>
      </w:tblPr>
      <w:tblGrid>
        <w:gridCol w:w="3060"/>
        <w:gridCol w:w="1162"/>
        <w:gridCol w:w="2256"/>
        <w:gridCol w:w="1633"/>
        <w:gridCol w:w="1456"/>
      </w:tblGrid>
      <w:tr w:rsidR="009478ED" w:rsidRPr="007F37A0" w14:paraId="09B6D5C2"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088FACE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0AE8C90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6" w:type="dxa"/>
            <w:tcBorders>
              <w:top w:val="single" w:sz="4" w:space="0" w:color="000000"/>
              <w:left w:val="nil"/>
              <w:bottom w:val="nil"/>
              <w:right w:val="nil"/>
            </w:tcBorders>
            <w:shd w:val="clear" w:color="auto" w:fill="auto"/>
            <w:noWrap/>
            <w:vAlign w:val="bottom"/>
            <w:hideMark/>
          </w:tcPr>
          <w:p w14:paraId="1F75B4D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633" w:type="dxa"/>
            <w:tcBorders>
              <w:top w:val="single" w:sz="4" w:space="0" w:color="000000"/>
              <w:left w:val="nil"/>
              <w:bottom w:val="nil"/>
              <w:right w:val="nil"/>
            </w:tcBorders>
            <w:shd w:val="clear" w:color="auto" w:fill="auto"/>
            <w:noWrap/>
            <w:vAlign w:val="bottom"/>
            <w:hideMark/>
          </w:tcPr>
          <w:p w14:paraId="01A8648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456" w:type="dxa"/>
            <w:tcBorders>
              <w:top w:val="single" w:sz="4" w:space="0" w:color="000000"/>
              <w:left w:val="nil"/>
              <w:bottom w:val="nil"/>
              <w:right w:val="nil"/>
            </w:tcBorders>
            <w:shd w:val="clear" w:color="auto" w:fill="auto"/>
            <w:noWrap/>
            <w:vAlign w:val="bottom"/>
            <w:hideMark/>
          </w:tcPr>
          <w:p w14:paraId="3424FAD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21D168F1"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46332A7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33EFDA4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New Wet Technology Installation </w:t>
            </w:r>
          </w:p>
        </w:tc>
        <w:tc>
          <w:tcPr>
            <w:tcW w:w="1162" w:type="dxa"/>
            <w:tcBorders>
              <w:top w:val="nil"/>
              <w:left w:val="nil"/>
              <w:bottom w:val="nil"/>
              <w:right w:val="nil"/>
            </w:tcBorders>
            <w:shd w:val="clear" w:color="auto" w:fill="auto"/>
            <w:noWrap/>
            <w:vAlign w:val="bottom"/>
            <w:hideMark/>
          </w:tcPr>
          <w:p w14:paraId="1396826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6" w:type="dxa"/>
            <w:tcBorders>
              <w:top w:val="nil"/>
              <w:left w:val="nil"/>
              <w:bottom w:val="nil"/>
              <w:right w:val="nil"/>
            </w:tcBorders>
            <w:shd w:val="clear" w:color="auto" w:fill="auto"/>
            <w:noWrap/>
            <w:vAlign w:val="bottom"/>
            <w:hideMark/>
          </w:tcPr>
          <w:p w14:paraId="10159FB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633" w:type="dxa"/>
            <w:tcBorders>
              <w:top w:val="nil"/>
              <w:left w:val="nil"/>
              <w:bottom w:val="nil"/>
              <w:right w:val="nil"/>
            </w:tcBorders>
            <w:shd w:val="clear" w:color="auto" w:fill="auto"/>
            <w:noWrap/>
            <w:vAlign w:val="bottom"/>
            <w:hideMark/>
          </w:tcPr>
          <w:p w14:paraId="289D9B8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456" w:type="dxa"/>
            <w:tcBorders>
              <w:top w:val="nil"/>
              <w:left w:val="nil"/>
              <w:bottom w:val="nil"/>
              <w:right w:val="nil"/>
            </w:tcBorders>
            <w:shd w:val="clear" w:color="auto" w:fill="auto"/>
            <w:noWrap/>
            <w:vAlign w:val="bottom"/>
            <w:hideMark/>
          </w:tcPr>
          <w:p w14:paraId="416384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45072B01"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79B3B5C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7E52418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6" w:type="dxa"/>
            <w:tcBorders>
              <w:top w:val="single" w:sz="4" w:space="0" w:color="000000"/>
              <w:left w:val="nil"/>
              <w:bottom w:val="nil"/>
              <w:right w:val="nil"/>
            </w:tcBorders>
            <w:shd w:val="clear" w:color="auto" w:fill="auto"/>
            <w:noWrap/>
            <w:vAlign w:val="bottom"/>
            <w:hideMark/>
          </w:tcPr>
          <w:p w14:paraId="34A9B48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633" w:type="dxa"/>
            <w:tcBorders>
              <w:top w:val="single" w:sz="4" w:space="0" w:color="000000"/>
              <w:left w:val="nil"/>
              <w:bottom w:val="nil"/>
              <w:right w:val="nil"/>
            </w:tcBorders>
            <w:shd w:val="clear" w:color="auto" w:fill="auto"/>
            <w:noWrap/>
            <w:vAlign w:val="bottom"/>
            <w:hideMark/>
          </w:tcPr>
          <w:p w14:paraId="6D7FBE6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58B8CFC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04B0FF41"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3F09A3E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SO2 Treatment</w:t>
            </w:r>
          </w:p>
        </w:tc>
        <w:tc>
          <w:tcPr>
            <w:tcW w:w="1162" w:type="dxa"/>
            <w:tcBorders>
              <w:top w:val="nil"/>
              <w:left w:val="nil"/>
              <w:bottom w:val="nil"/>
              <w:right w:val="nil"/>
            </w:tcBorders>
            <w:shd w:val="clear" w:color="auto" w:fill="auto"/>
            <w:noWrap/>
            <w:vAlign w:val="bottom"/>
            <w:hideMark/>
          </w:tcPr>
          <w:p w14:paraId="6FE2776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0.824***</w:t>
            </w:r>
          </w:p>
        </w:tc>
        <w:tc>
          <w:tcPr>
            <w:tcW w:w="2256" w:type="dxa"/>
            <w:tcBorders>
              <w:top w:val="nil"/>
              <w:left w:val="nil"/>
              <w:bottom w:val="nil"/>
              <w:right w:val="nil"/>
            </w:tcBorders>
            <w:shd w:val="clear" w:color="auto" w:fill="auto"/>
            <w:noWrap/>
            <w:vAlign w:val="bottom"/>
            <w:hideMark/>
          </w:tcPr>
          <w:p w14:paraId="5E0BFFD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0.063</w:t>
            </w:r>
          </w:p>
        </w:tc>
        <w:tc>
          <w:tcPr>
            <w:tcW w:w="1633" w:type="dxa"/>
            <w:tcBorders>
              <w:top w:val="nil"/>
              <w:left w:val="nil"/>
              <w:bottom w:val="nil"/>
              <w:right w:val="nil"/>
            </w:tcBorders>
            <w:shd w:val="clear" w:color="auto" w:fill="auto"/>
            <w:noWrap/>
            <w:vAlign w:val="bottom"/>
            <w:hideMark/>
          </w:tcPr>
          <w:p w14:paraId="0D61B46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0.041</w:t>
            </w:r>
          </w:p>
        </w:tc>
        <w:tc>
          <w:tcPr>
            <w:tcW w:w="1456" w:type="dxa"/>
            <w:tcBorders>
              <w:top w:val="nil"/>
              <w:left w:val="nil"/>
              <w:bottom w:val="nil"/>
              <w:right w:val="nil"/>
            </w:tcBorders>
            <w:shd w:val="clear" w:color="auto" w:fill="auto"/>
            <w:noWrap/>
            <w:vAlign w:val="bottom"/>
            <w:hideMark/>
          </w:tcPr>
          <w:p w14:paraId="7852346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-0.102</w:t>
            </w:r>
          </w:p>
        </w:tc>
      </w:tr>
      <w:tr w:rsidR="009478ED" w:rsidRPr="007F37A0" w14:paraId="45D177C3"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153D1E22"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64B9B6B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(0.288)</w:t>
            </w:r>
          </w:p>
        </w:tc>
        <w:tc>
          <w:tcPr>
            <w:tcW w:w="2256" w:type="dxa"/>
            <w:tcBorders>
              <w:top w:val="nil"/>
              <w:left w:val="nil"/>
              <w:bottom w:val="nil"/>
              <w:right w:val="nil"/>
            </w:tcBorders>
            <w:shd w:val="clear" w:color="auto" w:fill="auto"/>
            <w:noWrap/>
            <w:vAlign w:val="bottom"/>
            <w:hideMark/>
          </w:tcPr>
          <w:p w14:paraId="43A2BB4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(0.462)</w:t>
            </w:r>
          </w:p>
        </w:tc>
        <w:tc>
          <w:tcPr>
            <w:tcW w:w="1633" w:type="dxa"/>
            <w:tcBorders>
              <w:top w:val="nil"/>
              <w:left w:val="nil"/>
              <w:bottom w:val="nil"/>
              <w:right w:val="nil"/>
            </w:tcBorders>
            <w:shd w:val="clear" w:color="auto" w:fill="auto"/>
            <w:noWrap/>
            <w:vAlign w:val="bottom"/>
            <w:hideMark/>
          </w:tcPr>
          <w:p w14:paraId="54F7933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(0.485)</w:t>
            </w:r>
          </w:p>
        </w:tc>
        <w:tc>
          <w:tcPr>
            <w:tcW w:w="1456" w:type="dxa"/>
            <w:tcBorders>
              <w:top w:val="nil"/>
              <w:left w:val="nil"/>
              <w:bottom w:val="nil"/>
              <w:right w:val="nil"/>
            </w:tcBorders>
            <w:shd w:val="clear" w:color="auto" w:fill="auto"/>
            <w:noWrap/>
            <w:vAlign w:val="bottom"/>
            <w:hideMark/>
          </w:tcPr>
          <w:p w14:paraId="38D7B1E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(0.535)</w:t>
            </w:r>
          </w:p>
        </w:tc>
      </w:tr>
      <w:tr w:rsidR="009478ED" w:rsidRPr="007F37A0" w14:paraId="74C97A14"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FEC4331"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75DA6FFC" w14:textId="77777777" w:rsidR="009478ED" w:rsidRPr="007F37A0" w:rsidRDefault="009478ED" w:rsidP="00735871">
            <w:pPr>
              <w:rPr>
                <w:rFonts w:ascii="Times New Roman" w:hAnsi="Times New Roman" w:cs="Times New Roman"/>
              </w:rPr>
            </w:pPr>
          </w:p>
        </w:tc>
        <w:tc>
          <w:tcPr>
            <w:tcW w:w="2256" w:type="dxa"/>
            <w:tcBorders>
              <w:top w:val="nil"/>
              <w:left w:val="nil"/>
              <w:bottom w:val="nil"/>
              <w:right w:val="nil"/>
            </w:tcBorders>
            <w:shd w:val="clear" w:color="auto" w:fill="auto"/>
            <w:noWrap/>
            <w:vAlign w:val="bottom"/>
            <w:hideMark/>
          </w:tcPr>
          <w:p w14:paraId="580717CC" w14:textId="77777777" w:rsidR="009478ED" w:rsidRPr="007F37A0" w:rsidRDefault="009478ED" w:rsidP="00735871">
            <w:pPr>
              <w:jc w:val="center"/>
              <w:rPr>
                <w:rFonts w:ascii="Times New Roman" w:hAnsi="Times New Roman" w:cs="Times New Roman"/>
              </w:rPr>
            </w:pPr>
          </w:p>
        </w:tc>
        <w:tc>
          <w:tcPr>
            <w:tcW w:w="1633" w:type="dxa"/>
            <w:tcBorders>
              <w:top w:val="nil"/>
              <w:left w:val="nil"/>
              <w:bottom w:val="nil"/>
              <w:right w:val="nil"/>
            </w:tcBorders>
            <w:shd w:val="clear" w:color="auto" w:fill="auto"/>
            <w:noWrap/>
            <w:vAlign w:val="bottom"/>
            <w:hideMark/>
          </w:tcPr>
          <w:p w14:paraId="2328D3B0"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704DD3F6" w14:textId="77777777" w:rsidR="009478ED" w:rsidRPr="007F37A0" w:rsidRDefault="009478ED" w:rsidP="00735871">
            <w:pPr>
              <w:jc w:val="center"/>
              <w:rPr>
                <w:rFonts w:ascii="Times New Roman" w:hAnsi="Times New Roman" w:cs="Times New Roman"/>
              </w:rPr>
            </w:pPr>
          </w:p>
        </w:tc>
      </w:tr>
      <w:tr w:rsidR="009478ED" w:rsidRPr="007F37A0" w14:paraId="0A0BEF5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705D38E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62" w:type="dxa"/>
            <w:tcBorders>
              <w:top w:val="nil"/>
              <w:left w:val="nil"/>
              <w:bottom w:val="nil"/>
              <w:right w:val="nil"/>
            </w:tcBorders>
            <w:shd w:val="clear" w:color="auto" w:fill="auto"/>
            <w:noWrap/>
            <w:vAlign w:val="bottom"/>
            <w:hideMark/>
          </w:tcPr>
          <w:p w14:paraId="435C64C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6" w:type="dxa"/>
            <w:tcBorders>
              <w:top w:val="nil"/>
              <w:left w:val="nil"/>
              <w:bottom w:val="nil"/>
              <w:right w:val="nil"/>
            </w:tcBorders>
            <w:shd w:val="clear" w:color="auto" w:fill="auto"/>
            <w:noWrap/>
            <w:vAlign w:val="bottom"/>
            <w:hideMark/>
          </w:tcPr>
          <w:p w14:paraId="4A924FE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633" w:type="dxa"/>
            <w:tcBorders>
              <w:top w:val="nil"/>
              <w:left w:val="nil"/>
              <w:bottom w:val="nil"/>
              <w:right w:val="nil"/>
            </w:tcBorders>
            <w:shd w:val="clear" w:color="auto" w:fill="auto"/>
            <w:noWrap/>
            <w:vAlign w:val="bottom"/>
            <w:hideMark/>
          </w:tcPr>
          <w:p w14:paraId="6A101A3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06C9E2B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1988F71D"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6EA649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62" w:type="dxa"/>
            <w:tcBorders>
              <w:top w:val="nil"/>
              <w:left w:val="nil"/>
              <w:bottom w:val="nil"/>
              <w:right w:val="nil"/>
            </w:tcBorders>
            <w:shd w:val="clear" w:color="auto" w:fill="auto"/>
            <w:noWrap/>
            <w:vAlign w:val="bottom"/>
            <w:hideMark/>
          </w:tcPr>
          <w:p w14:paraId="6921588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6" w:type="dxa"/>
            <w:tcBorders>
              <w:top w:val="nil"/>
              <w:left w:val="nil"/>
              <w:bottom w:val="nil"/>
              <w:right w:val="nil"/>
            </w:tcBorders>
            <w:shd w:val="clear" w:color="auto" w:fill="auto"/>
            <w:noWrap/>
            <w:vAlign w:val="bottom"/>
            <w:hideMark/>
          </w:tcPr>
          <w:p w14:paraId="3F4E404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3804F30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30ED455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7D5B270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367CE05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62" w:type="dxa"/>
            <w:tcBorders>
              <w:top w:val="nil"/>
              <w:left w:val="nil"/>
              <w:bottom w:val="nil"/>
              <w:right w:val="nil"/>
            </w:tcBorders>
            <w:shd w:val="clear" w:color="auto" w:fill="auto"/>
            <w:noWrap/>
            <w:vAlign w:val="bottom"/>
            <w:hideMark/>
          </w:tcPr>
          <w:p w14:paraId="6FB7240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5FEED44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68525B4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3A8437B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79651678"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2CF5EBF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62" w:type="dxa"/>
            <w:tcBorders>
              <w:top w:val="nil"/>
              <w:left w:val="nil"/>
              <w:bottom w:val="nil"/>
              <w:right w:val="nil"/>
            </w:tcBorders>
            <w:shd w:val="clear" w:color="auto" w:fill="auto"/>
            <w:noWrap/>
            <w:vAlign w:val="bottom"/>
            <w:hideMark/>
          </w:tcPr>
          <w:p w14:paraId="7169950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7A871FE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nil"/>
              <w:right w:val="nil"/>
            </w:tcBorders>
            <w:shd w:val="clear" w:color="auto" w:fill="auto"/>
            <w:noWrap/>
            <w:vAlign w:val="bottom"/>
            <w:hideMark/>
          </w:tcPr>
          <w:p w14:paraId="2CDF022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0261B4E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7930DCA" w14:textId="77777777" w:rsidTr="00735871">
        <w:trPr>
          <w:trHeight w:val="276"/>
          <w:jc w:val="center"/>
        </w:trPr>
        <w:tc>
          <w:tcPr>
            <w:tcW w:w="3060" w:type="dxa"/>
            <w:tcBorders>
              <w:top w:val="nil"/>
              <w:left w:val="nil"/>
              <w:bottom w:val="single" w:sz="4" w:space="0" w:color="000000"/>
              <w:right w:val="nil"/>
            </w:tcBorders>
            <w:shd w:val="clear" w:color="auto" w:fill="auto"/>
            <w:noWrap/>
            <w:vAlign w:val="bottom"/>
            <w:hideMark/>
          </w:tcPr>
          <w:p w14:paraId="361BE7A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62" w:type="dxa"/>
            <w:tcBorders>
              <w:top w:val="nil"/>
              <w:left w:val="nil"/>
              <w:bottom w:val="single" w:sz="4" w:space="0" w:color="000000"/>
              <w:right w:val="nil"/>
            </w:tcBorders>
            <w:shd w:val="clear" w:color="auto" w:fill="auto"/>
            <w:noWrap/>
            <w:vAlign w:val="bottom"/>
            <w:hideMark/>
          </w:tcPr>
          <w:p w14:paraId="67934F1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single" w:sz="4" w:space="0" w:color="000000"/>
              <w:right w:val="nil"/>
            </w:tcBorders>
            <w:shd w:val="clear" w:color="auto" w:fill="auto"/>
            <w:noWrap/>
            <w:vAlign w:val="bottom"/>
            <w:hideMark/>
          </w:tcPr>
          <w:p w14:paraId="194DA8C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single" w:sz="4" w:space="0" w:color="000000"/>
              <w:right w:val="nil"/>
            </w:tcBorders>
            <w:shd w:val="clear" w:color="auto" w:fill="auto"/>
            <w:noWrap/>
            <w:vAlign w:val="bottom"/>
            <w:hideMark/>
          </w:tcPr>
          <w:p w14:paraId="5351A7F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000000"/>
              <w:right w:val="nil"/>
            </w:tcBorders>
            <w:shd w:val="clear" w:color="auto" w:fill="auto"/>
            <w:noWrap/>
            <w:vAlign w:val="bottom"/>
            <w:hideMark/>
          </w:tcPr>
          <w:p w14:paraId="7EA4E93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365770A"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7F84C42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and waste heat input control variables were dropped for convergence.</w:t>
            </w:r>
          </w:p>
        </w:tc>
      </w:tr>
      <w:tr w:rsidR="009478ED" w:rsidRPr="007F37A0" w14:paraId="16932120"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06948C1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0BCEC61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new wet type technology installation reported in this table. SO2 treatment is an indicator variable for treatment under either CAIR or CSAPR for SO2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256A9341"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049FFB29" w14:textId="3C953A13" w:rsidR="009478ED" w:rsidRPr="007F37A0" w:rsidRDefault="009478ED" w:rsidP="007F37A0">
      <w:pPr>
        <w:pStyle w:val="Caption"/>
        <w:rPr>
          <w:rFonts w:cs="Times New Roman"/>
        </w:rPr>
      </w:pPr>
      <w:bookmarkStart w:id="167" w:name="_Toc164862559"/>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24</w:t>
      </w:r>
      <w:r w:rsidRPr="007F37A0">
        <w:rPr>
          <w:rFonts w:cs="Times New Roman"/>
        </w:rPr>
        <w:fldChar w:fldCharType="end"/>
      </w:r>
      <w:r w:rsidRPr="007F37A0">
        <w:rPr>
          <w:rFonts w:cs="Times New Roman"/>
        </w:rPr>
        <w:t>: New Dry SO</w:t>
      </w:r>
      <w:r w:rsidRPr="007F37A0">
        <w:rPr>
          <w:rFonts w:cs="Times New Roman"/>
          <w:vertAlign w:val="subscript"/>
        </w:rPr>
        <w:t>2</w:t>
      </w:r>
      <w:r w:rsidRPr="007F37A0">
        <w:rPr>
          <w:rFonts w:cs="Times New Roman"/>
        </w:rPr>
        <w:t xml:space="preserve"> Abatement Technology - Multinomial Logit</w:t>
      </w:r>
      <w:bookmarkEnd w:id="167"/>
    </w:p>
    <w:tbl>
      <w:tblPr>
        <w:tblW w:w="9567" w:type="dxa"/>
        <w:jc w:val="center"/>
        <w:tblLook w:val="04A0" w:firstRow="1" w:lastRow="0" w:firstColumn="1" w:lastColumn="0" w:noHBand="0" w:noVBand="1"/>
      </w:tblPr>
      <w:tblGrid>
        <w:gridCol w:w="3060"/>
        <w:gridCol w:w="1162"/>
        <w:gridCol w:w="2256"/>
        <w:gridCol w:w="1633"/>
        <w:gridCol w:w="1456"/>
      </w:tblGrid>
      <w:tr w:rsidR="009478ED" w:rsidRPr="007F37A0" w14:paraId="18E41AC8"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0872FF8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3EC0C6C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6" w:type="dxa"/>
            <w:tcBorders>
              <w:top w:val="single" w:sz="4" w:space="0" w:color="000000"/>
              <w:left w:val="nil"/>
              <w:bottom w:val="nil"/>
              <w:right w:val="nil"/>
            </w:tcBorders>
            <w:shd w:val="clear" w:color="auto" w:fill="auto"/>
            <w:noWrap/>
            <w:vAlign w:val="bottom"/>
            <w:hideMark/>
          </w:tcPr>
          <w:p w14:paraId="04960AF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633" w:type="dxa"/>
            <w:tcBorders>
              <w:top w:val="single" w:sz="4" w:space="0" w:color="000000"/>
              <w:left w:val="nil"/>
              <w:bottom w:val="nil"/>
              <w:right w:val="nil"/>
            </w:tcBorders>
            <w:shd w:val="clear" w:color="auto" w:fill="auto"/>
            <w:noWrap/>
            <w:vAlign w:val="bottom"/>
            <w:hideMark/>
          </w:tcPr>
          <w:p w14:paraId="0B2EB32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456" w:type="dxa"/>
            <w:tcBorders>
              <w:top w:val="single" w:sz="4" w:space="0" w:color="000000"/>
              <w:left w:val="nil"/>
              <w:bottom w:val="nil"/>
              <w:right w:val="nil"/>
            </w:tcBorders>
            <w:shd w:val="clear" w:color="auto" w:fill="auto"/>
            <w:noWrap/>
            <w:vAlign w:val="bottom"/>
            <w:hideMark/>
          </w:tcPr>
          <w:p w14:paraId="199C368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591D8C4B"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1E4204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27B82C4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New Dry Technology Installation </w:t>
            </w:r>
          </w:p>
        </w:tc>
        <w:tc>
          <w:tcPr>
            <w:tcW w:w="1162" w:type="dxa"/>
            <w:tcBorders>
              <w:top w:val="nil"/>
              <w:left w:val="nil"/>
              <w:bottom w:val="nil"/>
              <w:right w:val="nil"/>
            </w:tcBorders>
            <w:shd w:val="clear" w:color="auto" w:fill="auto"/>
            <w:noWrap/>
            <w:vAlign w:val="bottom"/>
            <w:hideMark/>
          </w:tcPr>
          <w:p w14:paraId="5F874E6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6" w:type="dxa"/>
            <w:tcBorders>
              <w:top w:val="nil"/>
              <w:left w:val="nil"/>
              <w:bottom w:val="nil"/>
              <w:right w:val="nil"/>
            </w:tcBorders>
            <w:shd w:val="clear" w:color="auto" w:fill="auto"/>
            <w:noWrap/>
            <w:vAlign w:val="bottom"/>
            <w:hideMark/>
          </w:tcPr>
          <w:p w14:paraId="64D78F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633" w:type="dxa"/>
            <w:tcBorders>
              <w:top w:val="nil"/>
              <w:left w:val="nil"/>
              <w:bottom w:val="nil"/>
              <w:right w:val="nil"/>
            </w:tcBorders>
            <w:shd w:val="clear" w:color="auto" w:fill="auto"/>
            <w:noWrap/>
            <w:vAlign w:val="bottom"/>
            <w:hideMark/>
          </w:tcPr>
          <w:p w14:paraId="3C9B747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456" w:type="dxa"/>
            <w:tcBorders>
              <w:top w:val="nil"/>
              <w:left w:val="nil"/>
              <w:bottom w:val="nil"/>
              <w:right w:val="nil"/>
            </w:tcBorders>
            <w:shd w:val="clear" w:color="auto" w:fill="auto"/>
            <w:noWrap/>
            <w:vAlign w:val="bottom"/>
            <w:hideMark/>
          </w:tcPr>
          <w:p w14:paraId="32CF633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4FB38DB0"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5D9C013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44E8AC3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6" w:type="dxa"/>
            <w:tcBorders>
              <w:top w:val="single" w:sz="4" w:space="0" w:color="000000"/>
              <w:left w:val="nil"/>
              <w:bottom w:val="nil"/>
              <w:right w:val="nil"/>
            </w:tcBorders>
            <w:shd w:val="clear" w:color="auto" w:fill="auto"/>
            <w:noWrap/>
            <w:vAlign w:val="bottom"/>
            <w:hideMark/>
          </w:tcPr>
          <w:p w14:paraId="2D23D47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633" w:type="dxa"/>
            <w:tcBorders>
              <w:top w:val="single" w:sz="4" w:space="0" w:color="000000"/>
              <w:left w:val="nil"/>
              <w:bottom w:val="nil"/>
              <w:right w:val="nil"/>
            </w:tcBorders>
            <w:shd w:val="clear" w:color="auto" w:fill="auto"/>
            <w:noWrap/>
            <w:vAlign w:val="bottom"/>
            <w:hideMark/>
          </w:tcPr>
          <w:p w14:paraId="529B61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2DF29E6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33BE807F"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364F829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SO2 Treatment</w:t>
            </w:r>
          </w:p>
        </w:tc>
        <w:tc>
          <w:tcPr>
            <w:tcW w:w="1162" w:type="dxa"/>
            <w:tcBorders>
              <w:top w:val="nil"/>
              <w:left w:val="nil"/>
              <w:bottom w:val="nil"/>
              <w:right w:val="nil"/>
            </w:tcBorders>
            <w:shd w:val="clear" w:color="auto" w:fill="auto"/>
            <w:noWrap/>
            <w:vAlign w:val="bottom"/>
            <w:hideMark/>
          </w:tcPr>
          <w:p w14:paraId="235192A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1.105***</w:t>
            </w:r>
          </w:p>
        </w:tc>
        <w:tc>
          <w:tcPr>
            <w:tcW w:w="2256" w:type="dxa"/>
            <w:tcBorders>
              <w:top w:val="nil"/>
              <w:left w:val="nil"/>
              <w:bottom w:val="nil"/>
              <w:right w:val="nil"/>
            </w:tcBorders>
            <w:shd w:val="clear" w:color="auto" w:fill="auto"/>
            <w:noWrap/>
            <w:vAlign w:val="bottom"/>
            <w:hideMark/>
          </w:tcPr>
          <w:p w14:paraId="0B74DD0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1.257***</w:t>
            </w:r>
          </w:p>
        </w:tc>
        <w:tc>
          <w:tcPr>
            <w:tcW w:w="1633" w:type="dxa"/>
            <w:tcBorders>
              <w:top w:val="nil"/>
              <w:left w:val="nil"/>
              <w:bottom w:val="nil"/>
              <w:right w:val="nil"/>
            </w:tcBorders>
            <w:shd w:val="clear" w:color="auto" w:fill="auto"/>
            <w:noWrap/>
            <w:vAlign w:val="bottom"/>
            <w:hideMark/>
          </w:tcPr>
          <w:p w14:paraId="1D510C4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1.390***</w:t>
            </w:r>
          </w:p>
        </w:tc>
        <w:tc>
          <w:tcPr>
            <w:tcW w:w="1456" w:type="dxa"/>
            <w:tcBorders>
              <w:top w:val="nil"/>
              <w:left w:val="nil"/>
              <w:bottom w:val="nil"/>
              <w:right w:val="nil"/>
            </w:tcBorders>
            <w:shd w:val="clear" w:color="auto" w:fill="auto"/>
            <w:noWrap/>
            <w:vAlign w:val="bottom"/>
            <w:hideMark/>
          </w:tcPr>
          <w:p w14:paraId="4950970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1.342***</w:t>
            </w:r>
          </w:p>
        </w:tc>
      </w:tr>
      <w:tr w:rsidR="009478ED" w:rsidRPr="007F37A0" w14:paraId="46D858D6"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2E544E45"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734B878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(0.291)</w:t>
            </w:r>
          </w:p>
        </w:tc>
        <w:tc>
          <w:tcPr>
            <w:tcW w:w="2256" w:type="dxa"/>
            <w:tcBorders>
              <w:top w:val="nil"/>
              <w:left w:val="nil"/>
              <w:bottom w:val="nil"/>
              <w:right w:val="nil"/>
            </w:tcBorders>
            <w:shd w:val="clear" w:color="auto" w:fill="auto"/>
            <w:noWrap/>
            <w:vAlign w:val="bottom"/>
            <w:hideMark/>
          </w:tcPr>
          <w:p w14:paraId="339A42E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(0.412)</w:t>
            </w:r>
          </w:p>
        </w:tc>
        <w:tc>
          <w:tcPr>
            <w:tcW w:w="1633" w:type="dxa"/>
            <w:tcBorders>
              <w:top w:val="nil"/>
              <w:left w:val="nil"/>
              <w:bottom w:val="nil"/>
              <w:right w:val="nil"/>
            </w:tcBorders>
            <w:shd w:val="clear" w:color="auto" w:fill="auto"/>
            <w:noWrap/>
            <w:vAlign w:val="bottom"/>
            <w:hideMark/>
          </w:tcPr>
          <w:p w14:paraId="4006104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(0.418)</w:t>
            </w:r>
          </w:p>
        </w:tc>
        <w:tc>
          <w:tcPr>
            <w:tcW w:w="1456" w:type="dxa"/>
            <w:tcBorders>
              <w:top w:val="nil"/>
              <w:left w:val="nil"/>
              <w:bottom w:val="nil"/>
              <w:right w:val="nil"/>
            </w:tcBorders>
            <w:shd w:val="clear" w:color="auto" w:fill="auto"/>
            <w:noWrap/>
            <w:vAlign w:val="bottom"/>
            <w:hideMark/>
          </w:tcPr>
          <w:p w14:paraId="43AC5F7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(0.454)</w:t>
            </w:r>
          </w:p>
        </w:tc>
      </w:tr>
      <w:tr w:rsidR="009478ED" w:rsidRPr="007F37A0" w14:paraId="370CBBD7"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74D4F171"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283F64E1" w14:textId="77777777" w:rsidR="009478ED" w:rsidRPr="007F37A0" w:rsidRDefault="009478ED" w:rsidP="00735871">
            <w:pPr>
              <w:rPr>
                <w:rFonts w:ascii="Times New Roman" w:hAnsi="Times New Roman" w:cs="Times New Roman"/>
              </w:rPr>
            </w:pPr>
          </w:p>
        </w:tc>
        <w:tc>
          <w:tcPr>
            <w:tcW w:w="2256" w:type="dxa"/>
            <w:tcBorders>
              <w:top w:val="nil"/>
              <w:left w:val="nil"/>
              <w:bottom w:val="nil"/>
              <w:right w:val="nil"/>
            </w:tcBorders>
            <w:shd w:val="clear" w:color="auto" w:fill="auto"/>
            <w:noWrap/>
            <w:vAlign w:val="bottom"/>
            <w:hideMark/>
          </w:tcPr>
          <w:p w14:paraId="230DC3B6" w14:textId="77777777" w:rsidR="009478ED" w:rsidRPr="007F37A0" w:rsidRDefault="009478ED" w:rsidP="00735871">
            <w:pPr>
              <w:jc w:val="center"/>
              <w:rPr>
                <w:rFonts w:ascii="Times New Roman" w:hAnsi="Times New Roman" w:cs="Times New Roman"/>
              </w:rPr>
            </w:pPr>
          </w:p>
        </w:tc>
        <w:tc>
          <w:tcPr>
            <w:tcW w:w="1633" w:type="dxa"/>
            <w:tcBorders>
              <w:top w:val="nil"/>
              <w:left w:val="nil"/>
              <w:bottom w:val="nil"/>
              <w:right w:val="nil"/>
            </w:tcBorders>
            <w:shd w:val="clear" w:color="auto" w:fill="auto"/>
            <w:noWrap/>
            <w:vAlign w:val="bottom"/>
            <w:hideMark/>
          </w:tcPr>
          <w:p w14:paraId="6219EAE4"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17551B80" w14:textId="77777777" w:rsidR="009478ED" w:rsidRPr="007F37A0" w:rsidRDefault="009478ED" w:rsidP="00735871">
            <w:pPr>
              <w:jc w:val="center"/>
              <w:rPr>
                <w:rFonts w:ascii="Times New Roman" w:hAnsi="Times New Roman" w:cs="Times New Roman"/>
              </w:rPr>
            </w:pPr>
          </w:p>
        </w:tc>
      </w:tr>
      <w:tr w:rsidR="009478ED" w:rsidRPr="007F37A0" w14:paraId="4316E789"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7E8F05B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62" w:type="dxa"/>
            <w:tcBorders>
              <w:top w:val="nil"/>
              <w:left w:val="nil"/>
              <w:bottom w:val="nil"/>
              <w:right w:val="nil"/>
            </w:tcBorders>
            <w:shd w:val="clear" w:color="auto" w:fill="auto"/>
            <w:noWrap/>
            <w:vAlign w:val="bottom"/>
            <w:hideMark/>
          </w:tcPr>
          <w:p w14:paraId="4FDC0D4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6" w:type="dxa"/>
            <w:tcBorders>
              <w:top w:val="nil"/>
              <w:left w:val="nil"/>
              <w:bottom w:val="nil"/>
              <w:right w:val="nil"/>
            </w:tcBorders>
            <w:shd w:val="clear" w:color="auto" w:fill="auto"/>
            <w:noWrap/>
            <w:vAlign w:val="bottom"/>
            <w:hideMark/>
          </w:tcPr>
          <w:p w14:paraId="47F76E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633" w:type="dxa"/>
            <w:tcBorders>
              <w:top w:val="nil"/>
              <w:left w:val="nil"/>
              <w:bottom w:val="nil"/>
              <w:right w:val="nil"/>
            </w:tcBorders>
            <w:shd w:val="clear" w:color="auto" w:fill="auto"/>
            <w:noWrap/>
            <w:vAlign w:val="bottom"/>
            <w:hideMark/>
          </w:tcPr>
          <w:p w14:paraId="7A451D0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48781DA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059D79BE"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60BD585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62" w:type="dxa"/>
            <w:tcBorders>
              <w:top w:val="nil"/>
              <w:left w:val="nil"/>
              <w:bottom w:val="nil"/>
              <w:right w:val="nil"/>
            </w:tcBorders>
            <w:shd w:val="clear" w:color="auto" w:fill="auto"/>
            <w:noWrap/>
            <w:vAlign w:val="bottom"/>
            <w:hideMark/>
          </w:tcPr>
          <w:p w14:paraId="5AF41A0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6" w:type="dxa"/>
            <w:tcBorders>
              <w:top w:val="nil"/>
              <w:left w:val="nil"/>
              <w:bottom w:val="nil"/>
              <w:right w:val="nil"/>
            </w:tcBorders>
            <w:shd w:val="clear" w:color="auto" w:fill="auto"/>
            <w:noWrap/>
            <w:vAlign w:val="bottom"/>
            <w:hideMark/>
          </w:tcPr>
          <w:p w14:paraId="6197D03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181ACA7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56D6B2F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319B895"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5541BB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62" w:type="dxa"/>
            <w:tcBorders>
              <w:top w:val="nil"/>
              <w:left w:val="nil"/>
              <w:bottom w:val="nil"/>
              <w:right w:val="nil"/>
            </w:tcBorders>
            <w:shd w:val="clear" w:color="auto" w:fill="auto"/>
            <w:noWrap/>
            <w:vAlign w:val="bottom"/>
            <w:hideMark/>
          </w:tcPr>
          <w:p w14:paraId="06B8A72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74F080C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4989C37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451D60D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6B98C3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5CCAEBB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62" w:type="dxa"/>
            <w:tcBorders>
              <w:top w:val="nil"/>
              <w:left w:val="nil"/>
              <w:bottom w:val="nil"/>
              <w:right w:val="nil"/>
            </w:tcBorders>
            <w:shd w:val="clear" w:color="auto" w:fill="auto"/>
            <w:noWrap/>
            <w:vAlign w:val="bottom"/>
            <w:hideMark/>
          </w:tcPr>
          <w:p w14:paraId="6FC2BA0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1C678ED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nil"/>
              <w:right w:val="nil"/>
            </w:tcBorders>
            <w:shd w:val="clear" w:color="auto" w:fill="auto"/>
            <w:noWrap/>
            <w:vAlign w:val="bottom"/>
            <w:hideMark/>
          </w:tcPr>
          <w:p w14:paraId="4BE0728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7C9762E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A2B13EE" w14:textId="77777777" w:rsidTr="00735871">
        <w:trPr>
          <w:trHeight w:val="276"/>
          <w:jc w:val="center"/>
        </w:trPr>
        <w:tc>
          <w:tcPr>
            <w:tcW w:w="3060" w:type="dxa"/>
            <w:tcBorders>
              <w:top w:val="nil"/>
              <w:left w:val="nil"/>
              <w:bottom w:val="single" w:sz="4" w:space="0" w:color="000000"/>
              <w:right w:val="nil"/>
            </w:tcBorders>
            <w:shd w:val="clear" w:color="auto" w:fill="auto"/>
            <w:noWrap/>
            <w:vAlign w:val="bottom"/>
            <w:hideMark/>
          </w:tcPr>
          <w:p w14:paraId="2745B7A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62" w:type="dxa"/>
            <w:tcBorders>
              <w:top w:val="nil"/>
              <w:left w:val="nil"/>
              <w:bottom w:val="single" w:sz="4" w:space="0" w:color="000000"/>
              <w:right w:val="nil"/>
            </w:tcBorders>
            <w:shd w:val="clear" w:color="auto" w:fill="auto"/>
            <w:noWrap/>
            <w:vAlign w:val="bottom"/>
            <w:hideMark/>
          </w:tcPr>
          <w:p w14:paraId="38A47EE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single" w:sz="4" w:space="0" w:color="000000"/>
              <w:right w:val="nil"/>
            </w:tcBorders>
            <w:shd w:val="clear" w:color="auto" w:fill="auto"/>
            <w:noWrap/>
            <w:vAlign w:val="bottom"/>
            <w:hideMark/>
          </w:tcPr>
          <w:p w14:paraId="19A544F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single" w:sz="4" w:space="0" w:color="000000"/>
              <w:right w:val="nil"/>
            </w:tcBorders>
            <w:shd w:val="clear" w:color="auto" w:fill="auto"/>
            <w:noWrap/>
            <w:vAlign w:val="bottom"/>
            <w:hideMark/>
          </w:tcPr>
          <w:p w14:paraId="745300B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000000"/>
              <w:right w:val="nil"/>
            </w:tcBorders>
            <w:shd w:val="clear" w:color="auto" w:fill="auto"/>
            <w:noWrap/>
            <w:vAlign w:val="bottom"/>
            <w:hideMark/>
          </w:tcPr>
          <w:p w14:paraId="2F4FF9B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52C1A84"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51A86B6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and waste heat input control variables were dropped for convergence.</w:t>
            </w:r>
          </w:p>
        </w:tc>
      </w:tr>
      <w:tr w:rsidR="009478ED" w:rsidRPr="007F37A0" w14:paraId="5CC0BAEE"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48020F3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120ECC4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new dry type technology installation reported in this table. SO2 treatment is an indicator variable for treatment under either CAIR or CSAPR for SO2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68D01A32" w14:textId="77777777" w:rsidR="009478ED" w:rsidRPr="007F37A0" w:rsidRDefault="009478ED" w:rsidP="009478ED">
      <w:pPr>
        <w:rPr>
          <w:rFonts w:ascii="Times New Roman" w:hAnsi="Times New Roman" w:cs="Times New Roman"/>
          <w:b/>
          <w:bCs/>
        </w:rPr>
      </w:pPr>
    </w:p>
    <w:p w14:paraId="1289D2EC"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b/>
          <w:bCs/>
        </w:rPr>
        <w:br w:type="page"/>
      </w:r>
    </w:p>
    <w:p w14:paraId="4C6D6AA5" w14:textId="1AE01B53" w:rsidR="009478ED" w:rsidRPr="007F37A0" w:rsidRDefault="009478ED" w:rsidP="007F37A0">
      <w:pPr>
        <w:pStyle w:val="Caption"/>
        <w:rPr>
          <w:rFonts w:cs="Times New Roman"/>
        </w:rPr>
      </w:pPr>
      <w:bookmarkStart w:id="168" w:name="_Toc164862560"/>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25</w:t>
      </w:r>
      <w:r w:rsidRPr="007F37A0">
        <w:rPr>
          <w:rFonts w:cs="Times New Roman"/>
        </w:rPr>
        <w:fldChar w:fldCharType="end"/>
      </w:r>
      <w:r w:rsidRPr="007F37A0">
        <w:rPr>
          <w:rFonts w:cs="Times New Roman"/>
        </w:rPr>
        <w:t>: New Other SO</w:t>
      </w:r>
      <w:r w:rsidRPr="007F37A0">
        <w:rPr>
          <w:rFonts w:cs="Times New Roman"/>
          <w:vertAlign w:val="subscript"/>
        </w:rPr>
        <w:t>2</w:t>
      </w:r>
      <w:r w:rsidRPr="007F37A0">
        <w:rPr>
          <w:rFonts w:cs="Times New Roman"/>
        </w:rPr>
        <w:t xml:space="preserve"> Abatement Technology - Multinomial Logit</w:t>
      </w:r>
      <w:bookmarkEnd w:id="168"/>
    </w:p>
    <w:tbl>
      <w:tblPr>
        <w:tblW w:w="9567" w:type="dxa"/>
        <w:jc w:val="center"/>
        <w:tblLook w:val="04A0" w:firstRow="1" w:lastRow="0" w:firstColumn="1" w:lastColumn="0" w:noHBand="0" w:noVBand="1"/>
      </w:tblPr>
      <w:tblGrid>
        <w:gridCol w:w="3060"/>
        <w:gridCol w:w="1162"/>
        <w:gridCol w:w="2256"/>
        <w:gridCol w:w="1633"/>
        <w:gridCol w:w="1456"/>
      </w:tblGrid>
      <w:tr w:rsidR="009478ED" w:rsidRPr="007F37A0" w14:paraId="4EEA4445"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1CA11DA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6BFB3DB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6" w:type="dxa"/>
            <w:tcBorders>
              <w:top w:val="single" w:sz="4" w:space="0" w:color="000000"/>
              <w:left w:val="nil"/>
              <w:bottom w:val="nil"/>
              <w:right w:val="nil"/>
            </w:tcBorders>
            <w:shd w:val="clear" w:color="auto" w:fill="auto"/>
            <w:noWrap/>
            <w:vAlign w:val="bottom"/>
            <w:hideMark/>
          </w:tcPr>
          <w:p w14:paraId="207CBD6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633" w:type="dxa"/>
            <w:tcBorders>
              <w:top w:val="single" w:sz="4" w:space="0" w:color="000000"/>
              <w:left w:val="nil"/>
              <w:bottom w:val="nil"/>
              <w:right w:val="nil"/>
            </w:tcBorders>
            <w:shd w:val="clear" w:color="auto" w:fill="auto"/>
            <w:noWrap/>
            <w:vAlign w:val="bottom"/>
            <w:hideMark/>
          </w:tcPr>
          <w:p w14:paraId="6C7BCDF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456" w:type="dxa"/>
            <w:tcBorders>
              <w:top w:val="single" w:sz="4" w:space="0" w:color="000000"/>
              <w:left w:val="nil"/>
              <w:bottom w:val="nil"/>
              <w:right w:val="nil"/>
            </w:tcBorders>
            <w:shd w:val="clear" w:color="auto" w:fill="auto"/>
            <w:noWrap/>
            <w:vAlign w:val="bottom"/>
            <w:hideMark/>
          </w:tcPr>
          <w:p w14:paraId="6498A47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39D50AA7"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C49D92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081C1E4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New Other Technology Installation </w:t>
            </w:r>
          </w:p>
        </w:tc>
        <w:tc>
          <w:tcPr>
            <w:tcW w:w="1162" w:type="dxa"/>
            <w:tcBorders>
              <w:top w:val="nil"/>
              <w:left w:val="nil"/>
              <w:bottom w:val="nil"/>
              <w:right w:val="nil"/>
            </w:tcBorders>
            <w:shd w:val="clear" w:color="auto" w:fill="auto"/>
            <w:noWrap/>
            <w:vAlign w:val="bottom"/>
            <w:hideMark/>
          </w:tcPr>
          <w:p w14:paraId="39C19E3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6" w:type="dxa"/>
            <w:tcBorders>
              <w:top w:val="nil"/>
              <w:left w:val="nil"/>
              <w:bottom w:val="nil"/>
              <w:right w:val="nil"/>
            </w:tcBorders>
            <w:shd w:val="clear" w:color="auto" w:fill="auto"/>
            <w:noWrap/>
            <w:vAlign w:val="bottom"/>
            <w:hideMark/>
          </w:tcPr>
          <w:p w14:paraId="53DEC4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633" w:type="dxa"/>
            <w:tcBorders>
              <w:top w:val="nil"/>
              <w:left w:val="nil"/>
              <w:bottom w:val="nil"/>
              <w:right w:val="nil"/>
            </w:tcBorders>
            <w:shd w:val="clear" w:color="auto" w:fill="auto"/>
            <w:noWrap/>
            <w:vAlign w:val="bottom"/>
            <w:hideMark/>
          </w:tcPr>
          <w:p w14:paraId="241D732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456" w:type="dxa"/>
            <w:tcBorders>
              <w:top w:val="nil"/>
              <w:left w:val="nil"/>
              <w:bottom w:val="nil"/>
              <w:right w:val="nil"/>
            </w:tcBorders>
            <w:shd w:val="clear" w:color="auto" w:fill="auto"/>
            <w:noWrap/>
            <w:vAlign w:val="bottom"/>
            <w:hideMark/>
          </w:tcPr>
          <w:p w14:paraId="18D8377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0A9BCB1A"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3D067F8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3D568C1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6" w:type="dxa"/>
            <w:tcBorders>
              <w:top w:val="single" w:sz="4" w:space="0" w:color="000000"/>
              <w:left w:val="nil"/>
              <w:bottom w:val="nil"/>
              <w:right w:val="nil"/>
            </w:tcBorders>
            <w:shd w:val="clear" w:color="auto" w:fill="auto"/>
            <w:noWrap/>
            <w:vAlign w:val="bottom"/>
            <w:hideMark/>
          </w:tcPr>
          <w:p w14:paraId="3C48735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633" w:type="dxa"/>
            <w:tcBorders>
              <w:top w:val="single" w:sz="4" w:space="0" w:color="000000"/>
              <w:left w:val="nil"/>
              <w:bottom w:val="nil"/>
              <w:right w:val="nil"/>
            </w:tcBorders>
            <w:shd w:val="clear" w:color="auto" w:fill="auto"/>
            <w:noWrap/>
            <w:vAlign w:val="bottom"/>
            <w:hideMark/>
          </w:tcPr>
          <w:p w14:paraId="427CD00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4945821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6CB88172"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15CB60C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SO2 Treatment</w:t>
            </w:r>
          </w:p>
        </w:tc>
        <w:tc>
          <w:tcPr>
            <w:tcW w:w="1162" w:type="dxa"/>
            <w:tcBorders>
              <w:top w:val="nil"/>
              <w:left w:val="nil"/>
              <w:bottom w:val="nil"/>
              <w:right w:val="nil"/>
            </w:tcBorders>
            <w:shd w:val="clear" w:color="auto" w:fill="auto"/>
            <w:noWrap/>
            <w:vAlign w:val="bottom"/>
            <w:hideMark/>
          </w:tcPr>
          <w:p w14:paraId="364BFB2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-1.366</w:t>
            </w:r>
          </w:p>
        </w:tc>
        <w:tc>
          <w:tcPr>
            <w:tcW w:w="2256" w:type="dxa"/>
            <w:tcBorders>
              <w:top w:val="nil"/>
              <w:left w:val="nil"/>
              <w:bottom w:val="nil"/>
              <w:right w:val="nil"/>
            </w:tcBorders>
            <w:shd w:val="clear" w:color="auto" w:fill="auto"/>
            <w:noWrap/>
            <w:vAlign w:val="bottom"/>
            <w:hideMark/>
          </w:tcPr>
          <w:p w14:paraId="1BEEA04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15.334</w:t>
            </w:r>
          </w:p>
        </w:tc>
        <w:tc>
          <w:tcPr>
            <w:tcW w:w="1633" w:type="dxa"/>
            <w:tcBorders>
              <w:top w:val="nil"/>
              <w:left w:val="nil"/>
              <w:bottom w:val="nil"/>
              <w:right w:val="nil"/>
            </w:tcBorders>
            <w:shd w:val="clear" w:color="auto" w:fill="auto"/>
            <w:noWrap/>
            <w:vAlign w:val="bottom"/>
            <w:hideMark/>
          </w:tcPr>
          <w:p w14:paraId="2C874B2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18.140</w:t>
            </w:r>
          </w:p>
        </w:tc>
        <w:tc>
          <w:tcPr>
            <w:tcW w:w="1456" w:type="dxa"/>
            <w:tcBorders>
              <w:top w:val="nil"/>
              <w:left w:val="nil"/>
              <w:bottom w:val="nil"/>
              <w:right w:val="nil"/>
            </w:tcBorders>
            <w:shd w:val="clear" w:color="auto" w:fill="auto"/>
            <w:noWrap/>
            <w:vAlign w:val="bottom"/>
            <w:hideMark/>
          </w:tcPr>
          <w:p w14:paraId="5D5A4FE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5.258</w:t>
            </w:r>
          </w:p>
        </w:tc>
      </w:tr>
      <w:tr w:rsidR="009478ED" w:rsidRPr="007F37A0" w14:paraId="0A0C6F79"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7D4AF084"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3EF9ECC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(1.118)</w:t>
            </w:r>
          </w:p>
        </w:tc>
        <w:tc>
          <w:tcPr>
            <w:tcW w:w="2256" w:type="dxa"/>
            <w:tcBorders>
              <w:top w:val="nil"/>
              <w:left w:val="nil"/>
              <w:bottom w:val="nil"/>
              <w:right w:val="nil"/>
            </w:tcBorders>
            <w:shd w:val="clear" w:color="auto" w:fill="auto"/>
            <w:noWrap/>
            <w:vAlign w:val="bottom"/>
            <w:hideMark/>
          </w:tcPr>
          <w:p w14:paraId="14FCFBF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(1,234.926)</w:t>
            </w:r>
          </w:p>
        </w:tc>
        <w:tc>
          <w:tcPr>
            <w:tcW w:w="1633" w:type="dxa"/>
            <w:tcBorders>
              <w:top w:val="nil"/>
              <w:left w:val="nil"/>
              <w:bottom w:val="nil"/>
              <w:right w:val="nil"/>
            </w:tcBorders>
            <w:shd w:val="clear" w:color="auto" w:fill="auto"/>
            <w:noWrap/>
            <w:vAlign w:val="bottom"/>
            <w:hideMark/>
          </w:tcPr>
          <w:p w14:paraId="4859ECC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(1,816.254)</w:t>
            </w:r>
          </w:p>
        </w:tc>
        <w:tc>
          <w:tcPr>
            <w:tcW w:w="1456" w:type="dxa"/>
            <w:tcBorders>
              <w:top w:val="nil"/>
              <w:left w:val="nil"/>
              <w:bottom w:val="nil"/>
              <w:right w:val="nil"/>
            </w:tcBorders>
            <w:shd w:val="clear" w:color="auto" w:fill="auto"/>
            <w:noWrap/>
            <w:vAlign w:val="bottom"/>
            <w:hideMark/>
          </w:tcPr>
          <w:p w14:paraId="3CDD1F7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(29,250.556)</w:t>
            </w:r>
          </w:p>
        </w:tc>
      </w:tr>
      <w:tr w:rsidR="009478ED" w:rsidRPr="007F37A0" w14:paraId="331D68AD"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1A1D2FA1"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6CB8EF94" w14:textId="77777777" w:rsidR="009478ED" w:rsidRPr="007F37A0" w:rsidRDefault="009478ED" w:rsidP="00735871">
            <w:pPr>
              <w:rPr>
                <w:rFonts w:ascii="Times New Roman" w:hAnsi="Times New Roman" w:cs="Times New Roman"/>
              </w:rPr>
            </w:pPr>
          </w:p>
        </w:tc>
        <w:tc>
          <w:tcPr>
            <w:tcW w:w="2256" w:type="dxa"/>
            <w:tcBorders>
              <w:top w:val="nil"/>
              <w:left w:val="nil"/>
              <w:bottom w:val="nil"/>
              <w:right w:val="nil"/>
            </w:tcBorders>
            <w:shd w:val="clear" w:color="auto" w:fill="auto"/>
            <w:noWrap/>
            <w:vAlign w:val="bottom"/>
            <w:hideMark/>
          </w:tcPr>
          <w:p w14:paraId="0DCBF489" w14:textId="77777777" w:rsidR="009478ED" w:rsidRPr="007F37A0" w:rsidRDefault="009478ED" w:rsidP="00735871">
            <w:pPr>
              <w:jc w:val="center"/>
              <w:rPr>
                <w:rFonts w:ascii="Times New Roman" w:hAnsi="Times New Roman" w:cs="Times New Roman"/>
              </w:rPr>
            </w:pPr>
          </w:p>
        </w:tc>
        <w:tc>
          <w:tcPr>
            <w:tcW w:w="1633" w:type="dxa"/>
            <w:tcBorders>
              <w:top w:val="nil"/>
              <w:left w:val="nil"/>
              <w:bottom w:val="nil"/>
              <w:right w:val="nil"/>
            </w:tcBorders>
            <w:shd w:val="clear" w:color="auto" w:fill="auto"/>
            <w:noWrap/>
            <w:vAlign w:val="bottom"/>
            <w:hideMark/>
          </w:tcPr>
          <w:p w14:paraId="6470D14F"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571A9D9D" w14:textId="77777777" w:rsidR="009478ED" w:rsidRPr="007F37A0" w:rsidRDefault="009478ED" w:rsidP="00735871">
            <w:pPr>
              <w:jc w:val="center"/>
              <w:rPr>
                <w:rFonts w:ascii="Times New Roman" w:hAnsi="Times New Roman" w:cs="Times New Roman"/>
              </w:rPr>
            </w:pPr>
          </w:p>
        </w:tc>
      </w:tr>
      <w:tr w:rsidR="009478ED" w:rsidRPr="007F37A0" w14:paraId="5FCC5CC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A458A1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62" w:type="dxa"/>
            <w:tcBorders>
              <w:top w:val="nil"/>
              <w:left w:val="nil"/>
              <w:bottom w:val="nil"/>
              <w:right w:val="nil"/>
            </w:tcBorders>
            <w:shd w:val="clear" w:color="auto" w:fill="auto"/>
            <w:noWrap/>
            <w:vAlign w:val="bottom"/>
            <w:hideMark/>
          </w:tcPr>
          <w:p w14:paraId="28D06F8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6" w:type="dxa"/>
            <w:tcBorders>
              <w:top w:val="nil"/>
              <w:left w:val="nil"/>
              <w:bottom w:val="nil"/>
              <w:right w:val="nil"/>
            </w:tcBorders>
            <w:shd w:val="clear" w:color="auto" w:fill="auto"/>
            <w:noWrap/>
            <w:vAlign w:val="bottom"/>
            <w:hideMark/>
          </w:tcPr>
          <w:p w14:paraId="5F5249B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633" w:type="dxa"/>
            <w:tcBorders>
              <w:top w:val="nil"/>
              <w:left w:val="nil"/>
              <w:bottom w:val="nil"/>
              <w:right w:val="nil"/>
            </w:tcBorders>
            <w:shd w:val="clear" w:color="auto" w:fill="auto"/>
            <w:noWrap/>
            <w:vAlign w:val="bottom"/>
            <w:hideMark/>
          </w:tcPr>
          <w:p w14:paraId="72E368A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19334AE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77F262BE"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3E10EDC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62" w:type="dxa"/>
            <w:tcBorders>
              <w:top w:val="nil"/>
              <w:left w:val="nil"/>
              <w:bottom w:val="nil"/>
              <w:right w:val="nil"/>
            </w:tcBorders>
            <w:shd w:val="clear" w:color="auto" w:fill="auto"/>
            <w:noWrap/>
            <w:vAlign w:val="bottom"/>
            <w:hideMark/>
          </w:tcPr>
          <w:p w14:paraId="2A7DD15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6" w:type="dxa"/>
            <w:tcBorders>
              <w:top w:val="nil"/>
              <w:left w:val="nil"/>
              <w:bottom w:val="nil"/>
              <w:right w:val="nil"/>
            </w:tcBorders>
            <w:shd w:val="clear" w:color="auto" w:fill="auto"/>
            <w:noWrap/>
            <w:vAlign w:val="bottom"/>
            <w:hideMark/>
          </w:tcPr>
          <w:p w14:paraId="37D3DFD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563F76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5BAC317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34411C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28C2FBE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62" w:type="dxa"/>
            <w:tcBorders>
              <w:top w:val="nil"/>
              <w:left w:val="nil"/>
              <w:bottom w:val="nil"/>
              <w:right w:val="nil"/>
            </w:tcBorders>
            <w:shd w:val="clear" w:color="auto" w:fill="auto"/>
            <w:noWrap/>
            <w:vAlign w:val="bottom"/>
            <w:hideMark/>
          </w:tcPr>
          <w:p w14:paraId="5B4771F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5EEBD36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181A7CA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4B2DB34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60EBF10"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556B98D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62" w:type="dxa"/>
            <w:tcBorders>
              <w:top w:val="nil"/>
              <w:left w:val="nil"/>
              <w:bottom w:val="nil"/>
              <w:right w:val="nil"/>
            </w:tcBorders>
            <w:shd w:val="clear" w:color="auto" w:fill="auto"/>
            <w:noWrap/>
            <w:vAlign w:val="bottom"/>
            <w:hideMark/>
          </w:tcPr>
          <w:p w14:paraId="1BD4941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4541A0C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nil"/>
              <w:right w:val="nil"/>
            </w:tcBorders>
            <w:shd w:val="clear" w:color="auto" w:fill="auto"/>
            <w:noWrap/>
            <w:vAlign w:val="bottom"/>
            <w:hideMark/>
          </w:tcPr>
          <w:p w14:paraId="01C1C02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00F51AB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FA82E69" w14:textId="77777777" w:rsidTr="00735871">
        <w:trPr>
          <w:trHeight w:val="276"/>
          <w:jc w:val="center"/>
        </w:trPr>
        <w:tc>
          <w:tcPr>
            <w:tcW w:w="3060" w:type="dxa"/>
            <w:tcBorders>
              <w:top w:val="nil"/>
              <w:left w:val="nil"/>
              <w:bottom w:val="single" w:sz="4" w:space="0" w:color="000000"/>
              <w:right w:val="nil"/>
            </w:tcBorders>
            <w:shd w:val="clear" w:color="auto" w:fill="auto"/>
            <w:noWrap/>
            <w:vAlign w:val="bottom"/>
            <w:hideMark/>
          </w:tcPr>
          <w:p w14:paraId="0EC4BED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62" w:type="dxa"/>
            <w:tcBorders>
              <w:top w:val="nil"/>
              <w:left w:val="nil"/>
              <w:bottom w:val="single" w:sz="4" w:space="0" w:color="000000"/>
              <w:right w:val="nil"/>
            </w:tcBorders>
            <w:shd w:val="clear" w:color="auto" w:fill="auto"/>
            <w:noWrap/>
            <w:vAlign w:val="bottom"/>
            <w:hideMark/>
          </w:tcPr>
          <w:p w14:paraId="2CD9483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single" w:sz="4" w:space="0" w:color="000000"/>
              <w:right w:val="nil"/>
            </w:tcBorders>
            <w:shd w:val="clear" w:color="auto" w:fill="auto"/>
            <w:noWrap/>
            <w:vAlign w:val="bottom"/>
            <w:hideMark/>
          </w:tcPr>
          <w:p w14:paraId="26B5571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single" w:sz="4" w:space="0" w:color="000000"/>
              <w:right w:val="nil"/>
            </w:tcBorders>
            <w:shd w:val="clear" w:color="auto" w:fill="auto"/>
            <w:noWrap/>
            <w:vAlign w:val="bottom"/>
            <w:hideMark/>
          </w:tcPr>
          <w:p w14:paraId="15DA6AF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000000"/>
              <w:right w:val="nil"/>
            </w:tcBorders>
            <w:shd w:val="clear" w:color="auto" w:fill="auto"/>
            <w:noWrap/>
            <w:vAlign w:val="bottom"/>
            <w:hideMark/>
          </w:tcPr>
          <w:p w14:paraId="7746514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CA03298"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52095F7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and waste heat input control variables were dropped for convergence.</w:t>
            </w:r>
          </w:p>
        </w:tc>
      </w:tr>
      <w:tr w:rsidR="009478ED" w:rsidRPr="007F37A0" w14:paraId="3058775F"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38C1CD4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7DEE0C3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other technology type installation reported in this table. SO2 treatment is an indicator variable for treatment under either CAIR or CSAPR for SO2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4CE8510D"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b/>
          <w:bCs/>
        </w:rPr>
        <w:br w:type="page"/>
      </w:r>
    </w:p>
    <w:p w14:paraId="077A3BE3" w14:textId="25876769" w:rsidR="009478ED" w:rsidRPr="007F37A0" w:rsidRDefault="009478ED" w:rsidP="007F37A0">
      <w:pPr>
        <w:pStyle w:val="Caption"/>
        <w:rPr>
          <w:rFonts w:cs="Times New Roman"/>
        </w:rPr>
      </w:pPr>
      <w:bookmarkStart w:id="169" w:name="_Ref164512367"/>
      <w:bookmarkStart w:id="170" w:name="_Toc164862561"/>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26</w:t>
      </w:r>
      <w:r w:rsidRPr="007F37A0">
        <w:rPr>
          <w:rFonts w:cs="Times New Roman"/>
        </w:rPr>
        <w:fldChar w:fldCharType="end"/>
      </w:r>
      <w:bookmarkEnd w:id="169"/>
      <w:r w:rsidRPr="007F37A0">
        <w:rPr>
          <w:rFonts w:cs="Times New Roman"/>
        </w:rPr>
        <w:t>: Boiler Retirement by SO</w:t>
      </w:r>
      <w:r w:rsidRPr="007F37A0">
        <w:rPr>
          <w:rFonts w:cs="Times New Roman"/>
          <w:vertAlign w:val="subscript"/>
        </w:rPr>
        <w:t>2</w:t>
      </w:r>
      <w:r w:rsidRPr="007F37A0">
        <w:rPr>
          <w:rFonts w:cs="Times New Roman"/>
        </w:rPr>
        <w:t xml:space="preserve"> Treatment - Multinomial Logit</w:t>
      </w:r>
      <w:bookmarkEnd w:id="170"/>
    </w:p>
    <w:tbl>
      <w:tblPr>
        <w:tblW w:w="9567" w:type="dxa"/>
        <w:jc w:val="center"/>
        <w:tblLook w:val="04A0" w:firstRow="1" w:lastRow="0" w:firstColumn="1" w:lastColumn="0" w:noHBand="0" w:noVBand="1"/>
      </w:tblPr>
      <w:tblGrid>
        <w:gridCol w:w="3060"/>
        <w:gridCol w:w="1162"/>
        <w:gridCol w:w="2256"/>
        <w:gridCol w:w="1633"/>
        <w:gridCol w:w="1456"/>
      </w:tblGrid>
      <w:tr w:rsidR="009478ED" w:rsidRPr="007F37A0" w14:paraId="44DAEC19"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775836F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0E41E18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6" w:type="dxa"/>
            <w:tcBorders>
              <w:top w:val="single" w:sz="4" w:space="0" w:color="000000"/>
              <w:left w:val="nil"/>
              <w:bottom w:val="nil"/>
              <w:right w:val="nil"/>
            </w:tcBorders>
            <w:shd w:val="clear" w:color="auto" w:fill="auto"/>
            <w:noWrap/>
            <w:vAlign w:val="bottom"/>
            <w:hideMark/>
          </w:tcPr>
          <w:p w14:paraId="107691B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633" w:type="dxa"/>
            <w:tcBorders>
              <w:top w:val="single" w:sz="4" w:space="0" w:color="000000"/>
              <w:left w:val="nil"/>
              <w:bottom w:val="nil"/>
              <w:right w:val="nil"/>
            </w:tcBorders>
            <w:shd w:val="clear" w:color="auto" w:fill="auto"/>
            <w:noWrap/>
            <w:vAlign w:val="bottom"/>
            <w:hideMark/>
          </w:tcPr>
          <w:p w14:paraId="2FC051B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456" w:type="dxa"/>
            <w:tcBorders>
              <w:top w:val="single" w:sz="4" w:space="0" w:color="000000"/>
              <w:left w:val="nil"/>
              <w:bottom w:val="nil"/>
              <w:right w:val="nil"/>
            </w:tcBorders>
            <w:shd w:val="clear" w:color="auto" w:fill="auto"/>
            <w:noWrap/>
            <w:vAlign w:val="bottom"/>
            <w:hideMark/>
          </w:tcPr>
          <w:p w14:paraId="000B196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761A5B02"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1DA046D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28CA595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Boiler Retirement </w:t>
            </w:r>
          </w:p>
        </w:tc>
        <w:tc>
          <w:tcPr>
            <w:tcW w:w="1162" w:type="dxa"/>
            <w:tcBorders>
              <w:top w:val="nil"/>
              <w:left w:val="nil"/>
              <w:bottom w:val="nil"/>
              <w:right w:val="nil"/>
            </w:tcBorders>
            <w:shd w:val="clear" w:color="auto" w:fill="auto"/>
            <w:noWrap/>
            <w:vAlign w:val="bottom"/>
            <w:hideMark/>
          </w:tcPr>
          <w:p w14:paraId="75D2DB3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6" w:type="dxa"/>
            <w:tcBorders>
              <w:top w:val="nil"/>
              <w:left w:val="nil"/>
              <w:bottom w:val="nil"/>
              <w:right w:val="nil"/>
            </w:tcBorders>
            <w:shd w:val="clear" w:color="auto" w:fill="auto"/>
            <w:noWrap/>
            <w:vAlign w:val="bottom"/>
            <w:hideMark/>
          </w:tcPr>
          <w:p w14:paraId="352FA63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633" w:type="dxa"/>
            <w:tcBorders>
              <w:top w:val="nil"/>
              <w:left w:val="nil"/>
              <w:bottom w:val="nil"/>
              <w:right w:val="nil"/>
            </w:tcBorders>
            <w:shd w:val="clear" w:color="auto" w:fill="auto"/>
            <w:noWrap/>
            <w:vAlign w:val="bottom"/>
            <w:hideMark/>
          </w:tcPr>
          <w:p w14:paraId="0007730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456" w:type="dxa"/>
            <w:tcBorders>
              <w:top w:val="nil"/>
              <w:left w:val="nil"/>
              <w:bottom w:val="nil"/>
              <w:right w:val="nil"/>
            </w:tcBorders>
            <w:shd w:val="clear" w:color="auto" w:fill="auto"/>
            <w:noWrap/>
            <w:vAlign w:val="bottom"/>
            <w:hideMark/>
          </w:tcPr>
          <w:p w14:paraId="38D59DF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7D099654" w14:textId="77777777" w:rsidTr="00735871">
        <w:trPr>
          <w:trHeight w:val="276"/>
          <w:jc w:val="center"/>
        </w:trPr>
        <w:tc>
          <w:tcPr>
            <w:tcW w:w="3060" w:type="dxa"/>
            <w:tcBorders>
              <w:top w:val="single" w:sz="4" w:space="0" w:color="000000"/>
              <w:left w:val="nil"/>
              <w:bottom w:val="nil"/>
              <w:right w:val="nil"/>
            </w:tcBorders>
            <w:shd w:val="clear" w:color="auto" w:fill="auto"/>
            <w:noWrap/>
            <w:vAlign w:val="bottom"/>
            <w:hideMark/>
          </w:tcPr>
          <w:p w14:paraId="6C22456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62" w:type="dxa"/>
            <w:tcBorders>
              <w:top w:val="single" w:sz="4" w:space="0" w:color="000000"/>
              <w:left w:val="nil"/>
              <w:bottom w:val="nil"/>
              <w:right w:val="nil"/>
            </w:tcBorders>
            <w:shd w:val="clear" w:color="auto" w:fill="auto"/>
            <w:noWrap/>
            <w:vAlign w:val="bottom"/>
            <w:hideMark/>
          </w:tcPr>
          <w:p w14:paraId="79CC523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6" w:type="dxa"/>
            <w:tcBorders>
              <w:top w:val="single" w:sz="4" w:space="0" w:color="000000"/>
              <w:left w:val="nil"/>
              <w:bottom w:val="nil"/>
              <w:right w:val="nil"/>
            </w:tcBorders>
            <w:shd w:val="clear" w:color="auto" w:fill="auto"/>
            <w:noWrap/>
            <w:vAlign w:val="bottom"/>
            <w:hideMark/>
          </w:tcPr>
          <w:p w14:paraId="2E7AAF7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633" w:type="dxa"/>
            <w:tcBorders>
              <w:top w:val="single" w:sz="4" w:space="0" w:color="000000"/>
              <w:left w:val="nil"/>
              <w:bottom w:val="nil"/>
              <w:right w:val="nil"/>
            </w:tcBorders>
            <w:shd w:val="clear" w:color="auto" w:fill="auto"/>
            <w:noWrap/>
            <w:vAlign w:val="bottom"/>
            <w:hideMark/>
          </w:tcPr>
          <w:p w14:paraId="33AA5DF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29E2CE1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12B028A2"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73D9216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SO2 Treatment</w:t>
            </w:r>
          </w:p>
        </w:tc>
        <w:tc>
          <w:tcPr>
            <w:tcW w:w="1162" w:type="dxa"/>
            <w:tcBorders>
              <w:top w:val="nil"/>
              <w:left w:val="nil"/>
              <w:bottom w:val="nil"/>
              <w:right w:val="nil"/>
            </w:tcBorders>
            <w:shd w:val="clear" w:color="auto" w:fill="auto"/>
            <w:noWrap/>
            <w:vAlign w:val="bottom"/>
            <w:hideMark/>
          </w:tcPr>
          <w:p w14:paraId="6BE272A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0.566***</w:t>
            </w:r>
          </w:p>
        </w:tc>
        <w:tc>
          <w:tcPr>
            <w:tcW w:w="2256" w:type="dxa"/>
            <w:tcBorders>
              <w:top w:val="nil"/>
              <w:left w:val="nil"/>
              <w:bottom w:val="nil"/>
              <w:right w:val="nil"/>
            </w:tcBorders>
            <w:shd w:val="clear" w:color="auto" w:fill="auto"/>
            <w:noWrap/>
            <w:vAlign w:val="bottom"/>
            <w:hideMark/>
          </w:tcPr>
          <w:p w14:paraId="695590F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0.278***</w:t>
            </w:r>
          </w:p>
        </w:tc>
        <w:tc>
          <w:tcPr>
            <w:tcW w:w="1633" w:type="dxa"/>
            <w:tcBorders>
              <w:top w:val="nil"/>
              <w:left w:val="nil"/>
              <w:bottom w:val="nil"/>
              <w:right w:val="nil"/>
            </w:tcBorders>
            <w:shd w:val="clear" w:color="auto" w:fill="auto"/>
            <w:noWrap/>
            <w:vAlign w:val="bottom"/>
            <w:hideMark/>
          </w:tcPr>
          <w:p w14:paraId="12A6356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0.328***</w:t>
            </w:r>
          </w:p>
        </w:tc>
        <w:tc>
          <w:tcPr>
            <w:tcW w:w="1456" w:type="dxa"/>
            <w:tcBorders>
              <w:top w:val="nil"/>
              <w:left w:val="nil"/>
              <w:bottom w:val="nil"/>
              <w:right w:val="nil"/>
            </w:tcBorders>
            <w:shd w:val="clear" w:color="auto" w:fill="auto"/>
            <w:noWrap/>
            <w:vAlign w:val="bottom"/>
            <w:hideMark/>
          </w:tcPr>
          <w:p w14:paraId="0D5BB80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0.177*</w:t>
            </w:r>
          </w:p>
        </w:tc>
      </w:tr>
      <w:tr w:rsidR="009478ED" w:rsidRPr="007F37A0" w14:paraId="0B869AD7"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0B138FE5"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0883EAC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(0.072)</w:t>
            </w:r>
          </w:p>
        </w:tc>
        <w:tc>
          <w:tcPr>
            <w:tcW w:w="2256" w:type="dxa"/>
            <w:tcBorders>
              <w:top w:val="nil"/>
              <w:left w:val="nil"/>
              <w:bottom w:val="nil"/>
              <w:right w:val="nil"/>
            </w:tcBorders>
            <w:shd w:val="clear" w:color="auto" w:fill="auto"/>
            <w:noWrap/>
            <w:vAlign w:val="bottom"/>
            <w:hideMark/>
          </w:tcPr>
          <w:p w14:paraId="47D2C3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(0.100)</w:t>
            </w:r>
          </w:p>
        </w:tc>
        <w:tc>
          <w:tcPr>
            <w:tcW w:w="1633" w:type="dxa"/>
            <w:tcBorders>
              <w:top w:val="nil"/>
              <w:left w:val="nil"/>
              <w:bottom w:val="nil"/>
              <w:right w:val="nil"/>
            </w:tcBorders>
            <w:shd w:val="clear" w:color="auto" w:fill="auto"/>
            <w:noWrap/>
            <w:vAlign w:val="bottom"/>
            <w:hideMark/>
          </w:tcPr>
          <w:p w14:paraId="7B911BF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(0.100)</w:t>
            </w:r>
          </w:p>
        </w:tc>
        <w:tc>
          <w:tcPr>
            <w:tcW w:w="1456" w:type="dxa"/>
            <w:tcBorders>
              <w:top w:val="nil"/>
              <w:left w:val="nil"/>
              <w:bottom w:val="nil"/>
              <w:right w:val="nil"/>
            </w:tcBorders>
            <w:shd w:val="clear" w:color="auto" w:fill="auto"/>
            <w:noWrap/>
            <w:vAlign w:val="bottom"/>
            <w:hideMark/>
          </w:tcPr>
          <w:p w14:paraId="08E9C71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(0.104)</w:t>
            </w:r>
          </w:p>
        </w:tc>
      </w:tr>
      <w:tr w:rsidR="009478ED" w:rsidRPr="007F37A0" w14:paraId="12E363EC"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45EEDE68" w14:textId="77777777" w:rsidR="009478ED" w:rsidRPr="007F37A0" w:rsidRDefault="009478ED" w:rsidP="00735871">
            <w:pPr>
              <w:jc w:val="center"/>
              <w:rPr>
                <w:rFonts w:ascii="Times New Roman" w:hAnsi="Times New Roman" w:cs="Times New Roman"/>
              </w:rPr>
            </w:pPr>
          </w:p>
        </w:tc>
        <w:tc>
          <w:tcPr>
            <w:tcW w:w="1162" w:type="dxa"/>
            <w:tcBorders>
              <w:top w:val="nil"/>
              <w:left w:val="nil"/>
              <w:bottom w:val="nil"/>
              <w:right w:val="nil"/>
            </w:tcBorders>
            <w:shd w:val="clear" w:color="auto" w:fill="auto"/>
            <w:noWrap/>
            <w:vAlign w:val="bottom"/>
            <w:hideMark/>
          </w:tcPr>
          <w:p w14:paraId="77D70D60" w14:textId="77777777" w:rsidR="009478ED" w:rsidRPr="007F37A0" w:rsidRDefault="009478ED" w:rsidP="00735871">
            <w:pPr>
              <w:rPr>
                <w:rFonts w:ascii="Times New Roman" w:hAnsi="Times New Roman" w:cs="Times New Roman"/>
              </w:rPr>
            </w:pPr>
          </w:p>
        </w:tc>
        <w:tc>
          <w:tcPr>
            <w:tcW w:w="2256" w:type="dxa"/>
            <w:tcBorders>
              <w:top w:val="nil"/>
              <w:left w:val="nil"/>
              <w:bottom w:val="nil"/>
              <w:right w:val="nil"/>
            </w:tcBorders>
            <w:shd w:val="clear" w:color="auto" w:fill="auto"/>
            <w:noWrap/>
            <w:vAlign w:val="bottom"/>
            <w:hideMark/>
          </w:tcPr>
          <w:p w14:paraId="102914AA" w14:textId="77777777" w:rsidR="009478ED" w:rsidRPr="007F37A0" w:rsidRDefault="009478ED" w:rsidP="00735871">
            <w:pPr>
              <w:jc w:val="center"/>
              <w:rPr>
                <w:rFonts w:ascii="Times New Roman" w:hAnsi="Times New Roman" w:cs="Times New Roman"/>
              </w:rPr>
            </w:pPr>
          </w:p>
        </w:tc>
        <w:tc>
          <w:tcPr>
            <w:tcW w:w="1633" w:type="dxa"/>
            <w:tcBorders>
              <w:top w:val="nil"/>
              <w:left w:val="nil"/>
              <w:bottom w:val="nil"/>
              <w:right w:val="nil"/>
            </w:tcBorders>
            <w:shd w:val="clear" w:color="auto" w:fill="auto"/>
            <w:noWrap/>
            <w:vAlign w:val="bottom"/>
            <w:hideMark/>
          </w:tcPr>
          <w:p w14:paraId="130A69BE"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11876968" w14:textId="77777777" w:rsidR="009478ED" w:rsidRPr="007F37A0" w:rsidRDefault="009478ED" w:rsidP="00735871">
            <w:pPr>
              <w:jc w:val="center"/>
              <w:rPr>
                <w:rFonts w:ascii="Times New Roman" w:hAnsi="Times New Roman" w:cs="Times New Roman"/>
              </w:rPr>
            </w:pPr>
          </w:p>
        </w:tc>
      </w:tr>
      <w:tr w:rsidR="009478ED" w:rsidRPr="007F37A0" w14:paraId="54B8D760"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387CFD7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62" w:type="dxa"/>
            <w:tcBorders>
              <w:top w:val="nil"/>
              <w:left w:val="nil"/>
              <w:bottom w:val="nil"/>
              <w:right w:val="nil"/>
            </w:tcBorders>
            <w:shd w:val="clear" w:color="auto" w:fill="auto"/>
            <w:noWrap/>
            <w:vAlign w:val="bottom"/>
            <w:hideMark/>
          </w:tcPr>
          <w:p w14:paraId="2E15C3C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6" w:type="dxa"/>
            <w:tcBorders>
              <w:top w:val="nil"/>
              <w:left w:val="nil"/>
              <w:bottom w:val="nil"/>
              <w:right w:val="nil"/>
            </w:tcBorders>
            <w:shd w:val="clear" w:color="auto" w:fill="auto"/>
            <w:noWrap/>
            <w:vAlign w:val="bottom"/>
            <w:hideMark/>
          </w:tcPr>
          <w:p w14:paraId="1404B6E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633" w:type="dxa"/>
            <w:tcBorders>
              <w:top w:val="nil"/>
              <w:left w:val="nil"/>
              <w:bottom w:val="nil"/>
              <w:right w:val="nil"/>
            </w:tcBorders>
            <w:shd w:val="clear" w:color="auto" w:fill="auto"/>
            <w:noWrap/>
            <w:vAlign w:val="bottom"/>
            <w:hideMark/>
          </w:tcPr>
          <w:p w14:paraId="13E9C7A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0A9D6F0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7A6D78C9"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522B5F6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62" w:type="dxa"/>
            <w:tcBorders>
              <w:top w:val="nil"/>
              <w:left w:val="nil"/>
              <w:bottom w:val="nil"/>
              <w:right w:val="nil"/>
            </w:tcBorders>
            <w:shd w:val="clear" w:color="auto" w:fill="auto"/>
            <w:noWrap/>
            <w:vAlign w:val="bottom"/>
            <w:hideMark/>
          </w:tcPr>
          <w:p w14:paraId="64F8EBD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6" w:type="dxa"/>
            <w:tcBorders>
              <w:top w:val="nil"/>
              <w:left w:val="nil"/>
              <w:bottom w:val="nil"/>
              <w:right w:val="nil"/>
            </w:tcBorders>
            <w:shd w:val="clear" w:color="auto" w:fill="auto"/>
            <w:noWrap/>
            <w:vAlign w:val="bottom"/>
            <w:hideMark/>
          </w:tcPr>
          <w:p w14:paraId="3C7C21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01162F1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4B18331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71E7F188"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54BFA47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62" w:type="dxa"/>
            <w:tcBorders>
              <w:top w:val="nil"/>
              <w:left w:val="nil"/>
              <w:bottom w:val="nil"/>
              <w:right w:val="nil"/>
            </w:tcBorders>
            <w:shd w:val="clear" w:color="auto" w:fill="auto"/>
            <w:noWrap/>
            <w:vAlign w:val="bottom"/>
            <w:hideMark/>
          </w:tcPr>
          <w:p w14:paraId="571637C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0A66F4D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3" w:type="dxa"/>
            <w:tcBorders>
              <w:top w:val="nil"/>
              <w:left w:val="nil"/>
              <w:bottom w:val="nil"/>
              <w:right w:val="nil"/>
            </w:tcBorders>
            <w:shd w:val="clear" w:color="auto" w:fill="auto"/>
            <w:noWrap/>
            <w:vAlign w:val="bottom"/>
            <w:hideMark/>
          </w:tcPr>
          <w:p w14:paraId="2ACB6EE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596AD13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0CB6948" w14:textId="77777777" w:rsidTr="00735871">
        <w:trPr>
          <w:trHeight w:val="276"/>
          <w:jc w:val="center"/>
        </w:trPr>
        <w:tc>
          <w:tcPr>
            <w:tcW w:w="3060" w:type="dxa"/>
            <w:tcBorders>
              <w:top w:val="nil"/>
              <w:left w:val="nil"/>
              <w:bottom w:val="nil"/>
              <w:right w:val="nil"/>
            </w:tcBorders>
            <w:shd w:val="clear" w:color="auto" w:fill="auto"/>
            <w:noWrap/>
            <w:vAlign w:val="bottom"/>
            <w:hideMark/>
          </w:tcPr>
          <w:p w14:paraId="6A29D91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62" w:type="dxa"/>
            <w:tcBorders>
              <w:top w:val="nil"/>
              <w:left w:val="nil"/>
              <w:bottom w:val="nil"/>
              <w:right w:val="nil"/>
            </w:tcBorders>
            <w:shd w:val="clear" w:color="auto" w:fill="auto"/>
            <w:noWrap/>
            <w:vAlign w:val="bottom"/>
            <w:hideMark/>
          </w:tcPr>
          <w:p w14:paraId="627AAD7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nil"/>
              <w:right w:val="nil"/>
            </w:tcBorders>
            <w:shd w:val="clear" w:color="auto" w:fill="auto"/>
            <w:noWrap/>
            <w:vAlign w:val="bottom"/>
            <w:hideMark/>
          </w:tcPr>
          <w:p w14:paraId="175D5AB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nil"/>
              <w:right w:val="nil"/>
            </w:tcBorders>
            <w:shd w:val="clear" w:color="auto" w:fill="auto"/>
            <w:noWrap/>
            <w:vAlign w:val="bottom"/>
            <w:hideMark/>
          </w:tcPr>
          <w:p w14:paraId="736EDA7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7EBF6D2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1CE7CC0" w14:textId="77777777" w:rsidTr="00735871">
        <w:trPr>
          <w:trHeight w:val="276"/>
          <w:jc w:val="center"/>
        </w:trPr>
        <w:tc>
          <w:tcPr>
            <w:tcW w:w="3060" w:type="dxa"/>
            <w:tcBorders>
              <w:top w:val="nil"/>
              <w:left w:val="nil"/>
              <w:bottom w:val="single" w:sz="4" w:space="0" w:color="000000"/>
              <w:right w:val="nil"/>
            </w:tcBorders>
            <w:shd w:val="clear" w:color="auto" w:fill="auto"/>
            <w:noWrap/>
            <w:vAlign w:val="bottom"/>
            <w:hideMark/>
          </w:tcPr>
          <w:p w14:paraId="6692A93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62" w:type="dxa"/>
            <w:tcBorders>
              <w:top w:val="nil"/>
              <w:left w:val="nil"/>
              <w:bottom w:val="single" w:sz="4" w:space="0" w:color="000000"/>
              <w:right w:val="nil"/>
            </w:tcBorders>
            <w:shd w:val="clear" w:color="auto" w:fill="auto"/>
            <w:noWrap/>
            <w:vAlign w:val="bottom"/>
            <w:hideMark/>
          </w:tcPr>
          <w:p w14:paraId="2372E7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6" w:type="dxa"/>
            <w:tcBorders>
              <w:top w:val="nil"/>
              <w:left w:val="nil"/>
              <w:bottom w:val="single" w:sz="4" w:space="0" w:color="000000"/>
              <w:right w:val="nil"/>
            </w:tcBorders>
            <w:shd w:val="clear" w:color="auto" w:fill="auto"/>
            <w:noWrap/>
            <w:vAlign w:val="bottom"/>
            <w:hideMark/>
          </w:tcPr>
          <w:p w14:paraId="0A1A3E7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3" w:type="dxa"/>
            <w:tcBorders>
              <w:top w:val="nil"/>
              <w:left w:val="nil"/>
              <w:bottom w:val="single" w:sz="4" w:space="0" w:color="000000"/>
              <w:right w:val="nil"/>
            </w:tcBorders>
            <w:shd w:val="clear" w:color="auto" w:fill="auto"/>
            <w:noWrap/>
            <w:vAlign w:val="bottom"/>
            <w:hideMark/>
          </w:tcPr>
          <w:p w14:paraId="2BDA8A9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000000"/>
              <w:right w:val="nil"/>
            </w:tcBorders>
            <w:shd w:val="clear" w:color="auto" w:fill="auto"/>
            <w:noWrap/>
            <w:vAlign w:val="bottom"/>
            <w:hideMark/>
          </w:tcPr>
          <w:p w14:paraId="7A044B6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490B3AC"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399497C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and waste heat input control variables were dropped for convergence.</w:t>
            </w:r>
          </w:p>
        </w:tc>
      </w:tr>
      <w:tr w:rsidR="009478ED" w:rsidRPr="007F37A0" w14:paraId="04400C90" w14:textId="77777777" w:rsidTr="00735871">
        <w:trPr>
          <w:trHeight w:val="276"/>
          <w:jc w:val="center"/>
        </w:trPr>
        <w:tc>
          <w:tcPr>
            <w:tcW w:w="9567" w:type="dxa"/>
            <w:gridSpan w:val="5"/>
            <w:tcBorders>
              <w:top w:val="nil"/>
              <w:left w:val="nil"/>
              <w:bottom w:val="nil"/>
              <w:right w:val="nil"/>
            </w:tcBorders>
            <w:shd w:val="clear" w:color="auto" w:fill="auto"/>
            <w:noWrap/>
            <w:vAlign w:val="bottom"/>
            <w:hideMark/>
          </w:tcPr>
          <w:p w14:paraId="0E498E4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36E4D80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boiler retirement reported in this table. SO2 treatment is an indicator variable for treatment under either CAIR or CSAPR for SO2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282EB480" w14:textId="77777777" w:rsidR="009478ED" w:rsidRPr="007F37A0" w:rsidRDefault="009478ED" w:rsidP="009478ED">
      <w:pPr>
        <w:rPr>
          <w:rFonts w:ascii="Times New Roman" w:hAnsi="Times New Roman" w:cs="Times New Roman"/>
          <w:b/>
          <w:bCs/>
        </w:rPr>
      </w:pPr>
    </w:p>
    <w:p w14:paraId="22CF5138"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rPr>
        <w:br w:type="page"/>
      </w:r>
    </w:p>
    <w:p w14:paraId="066B8619" w14:textId="30DAF754" w:rsidR="009478ED" w:rsidRPr="007F37A0" w:rsidRDefault="009478ED" w:rsidP="007F37A0">
      <w:pPr>
        <w:pStyle w:val="Caption"/>
        <w:rPr>
          <w:rFonts w:cs="Times New Roman"/>
        </w:rPr>
      </w:pPr>
      <w:bookmarkStart w:id="171" w:name="_Ref164512563"/>
      <w:bookmarkStart w:id="172" w:name="_Toc164862562"/>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27</w:t>
      </w:r>
      <w:r w:rsidRPr="007F37A0">
        <w:rPr>
          <w:rFonts w:cs="Times New Roman"/>
        </w:rPr>
        <w:fldChar w:fldCharType="end"/>
      </w:r>
      <w:bookmarkEnd w:id="171"/>
      <w:r w:rsidRPr="007F37A0">
        <w:rPr>
          <w:rFonts w:cs="Times New Roman"/>
        </w:rPr>
        <w:t>: Fuel Switching by SO</w:t>
      </w:r>
      <w:r w:rsidRPr="007F37A0">
        <w:rPr>
          <w:rFonts w:cs="Times New Roman"/>
          <w:vertAlign w:val="subscript"/>
        </w:rPr>
        <w:t>2</w:t>
      </w:r>
      <w:r w:rsidRPr="007F37A0">
        <w:rPr>
          <w:rFonts w:cs="Times New Roman"/>
        </w:rPr>
        <w:t xml:space="preserve"> Treatment</w:t>
      </w:r>
      <w:bookmarkEnd w:id="172"/>
    </w:p>
    <w:tbl>
      <w:tblPr>
        <w:tblW w:w="9850" w:type="dxa"/>
        <w:jc w:val="center"/>
        <w:tblLook w:val="04A0" w:firstRow="1" w:lastRow="0" w:firstColumn="1" w:lastColumn="0" w:noHBand="0" w:noVBand="1"/>
      </w:tblPr>
      <w:tblGrid>
        <w:gridCol w:w="2520"/>
        <w:gridCol w:w="1530"/>
        <w:gridCol w:w="2250"/>
        <w:gridCol w:w="1800"/>
        <w:gridCol w:w="1750"/>
      </w:tblGrid>
      <w:tr w:rsidR="009478ED" w:rsidRPr="007F37A0" w14:paraId="2DB86361" w14:textId="77777777" w:rsidTr="00735871">
        <w:trPr>
          <w:trHeight w:val="270"/>
          <w:jc w:val="center"/>
        </w:trPr>
        <w:tc>
          <w:tcPr>
            <w:tcW w:w="2520" w:type="dxa"/>
            <w:tcBorders>
              <w:top w:val="single" w:sz="4" w:space="0" w:color="000000"/>
              <w:left w:val="nil"/>
              <w:bottom w:val="nil"/>
              <w:right w:val="nil"/>
            </w:tcBorders>
            <w:shd w:val="clear" w:color="auto" w:fill="auto"/>
            <w:noWrap/>
            <w:vAlign w:val="bottom"/>
            <w:hideMark/>
          </w:tcPr>
          <w:p w14:paraId="66041BC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shd w:val="clear" w:color="auto" w:fill="auto"/>
            <w:noWrap/>
            <w:vAlign w:val="bottom"/>
            <w:hideMark/>
          </w:tcPr>
          <w:p w14:paraId="46A9E7E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0" w:type="dxa"/>
            <w:tcBorders>
              <w:top w:val="single" w:sz="4" w:space="0" w:color="000000"/>
              <w:left w:val="nil"/>
              <w:bottom w:val="nil"/>
              <w:right w:val="nil"/>
            </w:tcBorders>
            <w:shd w:val="clear" w:color="auto" w:fill="auto"/>
            <w:noWrap/>
            <w:vAlign w:val="bottom"/>
            <w:hideMark/>
          </w:tcPr>
          <w:p w14:paraId="7F3237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800" w:type="dxa"/>
            <w:tcBorders>
              <w:top w:val="single" w:sz="4" w:space="0" w:color="000000"/>
              <w:left w:val="nil"/>
              <w:bottom w:val="nil"/>
              <w:right w:val="nil"/>
            </w:tcBorders>
            <w:shd w:val="clear" w:color="auto" w:fill="auto"/>
            <w:noWrap/>
            <w:vAlign w:val="bottom"/>
            <w:hideMark/>
          </w:tcPr>
          <w:p w14:paraId="447A896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750" w:type="dxa"/>
            <w:tcBorders>
              <w:top w:val="single" w:sz="4" w:space="0" w:color="000000"/>
              <w:left w:val="nil"/>
              <w:bottom w:val="nil"/>
              <w:right w:val="nil"/>
            </w:tcBorders>
            <w:shd w:val="clear" w:color="auto" w:fill="auto"/>
            <w:noWrap/>
            <w:vAlign w:val="bottom"/>
            <w:hideMark/>
          </w:tcPr>
          <w:p w14:paraId="2BF694D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0E7F98D6"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15C95C5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68E7BF0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Switched Fuel Type</w:t>
            </w:r>
          </w:p>
        </w:tc>
        <w:tc>
          <w:tcPr>
            <w:tcW w:w="1530" w:type="dxa"/>
            <w:tcBorders>
              <w:top w:val="nil"/>
              <w:left w:val="nil"/>
              <w:bottom w:val="nil"/>
              <w:right w:val="nil"/>
            </w:tcBorders>
            <w:shd w:val="clear" w:color="auto" w:fill="auto"/>
            <w:noWrap/>
            <w:vAlign w:val="bottom"/>
            <w:hideMark/>
          </w:tcPr>
          <w:p w14:paraId="1D99734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0" w:type="dxa"/>
            <w:tcBorders>
              <w:top w:val="nil"/>
              <w:left w:val="nil"/>
              <w:bottom w:val="nil"/>
              <w:right w:val="nil"/>
            </w:tcBorders>
            <w:shd w:val="clear" w:color="auto" w:fill="auto"/>
            <w:noWrap/>
            <w:vAlign w:val="bottom"/>
            <w:hideMark/>
          </w:tcPr>
          <w:p w14:paraId="22E9041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800" w:type="dxa"/>
            <w:tcBorders>
              <w:top w:val="nil"/>
              <w:left w:val="nil"/>
              <w:bottom w:val="nil"/>
              <w:right w:val="nil"/>
            </w:tcBorders>
            <w:shd w:val="clear" w:color="auto" w:fill="auto"/>
            <w:noWrap/>
            <w:vAlign w:val="bottom"/>
            <w:hideMark/>
          </w:tcPr>
          <w:p w14:paraId="604E221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750" w:type="dxa"/>
            <w:tcBorders>
              <w:top w:val="nil"/>
              <w:left w:val="nil"/>
              <w:bottom w:val="nil"/>
              <w:right w:val="nil"/>
            </w:tcBorders>
            <w:shd w:val="clear" w:color="auto" w:fill="auto"/>
            <w:noWrap/>
            <w:vAlign w:val="bottom"/>
            <w:hideMark/>
          </w:tcPr>
          <w:p w14:paraId="307EE0B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0372AA53" w14:textId="77777777" w:rsidTr="00735871">
        <w:trPr>
          <w:trHeight w:val="270"/>
          <w:jc w:val="center"/>
        </w:trPr>
        <w:tc>
          <w:tcPr>
            <w:tcW w:w="2520" w:type="dxa"/>
            <w:tcBorders>
              <w:top w:val="single" w:sz="4" w:space="0" w:color="000000"/>
              <w:left w:val="nil"/>
              <w:bottom w:val="nil"/>
              <w:right w:val="nil"/>
            </w:tcBorders>
            <w:shd w:val="clear" w:color="auto" w:fill="auto"/>
            <w:noWrap/>
            <w:vAlign w:val="bottom"/>
            <w:hideMark/>
          </w:tcPr>
          <w:p w14:paraId="501700B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shd w:val="clear" w:color="auto" w:fill="auto"/>
            <w:noWrap/>
            <w:vAlign w:val="bottom"/>
            <w:hideMark/>
          </w:tcPr>
          <w:p w14:paraId="1D8438F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0" w:type="dxa"/>
            <w:tcBorders>
              <w:top w:val="single" w:sz="4" w:space="0" w:color="000000"/>
              <w:left w:val="nil"/>
              <w:bottom w:val="nil"/>
              <w:right w:val="nil"/>
            </w:tcBorders>
            <w:shd w:val="clear" w:color="auto" w:fill="auto"/>
            <w:noWrap/>
            <w:vAlign w:val="bottom"/>
            <w:hideMark/>
          </w:tcPr>
          <w:p w14:paraId="748926B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00" w:type="dxa"/>
            <w:tcBorders>
              <w:top w:val="single" w:sz="4" w:space="0" w:color="000000"/>
              <w:left w:val="nil"/>
              <w:bottom w:val="nil"/>
              <w:right w:val="nil"/>
            </w:tcBorders>
            <w:shd w:val="clear" w:color="auto" w:fill="auto"/>
            <w:noWrap/>
            <w:vAlign w:val="bottom"/>
            <w:hideMark/>
          </w:tcPr>
          <w:p w14:paraId="4C9EA73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750" w:type="dxa"/>
            <w:tcBorders>
              <w:top w:val="single" w:sz="4" w:space="0" w:color="000000"/>
              <w:left w:val="nil"/>
              <w:bottom w:val="nil"/>
              <w:right w:val="nil"/>
            </w:tcBorders>
            <w:shd w:val="clear" w:color="auto" w:fill="auto"/>
            <w:noWrap/>
            <w:vAlign w:val="bottom"/>
            <w:hideMark/>
          </w:tcPr>
          <w:p w14:paraId="7D821BD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213EF518"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60FCF40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Treatment</w:t>
            </w:r>
          </w:p>
        </w:tc>
        <w:tc>
          <w:tcPr>
            <w:tcW w:w="1530" w:type="dxa"/>
            <w:tcBorders>
              <w:top w:val="nil"/>
              <w:left w:val="nil"/>
              <w:bottom w:val="nil"/>
              <w:right w:val="nil"/>
            </w:tcBorders>
            <w:shd w:val="clear" w:color="auto" w:fill="auto"/>
            <w:noWrap/>
            <w:vAlign w:val="bottom"/>
            <w:hideMark/>
          </w:tcPr>
          <w:p w14:paraId="632A0A5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0.013**</w:t>
            </w:r>
          </w:p>
        </w:tc>
        <w:tc>
          <w:tcPr>
            <w:tcW w:w="2250" w:type="dxa"/>
            <w:tcBorders>
              <w:top w:val="nil"/>
              <w:left w:val="nil"/>
              <w:bottom w:val="nil"/>
              <w:right w:val="nil"/>
            </w:tcBorders>
            <w:shd w:val="clear" w:color="auto" w:fill="auto"/>
            <w:noWrap/>
            <w:vAlign w:val="bottom"/>
            <w:hideMark/>
          </w:tcPr>
          <w:p w14:paraId="5EDB204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0.016***</w:t>
            </w:r>
          </w:p>
        </w:tc>
        <w:tc>
          <w:tcPr>
            <w:tcW w:w="1800" w:type="dxa"/>
            <w:tcBorders>
              <w:top w:val="nil"/>
              <w:left w:val="nil"/>
              <w:bottom w:val="nil"/>
              <w:right w:val="nil"/>
            </w:tcBorders>
            <w:shd w:val="clear" w:color="auto" w:fill="auto"/>
            <w:noWrap/>
            <w:vAlign w:val="bottom"/>
            <w:hideMark/>
          </w:tcPr>
          <w:p w14:paraId="1772A6A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0.016***</w:t>
            </w:r>
          </w:p>
        </w:tc>
        <w:tc>
          <w:tcPr>
            <w:tcW w:w="1750" w:type="dxa"/>
            <w:tcBorders>
              <w:top w:val="nil"/>
              <w:left w:val="nil"/>
              <w:bottom w:val="nil"/>
              <w:right w:val="nil"/>
            </w:tcBorders>
            <w:shd w:val="clear" w:color="auto" w:fill="auto"/>
            <w:noWrap/>
            <w:vAlign w:val="bottom"/>
            <w:hideMark/>
          </w:tcPr>
          <w:p w14:paraId="247114F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0.013***</w:t>
            </w:r>
          </w:p>
        </w:tc>
      </w:tr>
      <w:tr w:rsidR="009478ED" w:rsidRPr="007F37A0" w14:paraId="70D7E388"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074D62A1"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3ECD63D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c>
          <w:tcPr>
            <w:tcW w:w="2250" w:type="dxa"/>
            <w:tcBorders>
              <w:top w:val="nil"/>
              <w:left w:val="nil"/>
              <w:bottom w:val="nil"/>
              <w:right w:val="nil"/>
            </w:tcBorders>
            <w:shd w:val="clear" w:color="auto" w:fill="auto"/>
            <w:noWrap/>
            <w:vAlign w:val="bottom"/>
            <w:hideMark/>
          </w:tcPr>
          <w:p w14:paraId="687C5FD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800" w:type="dxa"/>
            <w:tcBorders>
              <w:top w:val="nil"/>
              <w:left w:val="nil"/>
              <w:bottom w:val="nil"/>
              <w:right w:val="nil"/>
            </w:tcBorders>
            <w:shd w:val="clear" w:color="auto" w:fill="auto"/>
            <w:noWrap/>
            <w:vAlign w:val="bottom"/>
            <w:hideMark/>
          </w:tcPr>
          <w:p w14:paraId="0676679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750" w:type="dxa"/>
            <w:tcBorders>
              <w:top w:val="nil"/>
              <w:left w:val="nil"/>
              <w:bottom w:val="nil"/>
              <w:right w:val="nil"/>
            </w:tcBorders>
            <w:shd w:val="clear" w:color="auto" w:fill="auto"/>
            <w:noWrap/>
            <w:vAlign w:val="bottom"/>
            <w:hideMark/>
          </w:tcPr>
          <w:p w14:paraId="07700E0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r>
      <w:tr w:rsidR="009478ED" w:rsidRPr="007F37A0" w14:paraId="547BC1AF"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2540DE4E"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449D2097" w14:textId="77777777" w:rsidR="009478ED" w:rsidRPr="007F37A0" w:rsidRDefault="009478ED" w:rsidP="00735871">
            <w:pPr>
              <w:rPr>
                <w:rFonts w:ascii="Times New Roman" w:hAnsi="Times New Roman" w:cs="Times New Roman"/>
              </w:rPr>
            </w:pPr>
          </w:p>
        </w:tc>
        <w:tc>
          <w:tcPr>
            <w:tcW w:w="2250" w:type="dxa"/>
            <w:tcBorders>
              <w:top w:val="nil"/>
              <w:left w:val="nil"/>
              <w:bottom w:val="nil"/>
              <w:right w:val="nil"/>
            </w:tcBorders>
            <w:shd w:val="clear" w:color="auto" w:fill="auto"/>
            <w:noWrap/>
            <w:vAlign w:val="bottom"/>
            <w:hideMark/>
          </w:tcPr>
          <w:p w14:paraId="5AF81AEB" w14:textId="77777777" w:rsidR="009478ED" w:rsidRPr="007F37A0" w:rsidRDefault="009478ED" w:rsidP="00735871">
            <w:pPr>
              <w:jc w:val="center"/>
              <w:rPr>
                <w:rFonts w:ascii="Times New Roman" w:hAnsi="Times New Roman" w:cs="Times New Roman"/>
              </w:rPr>
            </w:pPr>
          </w:p>
        </w:tc>
        <w:tc>
          <w:tcPr>
            <w:tcW w:w="1800" w:type="dxa"/>
            <w:tcBorders>
              <w:top w:val="nil"/>
              <w:left w:val="nil"/>
              <w:bottom w:val="nil"/>
              <w:right w:val="nil"/>
            </w:tcBorders>
            <w:shd w:val="clear" w:color="auto" w:fill="auto"/>
            <w:noWrap/>
            <w:vAlign w:val="bottom"/>
          </w:tcPr>
          <w:p w14:paraId="7B2D8FF2" w14:textId="77777777" w:rsidR="009478ED" w:rsidRPr="007F37A0" w:rsidRDefault="009478ED" w:rsidP="00735871">
            <w:pPr>
              <w:jc w:val="center"/>
              <w:rPr>
                <w:rFonts w:ascii="Times New Roman" w:hAnsi="Times New Roman" w:cs="Times New Roman"/>
              </w:rPr>
            </w:pPr>
          </w:p>
        </w:tc>
        <w:tc>
          <w:tcPr>
            <w:tcW w:w="1750" w:type="dxa"/>
            <w:tcBorders>
              <w:top w:val="nil"/>
              <w:left w:val="nil"/>
              <w:bottom w:val="nil"/>
              <w:right w:val="nil"/>
            </w:tcBorders>
            <w:shd w:val="clear" w:color="auto" w:fill="auto"/>
            <w:noWrap/>
            <w:vAlign w:val="bottom"/>
          </w:tcPr>
          <w:p w14:paraId="1DF82A4E" w14:textId="77777777" w:rsidR="009478ED" w:rsidRPr="007F37A0" w:rsidRDefault="009478ED" w:rsidP="00735871">
            <w:pPr>
              <w:jc w:val="center"/>
              <w:rPr>
                <w:rFonts w:ascii="Times New Roman" w:hAnsi="Times New Roman" w:cs="Times New Roman"/>
              </w:rPr>
            </w:pPr>
          </w:p>
        </w:tc>
      </w:tr>
      <w:tr w:rsidR="009478ED" w:rsidRPr="007F37A0" w14:paraId="21D67305"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2AC23E20"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78D62C83" w14:textId="77777777" w:rsidR="009478ED" w:rsidRPr="007F37A0" w:rsidRDefault="009478ED" w:rsidP="00735871">
            <w:pPr>
              <w:rPr>
                <w:rFonts w:ascii="Times New Roman" w:hAnsi="Times New Roman" w:cs="Times New Roman"/>
              </w:rPr>
            </w:pPr>
          </w:p>
        </w:tc>
        <w:tc>
          <w:tcPr>
            <w:tcW w:w="2250" w:type="dxa"/>
            <w:tcBorders>
              <w:top w:val="nil"/>
              <w:left w:val="nil"/>
              <w:bottom w:val="nil"/>
              <w:right w:val="nil"/>
            </w:tcBorders>
            <w:shd w:val="clear" w:color="auto" w:fill="auto"/>
            <w:noWrap/>
            <w:vAlign w:val="bottom"/>
            <w:hideMark/>
          </w:tcPr>
          <w:p w14:paraId="4B768417" w14:textId="77777777" w:rsidR="009478ED" w:rsidRPr="007F37A0" w:rsidRDefault="009478ED" w:rsidP="00735871">
            <w:pPr>
              <w:jc w:val="center"/>
              <w:rPr>
                <w:rFonts w:ascii="Times New Roman" w:hAnsi="Times New Roman" w:cs="Times New Roman"/>
              </w:rPr>
            </w:pPr>
          </w:p>
        </w:tc>
        <w:tc>
          <w:tcPr>
            <w:tcW w:w="1800" w:type="dxa"/>
            <w:tcBorders>
              <w:top w:val="nil"/>
              <w:left w:val="nil"/>
              <w:bottom w:val="nil"/>
              <w:right w:val="nil"/>
            </w:tcBorders>
            <w:shd w:val="clear" w:color="auto" w:fill="auto"/>
            <w:noWrap/>
            <w:vAlign w:val="bottom"/>
            <w:hideMark/>
          </w:tcPr>
          <w:p w14:paraId="1CB652C7" w14:textId="77777777" w:rsidR="009478ED" w:rsidRPr="007F37A0" w:rsidRDefault="009478ED" w:rsidP="00735871">
            <w:pPr>
              <w:jc w:val="center"/>
              <w:rPr>
                <w:rFonts w:ascii="Times New Roman" w:hAnsi="Times New Roman" w:cs="Times New Roman"/>
              </w:rPr>
            </w:pPr>
          </w:p>
        </w:tc>
        <w:tc>
          <w:tcPr>
            <w:tcW w:w="1750" w:type="dxa"/>
            <w:tcBorders>
              <w:top w:val="nil"/>
              <w:left w:val="nil"/>
              <w:bottom w:val="nil"/>
              <w:right w:val="nil"/>
            </w:tcBorders>
            <w:shd w:val="clear" w:color="auto" w:fill="auto"/>
            <w:noWrap/>
            <w:vAlign w:val="bottom"/>
            <w:hideMark/>
          </w:tcPr>
          <w:p w14:paraId="19926FC4" w14:textId="77777777" w:rsidR="009478ED" w:rsidRPr="007F37A0" w:rsidRDefault="009478ED" w:rsidP="00735871">
            <w:pPr>
              <w:jc w:val="center"/>
              <w:rPr>
                <w:rFonts w:ascii="Times New Roman" w:hAnsi="Times New Roman" w:cs="Times New Roman"/>
              </w:rPr>
            </w:pPr>
          </w:p>
        </w:tc>
      </w:tr>
      <w:tr w:rsidR="009478ED" w:rsidRPr="007F37A0" w14:paraId="3C33F1BB"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3B073ED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530" w:type="dxa"/>
            <w:tcBorders>
              <w:top w:val="nil"/>
              <w:left w:val="nil"/>
              <w:bottom w:val="nil"/>
              <w:right w:val="nil"/>
            </w:tcBorders>
            <w:shd w:val="clear" w:color="auto" w:fill="auto"/>
            <w:noWrap/>
            <w:vAlign w:val="bottom"/>
            <w:hideMark/>
          </w:tcPr>
          <w:p w14:paraId="2003790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sz w:val="20"/>
                <w:szCs w:val="20"/>
              </w:rPr>
              <w:t>46,474</w:t>
            </w:r>
          </w:p>
        </w:tc>
        <w:tc>
          <w:tcPr>
            <w:tcW w:w="2250" w:type="dxa"/>
            <w:tcBorders>
              <w:top w:val="nil"/>
              <w:left w:val="nil"/>
              <w:bottom w:val="nil"/>
              <w:right w:val="nil"/>
            </w:tcBorders>
            <w:shd w:val="clear" w:color="auto" w:fill="auto"/>
            <w:noWrap/>
            <w:vAlign w:val="bottom"/>
            <w:hideMark/>
          </w:tcPr>
          <w:p w14:paraId="4046EC1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sz w:val="20"/>
                <w:szCs w:val="20"/>
              </w:rPr>
              <w:t>46,474</w:t>
            </w:r>
          </w:p>
        </w:tc>
        <w:tc>
          <w:tcPr>
            <w:tcW w:w="1800" w:type="dxa"/>
            <w:tcBorders>
              <w:top w:val="nil"/>
              <w:left w:val="nil"/>
              <w:bottom w:val="nil"/>
              <w:right w:val="nil"/>
            </w:tcBorders>
            <w:shd w:val="clear" w:color="auto" w:fill="auto"/>
            <w:noWrap/>
            <w:vAlign w:val="bottom"/>
            <w:hideMark/>
          </w:tcPr>
          <w:p w14:paraId="7BDC136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sz w:val="20"/>
                <w:szCs w:val="20"/>
              </w:rPr>
              <w:t>46,474</w:t>
            </w:r>
          </w:p>
        </w:tc>
        <w:tc>
          <w:tcPr>
            <w:tcW w:w="1750" w:type="dxa"/>
            <w:tcBorders>
              <w:top w:val="nil"/>
              <w:left w:val="nil"/>
              <w:bottom w:val="nil"/>
              <w:right w:val="nil"/>
            </w:tcBorders>
            <w:shd w:val="clear" w:color="auto" w:fill="auto"/>
            <w:noWrap/>
            <w:vAlign w:val="bottom"/>
            <w:hideMark/>
          </w:tcPr>
          <w:p w14:paraId="44E2647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sz w:val="20"/>
                <w:szCs w:val="20"/>
              </w:rPr>
              <w:t>46,474</w:t>
            </w:r>
          </w:p>
        </w:tc>
      </w:tr>
      <w:tr w:rsidR="009478ED" w:rsidRPr="007F37A0" w14:paraId="2826C18C"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2FCD72F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530" w:type="dxa"/>
            <w:tcBorders>
              <w:top w:val="nil"/>
              <w:left w:val="nil"/>
              <w:bottom w:val="nil"/>
              <w:right w:val="nil"/>
            </w:tcBorders>
            <w:shd w:val="clear" w:color="auto" w:fill="auto"/>
            <w:noWrap/>
            <w:vAlign w:val="bottom"/>
            <w:hideMark/>
          </w:tcPr>
          <w:p w14:paraId="77C14ED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0" w:type="dxa"/>
            <w:tcBorders>
              <w:top w:val="nil"/>
              <w:left w:val="nil"/>
              <w:bottom w:val="nil"/>
              <w:right w:val="nil"/>
            </w:tcBorders>
            <w:shd w:val="clear" w:color="auto" w:fill="auto"/>
            <w:noWrap/>
            <w:vAlign w:val="bottom"/>
            <w:hideMark/>
          </w:tcPr>
          <w:p w14:paraId="4DFB774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00" w:type="dxa"/>
            <w:tcBorders>
              <w:top w:val="nil"/>
              <w:left w:val="nil"/>
              <w:bottom w:val="nil"/>
              <w:right w:val="nil"/>
            </w:tcBorders>
            <w:shd w:val="clear" w:color="auto" w:fill="auto"/>
            <w:noWrap/>
            <w:vAlign w:val="bottom"/>
            <w:hideMark/>
          </w:tcPr>
          <w:p w14:paraId="431B0C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750" w:type="dxa"/>
            <w:tcBorders>
              <w:top w:val="nil"/>
              <w:left w:val="nil"/>
              <w:bottom w:val="nil"/>
              <w:right w:val="nil"/>
            </w:tcBorders>
            <w:shd w:val="clear" w:color="auto" w:fill="auto"/>
            <w:noWrap/>
            <w:vAlign w:val="bottom"/>
            <w:hideMark/>
          </w:tcPr>
          <w:p w14:paraId="7FB399F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A5FFE06"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71DBD47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530" w:type="dxa"/>
            <w:tcBorders>
              <w:top w:val="nil"/>
              <w:left w:val="nil"/>
              <w:bottom w:val="nil"/>
              <w:right w:val="nil"/>
            </w:tcBorders>
            <w:shd w:val="clear" w:color="auto" w:fill="auto"/>
            <w:noWrap/>
            <w:vAlign w:val="bottom"/>
            <w:hideMark/>
          </w:tcPr>
          <w:p w14:paraId="1973242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nil"/>
              <w:right w:val="nil"/>
            </w:tcBorders>
            <w:shd w:val="clear" w:color="auto" w:fill="auto"/>
            <w:noWrap/>
            <w:vAlign w:val="bottom"/>
            <w:hideMark/>
          </w:tcPr>
          <w:p w14:paraId="713E280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00" w:type="dxa"/>
            <w:tcBorders>
              <w:top w:val="nil"/>
              <w:left w:val="nil"/>
              <w:bottom w:val="nil"/>
              <w:right w:val="nil"/>
            </w:tcBorders>
            <w:shd w:val="clear" w:color="auto" w:fill="auto"/>
            <w:noWrap/>
            <w:vAlign w:val="bottom"/>
            <w:hideMark/>
          </w:tcPr>
          <w:p w14:paraId="78939D0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750" w:type="dxa"/>
            <w:tcBorders>
              <w:top w:val="nil"/>
              <w:left w:val="nil"/>
              <w:bottom w:val="nil"/>
              <w:right w:val="nil"/>
            </w:tcBorders>
            <w:shd w:val="clear" w:color="auto" w:fill="auto"/>
            <w:noWrap/>
            <w:vAlign w:val="bottom"/>
            <w:hideMark/>
          </w:tcPr>
          <w:p w14:paraId="51FB8D1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038937E"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0FA10A2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530" w:type="dxa"/>
            <w:tcBorders>
              <w:top w:val="nil"/>
              <w:left w:val="nil"/>
              <w:bottom w:val="nil"/>
              <w:right w:val="nil"/>
            </w:tcBorders>
            <w:shd w:val="clear" w:color="auto" w:fill="auto"/>
            <w:noWrap/>
            <w:vAlign w:val="bottom"/>
            <w:hideMark/>
          </w:tcPr>
          <w:p w14:paraId="300ED86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nil"/>
              <w:right w:val="nil"/>
            </w:tcBorders>
            <w:shd w:val="clear" w:color="auto" w:fill="auto"/>
            <w:noWrap/>
            <w:vAlign w:val="bottom"/>
            <w:hideMark/>
          </w:tcPr>
          <w:p w14:paraId="448FB7C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nil"/>
              <w:right w:val="nil"/>
            </w:tcBorders>
            <w:shd w:val="clear" w:color="auto" w:fill="auto"/>
            <w:noWrap/>
            <w:vAlign w:val="bottom"/>
            <w:hideMark/>
          </w:tcPr>
          <w:p w14:paraId="588A7CD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750" w:type="dxa"/>
            <w:tcBorders>
              <w:top w:val="nil"/>
              <w:left w:val="nil"/>
              <w:bottom w:val="nil"/>
              <w:right w:val="nil"/>
            </w:tcBorders>
            <w:shd w:val="clear" w:color="auto" w:fill="auto"/>
            <w:noWrap/>
            <w:vAlign w:val="bottom"/>
            <w:hideMark/>
          </w:tcPr>
          <w:p w14:paraId="53E4811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9E1A6E0" w14:textId="77777777" w:rsidTr="00735871">
        <w:trPr>
          <w:trHeight w:val="270"/>
          <w:jc w:val="center"/>
        </w:trPr>
        <w:tc>
          <w:tcPr>
            <w:tcW w:w="2520" w:type="dxa"/>
            <w:tcBorders>
              <w:top w:val="nil"/>
              <w:left w:val="nil"/>
              <w:bottom w:val="single" w:sz="4" w:space="0" w:color="000000"/>
              <w:right w:val="nil"/>
            </w:tcBorders>
            <w:shd w:val="clear" w:color="auto" w:fill="auto"/>
            <w:noWrap/>
            <w:vAlign w:val="bottom"/>
            <w:hideMark/>
          </w:tcPr>
          <w:p w14:paraId="157EF73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530" w:type="dxa"/>
            <w:tcBorders>
              <w:top w:val="nil"/>
              <w:left w:val="nil"/>
              <w:bottom w:val="single" w:sz="4" w:space="0" w:color="000000"/>
              <w:right w:val="nil"/>
            </w:tcBorders>
            <w:shd w:val="clear" w:color="auto" w:fill="auto"/>
            <w:noWrap/>
            <w:vAlign w:val="bottom"/>
            <w:hideMark/>
          </w:tcPr>
          <w:p w14:paraId="42DF5D9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single" w:sz="4" w:space="0" w:color="000000"/>
              <w:right w:val="nil"/>
            </w:tcBorders>
            <w:shd w:val="clear" w:color="auto" w:fill="auto"/>
            <w:noWrap/>
            <w:vAlign w:val="bottom"/>
            <w:hideMark/>
          </w:tcPr>
          <w:p w14:paraId="0E1632D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single" w:sz="4" w:space="0" w:color="000000"/>
              <w:right w:val="nil"/>
            </w:tcBorders>
            <w:shd w:val="clear" w:color="auto" w:fill="auto"/>
            <w:noWrap/>
            <w:vAlign w:val="bottom"/>
            <w:hideMark/>
          </w:tcPr>
          <w:p w14:paraId="04A85A7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750" w:type="dxa"/>
            <w:tcBorders>
              <w:top w:val="nil"/>
              <w:left w:val="nil"/>
              <w:bottom w:val="single" w:sz="4" w:space="0" w:color="000000"/>
              <w:right w:val="nil"/>
            </w:tcBorders>
            <w:shd w:val="clear" w:color="auto" w:fill="auto"/>
            <w:noWrap/>
            <w:vAlign w:val="bottom"/>
            <w:hideMark/>
          </w:tcPr>
          <w:p w14:paraId="49A429B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C91C291" w14:textId="77777777" w:rsidTr="00735871">
        <w:trPr>
          <w:trHeight w:val="270"/>
          <w:jc w:val="center"/>
        </w:trPr>
        <w:tc>
          <w:tcPr>
            <w:tcW w:w="8100" w:type="dxa"/>
            <w:gridSpan w:val="4"/>
            <w:tcBorders>
              <w:top w:val="nil"/>
              <w:left w:val="nil"/>
              <w:bottom w:val="nil"/>
              <w:right w:val="nil"/>
            </w:tcBorders>
            <w:shd w:val="clear" w:color="auto" w:fill="auto"/>
            <w:noWrap/>
            <w:vAlign w:val="bottom"/>
            <w:hideMark/>
          </w:tcPr>
          <w:p w14:paraId="20CBC53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tc>
        <w:tc>
          <w:tcPr>
            <w:tcW w:w="1750" w:type="dxa"/>
            <w:tcBorders>
              <w:top w:val="nil"/>
              <w:left w:val="nil"/>
              <w:bottom w:val="nil"/>
              <w:right w:val="nil"/>
            </w:tcBorders>
            <w:shd w:val="clear" w:color="auto" w:fill="auto"/>
            <w:noWrap/>
            <w:vAlign w:val="bottom"/>
            <w:hideMark/>
          </w:tcPr>
          <w:p w14:paraId="44592FF6" w14:textId="77777777" w:rsidR="009478ED" w:rsidRPr="007F37A0" w:rsidRDefault="009478ED" w:rsidP="00735871">
            <w:pPr>
              <w:rPr>
                <w:rFonts w:ascii="Times New Roman" w:hAnsi="Times New Roman" w:cs="Times New Roman"/>
              </w:rPr>
            </w:pPr>
          </w:p>
        </w:tc>
      </w:tr>
      <w:tr w:rsidR="009478ED" w:rsidRPr="007F37A0" w14:paraId="6D1240A3" w14:textId="77777777" w:rsidTr="00735871">
        <w:trPr>
          <w:trHeight w:val="270"/>
          <w:jc w:val="center"/>
        </w:trPr>
        <w:tc>
          <w:tcPr>
            <w:tcW w:w="9850" w:type="dxa"/>
            <w:gridSpan w:val="5"/>
            <w:tcBorders>
              <w:top w:val="nil"/>
              <w:left w:val="nil"/>
              <w:bottom w:val="nil"/>
              <w:right w:val="nil"/>
            </w:tcBorders>
            <w:shd w:val="clear" w:color="auto" w:fill="auto"/>
            <w:noWrap/>
            <w:vAlign w:val="bottom"/>
            <w:hideMark/>
          </w:tcPr>
          <w:p w14:paraId="6EE1F21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fuel switching at the annual level for 2009-2022. SO</w:t>
            </w:r>
            <w:r w:rsidRPr="007F37A0">
              <w:rPr>
                <w:rFonts w:ascii="Times New Roman" w:hAnsi="Times New Roman" w:cs="Times New Roman"/>
                <w:vertAlign w:val="subscript"/>
              </w:rPr>
              <w:t>2</w:t>
            </w:r>
            <w:r w:rsidRPr="007F37A0">
              <w:rPr>
                <w:rFonts w:ascii="Times New Roman" w:hAnsi="Times New Roman" w:cs="Times New Roman"/>
              </w:rPr>
              <w:t xml:space="preserve"> treatment is an indicator variable for treatment under either CAIR or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7046A207"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rPr>
        <w:br w:type="page"/>
      </w:r>
    </w:p>
    <w:p w14:paraId="60C2C746" w14:textId="58DC4E6C" w:rsidR="009478ED" w:rsidRPr="007F37A0" w:rsidRDefault="009478ED" w:rsidP="007F37A0">
      <w:pPr>
        <w:pStyle w:val="Caption"/>
        <w:rPr>
          <w:rFonts w:cs="Times New Roman"/>
        </w:rPr>
      </w:pPr>
      <w:bookmarkStart w:id="173" w:name="_Ref160878673"/>
      <w:bookmarkStart w:id="174" w:name="_Toc160879138"/>
      <w:bookmarkStart w:id="175" w:name="_Toc164862563"/>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28</w:t>
      </w:r>
      <w:r w:rsidRPr="007F37A0">
        <w:rPr>
          <w:rFonts w:cs="Times New Roman"/>
        </w:rPr>
        <w:fldChar w:fldCharType="end"/>
      </w:r>
      <w:bookmarkEnd w:id="173"/>
      <w:r w:rsidRPr="007F37A0">
        <w:rPr>
          <w:rFonts w:cs="Times New Roman"/>
        </w:rPr>
        <w:t>: Boiler Retirement by SO</w:t>
      </w:r>
      <w:r w:rsidRPr="007F37A0">
        <w:rPr>
          <w:rFonts w:cs="Times New Roman"/>
          <w:vertAlign w:val="subscript"/>
        </w:rPr>
        <w:t>2</w:t>
      </w:r>
      <w:r w:rsidRPr="007F37A0">
        <w:rPr>
          <w:rFonts w:cs="Times New Roman"/>
        </w:rPr>
        <w:t xml:space="preserve"> Treatment</w:t>
      </w:r>
      <w:bookmarkEnd w:id="174"/>
      <w:bookmarkEnd w:id="175"/>
    </w:p>
    <w:tbl>
      <w:tblPr>
        <w:tblW w:w="9850" w:type="dxa"/>
        <w:jc w:val="center"/>
        <w:tblLook w:val="04A0" w:firstRow="1" w:lastRow="0" w:firstColumn="1" w:lastColumn="0" w:noHBand="0" w:noVBand="1"/>
      </w:tblPr>
      <w:tblGrid>
        <w:gridCol w:w="2520"/>
        <w:gridCol w:w="1530"/>
        <w:gridCol w:w="2250"/>
        <w:gridCol w:w="1800"/>
        <w:gridCol w:w="1750"/>
      </w:tblGrid>
      <w:tr w:rsidR="009478ED" w:rsidRPr="007F37A0" w14:paraId="69ECC2EE" w14:textId="77777777" w:rsidTr="00735871">
        <w:trPr>
          <w:trHeight w:val="270"/>
          <w:jc w:val="center"/>
        </w:trPr>
        <w:tc>
          <w:tcPr>
            <w:tcW w:w="2520" w:type="dxa"/>
            <w:tcBorders>
              <w:top w:val="single" w:sz="4" w:space="0" w:color="000000"/>
              <w:left w:val="nil"/>
              <w:bottom w:val="nil"/>
              <w:right w:val="nil"/>
            </w:tcBorders>
            <w:shd w:val="clear" w:color="auto" w:fill="auto"/>
            <w:noWrap/>
            <w:vAlign w:val="bottom"/>
            <w:hideMark/>
          </w:tcPr>
          <w:p w14:paraId="2B63B57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shd w:val="clear" w:color="auto" w:fill="auto"/>
            <w:noWrap/>
            <w:vAlign w:val="bottom"/>
            <w:hideMark/>
          </w:tcPr>
          <w:p w14:paraId="2B34E1A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0" w:type="dxa"/>
            <w:tcBorders>
              <w:top w:val="single" w:sz="4" w:space="0" w:color="000000"/>
              <w:left w:val="nil"/>
              <w:bottom w:val="nil"/>
              <w:right w:val="nil"/>
            </w:tcBorders>
            <w:shd w:val="clear" w:color="auto" w:fill="auto"/>
            <w:noWrap/>
            <w:vAlign w:val="bottom"/>
            <w:hideMark/>
          </w:tcPr>
          <w:p w14:paraId="26C0CA1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800" w:type="dxa"/>
            <w:tcBorders>
              <w:top w:val="single" w:sz="4" w:space="0" w:color="000000"/>
              <w:left w:val="nil"/>
              <w:bottom w:val="nil"/>
              <w:right w:val="nil"/>
            </w:tcBorders>
            <w:shd w:val="clear" w:color="auto" w:fill="auto"/>
            <w:noWrap/>
            <w:vAlign w:val="bottom"/>
            <w:hideMark/>
          </w:tcPr>
          <w:p w14:paraId="4D1482D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750" w:type="dxa"/>
            <w:tcBorders>
              <w:top w:val="single" w:sz="4" w:space="0" w:color="000000"/>
              <w:left w:val="nil"/>
              <w:bottom w:val="nil"/>
              <w:right w:val="nil"/>
            </w:tcBorders>
            <w:shd w:val="clear" w:color="auto" w:fill="auto"/>
            <w:noWrap/>
            <w:vAlign w:val="bottom"/>
            <w:hideMark/>
          </w:tcPr>
          <w:p w14:paraId="26ECEA7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5DBB03B2"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3AFF188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675CB46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Boiler Retirement</w:t>
            </w:r>
          </w:p>
        </w:tc>
        <w:tc>
          <w:tcPr>
            <w:tcW w:w="1530" w:type="dxa"/>
            <w:tcBorders>
              <w:top w:val="nil"/>
              <w:left w:val="nil"/>
              <w:bottom w:val="nil"/>
              <w:right w:val="nil"/>
            </w:tcBorders>
            <w:shd w:val="clear" w:color="auto" w:fill="auto"/>
            <w:noWrap/>
            <w:vAlign w:val="bottom"/>
            <w:hideMark/>
          </w:tcPr>
          <w:p w14:paraId="6A80D61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0" w:type="dxa"/>
            <w:tcBorders>
              <w:top w:val="nil"/>
              <w:left w:val="nil"/>
              <w:bottom w:val="nil"/>
              <w:right w:val="nil"/>
            </w:tcBorders>
            <w:shd w:val="clear" w:color="auto" w:fill="auto"/>
            <w:noWrap/>
            <w:vAlign w:val="bottom"/>
            <w:hideMark/>
          </w:tcPr>
          <w:p w14:paraId="6BA1021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800" w:type="dxa"/>
            <w:tcBorders>
              <w:top w:val="nil"/>
              <w:left w:val="nil"/>
              <w:bottom w:val="nil"/>
              <w:right w:val="nil"/>
            </w:tcBorders>
            <w:shd w:val="clear" w:color="auto" w:fill="auto"/>
            <w:noWrap/>
            <w:vAlign w:val="bottom"/>
            <w:hideMark/>
          </w:tcPr>
          <w:p w14:paraId="1AD959B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750" w:type="dxa"/>
            <w:tcBorders>
              <w:top w:val="nil"/>
              <w:left w:val="nil"/>
              <w:bottom w:val="nil"/>
              <w:right w:val="nil"/>
            </w:tcBorders>
            <w:shd w:val="clear" w:color="auto" w:fill="auto"/>
            <w:noWrap/>
            <w:vAlign w:val="bottom"/>
            <w:hideMark/>
          </w:tcPr>
          <w:p w14:paraId="1F53679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337A2431" w14:textId="77777777" w:rsidTr="00735871">
        <w:trPr>
          <w:trHeight w:val="270"/>
          <w:jc w:val="center"/>
        </w:trPr>
        <w:tc>
          <w:tcPr>
            <w:tcW w:w="2520" w:type="dxa"/>
            <w:tcBorders>
              <w:top w:val="single" w:sz="4" w:space="0" w:color="000000"/>
              <w:left w:val="nil"/>
              <w:bottom w:val="nil"/>
              <w:right w:val="nil"/>
            </w:tcBorders>
            <w:shd w:val="clear" w:color="auto" w:fill="auto"/>
            <w:noWrap/>
            <w:vAlign w:val="bottom"/>
            <w:hideMark/>
          </w:tcPr>
          <w:p w14:paraId="6A89A1B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shd w:val="clear" w:color="auto" w:fill="auto"/>
            <w:noWrap/>
            <w:vAlign w:val="bottom"/>
            <w:hideMark/>
          </w:tcPr>
          <w:p w14:paraId="3D0D284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0" w:type="dxa"/>
            <w:tcBorders>
              <w:top w:val="single" w:sz="4" w:space="0" w:color="000000"/>
              <w:left w:val="nil"/>
              <w:bottom w:val="nil"/>
              <w:right w:val="nil"/>
            </w:tcBorders>
            <w:shd w:val="clear" w:color="auto" w:fill="auto"/>
            <w:noWrap/>
            <w:vAlign w:val="bottom"/>
            <w:hideMark/>
          </w:tcPr>
          <w:p w14:paraId="3CCF9E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00" w:type="dxa"/>
            <w:tcBorders>
              <w:top w:val="single" w:sz="4" w:space="0" w:color="000000"/>
              <w:left w:val="nil"/>
              <w:bottom w:val="nil"/>
              <w:right w:val="nil"/>
            </w:tcBorders>
            <w:shd w:val="clear" w:color="auto" w:fill="auto"/>
            <w:noWrap/>
            <w:vAlign w:val="bottom"/>
            <w:hideMark/>
          </w:tcPr>
          <w:p w14:paraId="03EEA27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750" w:type="dxa"/>
            <w:tcBorders>
              <w:top w:val="single" w:sz="4" w:space="0" w:color="000000"/>
              <w:left w:val="nil"/>
              <w:bottom w:val="nil"/>
              <w:right w:val="nil"/>
            </w:tcBorders>
            <w:shd w:val="clear" w:color="auto" w:fill="auto"/>
            <w:noWrap/>
            <w:vAlign w:val="bottom"/>
            <w:hideMark/>
          </w:tcPr>
          <w:p w14:paraId="74DBE8A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53C609FB"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6FCB42A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Treatment</w:t>
            </w:r>
          </w:p>
        </w:tc>
        <w:tc>
          <w:tcPr>
            <w:tcW w:w="1530" w:type="dxa"/>
            <w:tcBorders>
              <w:top w:val="nil"/>
              <w:left w:val="nil"/>
              <w:bottom w:val="nil"/>
              <w:right w:val="nil"/>
            </w:tcBorders>
            <w:shd w:val="clear" w:color="auto" w:fill="auto"/>
            <w:noWrap/>
            <w:vAlign w:val="bottom"/>
            <w:hideMark/>
          </w:tcPr>
          <w:p w14:paraId="63C87B6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c>
          <w:tcPr>
            <w:tcW w:w="2250" w:type="dxa"/>
            <w:tcBorders>
              <w:top w:val="nil"/>
              <w:left w:val="nil"/>
              <w:bottom w:val="nil"/>
              <w:right w:val="nil"/>
            </w:tcBorders>
            <w:shd w:val="clear" w:color="auto" w:fill="auto"/>
            <w:noWrap/>
            <w:vAlign w:val="bottom"/>
            <w:hideMark/>
          </w:tcPr>
          <w:p w14:paraId="1D33C32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800" w:type="dxa"/>
            <w:tcBorders>
              <w:top w:val="nil"/>
              <w:left w:val="nil"/>
              <w:bottom w:val="nil"/>
              <w:right w:val="nil"/>
            </w:tcBorders>
            <w:shd w:val="clear" w:color="auto" w:fill="auto"/>
            <w:noWrap/>
            <w:vAlign w:val="bottom"/>
            <w:hideMark/>
          </w:tcPr>
          <w:p w14:paraId="65D2EF6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750" w:type="dxa"/>
            <w:tcBorders>
              <w:top w:val="nil"/>
              <w:left w:val="nil"/>
              <w:bottom w:val="nil"/>
              <w:right w:val="nil"/>
            </w:tcBorders>
            <w:shd w:val="clear" w:color="auto" w:fill="auto"/>
            <w:noWrap/>
            <w:vAlign w:val="bottom"/>
            <w:hideMark/>
          </w:tcPr>
          <w:p w14:paraId="6838529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196C1477"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6F79BDD1"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2C7400C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2250" w:type="dxa"/>
            <w:tcBorders>
              <w:top w:val="nil"/>
              <w:left w:val="nil"/>
              <w:bottom w:val="nil"/>
              <w:right w:val="nil"/>
            </w:tcBorders>
            <w:shd w:val="clear" w:color="auto" w:fill="auto"/>
            <w:noWrap/>
            <w:vAlign w:val="bottom"/>
            <w:hideMark/>
          </w:tcPr>
          <w:p w14:paraId="794D891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800" w:type="dxa"/>
            <w:tcBorders>
              <w:top w:val="nil"/>
              <w:left w:val="nil"/>
              <w:bottom w:val="nil"/>
              <w:right w:val="nil"/>
            </w:tcBorders>
            <w:shd w:val="clear" w:color="auto" w:fill="auto"/>
            <w:noWrap/>
            <w:vAlign w:val="bottom"/>
            <w:hideMark/>
          </w:tcPr>
          <w:p w14:paraId="2E91DC5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750" w:type="dxa"/>
            <w:tcBorders>
              <w:top w:val="nil"/>
              <w:left w:val="nil"/>
              <w:bottom w:val="nil"/>
              <w:right w:val="nil"/>
            </w:tcBorders>
            <w:shd w:val="clear" w:color="auto" w:fill="auto"/>
            <w:noWrap/>
            <w:vAlign w:val="bottom"/>
            <w:hideMark/>
          </w:tcPr>
          <w:p w14:paraId="2CBE3E6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3C0FA4A1"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6259CB0E"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29CFD046" w14:textId="77777777" w:rsidR="009478ED" w:rsidRPr="007F37A0" w:rsidRDefault="009478ED" w:rsidP="00735871">
            <w:pPr>
              <w:rPr>
                <w:rFonts w:ascii="Times New Roman" w:hAnsi="Times New Roman" w:cs="Times New Roman"/>
              </w:rPr>
            </w:pPr>
          </w:p>
        </w:tc>
        <w:tc>
          <w:tcPr>
            <w:tcW w:w="2250" w:type="dxa"/>
            <w:tcBorders>
              <w:top w:val="nil"/>
              <w:left w:val="nil"/>
              <w:bottom w:val="nil"/>
              <w:right w:val="nil"/>
            </w:tcBorders>
            <w:shd w:val="clear" w:color="auto" w:fill="auto"/>
            <w:noWrap/>
            <w:vAlign w:val="bottom"/>
            <w:hideMark/>
          </w:tcPr>
          <w:p w14:paraId="2475CE65" w14:textId="77777777" w:rsidR="009478ED" w:rsidRPr="007F37A0" w:rsidRDefault="009478ED" w:rsidP="00735871">
            <w:pPr>
              <w:jc w:val="center"/>
              <w:rPr>
                <w:rFonts w:ascii="Times New Roman" w:hAnsi="Times New Roman" w:cs="Times New Roman"/>
              </w:rPr>
            </w:pPr>
          </w:p>
        </w:tc>
        <w:tc>
          <w:tcPr>
            <w:tcW w:w="1800" w:type="dxa"/>
            <w:tcBorders>
              <w:top w:val="nil"/>
              <w:left w:val="nil"/>
              <w:bottom w:val="nil"/>
              <w:right w:val="nil"/>
            </w:tcBorders>
            <w:shd w:val="clear" w:color="auto" w:fill="auto"/>
            <w:noWrap/>
            <w:vAlign w:val="bottom"/>
            <w:hideMark/>
          </w:tcPr>
          <w:p w14:paraId="567BBEAC" w14:textId="77777777" w:rsidR="009478ED" w:rsidRPr="007F37A0" w:rsidRDefault="009478ED" w:rsidP="00735871">
            <w:pPr>
              <w:jc w:val="center"/>
              <w:rPr>
                <w:rFonts w:ascii="Times New Roman" w:hAnsi="Times New Roman" w:cs="Times New Roman"/>
              </w:rPr>
            </w:pPr>
          </w:p>
        </w:tc>
        <w:tc>
          <w:tcPr>
            <w:tcW w:w="1750" w:type="dxa"/>
            <w:tcBorders>
              <w:top w:val="nil"/>
              <w:left w:val="nil"/>
              <w:bottom w:val="nil"/>
              <w:right w:val="nil"/>
            </w:tcBorders>
            <w:shd w:val="clear" w:color="auto" w:fill="auto"/>
            <w:noWrap/>
            <w:vAlign w:val="bottom"/>
            <w:hideMark/>
          </w:tcPr>
          <w:p w14:paraId="644EBF59" w14:textId="77777777" w:rsidR="009478ED" w:rsidRPr="007F37A0" w:rsidRDefault="009478ED" w:rsidP="00735871">
            <w:pPr>
              <w:jc w:val="center"/>
              <w:rPr>
                <w:rFonts w:ascii="Times New Roman" w:hAnsi="Times New Roman" w:cs="Times New Roman"/>
              </w:rPr>
            </w:pPr>
          </w:p>
        </w:tc>
      </w:tr>
      <w:tr w:rsidR="009478ED" w:rsidRPr="007F37A0" w14:paraId="3CAB0B88"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3F2B928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530" w:type="dxa"/>
            <w:tcBorders>
              <w:top w:val="nil"/>
              <w:left w:val="nil"/>
              <w:bottom w:val="nil"/>
              <w:right w:val="nil"/>
            </w:tcBorders>
            <w:shd w:val="clear" w:color="auto" w:fill="auto"/>
            <w:noWrap/>
            <w:vAlign w:val="bottom"/>
            <w:hideMark/>
          </w:tcPr>
          <w:p w14:paraId="05A0F6F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sz w:val="20"/>
                <w:szCs w:val="20"/>
              </w:rPr>
              <w:t>49,578</w:t>
            </w:r>
          </w:p>
        </w:tc>
        <w:tc>
          <w:tcPr>
            <w:tcW w:w="2250" w:type="dxa"/>
            <w:tcBorders>
              <w:top w:val="nil"/>
              <w:left w:val="nil"/>
              <w:bottom w:val="nil"/>
              <w:right w:val="nil"/>
            </w:tcBorders>
            <w:shd w:val="clear" w:color="auto" w:fill="auto"/>
            <w:noWrap/>
            <w:vAlign w:val="bottom"/>
            <w:hideMark/>
          </w:tcPr>
          <w:p w14:paraId="0B2E7AB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sz w:val="20"/>
                <w:szCs w:val="20"/>
              </w:rPr>
              <w:t>49,578</w:t>
            </w:r>
          </w:p>
        </w:tc>
        <w:tc>
          <w:tcPr>
            <w:tcW w:w="1800" w:type="dxa"/>
            <w:tcBorders>
              <w:top w:val="nil"/>
              <w:left w:val="nil"/>
              <w:bottom w:val="nil"/>
              <w:right w:val="nil"/>
            </w:tcBorders>
            <w:shd w:val="clear" w:color="auto" w:fill="auto"/>
            <w:noWrap/>
            <w:vAlign w:val="bottom"/>
            <w:hideMark/>
          </w:tcPr>
          <w:p w14:paraId="11262E9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sz w:val="20"/>
                <w:szCs w:val="20"/>
              </w:rPr>
              <w:t>49,578</w:t>
            </w:r>
          </w:p>
        </w:tc>
        <w:tc>
          <w:tcPr>
            <w:tcW w:w="1750" w:type="dxa"/>
            <w:tcBorders>
              <w:top w:val="nil"/>
              <w:left w:val="nil"/>
              <w:bottom w:val="nil"/>
              <w:right w:val="nil"/>
            </w:tcBorders>
            <w:shd w:val="clear" w:color="auto" w:fill="auto"/>
            <w:noWrap/>
            <w:vAlign w:val="bottom"/>
            <w:hideMark/>
          </w:tcPr>
          <w:p w14:paraId="00D669F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sz w:val="20"/>
                <w:szCs w:val="20"/>
              </w:rPr>
              <w:t>49,578</w:t>
            </w:r>
          </w:p>
        </w:tc>
      </w:tr>
      <w:tr w:rsidR="009478ED" w:rsidRPr="007F37A0" w14:paraId="5BE45B03"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08E6371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530" w:type="dxa"/>
            <w:tcBorders>
              <w:top w:val="nil"/>
              <w:left w:val="nil"/>
              <w:bottom w:val="nil"/>
              <w:right w:val="nil"/>
            </w:tcBorders>
            <w:shd w:val="clear" w:color="auto" w:fill="auto"/>
            <w:noWrap/>
            <w:vAlign w:val="bottom"/>
            <w:hideMark/>
          </w:tcPr>
          <w:p w14:paraId="02DCA57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0" w:type="dxa"/>
            <w:tcBorders>
              <w:top w:val="nil"/>
              <w:left w:val="nil"/>
              <w:bottom w:val="nil"/>
              <w:right w:val="nil"/>
            </w:tcBorders>
            <w:shd w:val="clear" w:color="auto" w:fill="auto"/>
            <w:noWrap/>
            <w:vAlign w:val="bottom"/>
            <w:hideMark/>
          </w:tcPr>
          <w:p w14:paraId="65C4382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00" w:type="dxa"/>
            <w:tcBorders>
              <w:top w:val="nil"/>
              <w:left w:val="nil"/>
              <w:bottom w:val="nil"/>
              <w:right w:val="nil"/>
            </w:tcBorders>
            <w:shd w:val="clear" w:color="auto" w:fill="auto"/>
            <w:noWrap/>
            <w:vAlign w:val="bottom"/>
            <w:hideMark/>
          </w:tcPr>
          <w:p w14:paraId="33AAB79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750" w:type="dxa"/>
            <w:tcBorders>
              <w:top w:val="nil"/>
              <w:left w:val="nil"/>
              <w:bottom w:val="nil"/>
              <w:right w:val="nil"/>
            </w:tcBorders>
            <w:shd w:val="clear" w:color="auto" w:fill="auto"/>
            <w:noWrap/>
            <w:vAlign w:val="bottom"/>
            <w:hideMark/>
          </w:tcPr>
          <w:p w14:paraId="3751E5A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A60B58A"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62845B0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530" w:type="dxa"/>
            <w:tcBorders>
              <w:top w:val="nil"/>
              <w:left w:val="nil"/>
              <w:bottom w:val="nil"/>
              <w:right w:val="nil"/>
            </w:tcBorders>
            <w:shd w:val="clear" w:color="auto" w:fill="auto"/>
            <w:noWrap/>
            <w:vAlign w:val="bottom"/>
            <w:hideMark/>
          </w:tcPr>
          <w:p w14:paraId="0AA50CB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nil"/>
              <w:right w:val="nil"/>
            </w:tcBorders>
            <w:shd w:val="clear" w:color="auto" w:fill="auto"/>
            <w:noWrap/>
            <w:vAlign w:val="bottom"/>
            <w:hideMark/>
          </w:tcPr>
          <w:p w14:paraId="78E47A0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00" w:type="dxa"/>
            <w:tcBorders>
              <w:top w:val="nil"/>
              <w:left w:val="nil"/>
              <w:bottom w:val="nil"/>
              <w:right w:val="nil"/>
            </w:tcBorders>
            <w:shd w:val="clear" w:color="auto" w:fill="auto"/>
            <w:noWrap/>
            <w:vAlign w:val="bottom"/>
            <w:hideMark/>
          </w:tcPr>
          <w:p w14:paraId="702B34D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750" w:type="dxa"/>
            <w:tcBorders>
              <w:top w:val="nil"/>
              <w:left w:val="nil"/>
              <w:bottom w:val="nil"/>
              <w:right w:val="nil"/>
            </w:tcBorders>
            <w:shd w:val="clear" w:color="auto" w:fill="auto"/>
            <w:noWrap/>
            <w:vAlign w:val="bottom"/>
            <w:hideMark/>
          </w:tcPr>
          <w:p w14:paraId="4496059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D2A274D" w14:textId="77777777" w:rsidTr="00735871">
        <w:trPr>
          <w:trHeight w:val="270"/>
          <w:jc w:val="center"/>
        </w:trPr>
        <w:tc>
          <w:tcPr>
            <w:tcW w:w="2520" w:type="dxa"/>
            <w:tcBorders>
              <w:top w:val="nil"/>
              <w:left w:val="nil"/>
              <w:bottom w:val="nil"/>
              <w:right w:val="nil"/>
            </w:tcBorders>
            <w:shd w:val="clear" w:color="auto" w:fill="auto"/>
            <w:noWrap/>
            <w:vAlign w:val="bottom"/>
            <w:hideMark/>
          </w:tcPr>
          <w:p w14:paraId="7B21408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530" w:type="dxa"/>
            <w:tcBorders>
              <w:top w:val="nil"/>
              <w:left w:val="nil"/>
              <w:bottom w:val="nil"/>
              <w:right w:val="nil"/>
            </w:tcBorders>
            <w:shd w:val="clear" w:color="auto" w:fill="auto"/>
            <w:noWrap/>
            <w:vAlign w:val="bottom"/>
            <w:hideMark/>
          </w:tcPr>
          <w:p w14:paraId="45B478B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nil"/>
              <w:right w:val="nil"/>
            </w:tcBorders>
            <w:shd w:val="clear" w:color="auto" w:fill="auto"/>
            <w:noWrap/>
            <w:vAlign w:val="bottom"/>
            <w:hideMark/>
          </w:tcPr>
          <w:p w14:paraId="3788EFC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nil"/>
              <w:right w:val="nil"/>
            </w:tcBorders>
            <w:shd w:val="clear" w:color="auto" w:fill="auto"/>
            <w:noWrap/>
            <w:vAlign w:val="bottom"/>
            <w:hideMark/>
          </w:tcPr>
          <w:p w14:paraId="1B64A96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750" w:type="dxa"/>
            <w:tcBorders>
              <w:top w:val="nil"/>
              <w:left w:val="nil"/>
              <w:bottom w:val="nil"/>
              <w:right w:val="nil"/>
            </w:tcBorders>
            <w:shd w:val="clear" w:color="auto" w:fill="auto"/>
            <w:noWrap/>
            <w:vAlign w:val="bottom"/>
            <w:hideMark/>
          </w:tcPr>
          <w:p w14:paraId="7FC46A2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92277C6" w14:textId="77777777" w:rsidTr="00735871">
        <w:trPr>
          <w:trHeight w:val="270"/>
          <w:jc w:val="center"/>
        </w:trPr>
        <w:tc>
          <w:tcPr>
            <w:tcW w:w="2520" w:type="dxa"/>
            <w:tcBorders>
              <w:top w:val="nil"/>
              <w:left w:val="nil"/>
              <w:bottom w:val="single" w:sz="4" w:space="0" w:color="000000"/>
              <w:right w:val="nil"/>
            </w:tcBorders>
            <w:shd w:val="clear" w:color="auto" w:fill="auto"/>
            <w:noWrap/>
            <w:vAlign w:val="bottom"/>
            <w:hideMark/>
          </w:tcPr>
          <w:p w14:paraId="45327EA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530" w:type="dxa"/>
            <w:tcBorders>
              <w:top w:val="nil"/>
              <w:left w:val="nil"/>
              <w:bottom w:val="single" w:sz="4" w:space="0" w:color="000000"/>
              <w:right w:val="nil"/>
            </w:tcBorders>
            <w:shd w:val="clear" w:color="auto" w:fill="auto"/>
            <w:noWrap/>
            <w:vAlign w:val="bottom"/>
            <w:hideMark/>
          </w:tcPr>
          <w:p w14:paraId="3D30AF2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single" w:sz="4" w:space="0" w:color="000000"/>
              <w:right w:val="nil"/>
            </w:tcBorders>
            <w:shd w:val="clear" w:color="auto" w:fill="auto"/>
            <w:noWrap/>
            <w:vAlign w:val="bottom"/>
            <w:hideMark/>
          </w:tcPr>
          <w:p w14:paraId="0FBCE5C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single" w:sz="4" w:space="0" w:color="000000"/>
              <w:right w:val="nil"/>
            </w:tcBorders>
            <w:shd w:val="clear" w:color="auto" w:fill="auto"/>
            <w:noWrap/>
            <w:vAlign w:val="bottom"/>
            <w:hideMark/>
          </w:tcPr>
          <w:p w14:paraId="5CC8D9D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750" w:type="dxa"/>
            <w:tcBorders>
              <w:top w:val="nil"/>
              <w:left w:val="nil"/>
              <w:bottom w:val="single" w:sz="4" w:space="0" w:color="000000"/>
              <w:right w:val="nil"/>
            </w:tcBorders>
            <w:shd w:val="clear" w:color="auto" w:fill="auto"/>
            <w:noWrap/>
            <w:vAlign w:val="bottom"/>
            <w:hideMark/>
          </w:tcPr>
          <w:p w14:paraId="205ADEC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634430E7" w14:textId="77777777" w:rsidTr="00735871">
        <w:trPr>
          <w:trHeight w:val="270"/>
          <w:jc w:val="center"/>
        </w:trPr>
        <w:tc>
          <w:tcPr>
            <w:tcW w:w="8100" w:type="dxa"/>
            <w:gridSpan w:val="4"/>
            <w:tcBorders>
              <w:top w:val="nil"/>
              <w:left w:val="nil"/>
              <w:bottom w:val="nil"/>
              <w:right w:val="nil"/>
            </w:tcBorders>
            <w:shd w:val="clear" w:color="auto" w:fill="auto"/>
            <w:noWrap/>
            <w:vAlign w:val="bottom"/>
            <w:hideMark/>
          </w:tcPr>
          <w:p w14:paraId="1A59D93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tc>
        <w:tc>
          <w:tcPr>
            <w:tcW w:w="1750" w:type="dxa"/>
            <w:tcBorders>
              <w:top w:val="nil"/>
              <w:left w:val="nil"/>
              <w:bottom w:val="nil"/>
              <w:right w:val="nil"/>
            </w:tcBorders>
            <w:shd w:val="clear" w:color="auto" w:fill="auto"/>
            <w:noWrap/>
            <w:vAlign w:val="bottom"/>
            <w:hideMark/>
          </w:tcPr>
          <w:p w14:paraId="03EE2D15" w14:textId="77777777" w:rsidR="009478ED" w:rsidRPr="007F37A0" w:rsidRDefault="009478ED" w:rsidP="00735871">
            <w:pPr>
              <w:rPr>
                <w:rFonts w:ascii="Times New Roman" w:hAnsi="Times New Roman" w:cs="Times New Roman"/>
              </w:rPr>
            </w:pPr>
          </w:p>
        </w:tc>
      </w:tr>
      <w:tr w:rsidR="009478ED" w:rsidRPr="007F37A0" w14:paraId="241C34D3" w14:textId="77777777" w:rsidTr="00735871">
        <w:trPr>
          <w:trHeight w:val="270"/>
          <w:jc w:val="center"/>
        </w:trPr>
        <w:tc>
          <w:tcPr>
            <w:tcW w:w="9850" w:type="dxa"/>
            <w:gridSpan w:val="5"/>
            <w:tcBorders>
              <w:top w:val="nil"/>
              <w:left w:val="nil"/>
              <w:bottom w:val="nil"/>
              <w:right w:val="nil"/>
            </w:tcBorders>
            <w:shd w:val="clear" w:color="auto" w:fill="auto"/>
            <w:noWrap/>
            <w:vAlign w:val="bottom"/>
            <w:hideMark/>
          </w:tcPr>
          <w:p w14:paraId="4A15098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fuel switching at the annual level for 2009-2022. SO</w:t>
            </w:r>
            <w:r w:rsidRPr="007F37A0">
              <w:rPr>
                <w:rFonts w:ascii="Times New Roman" w:hAnsi="Times New Roman" w:cs="Times New Roman"/>
                <w:vertAlign w:val="subscript"/>
              </w:rPr>
              <w:t>2</w:t>
            </w:r>
            <w:r w:rsidRPr="007F37A0">
              <w:rPr>
                <w:rFonts w:ascii="Times New Roman" w:hAnsi="Times New Roman" w:cs="Times New Roman"/>
              </w:rPr>
              <w:t xml:space="preserve"> treatment is an indicator variable for treatment under either CAIR or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69234AE2" w14:textId="77777777" w:rsidR="009478ED" w:rsidRPr="007F37A0" w:rsidRDefault="009478ED" w:rsidP="009478ED">
      <w:pPr>
        <w:rPr>
          <w:rFonts w:ascii="Times New Roman" w:hAnsi="Times New Roman" w:cs="Times New Roman"/>
        </w:rPr>
      </w:pPr>
    </w:p>
    <w:p w14:paraId="09FC9DD7"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rPr>
        <w:br w:type="page"/>
      </w:r>
    </w:p>
    <w:p w14:paraId="3B3FFD80" w14:textId="495B696E" w:rsidR="009478ED" w:rsidRPr="007F37A0" w:rsidRDefault="009478ED" w:rsidP="007F37A0">
      <w:pPr>
        <w:pStyle w:val="Caption"/>
        <w:rPr>
          <w:rFonts w:cs="Times New Roman"/>
        </w:rPr>
      </w:pPr>
      <w:bookmarkStart w:id="176" w:name="_Ref160878689"/>
      <w:bookmarkStart w:id="177" w:name="_Toc160879139"/>
      <w:bookmarkStart w:id="178" w:name="_Toc164862564"/>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29</w:t>
      </w:r>
      <w:r w:rsidRPr="007F37A0">
        <w:rPr>
          <w:rFonts w:cs="Times New Roman"/>
        </w:rPr>
        <w:fldChar w:fldCharType="end"/>
      </w:r>
      <w:bookmarkEnd w:id="176"/>
      <w:r w:rsidRPr="007F37A0">
        <w:rPr>
          <w:rFonts w:cs="Times New Roman"/>
        </w:rPr>
        <w:t>: Boiler Retirement by SO2 Treatment – Fuel Specific Effects</w:t>
      </w:r>
      <w:bookmarkEnd w:id="177"/>
      <w:bookmarkEnd w:id="178"/>
    </w:p>
    <w:tbl>
      <w:tblPr>
        <w:tblW w:w="8010" w:type="dxa"/>
        <w:tblLook w:val="04A0" w:firstRow="1" w:lastRow="0" w:firstColumn="1" w:lastColumn="0" w:noHBand="0" w:noVBand="1"/>
      </w:tblPr>
      <w:tblGrid>
        <w:gridCol w:w="2610"/>
        <w:gridCol w:w="1350"/>
        <w:gridCol w:w="1350"/>
        <w:gridCol w:w="1350"/>
        <w:gridCol w:w="1350"/>
      </w:tblGrid>
      <w:tr w:rsidR="009478ED" w:rsidRPr="007F37A0" w14:paraId="6FD94D2D" w14:textId="77777777" w:rsidTr="00735871">
        <w:trPr>
          <w:trHeight w:val="276"/>
        </w:trPr>
        <w:tc>
          <w:tcPr>
            <w:tcW w:w="2610" w:type="dxa"/>
            <w:tcBorders>
              <w:top w:val="single" w:sz="4" w:space="0" w:color="000000"/>
              <w:left w:val="nil"/>
              <w:bottom w:val="nil"/>
              <w:right w:val="nil"/>
            </w:tcBorders>
            <w:shd w:val="clear" w:color="auto" w:fill="auto"/>
            <w:noWrap/>
            <w:vAlign w:val="bottom"/>
            <w:hideMark/>
          </w:tcPr>
          <w:p w14:paraId="20ECDA6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3983CFD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1350" w:type="dxa"/>
            <w:tcBorders>
              <w:top w:val="single" w:sz="4" w:space="0" w:color="000000"/>
              <w:left w:val="nil"/>
              <w:bottom w:val="nil"/>
              <w:right w:val="nil"/>
            </w:tcBorders>
            <w:shd w:val="clear" w:color="auto" w:fill="auto"/>
            <w:noWrap/>
            <w:vAlign w:val="bottom"/>
            <w:hideMark/>
          </w:tcPr>
          <w:p w14:paraId="10C9B2A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350" w:type="dxa"/>
            <w:tcBorders>
              <w:top w:val="single" w:sz="4" w:space="0" w:color="000000"/>
              <w:left w:val="nil"/>
              <w:bottom w:val="nil"/>
              <w:right w:val="nil"/>
            </w:tcBorders>
            <w:vAlign w:val="bottom"/>
          </w:tcPr>
          <w:p w14:paraId="24D70C4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350" w:type="dxa"/>
            <w:tcBorders>
              <w:top w:val="single" w:sz="4" w:space="0" w:color="000000"/>
              <w:left w:val="nil"/>
              <w:bottom w:val="nil"/>
              <w:right w:val="nil"/>
            </w:tcBorders>
            <w:vAlign w:val="bottom"/>
          </w:tcPr>
          <w:p w14:paraId="68FDE8C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35FE635D" w14:textId="77777777" w:rsidTr="00735871">
        <w:trPr>
          <w:trHeight w:val="276"/>
        </w:trPr>
        <w:tc>
          <w:tcPr>
            <w:tcW w:w="2610" w:type="dxa"/>
            <w:tcBorders>
              <w:top w:val="nil"/>
              <w:left w:val="nil"/>
              <w:bottom w:val="nil"/>
              <w:right w:val="nil"/>
            </w:tcBorders>
            <w:shd w:val="clear" w:color="auto" w:fill="auto"/>
            <w:noWrap/>
            <w:vAlign w:val="bottom"/>
            <w:hideMark/>
          </w:tcPr>
          <w:p w14:paraId="7E729A7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0D9D202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Boiler Retirement</w:t>
            </w:r>
          </w:p>
        </w:tc>
        <w:tc>
          <w:tcPr>
            <w:tcW w:w="1350" w:type="dxa"/>
            <w:tcBorders>
              <w:top w:val="nil"/>
              <w:left w:val="nil"/>
              <w:bottom w:val="nil"/>
              <w:right w:val="nil"/>
            </w:tcBorders>
            <w:shd w:val="clear" w:color="auto" w:fill="auto"/>
            <w:noWrap/>
            <w:vAlign w:val="bottom"/>
            <w:hideMark/>
          </w:tcPr>
          <w:p w14:paraId="5FE725F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Baseline</w:t>
            </w:r>
          </w:p>
        </w:tc>
        <w:tc>
          <w:tcPr>
            <w:tcW w:w="1350" w:type="dxa"/>
            <w:tcBorders>
              <w:top w:val="nil"/>
              <w:left w:val="nil"/>
              <w:bottom w:val="nil"/>
              <w:right w:val="nil"/>
            </w:tcBorders>
            <w:shd w:val="clear" w:color="auto" w:fill="auto"/>
            <w:noWrap/>
            <w:vAlign w:val="bottom"/>
            <w:hideMark/>
          </w:tcPr>
          <w:p w14:paraId="41A7B47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Coal</w:t>
            </w:r>
          </w:p>
        </w:tc>
        <w:tc>
          <w:tcPr>
            <w:tcW w:w="1350" w:type="dxa"/>
            <w:tcBorders>
              <w:top w:val="nil"/>
              <w:left w:val="nil"/>
              <w:bottom w:val="nil"/>
              <w:right w:val="nil"/>
            </w:tcBorders>
            <w:vAlign w:val="bottom"/>
          </w:tcPr>
          <w:p w14:paraId="59C232B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Petroleum</w:t>
            </w:r>
          </w:p>
        </w:tc>
        <w:tc>
          <w:tcPr>
            <w:tcW w:w="1350" w:type="dxa"/>
            <w:tcBorders>
              <w:top w:val="nil"/>
              <w:left w:val="nil"/>
              <w:bottom w:val="nil"/>
              <w:right w:val="nil"/>
            </w:tcBorders>
            <w:vAlign w:val="bottom"/>
          </w:tcPr>
          <w:p w14:paraId="0A212E6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Natural Gas</w:t>
            </w:r>
          </w:p>
        </w:tc>
      </w:tr>
      <w:tr w:rsidR="009478ED" w:rsidRPr="007F37A0" w14:paraId="4C2E1E23" w14:textId="77777777" w:rsidTr="00735871">
        <w:trPr>
          <w:trHeight w:val="276"/>
        </w:trPr>
        <w:tc>
          <w:tcPr>
            <w:tcW w:w="2610" w:type="dxa"/>
            <w:tcBorders>
              <w:top w:val="single" w:sz="4" w:space="0" w:color="000000"/>
              <w:left w:val="nil"/>
              <w:bottom w:val="nil"/>
              <w:right w:val="nil"/>
            </w:tcBorders>
            <w:shd w:val="clear" w:color="auto" w:fill="auto"/>
            <w:noWrap/>
            <w:vAlign w:val="bottom"/>
            <w:hideMark/>
          </w:tcPr>
          <w:p w14:paraId="7B36ABD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7B6C4F9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053756D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tcPr>
          <w:p w14:paraId="370C1681" w14:textId="77777777" w:rsidR="009478ED" w:rsidRPr="007F37A0" w:rsidRDefault="009478ED" w:rsidP="00735871">
            <w:pPr>
              <w:jc w:val="center"/>
              <w:rPr>
                <w:rFonts w:ascii="Times New Roman" w:hAnsi="Times New Roman" w:cs="Times New Roman"/>
              </w:rPr>
            </w:pPr>
          </w:p>
        </w:tc>
        <w:tc>
          <w:tcPr>
            <w:tcW w:w="1350" w:type="dxa"/>
            <w:tcBorders>
              <w:top w:val="single" w:sz="4" w:space="0" w:color="000000"/>
              <w:left w:val="nil"/>
              <w:bottom w:val="nil"/>
              <w:right w:val="nil"/>
            </w:tcBorders>
          </w:tcPr>
          <w:p w14:paraId="65C831DF" w14:textId="77777777" w:rsidR="009478ED" w:rsidRPr="007F37A0" w:rsidRDefault="009478ED" w:rsidP="00735871">
            <w:pPr>
              <w:jc w:val="center"/>
              <w:rPr>
                <w:rFonts w:ascii="Times New Roman" w:hAnsi="Times New Roman" w:cs="Times New Roman"/>
              </w:rPr>
            </w:pPr>
          </w:p>
        </w:tc>
      </w:tr>
      <w:tr w:rsidR="009478ED" w:rsidRPr="007F37A0" w14:paraId="6260FFDD" w14:textId="77777777" w:rsidTr="00735871">
        <w:trPr>
          <w:trHeight w:val="276"/>
        </w:trPr>
        <w:tc>
          <w:tcPr>
            <w:tcW w:w="2610" w:type="dxa"/>
            <w:tcBorders>
              <w:top w:val="nil"/>
              <w:left w:val="nil"/>
              <w:bottom w:val="nil"/>
              <w:right w:val="nil"/>
            </w:tcBorders>
            <w:shd w:val="clear" w:color="auto" w:fill="auto"/>
            <w:noWrap/>
            <w:vAlign w:val="bottom"/>
            <w:hideMark/>
          </w:tcPr>
          <w:p w14:paraId="204714A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SO2 Treatment</w:t>
            </w:r>
          </w:p>
        </w:tc>
        <w:tc>
          <w:tcPr>
            <w:tcW w:w="1350" w:type="dxa"/>
            <w:tcBorders>
              <w:top w:val="nil"/>
              <w:left w:val="nil"/>
              <w:bottom w:val="nil"/>
              <w:right w:val="nil"/>
            </w:tcBorders>
            <w:shd w:val="clear" w:color="auto" w:fill="auto"/>
            <w:noWrap/>
            <w:vAlign w:val="bottom"/>
            <w:hideMark/>
          </w:tcPr>
          <w:p w14:paraId="61F0591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350" w:type="dxa"/>
            <w:tcBorders>
              <w:top w:val="nil"/>
              <w:left w:val="nil"/>
              <w:bottom w:val="nil"/>
              <w:right w:val="nil"/>
            </w:tcBorders>
            <w:shd w:val="clear" w:color="auto" w:fill="auto"/>
            <w:noWrap/>
            <w:vAlign w:val="bottom"/>
            <w:hideMark/>
          </w:tcPr>
          <w:p w14:paraId="5C97461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350" w:type="dxa"/>
            <w:tcBorders>
              <w:top w:val="nil"/>
              <w:left w:val="nil"/>
              <w:bottom w:val="nil"/>
              <w:right w:val="nil"/>
            </w:tcBorders>
            <w:vAlign w:val="bottom"/>
          </w:tcPr>
          <w:p w14:paraId="3269903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c>
          <w:tcPr>
            <w:tcW w:w="1350" w:type="dxa"/>
            <w:tcBorders>
              <w:top w:val="nil"/>
              <w:left w:val="nil"/>
              <w:bottom w:val="nil"/>
              <w:right w:val="nil"/>
            </w:tcBorders>
            <w:vAlign w:val="bottom"/>
          </w:tcPr>
          <w:p w14:paraId="16CD707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7154903F" w14:textId="77777777" w:rsidTr="00735871">
        <w:trPr>
          <w:trHeight w:val="276"/>
        </w:trPr>
        <w:tc>
          <w:tcPr>
            <w:tcW w:w="2610" w:type="dxa"/>
            <w:tcBorders>
              <w:top w:val="nil"/>
              <w:left w:val="nil"/>
              <w:bottom w:val="nil"/>
              <w:right w:val="nil"/>
            </w:tcBorders>
            <w:shd w:val="clear" w:color="auto" w:fill="auto"/>
            <w:noWrap/>
            <w:vAlign w:val="bottom"/>
            <w:hideMark/>
          </w:tcPr>
          <w:p w14:paraId="3E44B1AE"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6C61255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350" w:type="dxa"/>
            <w:tcBorders>
              <w:top w:val="nil"/>
              <w:left w:val="nil"/>
              <w:bottom w:val="nil"/>
              <w:right w:val="nil"/>
            </w:tcBorders>
            <w:shd w:val="clear" w:color="auto" w:fill="auto"/>
            <w:noWrap/>
            <w:vAlign w:val="bottom"/>
            <w:hideMark/>
          </w:tcPr>
          <w:p w14:paraId="65E37A1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c>
          <w:tcPr>
            <w:tcW w:w="1350" w:type="dxa"/>
            <w:tcBorders>
              <w:top w:val="nil"/>
              <w:left w:val="nil"/>
              <w:bottom w:val="nil"/>
              <w:right w:val="nil"/>
            </w:tcBorders>
            <w:vAlign w:val="bottom"/>
          </w:tcPr>
          <w:p w14:paraId="62CF906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(0.011)</w:t>
            </w:r>
          </w:p>
        </w:tc>
        <w:tc>
          <w:tcPr>
            <w:tcW w:w="1350" w:type="dxa"/>
            <w:tcBorders>
              <w:top w:val="nil"/>
              <w:left w:val="nil"/>
              <w:bottom w:val="nil"/>
              <w:right w:val="nil"/>
            </w:tcBorders>
            <w:vAlign w:val="bottom"/>
          </w:tcPr>
          <w:p w14:paraId="4FE3CDA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4AB726F1" w14:textId="77777777" w:rsidTr="00735871">
        <w:trPr>
          <w:trHeight w:val="276"/>
        </w:trPr>
        <w:tc>
          <w:tcPr>
            <w:tcW w:w="2610" w:type="dxa"/>
            <w:tcBorders>
              <w:top w:val="nil"/>
              <w:left w:val="nil"/>
              <w:bottom w:val="nil"/>
              <w:right w:val="nil"/>
            </w:tcBorders>
            <w:shd w:val="clear" w:color="auto" w:fill="auto"/>
            <w:noWrap/>
            <w:vAlign w:val="bottom"/>
            <w:hideMark/>
          </w:tcPr>
          <w:p w14:paraId="542EBD44"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201FC7A0" w14:textId="77777777" w:rsidR="009478ED" w:rsidRPr="007F37A0" w:rsidRDefault="009478ED" w:rsidP="00735871">
            <w:pP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7E3A0A81"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tcPr>
          <w:p w14:paraId="13B1FEB6"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tcPr>
          <w:p w14:paraId="2E854BBC" w14:textId="77777777" w:rsidR="009478ED" w:rsidRPr="007F37A0" w:rsidRDefault="009478ED" w:rsidP="00735871">
            <w:pPr>
              <w:jc w:val="center"/>
              <w:rPr>
                <w:rFonts w:ascii="Times New Roman" w:hAnsi="Times New Roman" w:cs="Times New Roman"/>
              </w:rPr>
            </w:pPr>
          </w:p>
        </w:tc>
      </w:tr>
      <w:tr w:rsidR="009478ED" w:rsidRPr="007F37A0" w14:paraId="6248C4DD" w14:textId="77777777" w:rsidTr="00735871">
        <w:trPr>
          <w:trHeight w:val="276"/>
        </w:trPr>
        <w:tc>
          <w:tcPr>
            <w:tcW w:w="2610" w:type="dxa"/>
            <w:tcBorders>
              <w:top w:val="nil"/>
              <w:left w:val="nil"/>
              <w:bottom w:val="nil"/>
              <w:right w:val="nil"/>
            </w:tcBorders>
            <w:shd w:val="clear" w:color="auto" w:fill="auto"/>
            <w:noWrap/>
            <w:vAlign w:val="bottom"/>
            <w:hideMark/>
          </w:tcPr>
          <w:p w14:paraId="6F5DB58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350" w:type="dxa"/>
            <w:tcBorders>
              <w:top w:val="nil"/>
              <w:left w:val="nil"/>
              <w:bottom w:val="nil"/>
              <w:right w:val="nil"/>
            </w:tcBorders>
            <w:shd w:val="clear" w:color="auto" w:fill="auto"/>
            <w:noWrap/>
            <w:vAlign w:val="bottom"/>
            <w:hideMark/>
          </w:tcPr>
          <w:p w14:paraId="7908FA6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49,885</w:t>
            </w:r>
          </w:p>
        </w:tc>
        <w:tc>
          <w:tcPr>
            <w:tcW w:w="1350" w:type="dxa"/>
            <w:tcBorders>
              <w:top w:val="nil"/>
              <w:left w:val="nil"/>
              <w:bottom w:val="nil"/>
              <w:right w:val="nil"/>
            </w:tcBorders>
            <w:shd w:val="clear" w:color="auto" w:fill="auto"/>
            <w:noWrap/>
            <w:vAlign w:val="bottom"/>
            <w:hideMark/>
          </w:tcPr>
          <w:p w14:paraId="687BABB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11,587</w:t>
            </w:r>
          </w:p>
        </w:tc>
        <w:tc>
          <w:tcPr>
            <w:tcW w:w="1350" w:type="dxa"/>
            <w:tcBorders>
              <w:top w:val="nil"/>
              <w:left w:val="nil"/>
              <w:bottom w:val="nil"/>
              <w:right w:val="nil"/>
            </w:tcBorders>
            <w:vAlign w:val="bottom"/>
          </w:tcPr>
          <w:p w14:paraId="6B778B6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5,135</w:t>
            </w:r>
          </w:p>
        </w:tc>
        <w:tc>
          <w:tcPr>
            <w:tcW w:w="1350" w:type="dxa"/>
            <w:tcBorders>
              <w:top w:val="nil"/>
              <w:left w:val="nil"/>
              <w:bottom w:val="nil"/>
              <w:right w:val="nil"/>
            </w:tcBorders>
            <w:vAlign w:val="bottom"/>
          </w:tcPr>
          <w:p w14:paraId="642B0AC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17,989</w:t>
            </w:r>
          </w:p>
        </w:tc>
      </w:tr>
      <w:tr w:rsidR="009478ED" w:rsidRPr="007F37A0" w14:paraId="37A22EC0" w14:textId="77777777" w:rsidTr="00735871">
        <w:trPr>
          <w:trHeight w:val="276"/>
        </w:trPr>
        <w:tc>
          <w:tcPr>
            <w:tcW w:w="2610" w:type="dxa"/>
            <w:tcBorders>
              <w:top w:val="nil"/>
              <w:left w:val="nil"/>
              <w:bottom w:val="nil"/>
              <w:right w:val="nil"/>
            </w:tcBorders>
            <w:shd w:val="clear" w:color="auto" w:fill="auto"/>
            <w:noWrap/>
            <w:vAlign w:val="bottom"/>
            <w:hideMark/>
          </w:tcPr>
          <w:p w14:paraId="1CB52CF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350" w:type="dxa"/>
            <w:tcBorders>
              <w:top w:val="nil"/>
              <w:left w:val="nil"/>
              <w:bottom w:val="nil"/>
              <w:right w:val="nil"/>
            </w:tcBorders>
            <w:shd w:val="clear" w:color="auto" w:fill="auto"/>
            <w:noWrap/>
            <w:vAlign w:val="bottom"/>
            <w:hideMark/>
          </w:tcPr>
          <w:p w14:paraId="6D8A37D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6A8E5EC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72D78A7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51E775E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71D52ED" w14:textId="77777777" w:rsidTr="00735871">
        <w:trPr>
          <w:trHeight w:val="276"/>
        </w:trPr>
        <w:tc>
          <w:tcPr>
            <w:tcW w:w="2610" w:type="dxa"/>
            <w:tcBorders>
              <w:top w:val="nil"/>
              <w:left w:val="nil"/>
              <w:bottom w:val="nil"/>
              <w:right w:val="nil"/>
            </w:tcBorders>
            <w:shd w:val="clear" w:color="auto" w:fill="auto"/>
            <w:noWrap/>
            <w:vAlign w:val="bottom"/>
            <w:hideMark/>
          </w:tcPr>
          <w:p w14:paraId="63E858C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350" w:type="dxa"/>
            <w:tcBorders>
              <w:top w:val="nil"/>
              <w:left w:val="nil"/>
              <w:bottom w:val="nil"/>
              <w:right w:val="nil"/>
            </w:tcBorders>
            <w:shd w:val="clear" w:color="auto" w:fill="auto"/>
            <w:noWrap/>
            <w:vAlign w:val="bottom"/>
            <w:hideMark/>
          </w:tcPr>
          <w:p w14:paraId="63A3EDF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22ED04B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79DB584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6ED61CD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DD5231C" w14:textId="77777777" w:rsidTr="00735871">
        <w:trPr>
          <w:trHeight w:val="276"/>
        </w:trPr>
        <w:tc>
          <w:tcPr>
            <w:tcW w:w="2610" w:type="dxa"/>
            <w:tcBorders>
              <w:top w:val="nil"/>
              <w:left w:val="nil"/>
              <w:bottom w:val="single" w:sz="4" w:space="0" w:color="000000"/>
              <w:right w:val="nil"/>
            </w:tcBorders>
            <w:shd w:val="clear" w:color="auto" w:fill="auto"/>
            <w:noWrap/>
            <w:vAlign w:val="bottom"/>
            <w:hideMark/>
          </w:tcPr>
          <w:p w14:paraId="2B031A7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350" w:type="dxa"/>
            <w:tcBorders>
              <w:top w:val="nil"/>
              <w:left w:val="nil"/>
              <w:bottom w:val="single" w:sz="4" w:space="0" w:color="000000"/>
              <w:right w:val="nil"/>
            </w:tcBorders>
            <w:shd w:val="clear" w:color="auto" w:fill="auto"/>
            <w:noWrap/>
            <w:vAlign w:val="bottom"/>
            <w:hideMark/>
          </w:tcPr>
          <w:p w14:paraId="311A8B2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shd w:val="clear" w:color="auto" w:fill="auto"/>
            <w:noWrap/>
            <w:vAlign w:val="bottom"/>
            <w:hideMark/>
          </w:tcPr>
          <w:p w14:paraId="6258A3F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vAlign w:val="bottom"/>
          </w:tcPr>
          <w:p w14:paraId="7D981EC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vAlign w:val="bottom"/>
          </w:tcPr>
          <w:p w14:paraId="4FE20B3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79241EF4" w14:textId="77777777" w:rsidTr="00735871">
        <w:trPr>
          <w:trHeight w:val="276"/>
        </w:trPr>
        <w:tc>
          <w:tcPr>
            <w:tcW w:w="8010" w:type="dxa"/>
            <w:gridSpan w:val="5"/>
            <w:tcBorders>
              <w:top w:val="nil"/>
              <w:left w:val="nil"/>
              <w:bottom w:val="nil"/>
              <w:right w:val="nil"/>
            </w:tcBorders>
            <w:shd w:val="clear" w:color="auto" w:fill="auto"/>
            <w:noWrap/>
            <w:vAlign w:val="bottom"/>
            <w:hideMark/>
          </w:tcPr>
          <w:p w14:paraId="64B0B2C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p w14:paraId="69C657D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Efficiency 100% load, efficiency 50% load, air flow 100% load, max steam flow, and waste heat input control variables were dropped for convergence.</w:t>
            </w:r>
          </w:p>
        </w:tc>
      </w:tr>
      <w:tr w:rsidR="009478ED" w:rsidRPr="007F37A0" w14:paraId="7EA32A25" w14:textId="77777777" w:rsidTr="00735871">
        <w:trPr>
          <w:trHeight w:val="276"/>
        </w:trPr>
        <w:tc>
          <w:tcPr>
            <w:tcW w:w="8010" w:type="dxa"/>
            <w:gridSpan w:val="5"/>
            <w:tcBorders>
              <w:top w:val="nil"/>
              <w:left w:val="nil"/>
              <w:bottom w:val="nil"/>
              <w:right w:val="nil"/>
            </w:tcBorders>
            <w:shd w:val="clear" w:color="auto" w:fill="auto"/>
            <w:noWrap/>
            <w:vAlign w:val="bottom"/>
            <w:hideMark/>
          </w:tcPr>
          <w:p w14:paraId="79C466A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fuel switching at the annual level for 2009-2022. SO</w:t>
            </w:r>
            <w:r w:rsidRPr="007F37A0">
              <w:rPr>
                <w:rFonts w:ascii="Times New Roman" w:hAnsi="Times New Roman" w:cs="Times New Roman"/>
                <w:vertAlign w:val="subscript"/>
              </w:rPr>
              <w:t>2</w:t>
            </w:r>
            <w:r w:rsidRPr="007F37A0">
              <w:rPr>
                <w:rFonts w:ascii="Times New Roman" w:hAnsi="Times New Roman" w:cs="Times New Roman"/>
              </w:rPr>
              <w:t xml:space="preserve"> treatment is an indicator variable for treatment under either CAIR or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5494DC07" w14:textId="77777777" w:rsidR="009478ED" w:rsidRPr="007F37A0" w:rsidRDefault="009478ED" w:rsidP="007F37A0">
      <w:pPr>
        <w:pStyle w:val="Caption"/>
        <w:rPr>
          <w:rFonts w:cs="Times New Roman"/>
        </w:rPr>
      </w:pPr>
    </w:p>
    <w:p w14:paraId="6DC9EBDB"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766A1F4D" w14:textId="58C604A7" w:rsidR="009478ED" w:rsidRPr="007F37A0" w:rsidRDefault="009478ED" w:rsidP="007F37A0">
      <w:pPr>
        <w:pStyle w:val="Caption"/>
        <w:rPr>
          <w:rFonts w:cs="Times New Roman"/>
        </w:rPr>
      </w:pPr>
      <w:bookmarkStart w:id="179" w:name="_Ref160878730"/>
      <w:bookmarkStart w:id="180" w:name="_Toc160879141"/>
      <w:bookmarkStart w:id="181" w:name="_Toc164862565"/>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30</w:t>
      </w:r>
      <w:r w:rsidRPr="007F37A0">
        <w:rPr>
          <w:rFonts w:cs="Times New Roman"/>
        </w:rPr>
        <w:fldChar w:fldCharType="end"/>
      </w:r>
      <w:bookmarkEnd w:id="179"/>
      <w:r w:rsidRPr="007F37A0">
        <w:rPr>
          <w:rFonts w:cs="Times New Roman"/>
        </w:rPr>
        <w:t>: New SO</w:t>
      </w:r>
      <w:r w:rsidRPr="007F37A0">
        <w:rPr>
          <w:rFonts w:cs="Times New Roman"/>
          <w:vertAlign w:val="subscript"/>
        </w:rPr>
        <w:t>2</w:t>
      </w:r>
      <w:r w:rsidRPr="007F37A0">
        <w:rPr>
          <w:rFonts w:cs="Times New Roman"/>
        </w:rPr>
        <w:t xml:space="preserve"> Abatement Technology</w:t>
      </w:r>
      <w:bookmarkEnd w:id="180"/>
      <w:bookmarkEnd w:id="181"/>
    </w:p>
    <w:tbl>
      <w:tblPr>
        <w:tblW w:w="9846" w:type="dxa"/>
        <w:jc w:val="center"/>
        <w:tblLook w:val="04A0" w:firstRow="1" w:lastRow="0" w:firstColumn="1" w:lastColumn="0" w:noHBand="0" w:noVBand="1"/>
      </w:tblPr>
      <w:tblGrid>
        <w:gridCol w:w="3420"/>
        <w:gridCol w:w="1116"/>
        <w:gridCol w:w="2287"/>
        <w:gridCol w:w="1710"/>
        <w:gridCol w:w="1313"/>
      </w:tblGrid>
      <w:tr w:rsidR="009478ED" w:rsidRPr="007F37A0" w14:paraId="4EA9B47B" w14:textId="77777777" w:rsidTr="00735871">
        <w:trPr>
          <w:trHeight w:val="267"/>
          <w:jc w:val="center"/>
        </w:trPr>
        <w:tc>
          <w:tcPr>
            <w:tcW w:w="3420" w:type="dxa"/>
            <w:tcBorders>
              <w:top w:val="single" w:sz="4" w:space="0" w:color="000000"/>
              <w:left w:val="nil"/>
              <w:bottom w:val="nil"/>
              <w:right w:val="nil"/>
            </w:tcBorders>
            <w:shd w:val="clear" w:color="auto" w:fill="auto"/>
            <w:noWrap/>
            <w:vAlign w:val="bottom"/>
            <w:hideMark/>
          </w:tcPr>
          <w:p w14:paraId="603FB8C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16" w:type="dxa"/>
            <w:tcBorders>
              <w:top w:val="single" w:sz="4" w:space="0" w:color="000000"/>
              <w:left w:val="nil"/>
              <w:bottom w:val="nil"/>
              <w:right w:val="nil"/>
            </w:tcBorders>
            <w:shd w:val="clear" w:color="auto" w:fill="auto"/>
            <w:noWrap/>
            <w:vAlign w:val="bottom"/>
            <w:hideMark/>
          </w:tcPr>
          <w:p w14:paraId="07A12C4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87" w:type="dxa"/>
            <w:tcBorders>
              <w:top w:val="single" w:sz="4" w:space="0" w:color="000000"/>
              <w:left w:val="nil"/>
              <w:bottom w:val="nil"/>
              <w:right w:val="nil"/>
            </w:tcBorders>
            <w:shd w:val="clear" w:color="auto" w:fill="auto"/>
            <w:noWrap/>
            <w:vAlign w:val="bottom"/>
            <w:hideMark/>
          </w:tcPr>
          <w:p w14:paraId="4D2C3BD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710" w:type="dxa"/>
            <w:tcBorders>
              <w:top w:val="single" w:sz="4" w:space="0" w:color="000000"/>
              <w:left w:val="nil"/>
              <w:bottom w:val="nil"/>
              <w:right w:val="nil"/>
            </w:tcBorders>
            <w:shd w:val="clear" w:color="auto" w:fill="auto"/>
            <w:noWrap/>
            <w:vAlign w:val="bottom"/>
            <w:hideMark/>
          </w:tcPr>
          <w:p w14:paraId="34FF983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313" w:type="dxa"/>
            <w:tcBorders>
              <w:top w:val="single" w:sz="4" w:space="0" w:color="000000"/>
              <w:left w:val="nil"/>
              <w:bottom w:val="nil"/>
              <w:right w:val="nil"/>
            </w:tcBorders>
            <w:shd w:val="clear" w:color="auto" w:fill="auto"/>
            <w:noWrap/>
            <w:vAlign w:val="bottom"/>
            <w:hideMark/>
          </w:tcPr>
          <w:p w14:paraId="4C7F674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5B52881B" w14:textId="77777777" w:rsidTr="00735871">
        <w:trPr>
          <w:trHeight w:val="267"/>
          <w:jc w:val="center"/>
        </w:trPr>
        <w:tc>
          <w:tcPr>
            <w:tcW w:w="3420" w:type="dxa"/>
            <w:tcBorders>
              <w:top w:val="nil"/>
              <w:left w:val="nil"/>
              <w:bottom w:val="nil"/>
              <w:right w:val="nil"/>
            </w:tcBorders>
            <w:shd w:val="clear" w:color="auto" w:fill="auto"/>
            <w:noWrap/>
            <w:vAlign w:val="bottom"/>
            <w:hideMark/>
          </w:tcPr>
          <w:p w14:paraId="5F7DBA8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7569EA2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New Technology Installation (any type)</w:t>
            </w:r>
          </w:p>
        </w:tc>
        <w:tc>
          <w:tcPr>
            <w:tcW w:w="1116" w:type="dxa"/>
            <w:tcBorders>
              <w:top w:val="nil"/>
              <w:left w:val="nil"/>
              <w:bottom w:val="nil"/>
              <w:right w:val="nil"/>
            </w:tcBorders>
            <w:shd w:val="clear" w:color="auto" w:fill="auto"/>
            <w:noWrap/>
            <w:vAlign w:val="bottom"/>
            <w:hideMark/>
          </w:tcPr>
          <w:p w14:paraId="7B4949A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87" w:type="dxa"/>
            <w:tcBorders>
              <w:top w:val="nil"/>
              <w:left w:val="nil"/>
              <w:bottom w:val="nil"/>
              <w:right w:val="nil"/>
            </w:tcBorders>
            <w:shd w:val="clear" w:color="auto" w:fill="auto"/>
            <w:noWrap/>
            <w:vAlign w:val="bottom"/>
            <w:hideMark/>
          </w:tcPr>
          <w:p w14:paraId="459AE02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710" w:type="dxa"/>
            <w:tcBorders>
              <w:top w:val="nil"/>
              <w:left w:val="nil"/>
              <w:bottom w:val="nil"/>
              <w:right w:val="nil"/>
            </w:tcBorders>
            <w:shd w:val="clear" w:color="auto" w:fill="auto"/>
            <w:noWrap/>
            <w:vAlign w:val="bottom"/>
            <w:hideMark/>
          </w:tcPr>
          <w:p w14:paraId="6195642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313" w:type="dxa"/>
            <w:tcBorders>
              <w:top w:val="nil"/>
              <w:left w:val="nil"/>
              <w:bottom w:val="nil"/>
              <w:right w:val="nil"/>
            </w:tcBorders>
            <w:shd w:val="clear" w:color="auto" w:fill="auto"/>
            <w:noWrap/>
            <w:vAlign w:val="bottom"/>
            <w:hideMark/>
          </w:tcPr>
          <w:p w14:paraId="3B30D46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236D3CB9" w14:textId="77777777" w:rsidTr="00735871">
        <w:trPr>
          <w:trHeight w:val="267"/>
          <w:jc w:val="center"/>
        </w:trPr>
        <w:tc>
          <w:tcPr>
            <w:tcW w:w="3420" w:type="dxa"/>
            <w:tcBorders>
              <w:top w:val="single" w:sz="4" w:space="0" w:color="000000"/>
              <w:left w:val="nil"/>
              <w:bottom w:val="nil"/>
              <w:right w:val="nil"/>
            </w:tcBorders>
            <w:shd w:val="clear" w:color="auto" w:fill="auto"/>
            <w:noWrap/>
            <w:vAlign w:val="bottom"/>
            <w:hideMark/>
          </w:tcPr>
          <w:p w14:paraId="083C4F3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16" w:type="dxa"/>
            <w:tcBorders>
              <w:top w:val="single" w:sz="4" w:space="0" w:color="000000"/>
              <w:left w:val="nil"/>
              <w:bottom w:val="nil"/>
              <w:right w:val="nil"/>
            </w:tcBorders>
            <w:shd w:val="clear" w:color="auto" w:fill="auto"/>
            <w:noWrap/>
            <w:vAlign w:val="bottom"/>
            <w:hideMark/>
          </w:tcPr>
          <w:p w14:paraId="0CB8084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87" w:type="dxa"/>
            <w:tcBorders>
              <w:top w:val="single" w:sz="4" w:space="0" w:color="000000"/>
              <w:left w:val="nil"/>
              <w:bottom w:val="nil"/>
              <w:right w:val="nil"/>
            </w:tcBorders>
            <w:shd w:val="clear" w:color="auto" w:fill="auto"/>
            <w:noWrap/>
            <w:vAlign w:val="bottom"/>
            <w:hideMark/>
          </w:tcPr>
          <w:p w14:paraId="0B21C1E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710" w:type="dxa"/>
            <w:tcBorders>
              <w:top w:val="single" w:sz="4" w:space="0" w:color="000000"/>
              <w:left w:val="nil"/>
              <w:bottom w:val="nil"/>
              <w:right w:val="nil"/>
            </w:tcBorders>
            <w:shd w:val="clear" w:color="auto" w:fill="auto"/>
            <w:noWrap/>
            <w:vAlign w:val="bottom"/>
            <w:hideMark/>
          </w:tcPr>
          <w:p w14:paraId="2919041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13" w:type="dxa"/>
            <w:tcBorders>
              <w:top w:val="single" w:sz="4" w:space="0" w:color="000000"/>
              <w:left w:val="nil"/>
              <w:bottom w:val="nil"/>
              <w:right w:val="nil"/>
            </w:tcBorders>
            <w:shd w:val="clear" w:color="auto" w:fill="auto"/>
            <w:noWrap/>
            <w:vAlign w:val="bottom"/>
            <w:hideMark/>
          </w:tcPr>
          <w:p w14:paraId="3FBF27F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24B3EA28" w14:textId="77777777" w:rsidTr="00735871">
        <w:trPr>
          <w:trHeight w:val="267"/>
          <w:jc w:val="center"/>
        </w:trPr>
        <w:tc>
          <w:tcPr>
            <w:tcW w:w="3420" w:type="dxa"/>
            <w:tcBorders>
              <w:top w:val="nil"/>
              <w:left w:val="nil"/>
              <w:bottom w:val="nil"/>
              <w:right w:val="nil"/>
            </w:tcBorders>
            <w:shd w:val="clear" w:color="auto" w:fill="auto"/>
            <w:noWrap/>
            <w:vAlign w:val="bottom"/>
            <w:hideMark/>
          </w:tcPr>
          <w:p w14:paraId="30BF40B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SO2 Treatment</w:t>
            </w:r>
          </w:p>
        </w:tc>
        <w:tc>
          <w:tcPr>
            <w:tcW w:w="1116" w:type="dxa"/>
            <w:tcBorders>
              <w:top w:val="nil"/>
              <w:left w:val="nil"/>
              <w:bottom w:val="nil"/>
              <w:right w:val="nil"/>
            </w:tcBorders>
            <w:shd w:val="clear" w:color="auto" w:fill="auto"/>
            <w:noWrap/>
            <w:vAlign w:val="bottom"/>
            <w:hideMark/>
          </w:tcPr>
          <w:p w14:paraId="3421F56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2287" w:type="dxa"/>
            <w:tcBorders>
              <w:top w:val="nil"/>
              <w:left w:val="nil"/>
              <w:bottom w:val="nil"/>
              <w:right w:val="nil"/>
            </w:tcBorders>
            <w:shd w:val="clear" w:color="auto" w:fill="auto"/>
            <w:noWrap/>
            <w:vAlign w:val="bottom"/>
            <w:hideMark/>
          </w:tcPr>
          <w:p w14:paraId="15D0839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710" w:type="dxa"/>
            <w:tcBorders>
              <w:top w:val="nil"/>
              <w:left w:val="nil"/>
              <w:bottom w:val="nil"/>
              <w:right w:val="nil"/>
            </w:tcBorders>
            <w:shd w:val="clear" w:color="auto" w:fill="auto"/>
            <w:noWrap/>
            <w:vAlign w:val="bottom"/>
            <w:hideMark/>
          </w:tcPr>
          <w:p w14:paraId="7B5494B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13" w:type="dxa"/>
            <w:tcBorders>
              <w:top w:val="nil"/>
              <w:left w:val="nil"/>
              <w:bottom w:val="nil"/>
              <w:right w:val="nil"/>
            </w:tcBorders>
            <w:shd w:val="clear" w:color="auto" w:fill="auto"/>
            <w:noWrap/>
            <w:vAlign w:val="bottom"/>
            <w:hideMark/>
          </w:tcPr>
          <w:p w14:paraId="76DA030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69EADBA4" w14:textId="77777777" w:rsidTr="00735871">
        <w:trPr>
          <w:trHeight w:val="267"/>
          <w:jc w:val="center"/>
        </w:trPr>
        <w:tc>
          <w:tcPr>
            <w:tcW w:w="3420" w:type="dxa"/>
            <w:tcBorders>
              <w:top w:val="nil"/>
              <w:left w:val="nil"/>
              <w:bottom w:val="nil"/>
              <w:right w:val="nil"/>
            </w:tcBorders>
            <w:shd w:val="clear" w:color="auto" w:fill="auto"/>
            <w:noWrap/>
            <w:vAlign w:val="bottom"/>
            <w:hideMark/>
          </w:tcPr>
          <w:p w14:paraId="252AD1AE"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hideMark/>
          </w:tcPr>
          <w:p w14:paraId="76BACF2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2287" w:type="dxa"/>
            <w:tcBorders>
              <w:top w:val="nil"/>
              <w:left w:val="nil"/>
              <w:bottom w:val="nil"/>
              <w:right w:val="nil"/>
            </w:tcBorders>
            <w:shd w:val="clear" w:color="auto" w:fill="auto"/>
            <w:noWrap/>
            <w:vAlign w:val="bottom"/>
            <w:hideMark/>
          </w:tcPr>
          <w:p w14:paraId="77AB29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710" w:type="dxa"/>
            <w:tcBorders>
              <w:top w:val="nil"/>
              <w:left w:val="nil"/>
              <w:bottom w:val="nil"/>
              <w:right w:val="nil"/>
            </w:tcBorders>
            <w:shd w:val="clear" w:color="auto" w:fill="auto"/>
            <w:noWrap/>
            <w:vAlign w:val="bottom"/>
            <w:hideMark/>
          </w:tcPr>
          <w:p w14:paraId="7C56600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13" w:type="dxa"/>
            <w:tcBorders>
              <w:top w:val="nil"/>
              <w:left w:val="nil"/>
              <w:bottom w:val="nil"/>
              <w:right w:val="nil"/>
            </w:tcBorders>
            <w:shd w:val="clear" w:color="auto" w:fill="auto"/>
            <w:noWrap/>
            <w:vAlign w:val="bottom"/>
            <w:hideMark/>
          </w:tcPr>
          <w:p w14:paraId="18AE186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4AF7B43F" w14:textId="77777777" w:rsidTr="00735871">
        <w:trPr>
          <w:trHeight w:val="267"/>
          <w:jc w:val="center"/>
        </w:trPr>
        <w:tc>
          <w:tcPr>
            <w:tcW w:w="3420" w:type="dxa"/>
            <w:tcBorders>
              <w:top w:val="nil"/>
              <w:left w:val="nil"/>
              <w:bottom w:val="nil"/>
              <w:right w:val="nil"/>
            </w:tcBorders>
            <w:shd w:val="clear" w:color="auto" w:fill="auto"/>
            <w:noWrap/>
            <w:vAlign w:val="bottom"/>
            <w:hideMark/>
          </w:tcPr>
          <w:p w14:paraId="71F91391"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hideMark/>
          </w:tcPr>
          <w:p w14:paraId="7B709E94" w14:textId="77777777" w:rsidR="009478ED" w:rsidRPr="007F37A0" w:rsidRDefault="009478ED" w:rsidP="00735871">
            <w:pPr>
              <w:rPr>
                <w:rFonts w:ascii="Times New Roman" w:hAnsi="Times New Roman" w:cs="Times New Roman"/>
              </w:rPr>
            </w:pPr>
          </w:p>
        </w:tc>
        <w:tc>
          <w:tcPr>
            <w:tcW w:w="2287" w:type="dxa"/>
            <w:tcBorders>
              <w:top w:val="nil"/>
              <w:left w:val="nil"/>
              <w:bottom w:val="nil"/>
              <w:right w:val="nil"/>
            </w:tcBorders>
            <w:shd w:val="clear" w:color="auto" w:fill="auto"/>
            <w:noWrap/>
            <w:vAlign w:val="bottom"/>
            <w:hideMark/>
          </w:tcPr>
          <w:p w14:paraId="2A808C2D" w14:textId="77777777" w:rsidR="009478ED" w:rsidRPr="007F37A0" w:rsidRDefault="009478ED" w:rsidP="00735871">
            <w:pPr>
              <w:jc w:val="center"/>
              <w:rPr>
                <w:rFonts w:ascii="Times New Roman" w:hAnsi="Times New Roman" w:cs="Times New Roman"/>
              </w:rPr>
            </w:pPr>
          </w:p>
        </w:tc>
        <w:tc>
          <w:tcPr>
            <w:tcW w:w="1710" w:type="dxa"/>
            <w:tcBorders>
              <w:top w:val="nil"/>
              <w:left w:val="nil"/>
              <w:bottom w:val="nil"/>
              <w:right w:val="nil"/>
            </w:tcBorders>
            <w:shd w:val="clear" w:color="auto" w:fill="auto"/>
            <w:noWrap/>
            <w:vAlign w:val="bottom"/>
            <w:hideMark/>
          </w:tcPr>
          <w:p w14:paraId="208E704B" w14:textId="77777777" w:rsidR="009478ED" w:rsidRPr="007F37A0" w:rsidRDefault="009478ED" w:rsidP="00735871">
            <w:pPr>
              <w:jc w:val="center"/>
              <w:rPr>
                <w:rFonts w:ascii="Times New Roman" w:hAnsi="Times New Roman" w:cs="Times New Roman"/>
              </w:rPr>
            </w:pPr>
          </w:p>
        </w:tc>
        <w:tc>
          <w:tcPr>
            <w:tcW w:w="1313" w:type="dxa"/>
            <w:tcBorders>
              <w:top w:val="nil"/>
              <w:left w:val="nil"/>
              <w:bottom w:val="nil"/>
              <w:right w:val="nil"/>
            </w:tcBorders>
            <w:shd w:val="clear" w:color="auto" w:fill="auto"/>
            <w:noWrap/>
            <w:vAlign w:val="bottom"/>
            <w:hideMark/>
          </w:tcPr>
          <w:p w14:paraId="1376ADD6" w14:textId="77777777" w:rsidR="009478ED" w:rsidRPr="007F37A0" w:rsidRDefault="009478ED" w:rsidP="00735871">
            <w:pPr>
              <w:jc w:val="center"/>
              <w:rPr>
                <w:rFonts w:ascii="Times New Roman" w:hAnsi="Times New Roman" w:cs="Times New Roman"/>
              </w:rPr>
            </w:pPr>
          </w:p>
        </w:tc>
      </w:tr>
      <w:tr w:rsidR="009478ED" w:rsidRPr="007F37A0" w14:paraId="5B7BA920" w14:textId="77777777" w:rsidTr="00735871">
        <w:trPr>
          <w:trHeight w:val="267"/>
          <w:jc w:val="center"/>
        </w:trPr>
        <w:tc>
          <w:tcPr>
            <w:tcW w:w="3420" w:type="dxa"/>
            <w:tcBorders>
              <w:top w:val="nil"/>
              <w:left w:val="nil"/>
              <w:bottom w:val="nil"/>
              <w:right w:val="nil"/>
            </w:tcBorders>
            <w:shd w:val="clear" w:color="auto" w:fill="auto"/>
            <w:noWrap/>
            <w:vAlign w:val="bottom"/>
            <w:hideMark/>
          </w:tcPr>
          <w:p w14:paraId="1BCAB5F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16" w:type="dxa"/>
            <w:tcBorders>
              <w:top w:val="nil"/>
              <w:left w:val="nil"/>
              <w:bottom w:val="nil"/>
              <w:right w:val="nil"/>
            </w:tcBorders>
            <w:shd w:val="clear" w:color="auto" w:fill="auto"/>
            <w:noWrap/>
            <w:vAlign w:val="bottom"/>
            <w:hideMark/>
          </w:tcPr>
          <w:p w14:paraId="4AB4BAB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20,561</w:t>
            </w:r>
          </w:p>
        </w:tc>
        <w:tc>
          <w:tcPr>
            <w:tcW w:w="2287" w:type="dxa"/>
            <w:tcBorders>
              <w:top w:val="nil"/>
              <w:left w:val="nil"/>
              <w:bottom w:val="nil"/>
              <w:right w:val="nil"/>
            </w:tcBorders>
            <w:shd w:val="clear" w:color="auto" w:fill="auto"/>
            <w:noWrap/>
            <w:vAlign w:val="bottom"/>
            <w:hideMark/>
          </w:tcPr>
          <w:p w14:paraId="126B2E4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20,561</w:t>
            </w:r>
          </w:p>
        </w:tc>
        <w:tc>
          <w:tcPr>
            <w:tcW w:w="1710" w:type="dxa"/>
            <w:tcBorders>
              <w:top w:val="nil"/>
              <w:left w:val="nil"/>
              <w:bottom w:val="nil"/>
              <w:right w:val="nil"/>
            </w:tcBorders>
            <w:shd w:val="clear" w:color="auto" w:fill="auto"/>
            <w:noWrap/>
            <w:vAlign w:val="bottom"/>
            <w:hideMark/>
          </w:tcPr>
          <w:p w14:paraId="34DC58E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20,561</w:t>
            </w:r>
          </w:p>
        </w:tc>
        <w:tc>
          <w:tcPr>
            <w:tcW w:w="1313" w:type="dxa"/>
            <w:tcBorders>
              <w:top w:val="nil"/>
              <w:left w:val="nil"/>
              <w:bottom w:val="nil"/>
              <w:right w:val="nil"/>
            </w:tcBorders>
            <w:shd w:val="clear" w:color="auto" w:fill="auto"/>
            <w:noWrap/>
            <w:vAlign w:val="bottom"/>
            <w:hideMark/>
          </w:tcPr>
          <w:p w14:paraId="044B655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20,561</w:t>
            </w:r>
          </w:p>
        </w:tc>
      </w:tr>
      <w:tr w:rsidR="009478ED" w:rsidRPr="007F37A0" w14:paraId="2D1D31E1" w14:textId="77777777" w:rsidTr="00735871">
        <w:trPr>
          <w:trHeight w:val="267"/>
          <w:jc w:val="center"/>
        </w:trPr>
        <w:tc>
          <w:tcPr>
            <w:tcW w:w="3420" w:type="dxa"/>
            <w:tcBorders>
              <w:top w:val="nil"/>
              <w:left w:val="nil"/>
              <w:bottom w:val="nil"/>
              <w:right w:val="nil"/>
            </w:tcBorders>
            <w:shd w:val="clear" w:color="auto" w:fill="auto"/>
            <w:noWrap/>
            <w:vAlign w:val="bottom"/>
            <w:hideMark/>
          </w:tcPr>
          <w:p w14:paraId="3214076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16" w:type="dxa"/>
            <w:tcBorders>
              <w:top w:val="nil"/>
              <w:left w:val="nil"/>
              <w:bottom w:val="nil"/>
              <w:right w:val="nil"/>
            </w:tcBorders>
            <w:shd w:val="clear" w:color="auto" w:fill="auto"/>
            <w:noWrap/>
            <w:vAlign w:val="bottom"/>
            <w:hideMark/>
          </w:tcPr>
          <w:p w14:paraId="456C6E3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87" w:type="dxa"/>
            <w:tcBorders>
              <w:top w:val="nil"/>
              <w:left w:val="nil"/>
              <w:bottom w:val="nil"/>
              <w:right w:val="nil"/>
            </w:tcBorders>
            <w:shd w:val="clear" w:color="auto" w:fill="auto"/>
            <w:noWrap/>
            <w:vAlign w:val="bottom"/>
            <w:hideMark/>
          </w:tcPr>
          <w:p w14:paraId="6BCCA9C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710" w:type="dxa"/>
            <w:tcBorders>
              <w:top w:val="nil"/>
              <w:left w:val="nil"/>
              <w:bottom w:val="nil"/>
              <w:right w:val="nil"/>
            </w:tcBorders>
            <w:shd w:val="clear" w:color="auto" w:fill="auto"/>
            <w:noWrap/>
            <w:vAlign w:val="bottom"/>
            <w:hideMark/>
          </w:tcPr>
          <w:p w14:paraId="259A8F9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13" w:type="dxa"/>
            <w:tcBorders>
              <w:top w:val="nil"/>
              <w:left w:val="nil"/>
              <w:bottom w:val="nil"/>
              <w:right w:val="nil"/>
            </w:tcBorders>
            <w:shd w:val="clear" w:color="auto" w:fill="auto"/>
            <w:noWrap/>
            <w:vAlign w:val="bottom"/>
            <w:hideMark/>
          </w:tcPr>
          <w:p w14:paraId="35843CC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31797D3" w14:textId="77777777" w:rsidTr="00735871">
        <w:trPr>
          <w:trHeight w:val="267"/>
          <w:jc w:val="center"/>
        </w:trPr>
        <w:tc>
          <w:tcPr>
            <w:tcW w:w="3420" w:type="dxa"/>
            <w:tcBorders>
              <w:top w:val="nil"/>
              <w:left w:val="nil"/>
              <w:bottom w:val="nil"/>
              <w:right w:val="nil"/>
            </w:tcBorders>
            <w:shd w:val="clear" w:color="auto" w:fill="auto"/>
            <w:noWrap/>
            <w:vAlign w:val="bottom"/>
            <w:hideMark/>
          </w:tcPr>
          <w:p w14:paraId="540F616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16" w:type="dxa"/>
            <w:tcBorders>
              <w:top w:val="nil"/>
              <w:left w:val="nil"/>
              <w:bottom w:val="nil"/>
              <w:right w:val="nil"/>
            </w:tcBorders>
            <w:shd w:val="clear" w:color="auto" w:fill="auto"/>
            <w:noWrap/>
            <w:vAlign w:val="bottom"/>
            <w:hideMark/>
          </w:tcPr>
          <w:p w14:paraId="6D19608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87" w:type="dxa"/>
            <w:tcBorders>
              <w:top w:val="nil"/>
              <w:left w:val="nil"/>
              <w:bottom w:val="nil"/>
              <w:right w:val="nil"/>
            </w:tcBorders>
            <w:shd w:val="clear" w:color="auto" w:fill="auto"/>
            <w:noWrap/>
            <w:vAlign w:val="bottom"/>
            <w:hideMark/>
          </w:tcPr>
          <w:p w14:paraId="0198CAE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710" w:type="dxa"/>
            <w:tcBorders>
              <w:top w:val="nil"/>
              <w:left w:val="nil"/>
              <w:bottom w:val="nil"/>
              <w:right w:val="nil"/>
            </w:tcBorders>
            <w:shd w:val="clear" w:color="auto" w:fill="auto"/>
            <w:noWrap/>
            <w:vAlign w:val="bottom"/>
            <w:hideMark/>
          </w:tcPr>
          <w:p w14:paraId="5DAD9C4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13" w:type="dxa"/>
            <w:tcBorders>
              <w:top w:val="nil"/>
              <w:left w:val="nil"/>
              <w:bottom w:val="nil"/>
              <w:right w:val="nil"/>
            </w:tcBorders>
            <w:shd w:val="clear" w:color="auto" w:fill="auto"/>
            <w:noWrap/>
            <w:vAlign w:val="bottom"/>
            <w:hideMark/>
          </w:tcPr>
          <w:p w14:paraId="6850E96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73E59858" w14:textId="77777777" w:rsidTr="00735871">
        <w:trPr>
          <w:trHeight w:val="267"/>
          <w:jc w:val="center"/>
        </w:trPr>
        <w:tc>
          <w:tcPr>
            <w:tcW w:w="3420" w:type="dxa"/>
            <w:tcBorders>
              <w:top w:val="nil"/>
              <w:left w:val="nil"/>
              <w:bottom w:val="nil"/>
              <w:right w:val="nil"/>
            </w:tcBorders>
            <w:shd w:val="clear" w:color="auto" w:fill="auto"/>
            <w:noWrap/>
            <w:vAlign w:val="bottom"/>
            <w:hideMark/>
          </w:tcPr>
          <w:p w14:paraId="3B2826F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16" w:type="dxa"/>
            <w:tcBorders>
              <w:top w:val="nil"/>
              <w:left w:val="nil"/>
              <w:bottom w:val="nil"/>
              <w:right w:val="nil"/>
            </w:tcBorders>
            <w:shd w:val="clear" w:color="auto" w:fill="auto"/>
            <w:noWrap/>
            <w:vAlign w:val="bottom"/>
            <w:hideMark/>
          </w:tcPr>
          <w:p w14:paraId="0E6C674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87" w:type="dxa"/>
            <w:tcBorders>
              <w:top w:val="nil"/>
              <w:left w:val="nil"/>
              <w:bottom w:val="nil"/>
              <w:right w:val="nil"/>
            </w:tcBorders>
            <w:shd w:val="clear" w:color="auto" w:fill="auto"/>
            <w:noWrap/>
            <w:vAlign w:val="bottom"/>
            <w:hideMark/>
          </w:tcPr>
          <w:p w14:paraId="6FC284C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710" w:type="dxa"/>
            <w:tcBorders>
              <w:top w:val="nil"/>
              <w:left w:val="nil"/>
              <w:bottom w:val="nil"/>
              <w:right w:val="nil"/>
            </w:tcBorders>
            <w:shd w:val="clear" w:color="auto" w:fill="auto"/>
            <w:noWrap/>
            <w:vAlign w:val="bottom"/>
            <w:hideMark/>
          </w:tcPr>
          <w:p w14:paraId="146BACE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13" w:type="dxa"/>
            <w:tcBorders>
              <w:top w:val="nil"/>
              <w:left w:val="nil"/>
              <w:bottom w:val="nil"/>
              <w:right w:val="nil"/>
            </w:tcBorders>
            <w:shd w:val="clear" w:color="auto" w:fill="auto"/>
            <w:noWrap/>
            <w:vAlign w:val="bottom"/>
            <w:hideMark/>
          </w:tcPr>
          <w:p w14:paraId="01D56DE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B525943" w14:textId="77777777" w:rsidTr="00735871">
        <w:trPr>
          <w:trHeight w:val="267"/>
          <w:jc w:val="center"/>
        </w:trPr>
        <w:tc>
          <w:tcPr>
            <w:tcW w:w="3420" w:type="dxa"/>
            <w:tcBorders>
              <w:top w:val="nil"/>
              <w:left w:val="nil"/>
              <w:bottom w:val="single" w:sz="4" w:space="0" w:color="000000"/>
              <w:right w:val="nil"/>
            </w:tcBorders>
            <w:shd w:val="clear" w:color="auto" w:fill="auto"/>
            <w:noWrap/>
            <w:vAlign w:val="bottom"/>
            <w:hideMark/>
          </w:tcPr>
          <w:p w14:paraId="4A1263F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16" w:type="dxa"/>
            <w:tcBorders>
              <w:top w:val="nil"/>
              <w:left w:val="nil"/>
              <w:bottom w:val="single" w:sz="4" w:space="0" w:color="000000"/>
              <w:right w:val="nil"/>
            </w:tcBorders>
            <w:shd w:val="clear" w:color="auto" w:fill="auto"/>
            <w:noWrap/>
            <w:vAlign w:val="bottom"/>
            <w:hideMark/>
          </w:tcPr>
          <w:p w14:paraId="3E924FE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87" w:type="dxa"/>
            <w:tcBorders>
              <w:top w:val="nil"/>
              <w:left w:val="nil"/>
              <w:bottom w:val="single" w:sz="4" w:space="0" w:color="000000"/>
              <w:right w:val="nil"/>
            </w:tcBorders>
            <w:shd w:val="clear" w:color="auto" w:fill="auto"/>
            <w:noWrap/>
            <w:vAlign w:val="bottom"/>
            <w:hideMark/>
          </w:tcPr>
          <w:p w14:paraId="0E1021D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710" w:type="dxa"/>
            <w:tcBorders>
              <w:top w:val="nil"/>
              <w:left w:val="nil"/>
              <w:bottom w:val="single" w:sz="4" w:space="0" w:color="000000"/>
              <w:right w:val="nil"/>
            </w:tcBorders>
            <w:shd w:val="clear" w:color="auto" w:fill="auto"/>
            <w:noWrap/>
            <w:vAlign w:val="bottom"/>
            <w:hideMark/>
          </w:tcPr>
          <w:p w14:paraId="1BEF158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313" w:type="dxa"/>
            <w:tcBorders>
              <w:top w:val="nil"/>
              <w:left w:val="nil"/>
              <w:bottom w:val="single" w:sz="4" w:space="0" w:color="000000"/>
              <w:right w:val="nil"/>
            </w:tcBorders>
            <w:shd w:val="clear" w:color="auto" w:fill="auto"/>
            <w:noWrap/>
            <w:vAlign w:val="bottom"/>
            <w:hideMark/>
          </w:tcPr>
          <w:p w14:paraId="3E1A203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D2F0B6B" w14:textId="77777777" w:rsidTr="00735871">
        <w:trPr>
          <w:trHeight w:val="552"/>
          <w:jc w:val="center"/>
        </w:trPr>
        <w:tc>
          <w:tcPr>
            <w:tcW w:w="9846" w:type="dxa"/>
            <w:gridSpan w:val="5"/>
            <w:tcBorders>
              <w:top w:val="nil"/>
              <w:left w:val="nil"/>
              <w:right w:val="nil"/>
            </w:tcBorders>
            <w:shd w:val="clear" w:color="auto" w:fill="auto"/>
            <w:noWrap/>
            <w:vAlign w:val="bottom"/>
            <w:hideMark/>
          </w:tcPr>
          <w:p w14:paraId="7137282B" w14:textId="77777777" w:rsidR="009478ED" w:rsidRPr="007F37A0" w:rsidRDefault="009478ED" w:rsidP="00735871">
            <w:pPr>
              <w:rPr>
                <w:rFonts w:ascii="Times New Roman" w:hAnsi="Times New Roman" w:cs="Times New Roman"/>
              </w:rPr>
            </w:pPr>
            <w:bookmarkStart w:id="182" w:name="_Hlk161928908"/>
            <w:bookmarkStart w:id="183" w:name="_Hlk161996294"/>
            <w:r w:rsidRPr="007F37A0">
              <w:rPr>
                <w:rFonts w:ascii="Times New Roman" w:hAnsi="Times New Roman" w:cs="Times New Roman"/>
              </w:rPr>
              <w:t>Robust standard errors in parentheses, clustered at boiler and year level.</w:t>
            </w:r>
            <w:r w:rsidRPr="007F37A0">
              <w:rPr>
                <w:rFonts w:ascii="Times New Roman" w:hAnsi="Times New Roman" w:cs="Times New Roman"/>
              </w:rPr>
              <w:tab/>
            </w:r>
          </w:p>
          <w:p w14:paraId="6C0CE8B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bookmarkEnd w:id="182"/>
          <w:p w14:paraId="464982E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any technology installation at the annual level for 2009-2022. SO</w:t>
            </w:r>
            <w:r w:rsidRPr="007F37A0">
              <w:rPr>
                <w:rFonts w:ascii="Times New Roman" w:hAnsi="Times New Roman" w:cs="Times New Roman"/>
                <w:vertAlign w:val="subscript"/>
              </w:rPr>
              <w:t>2</w:t>
            </w:r>
            <w:r w:rsidRPr="007F37A0">
              <w:rPr>
                <w:rFonts w:ascii="Times New Roman" w:hAnsi="Times New Roman" w:cs="Times New Roman"/>
              </w:rPr>
              <w:t xml:space="preserve"> treatment is an indicator variable for treatment under either CAIR or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bookmarkEnd w:id="183"/>
          </w:p>
        </w:tc>
      </w:tr>
    </w:tbl>
    <w:p w14:paraId="60D5D040"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rPr>
        <w:br w:type="page"/>
      </w:r>
    </w:p>
    <w:p w14:paraId="05A312ED" w14:textId="51C4970A" w:rsidR="009478ED" w:rsidRPr="007F37A0" w:rsidRDefault="009478ED" w:rsidP="007F37A0">
      <w:pPr>
        <w:pStyle w:val="Caption"/>
        <w:rPr>
          <w:rFonts w:cs="Times New Roman"/>
        </w:rPr>
      </w:pPr>
      <w:bookmarkStart w:id="184" w:name="_Ref164514172"/>
      <w:bookmarkStart w:id="185" w:name="_Toc164862566"/>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31</w:t>
      </w:r>
      <w:r w:rsidRPr="007F37A0">
        <w:rPr>
          <w:rFonts w:cs="Times New Roman"/>
        </w:rPr>
        <w:fldChar w:fldCharType="end"/>
      </w:r>
      <w:bookmarkEnd w:id="184"/>
      <w:r w:rsidRPr="007F37A0">
        <w:rPr>
          <w:rFonts w:cs="Times New Roman"/>
        </w:rPr>
        <w:t>: New SO</w:t>
      </w:r>
      <w:r w:rsidRPr="007F37A0">
        <w:rPr>
          <w:rFonts w:cs="Times New Roman"/>
          <w:vertAlign w:val="subscript"/>
        </w:rPr>
        <w:t>2</w:t>
      </w:r>
      <w:r w:rsidRPr="007F37A0">
        <w:rPr>
          <w:rFonts w:cs="Times New Roman"/>
        </w:rPr>
        <w:t xml:space="preserve"> Abatement Technology – Fuel Specific Effects</w:t>
      </w:r>
      <w:bookmarkEnd w:id="185"/>
    </w:p>
    <w:tbl>
      <w:tblPr>
        <w:tblW w:w="8010" w:type="dxa"/>
        <w:tblLook w:val="04A0" w:firstRow="1" w:lastRow="0" w:firstColumn="1" w:lastColumn="0" w:noHBand="0" w:noVBand="1"/>
      </w:tblPr>
      <w:tblGrid>
        <w:gridCol w:w="2610"/>
        <w:gridCol w:w="1350"/>
        <w:gridCol w:w="1350"/>
        <w:gridCol w:w="1350"/>
        <w:gridCol w:w="1350"/>
      </w:tblGrid>
      <w:tr w:rsidR="009478ED" w:rsidRPr="007F37A0" w14:paraId="7BDE7840" w14:textId="77777777" w:rsidTr="00735871">
        <w:trPr>
          <w:trHeight w:val="276"/>
        </w:trPr>
        <w:tc>
          <w:tcPr>
            <w:tcW w:w="2610" w:type="dxa"/>
            <w:tcBorders>
              <w:top w:val="single" w:sz="4" w:space="0" w:color="000000"/>
              <w:left w:val="nil"/>
              <w:bottom w:val="nil"/>
              <w:right w:val="nil"/>
            </w:tcBorders>
            <w:shd w:val="clear" w:color="auto" w:fill="auto"/>
            <w:noWrap/>
            <w:vAlign w:val="bottom"/>
            <w:hideMark/>
          </w:tcPr>
          <w:p w14:paraId="5C19C23F" w14:textId="77777777" w:rsidR="009478ED" w:rsidRPr="007F37A0" w:rsidRDefault="009478ED" w:rsidP="00735871">
            <w:pPr>
              <w:rPr>
                <w:rFonts w:ascii="Times New Roman" w:hAnsi="Times New Roman" w:cs="Times New Roman"/>
              </w:rPr>
            </w:pPr>
            <w:bookmarkStart w:id="186" w:name="_Ref160878732"/>
            <w:bookmarkStart w:id="187" w:name="_Toc160879142"/>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633DD4E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1350" w:type="dxa"/>
            <w:tcBorders>
              <w:top w:val="single" w:sz="4" w:space="0" w:color="000000"/>
              <w:left w:val="nil"/>
              <w:bottom w:val="nil"/>
              <w:right w:val="nil"/>
            </w:tcBorders>
            <w:shd w:val="clear" w:color="auto" w:fill="auto"/>
            <w:noWrap/>
            <w:vAlign w:val="bottom"/>
            <w:hideMark/>
          </w:tcPr>
          <w:p w14:paraId="561DC94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350" w:type="dxa"/>
            <w:tcBorders>
              <w:top w:val="single" w:sz="4" w:space="0" w:color="000000"/>
              <w:left w:val="nil"/>
              <w:bottom w:val="nil"/>
              <w:right w:val="nil"/>
            </w:tcBorders>
            <w:vAlign w:val="bottom"/>
          </w:tcPr>
          <w:p w14:paraId="4FC0AD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350" w:type="dxa"/>
            <w:tcBorders>
              <w:top w:val="single" w:sz="4" w:space="0" w:color="000000"/>
              <w:left w:val="nil"/>
              <w:bottom w:val="nil"/>
              <w:right w:val="nil"/>
            </w:tcBorders>
            <w:vAlign w:val="bottom"/>
          </w:tcPr>
          <w:p w14:paraId="2DC50F0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61C99293" w14:textId="77777777" w:rsidTr="00735871">
        <w:trPr>
          <w:trHeight w:val="276"/>
        </w:trPr>
        <w:tc>
          <w:tcPr>
            <w:tcW w:w="2610" w:type="dxa"/>
            <w:tcBorders>
              <w:top w:val="nil"/>
              <w:left w:val="nil"/>
              <w:bottom w:val="nil"/>
              <w:right w:val="nil"/>
            </w:tcBorders>
            <w:shd w:val="clear" w:color="auto" w:fill="auto"/>
            <w:noWrap/>
            <w:vAlign w:val="bottom"/>
            <w:hideMark/>
          </w:tcPr>
          <w:p w14:paraId="20B820F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52D67FE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New Technology Installation (any type)</w:t>
            </w:r>
          </w:p>
        </w:tc>
        <w:tc>
          <w:tcPr>
            <w:tcW w:w="1350" w:type="dxa"/>
            <w:tcBorders>
              <w:top w:val="nil"/>
              <w:left w:val="nil"/>
              <w:bottom w:val="nil"/>
              <w:right w:val="nil"/>
            </w:tcBorders>
            <w:shd w:val="clear" w:color="auto" w:fill="auto"/>
            <w:noWrap/>
            <w:vAlign w:val="bottom"/>
            <w:hideMark/>
          </w:tcPr>
          <w:p w14:paraId="09F65DC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Baseline</w:t>
            </w:r>
          </w:p>
        </w:tc>
        <w:tc>
          <w:tcPr>
            <w:tcW w:w="1350" w:type="dxa"/>
            <w:tcBorders>
              <w:top w:val="nil"/>
              <w:left w:val="nil"/>
              <w:bottom w:val="nil"/>
              <w:right w:val="nil"/>
            </w:tcBorders>
            <w:shd w:val="clear" w:color="auto" w:fill="auto"/>
            <w:noWrap/>
            <w:vAlign w:val="bottom"/>
            <w:hideMark/>
          </w:tcPr>
          <w:p w14:paraId="4B79258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Coal</w:t>
            </w:r>
          </w:p>
        </w:tc>
        <w:tc>
          <w:tcPr>
            <w:tcW w:w="1350" w:type="dxa"/>
            <w:tcBorders>
              <w:top w:val="nil"/>
              <w:left w:val="nil"/>
              <w:bottom w:val="nil"/>
              <w:right w:val="nil"/>
            </w:tcBorders>
            <w:vAlign w:val="bottom"/>
          </w:tcPr>
          <w:p w14:paraId="01A0FA9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Petroleum</w:t>
            </w:r>
          </w:p>
        </w:tc>
        <w:tc>
          <w:tcPr>
            <w:tcW w:w="1350" w:type="dxa"/>
            <w:tcBorders>
              <w:top w:val="nil"/>
              <w:left w:val="nil"/>
              <w:bottom w:val="nil"/>
              <w:right w:val="nil"/>
            </w:tcBorders>
            <w:vAlign w:val="bottom"/>
          </w:tcPr>
          <w:p w14:paraId="17BA513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Natural Gas</w:t>
            </w:r>
          </w:p>
        </w:tc>
      </w:tr>
      <w:tr w:rsidR="009478ED" w:rsidRPr="007F37A0" w14:paraId="29317738" w14:textId="77777777" w:rsidTr="00735871">
        <w:trPr>
          <w:trHeight w:val="276"/>
        </w:trPr>
        <w:tc>
          <w:tcPr>
            <w:tcW w:w="2610" w:type="dxa"/>
            <w:tcBorders>
              <w:top w:val="single" w:sz="4" w:space="0" w:color="000000"/>
              <w:left w:val="nil"/>
              <w:bottom w:val="nil"/>
              <w:right w:val="nil"/>
            </w:tcBorders>
            <w:shd w:val="clear" w:color="auto" w:fill="auto"/>
            <w:noWrap/>
            <w:vAlign w:val="bottom"/>
            <w:hideMark/>
          </w:tcPr>
          <w:p w14:paraId="0D090B9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2F0DD36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4074F24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tcPr>
          <w:p w14:paraId="6180A840" w14:textId="77777777" w:rsidR="009478ED" w:rsidRPr="007F37A0" w:rsidRDefault="009478ED" w:rsidP="00735871">
            <w:pPr>
              <w:jc w:val="center"/>
              <w:rPr>
                <w:rFonts w:ascii="Times New Roman" w:hAnsi="Times New Roman" w:cs="Times New Roman"/>
              </w:rPr>
            </w:pPr>
          </w:p>
        </w:tc>
        <w:tc>
          <w:tcPr>
            <w:tcW w:w="1350" w:type="dxa"/>
            <w:tcBorders>
              <w:top w:val="single" w:sz="4" w:space="0" w:color="000000"/>
              <w:left w:val="nil"/>
              <w:bottom w:val="nil"/>
              <w:right w:val="nil"/>
            </w:tcBorders>
          </w:tcPr>
          <w:p w14:paraId="1FC37A24" w14:textId="77777777" w:rsidR="009478ED" w:rsidRPr="007F37A0" w:rsidRDefault="009478ED" w:rsidP="00735871">
            <w:pPr>
              <w:jc w:val="center"/>
              <w:rPr>
                <w:rFonts w:ascii="Times New Roman" w:hAnsi="Times New Roman" w:cs="Times New Roman"/>
              </w:rPr>
            </w:pPr>
          </w:p>
        </w:tc>
      </w:tr>
      <w:tr w:rsidR="009478ED" w:rsidRPr="007F37A0" w14:paraId="1CB2AA4B" w14:textId="77777777" w:rsidTr="00735871">
        <w:trPr>
          <w:trHeight w:val="276"/>
        </w:trPr>
        <w:tc>
          <w:tcPr>
            <w:tcW w:w="2610" w:type="dxa"/>
            <w:tcBorders>
              <w:top w:val="nil"/>
              <w:left w:val="nil"/>
              <w:bottom w:val="nil"/>
              <w:right w:val="nil"/>
            </w:tcBorders>
            <w:shd w:val="clear" w:color="auto" w:fill="auto"/>
            <w:noWrap/>
            <w:vAlign w:val="bottom"/>
            <w:hideMark/>
          </w:tcPr>
          <w:p w14:paraId="69B7656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SO2 Treatment</w:t>
            </w:r>
          </w:p>
        </w:tc>
        <w:tc>
          <w:tcPr>
            <w:tcW w:w="1350" w:type="dxa"/>
            <w:tcBorders>
              <w:top w:val="nil"/>
              <w:left w:val="nil"/>
              <w:bottom w:val="nil"/>
              <w:right w:val="nil"/>
            </w:tcBorders>
            <w:shd w:val="clear" w:color="auto" w:fill="auto"/>
            <w:noWrap/>
            <w:vAlign w:val="bottom"/>
            <w:hideMark/>
          </w:tcPr>
          <w:p w14:paraId="3BB9F3E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350" w:type="dxa"/>
            <w:tcBorders>
              <w:top w:val="nil"/>
              <w:left w:val="nil"/>
              <w:bottom w:val="nil"/>
              <w:right w:val="nil"/>
            </w:tcBorders>
            <w:shd w:val="clear" w:color="auto" w:fill="auto"/>
            <w:noWrap/>
            <w:vAlign w:val="bottom"/>
            <w:hideMark/>
          </w:tcPr>
          <w:p w14:paraId="67CE32A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350" w:type="dxa"/>
            <w:tcBorders>
              <w:top w:val="nil"/>
              <w:left w:val="nil"/>
              <w:bottom w:val="nil"/>
              <w:right w:val="nil"/>
            </w:tcBorders>
            <w:vAlign w:val="bottom"/>
          </w:tcPr>
          <w:p w14:paraId="6C799BF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350" w:type="dxa"/>
            <w:tcBorders>
              <w:top w:val="nil"/>
              <w:left w:val="nil"/>
              <w:bottom w:val="nil"/>
              <w:right w:val="nil"/>
            </w:tcBorders>
            <w:vAlign w:val="bottom"/>
          </w:tcPr>
          <w:p w14:paraId="10620DA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0.016</w:t>
            </w:r>
          </w:p>
        </w:tc>
      </w:tr>
      <w:tr w:rsidR="009478ED" w:rsidRPr="007F37A0" w14:paraId="20B2A86A" w14:textId="77777777" w:rsidTr="00735871">
        <w:trPr>
          <w:trHeight w:val="276"/>
        </w:trPr>
        <w:tc>
          <w:tcPr>
            <w:tcW w:w="2610" w:type="dxa"/>
            <w:tcBorders>
              <w:top w:val="nil"/>
              <w:left w:val="nil"/>
              <w:bottom w:val="nil"/>
              <w:right w:val="nil"/>
            </w:tcBorders>
            <w:shd w:val="clear" w:color="auto" w:fill="auto"/>
            <w:noWrap/>
            <w:vAlign w:val="bottom"/>
            <w:hideMark/>
          </w:tcPr>
          <w:p w14:paraId="0D3BC4EF"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48FEB57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350" w:type="dxa"/>
            <w:tcBorders>
              <w:top w:val="nil"/>
              <w:left w:val="nil"/>
              <w:bottom w:val="nil"/>
              <w:right w:val="nil"/>
            </w:tcBorders>
            <w:shd w:val="clear" w:color="auto" w:fill="auto"/>
            <w:noWrap/>
            <w:vAlign w:val="bottom"/>
            <w:hideMark/>
          </w:tcPr>
          <w:p w14:paraId="6E83F88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350" w:type="dxa"/>
            <w:tcBorders>
              <w:top w:val="nil"/>
              <w:left w:val="nil"/>
              <w:bottom w:val="nil"/>
              <w:right w:val="nil"/>
            </w:tcBorders>
            <w:vAlign w:val="bottom"/>
          </w:tcPr>
          <w:p w14:paraId="57E3627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350" w:type="dxa"/>
            <w:tcBorders>
              <w:top w:val="nil"/>
              <w:left w:val="nil"/>
              <w:bottom w:val="nil"/>
              <w:right w:val="nil"/>
            </w:tcBorders>
            <w:vAlign w:val="bottom"/>
          </w:tcPr>
          <w:p w14:paraId="4946157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(0.011)</w:t>
            </w:r>
          </w:p>
        </w:tc>
      </w:tr>
      <w:tr w:rsidR="009478ED" w:rsidRPr="007F37A0" w14:paraId="276D7E64" w14:textId="77777777" w:rsidTr="00735871">
        <w:trPr>
          <w:trHeight w:val="276"/>
        </w:trPr>
        <w:tc>
          <w:tcPr>
            <w:tcW w:w="2610" w:type="dxa"/>
            <w:tcBorders>
              <w:top w:val="nil"/>
              <w:left w:val="nil"/>
              <w:bottom w:val="nil"/>
              <w:right w:val="nil"/>
            </w:tcBorders>
            <w:shd w:val="clear" w:color="auto" w:fill="auto"/>
            <w:noWrap/>
            <w:vAlign w:val="bottom"/>
            <w:hideMark/>
          </w:tcPr>
          <w:p w14:paraId="00F39BBD"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1CAA621A" w14:textId="77777777" w:rsidR="009478ED" w:rsidRPr="007F37A0" w:rsidRDefault="009478ED" w:rsidP="00735871">
            <w:pP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4F823B04"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tcPr>
          <w:p w14:paraId="521ED6F1"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tcPr>
          <w:p w14:paraId="0428AC7A" w14:textId="77777777" w:rsidR="009478ED" w:rsidRPr="007F37A0" w:rsidRDefault="009478ED" w:rsidP="00735871">
            <w:pPr>
              <w:jc w:val="center"/>
              <w:rPr>
                <w:rFonts w:ascii="Times New Roman" w:hAnsi="Times New Roman" w:cs="Times New Roman"/>
              </w:rPr>
            </w:pPr>
          </w:p>
        </w:tc>
      </w:tr>
      <w:tr w:rsidR="009478ED" w:rsidRPr="007F37A0" w14:paraId="12F788C3" w14:textId="77777777" w:rsidTr="00735871">
        <w:trPr>
          <w:trHeight w:val="276"/>
        </w:trPr>
        <w:tc>
          <w:tcPr>
            <w:tcW w:w="2610" w:type="dxa"/>
            <w:tcBorders>
              <w:top w:val="nil"/>
              <w:left w:val="nil"/>
              <w:bottom w:val="nil"/>
              <w:right w:val="nil"/>
            </w:tcBorders>
            <w:shd w:val="clear" w:color="auto" w:fill="auto"/>
            <w:noWrap/>
            <w:vAlign w:val="bottom"/>
            <w:hideMark/>
          </w:tcPr>
          <w:p w14:paraId="2E96936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350" w:type="dxa"/>
            <w:tcBorders>
              <w:top w:val="nil"/>
              <w:left w:val="nil"/>
              <w:bottom w:val="nil"/>
              <w:right w:val="nil"/>
            </w:tcBorders>
            <w:shd w:val="clear" w:color="auto" w:fill="auto"/>
            <w:noWrap/>
            <w:vAlign w:val="bottom"/>
            <w:hideMark/>
          </w:tcPr>
          <w:p w14:paraId="61A19E6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25,027</w:t>
            </w:r>
          </w:p>
        </w:tc>
        <w:tc>
          <w:tcPr>
            <w:tcW w:w="1350" w:type="dxa"/>
            <w:tcBorders>
              <w:top w:val="nil"/>
              <w:left w:val="nil"/>
              <w:bottom w:val="nil"/>
              <w:right w:val="nil"/>
            </w:tcBorders>
            <w:shd w:val="clear" w:color="auto" w:fill="auto"/>
            <w:noWrap/>
            <w:vAlign w:val="bottom"/>
            <w:hideMark/>
          </w:tcPr>
          <w:p w14:paraId="1047846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7,645</w:t>
            </w:r>
          </w:p>
        </w:tc>
        <w:tc>
          <w:tcPr>
            <w:tcW w:w="1350" w:type="dxa"/>
            <w:tcBorders>
              <w:top w:val="nil"/>
              <w:left w:val="nil"/>
              <w:bottom w:val="nil"/>
              <w:right w:val="nil"/>
            </w:tcBorders>
            <w:vAlign w:val="bottom"/>
          </w:tcPr>
          <w:p w14:paraId="22B038B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638</w:t>
            </w:r>
          </w:p>
        </w:tc>
        <w:tc>
          <w:tcPr>
            <w:tcW w:w="1350" w:type="dxa"/>
            <w:tcBorders>
              <w:top w:val="nil"/>
              <w:left w:val="nil"/>
              <w:bottom w:val="nil"/>
              <w:right w:val="nil"/>
            </w:tcBorders>
            <w:vAlign w:val="bottom"/>
          </w:tcPr>
          <w:p w14:paraId="5D7CACA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632</w:t>
            </w:r>
          </w:p>
        </w:tc>
      </w:tr>
      <w:tr w:rsidR="009478ED" w:rsidRPr="007F37A0" w14:paraId="45B67C72" w14:textId="77777777" w:rsidTr="00735871">
        <w:trPr>
          <w:trHeight w:val="276"/>
        </w:trPr>
        <w:tc>
          <w:tcPr>
            <w:tcW w:w="2610" w:type="dxa"/>
            <w:tcBorders>
              <w:top w:val="nil"/>
              <w:left w:val="nil"/>
              <w:bottom w:val="nil"/>
              <w:right w:val="nil"/>
            </w:tcBorders>
            <w:shd w:val="clear" w:color="auto" w:fill="auto"/>
            <w:noWrap/>
            <w:vAlign w:val="bottom"/>
            <w:hideMark/>
          </w:tcPr>
          <w:p w14:paraId="3D46666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350" w:type="dxa"/>
            <w:tcBorders>
              <w:top w:val="nil"/>
              <w:left w:val="nil"/>
              <w:bottom w:val="nil"/>
              <w:right w:val="nil"/>
            </w:tcBorders>
            <w:shd w:val="clear" w:color="auto" w:fill="auto"/>
            <w:noWrap/>
            <w:vAlign w:val="bottom"/>
            <w:hideMark/>
          </w:tcPr>
          <w:p w14:paraId="50D239E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2C053D1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6006AA0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7AB67BC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8F0066D" w14:textId="77777777" w:rsidTr="00735871">
        <w:trPr>
          <w:trHeight w:val="276"/>
        </w:trPr>
        <w:tc>
          <w:tcPr>
            <w:tcW w:w="2610" w:type="dxa"/>
            <w:tcBorders>
              <w:top w:val="nil"/>
              <w:left w:val="nil"/>
              <w:bottom w:val="nil"/>
              <w:right w:val="nil"/>
            </w:tcBorders>
            <w:shd w:val="clear" w:color="auto" w:fill="auto"/>
            <w:noWrap/>
            <w:vAlign w:val="bottom"/>
            <w:hideMark/>
          </w:tcPr>
          <w:p w14:paraId="04D0F97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350" w:type="dxa"/>
            <w:tcBorders>
              <w:top w:val="nil"/>
              <w:left w:val="nil"/>
              <w:bottom w:val="nil"/>
              <w:right w:val="nil"/>
            </w:tcBorders>
            <w:shd w:val="clear" w:color="auto" w:fill="auto"/>
            <w:noWrap/>
            <w:vAlign w:val="bottom"/>
            <w:hideMark/>
          </w:tcPr>
          <w:p w14:paraId="5FFEC16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4B4DE28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05F8670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259464E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90D4736" w14:textId="77777777" w:rsidTr="00735871">
        <w:trPr>
          <w:trHeight w:val="276"/>
        </w:trPr>
        <w:tc>
          <w:tcPr>
            <w:tcW w:w="2610" w:type="dxa"/>
            <w:tcBorders>
              <w:top w:val="nil"/>
              <w:left w:val="nil"/>
              <w:bottom w:val="single" w:sz="4" w:space="0" w:color="000000"/>
              <w:right w:val="nil"/>
            </w:tcBorders>
            <w:shd w:val="clear" w:color="auto" w:fill="auto"/>
            <w:noWrap/>
            <w:vAlign w:val="bottom"/>
            <w:hideMark/>
          </w:tcPr>
          <w:p w14:paraId="3B335DE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350" w:type="dxa"/>
            <w:tcBorders>
              <w:top w:val="nil"/>
              <w:left w:val="nil"/>
              <w:bottom w:val="single" w:sz="4" w:space="0" w:color="000000"/>
              <w:right w:val="nil"/>
            </w:tcBorders>
            <w:shd w:val="clear" w:color="auto" w:fill="auto"/>
            <w:noWrap/>
            <w:vAlign w:val="bottom"/>
            <w:hideMark/>
          </w:tcPr>
          <w:p w14:paraId="3CA5A29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shd w:val="clear" w:color="auto" w:fill="auto"/>
            <w:noWrap/>
            <w:vAlign w:val="bottom"/>
            <w:hideMark/>
          </w:tcPr>
          <w:p w14:paraId="395B152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vAlign w:val="bottom"/>
          </w:tcPr>
          <w:p w14:paraId="7647700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vAlign w:val="bottom"/>
          </w:tcPr>
          <w:p w14:paraId="2DA0B3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198BADB" w14:textId="77777777" w:rsidTr="00735871">
        <w:trPr>
          <w:trHeight w:val="276"/>
        </w:trPr>
        <w:tc>
          <w:tcPr>
            <w:tcW w:w="8010" w:type="dxa"/>
            <w:gridSpan w:val="5"/>
            <w:tcBorders>
              <w:top w:val="nil"/>
              <w:left w:val="nil"/>
              <w:bottom w:val="nil"/>
              <w:right w:val="nil"/>
            </w:tcBorders>
            <w:shd w:val="clear" w:color="auto" w:fill="auto"/>
            <w:noWrap/>
            <w:vAlign w:val="bottom"/>
            <w:hideMark/>
          </w:tcPr>
          <w:p w14:paraId="5D7188F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p w14:paraId="67A0DF0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fly ash reinjection, heat recovery steam generator, and waste heat input control variables were dropped for convergence.</w:t>
            </w:r>
          </w:p>
        </w:tc>
      </w:tr>
      <w:tr w:rsidR="009478ED" w:rsidRPr="007F37A0" w14:paraId="248046B8" w14:textId="77777777" w:rsidTr="00735871">
        <w:trPr>
          <w:trHeight w:val="276"/>
        </w:trPr>
        <w:tc>
          <w:tcPr>
            <w:tcW w:w="8010" w:type="dxa"/>
            <w:gridSpan w:val="5"/>
            <w:tcBorders>
              <w:top w:val="nil"/>
              <w:left w:val="nil"/>
              <w:bottom w:val="nil"/>
              <w:right w:val="nil"/>
            </w:tcBorders>
            <w:shd w:val="clear" w:color="auto" w:fill="auto"/>
            <w:noWrap/>
            <w:vAlign w:val="bottom"/>
            <w:hideMark/>
          </w:tcPr>
          <w:p w14:paraId="7B45169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an indicator for any technology installation at the annual level for 2009-2022. SO</w:t>
            </w:r>
            <w:r w:rsidRPr="007F37A0">
              <w:rPr>
                <w:rFonts w:ascii="Times New Roman" w:hAnsi="Times New Roman" w:cs="Times New Roman"/>
                <w:vertAlign w:val="subscript"/>
              </w:rPr>
              <w:t>2</w:t>
            </w:r>
            <w:r w:rsidRPr="007F37A0">
              <w:rPr>
                <w:rFonts w:ascii="Times New Roman" w:hAnsi="Times New Roman" w:cs="Times New Roman"/>
              </w:rPr>
              <w:t xml:space="preserve"> treatment is an indicator variable for treatment under either CAIR or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bookmarkEnd w:id="186"/>
      <w:bookmarkEnd w:id="187"/>
    </w:tbl>
    <w:p w14:paraId="6825CC98" w14:textId="77777777" w:rsidR="009478ED" w:rsidRPr="007F37A0" w:rsidRDefault="009478ED" w:rsidP="009478ED">
      <w:pPr>
        <w:rPr>
          <w:rFonts w:ascii="Times New Roman" w:hAnsi="Times New Roman" w:cs="Times New Roman"/>
        </w:rPr>
      </w:pPr>
    </w:p>
    <w:p w14:paraId="0D26D590"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25DBAFD5" w14:textId="5C8C4237" w:rsidR="009478ED" w:rsidRPr="007F37A0" w:rsidRDefault="009478ED" w:rsidP="007F37A0">
      <w:pPr>
        <w:pStyle w:val="Caption"/>
        <w:rPr>
          <w:rFonts w:cs="Times New Roman"/>
        </w:rPr>
      </w:pPr>
      <w:bookmarkStart w:id="188" w:name="_Ref164514997"/>
      <w:bookmarkStart w:id="189" w:name="_Toc164862567"/>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32</w:t>
      </w:r>
      <w:r w:rsidRPr="007F37A0">
        <w:rPr>
          <w:rFonts w:cs="Times New Roman"/>
        </w:rPr>
        <w:fldChar w:fldCharType="end"/>
      </w:r>
      <w:bookmarkEnd w:id="188"/>
      <w:r w:rsidRPr="007F37A0">
        <w:rPr>
          <w:rFonts w:cs="Times New Roman"/>
        </w:rPr>
        <w:t>: Fuel Switching by NO</w:t>
      </w:r>
      <w:r w:rsidRPr="007F37A0">
        <w:rPr>
          <w:rFonts w:cs="Times New Roman"/>
          <w:vertAlign w:val="subscript"/>
        </w:rPr>
        <w:t>x</w:t>
      </w:r>
      <w:r w:rsidRPr="007F37A0">
        <w:rPr>
          <w:rFonts w:cs="Times New Roman"/>
        </w:rPr>
        <w:t xml:space="preserve"> Treatment - Multinomial Logit</w:t>
      </w:r>
      <w:bookmarkEnd w:id="189"/>
    </w:p>
    <w:tbl>
      <w:tblPr>
        <w:tblW w:w="9360" w:type="dxa"/>
        <w:jc w:val="center"/>
        <w:tblLook w:val="04A0" w:firstRow="1" w:lastRow="0" w:firstColumn="1" w:lastColumn="0" w:noHBand="0" w:noVBand="1"/>
      </w:tblPr>
      <w:tblGrid>
        <w:gridCol w:w="3403"/>
        <w:gridCol w:w="1116"/>
        <w:gridCol w:w="2258"/>
        <w:gridCol w:w="1456"/>
        <w:gridCol w:w="1127"/>
      </w:tblGrid>
      <w:tr w:rsidR="009478ED" w:rsidRPr="007F37A0" w14:paraId="354D4270" w14:textId="77777777" w:rsidTr="00735871">
        <w:trPr>
          <w:trHeight w:val="277"/>
          <w:jc w:val="center"/>
        </w:trPr>
        <w:tc>
          <w:tcPr>
            <w:tcW w:w="3403" w:type="dxa"/>
            <w:tcBorders>
              <w:top w:val="single" w:sz="4" w:space="0" w:color="000000"/>
              <w:left w:val="nil"/>
              <w:bottom w:val="nil"/>
              <w:right w:val="nil"/>
            </w:tcBorders>
            <w:shd w:val="clear" w:color="auto" w:fill="auto"/>
            <w:noWrap/>
            <w:vAlign w:val="bottom"/>
            <w:hideMark/>
          </w:tcPr>
          <w:p w14:paraId="77F552E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16" w:type="dxa"/>
            <w:tcBorders>
              <w:top w:val="single" w:sz="4" w:space="0" w:color="000000"/>
              <w:left w:val="nil"/>
              <w:bottom w:val="nil"/>
              <w:right w:val="nil"/>
            </w:tcBorders>
            <w:shd w:val="clear" w:color="auto" w:fill="auto"/>
            <w:noWrap/>
            <w:vAlign w:val="bottom"/>
            <w:hideMark/>
          </w:tcPr>
          <w:p w14:paraId="197A173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8" w:type="dxa"/>
            <w:tcBorders>
              <w:top w:val="single" w:sz="4" w:space="0" w:color="000000"/>
              <w:left w:val="nil"/>
              <w:bottom w:val="nil"/>
              <w:right w:val="nil"/>
            </w:tcBorders>
            <w:shd w:val="clear" w:color="auto" w:fill="auto"/>
            <w:noWrap/>
            <w:vAlign w:val="bottom"/>
            <w:hideMark/>
          </w:tcPr>
          <w:p w14:paraId="7BD8CAA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456" w:type="dxa"/>
            <w:tcBorders>
              <w:top w:val="single" w:sz="4" w:space="0" w:color="000000"/>
              <w:left w:val="nil"/>
              <w:bottom w:val="nil"/>
              <w:right w:val="nil"/>
            </w:tcBorders>
            <w:shd w:val="clear" w:color="auto" w:fill="auto"/>
            <w:noWrap/>
            <w:vAlign w:val="bottom"/>
            <w:hideMark/>
          </w:tcPr>
          <w:p w14:paraId="46E4562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127" w:type="dxa"/>
            <w:tcBorders>
              <w:top w:val="single" w:sz="4" w:space="0" w:color="000000"/>
              <w:left w:val="nil"/>
              <w:bottom w:val="nil"/>
              <w:right w:val="nil"/>
            </w:tcBorders>
            <w:shd w:val="clear" w:color="auto" w:fill="auto"/>
            <w:noWrap/>
            <w:vAlign w:val="bottom"/>
            <w:hideMark/>
          </w:tcPr>
          <w:p w14:paraId="40CA8B4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716EA2FC" w14:textId="77777777" w:rsidTr="00735871">
        <w:trPr>
          <w:trHeight w:val="277"/>
          <w:jc w:val="center"/>
        </w:trPr>
        <w:tc>
          <w:tcPr>
            <w:tcW w:w="3403" w:type="dxa"/>
            <w:tcBorders>
              <w:top w:val="nil"/>
              <w:left w:val="nil"/>
              <w:bottom w:val="nil"/>
              <w:right w:val="nil"/>
            </w:tcBorders>
            <w:shd w:val="clear" w:color="auto" w:fill="auto"/>
            <w:noWrap/>
            <w:vAlign w:val="bottom"/>
            <w:hideMark/>
          </w:tcPr>
          <w:p w14:paraId="6FFA85E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78EF9FC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Switching Fuel Type</w:t>
            </w:r>
          </w:p>
        </w:tc>
        <w:tc>
          <w:tcPr>
            <w:tcW w:w="1116" w:type="dxa"/>
            <w:tcBorders>
              <w:top w:val="nil"/>
              <w:left w:val="nil"/>
              <w:bottom w:val="nil"/>
              <w:right w:val="nil"/>
            </w:tcBorders>
            <w:shd w:val="clear" w:color="auto" w:fill="auto"/>
            <w:noWrap/>
            <w:vAlign w:val="bottom"/>
            <w:hideMark/>
          </w:tcPr>
          <w:p w14:paraId="1BD132E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8" w:type="dxa"/>
            <w:tcBorders>
              <w:top w:val="nil"/>
              <w:left w:val="nil"/>
              <w:bottom w:val="nil"/>
              <w:right w:val="nil"/>
            </w:tcBorders>
            <w:shd w:val="clear" w:color="auto" w:fill="auto"/>
            <w:noWrap/>
            <w:vAlign w:val="bottom"/>
            <w:hideMark/>
          </w:tcPr>
          <w:p w14:paraId="439A251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456" w:type="dxa"/>
            <w:tcBorders>
              <w:top w:val="nil"/>
              <w:left w:val="nil"/>
              <w:bottom w:val="nil"/>
              <w:right w:val="nil"/>
            </w:tcBorders>
            <w:shd w:val="clear" w:color="auto" w:fill="auto"/>
            <w:noWrap/>
            <w:vAlign w:val="bottom"/>
            <w:hideMark/>
          </w:tcPr>
          <w:p w14:paraId="0B8D38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127" w:type="dxa"/>
            <w:tcBorders>
              <w:top w:val="nil"/>
              <w:left w:val="nil"/>
              <w:bottom w:val="nil"/>
              <w:right w:val="nil"/>
            </w:tcBorders>
            <w:shd w:val="clear" w:color="auto" w:fill="auto"/>
            <w:noWrap/>
            <w:vAlign w:val="bottom"/>
            <w:hideMark/>
          </w:tcPr>
          <w:p w14:paraId="43B77E2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697040B0" w14:textId="77777777" w:rsidTr="00735871">
        <w:trPr>
          <w:trHeight w:val="277"/>
          <w:jc w:val="center"/>
        </w:trPr>
        <w:tc>
          <w:tcPr>
            <w:tcW w:w="3403" w:type="dxa"/>
            <w:tcBorders>
              <w:top w:val="single" w:sz="4" w:space="0" w:color="000000"/>
              <w:left w:val="nil"/>
              <w:bottom w:val="nil"/>
              <w:right w:val="nil"/>
            </w:tcBorders>
            <w:shd w:val="clear" w:color="auto" w:fill="auto"/>
            <w:noWrap/>
            <w:vAlign w:val="bottom"/>
            <w:hideMark/>
          </w:tcPr>
          <w:p w14:paraId="3C6F861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16" w:type="dxa"/>
            <w:tcBorders>
              <w:top w:val="single" w:sz="4" w:space="0" w:color="000000"/>
              <w:left w:val="nil"/>
              <w:bottom w:val="nil"/>
              <w:right w:val="nil"/>
            </w:tcBorders>
            <w:shd w:val="clear" w:color="auto" w:fill="auto"/>
            <w:noWrap/>
            <w:vAlign w:val="bottom"/>
            <w:hideMark/>
          </w:tcPr>
          <w:p w14:paraId="1D77495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8" w:type="dxa"/>
            <w:tcBorders>
              <w:top w:val="single" w:sz="4" w:space="0" w:color="000000"/>
              <w:left w:val="nil"/>
              <w:bottom w:val="nil"/>
              <w:right w:val="nil"/>
            </w:tcBorders>
            <w:shd w:val="clear" w:color="auto" w:fill="auto"/>
            <w:noWrap/>
            <w:vAlign w:val="bottom"/>
            <w:hideMark/>
          </w:tcPr>
          <w:p w14:paraId="0446530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18ECBA2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127" w:type="dxa"/>
            <w:tcBorders>
              <w:top w:val="single" w:sz="4" w:space="0" w:color="000000"/>
              <w:left w:val="nil"/>
              <w:bottom w:val="nil"/>
              <w:right w:val="nil"/>
            </w:tcBorders>
            <w:shd w:val="clear" w:color="auto" w:fill="auto"/>
            <w:noWrap/>
            <w:vAlign w:val="bottom"/>
            <w:hideMark/>
          </w:tcPr>
          <w:p w14:paraId="4CAED00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3FACB8B9" w14:textId="77777777" w:rsidTr="00735871">
        <w:trPr>
          <w:trHeight w:val="277"/>
          <w:jc w:val="center"/>
        </w:trPr>
        <w:tc>
          <w:tcPr>
            <w:tcW w:w="3403" w:type="dxa"/>
            <w:tcBorders>
              <w:top w:val="nil"/>
              <w:left w:val="nil"/>
              <w:bottom w:val="nil"/>
              <w:right w:val="nil"/>
            </w:tcBorders>
            <w:shd w:val="clear" w:color="auto" w:fill="auto"/>
            <w:noWrap/>
            <w:vAlign w:val="bottom"/>
            <w:hideMark/>
          </w:tcPr>
          <w:p w14:paraId="126E821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NOx Treatment</w:t>
            </w:r>
          </w:p>
        </w:tc>
        <w:tc>
          <w:tcPr>
            <w:tcW w:w="1116" w:type="dxa"/>
            <w:tcBorders>
              <w:top w:val="nil"/>
              <w:left w:val="nil"/>
              <w:bottom w:val="nil"/>
              <w:right w:val="nil"/>
            </w:tcBorders>
            <w:shd w:val="clear" w:color="auto" w:fill="auto"/>
            <w:noWrap/>
            <w:vAlign w:val="bottom"/>
            <w:hideMark/>
          </w:tcPr>
          <w:p w14:paraId="3481AA9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0.312***</w:t>
            </w:r>
          </w:p>
        </w:tc>
        <w:tc>
          <w:tcPr>
            <w:tcW w:w="2258" w:type="dxa"/>
            <w:tcBorders>
              <w:top w:val="nil"/>
              <w:left w:val="nil"/>
              <w:bottom w:val="nil"/>
              <w:right w:val="nil"/>
            </w:tcBorders>
            <w:shd w:val="clear" w:color="auto" w:fill="auto"/>
            <w:noWrap/>
            <w:vAlign w:val="bottom"/>
            <w:hideMark/>
          </w:tcPr>
          <w:p w14:paraId="6D7AFEF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0.086</w:t>
            </w:r>
          </w:p>
        </w:tc>
        <w:tc>
          <w:tcPr>
            <w:tcW w:w="1456" w:type="dxa"/>
            <w:tcBorders>
              <w:top w:val="nil"/>
              <w:left w:val="nil"/>
              <w:bottom w:val="nil"/>
              <w:right w:val="nil"/>
            </w:tcBorders>
            <w:shd w:val="clear" w:color="auto" w:fill="auto"/>
            <w:noWrap/>
            <w:vAlign w:val="bottom"/>
            <w:hideMark/>
          </w:tcPr>
          <w:p w14:paraId="2294DAF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0.054</w:t>
            </w:r>
          </w:p>
        </w:tc>
        <w:tc>
          <w:tcPr>
            <w:tcW w:w="1127" w:type="dxa"/>
            <w:tcBorders>
              <w:top w:val="nil"/>
              <w:left w:val="nil"/>
              <w:bottom w:val="nil"/>
              <w:right w:val="nil"/>
            </w:tcBorders>
            <w:shd w:val="clear" w:color="auto" w:fill="auto"/>
            <w:noWrap/>
            <w:vAlign w:val="bottom"/>
            <w:hideMark/>
          </w:tcPr>
          <w:p w14:paraId="43A22D3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-0.044</w:t>
            </w:r>
          </w:p>
        </w:tc>
      </w:tr>
      <w:tr w:rsidR="009478ED" w:rsidRPr="007F37A0" w14:paraId="7A5F7153" w14:textId="77777777" w:rsidTr="00735871">
        <w:trPr>
          <w:trHeight w:val="277"/>
          <w:jc w:val="center"/>
        </w:trPr>
        <w:tc>
          <w:tcPr>
            <w:tcW w:w="3403" w:type="dxa"/>
            <w:tcBorders>
              <w:top w:val="nil"/>
              <w:left w:val="nil"/>
              <w:bottom w:val="nil"/>
              <w:right w:val="nil"/>
            </w:tcBorders>
            <w:shd w:val="clear" w:color="auto" w:fill="auto"/>
            <w:noWrap/>
            <w:vAlign w:val="bottom"/>
            <w:hideMark/>
          </w:tcPr>
          <w:p w14:paraId="603757B7"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hideMark/>
          </w:tcPr>
          <w:p w14:paraId="462CDE6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(0.079)</w:t>
            </w:r>
          </w:p>
        </w:tc>
        <w:tc>
          <w:tcPr>
            <w:tcW w:w="2258" w:type="dxa"/>
            <w:tcBorders>
              <w:top w:val="nil"/>
              <w:left w:val="nil"/>
              <w:bottom w:val="nil"/>
              <w:right w:val="nil"/>
            </w:tcBorders>
            <w:shd w:val="clear" w:color="auto" w:fill="auto"/>
            <w:noWrap/>
            <w:vAlign w:val="bottom"/>
            <w:hideMark/>
          </w:tcPr>
          <w:p w14:paraId="425CBD8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(0.126)</w:t>
            </w:r>
          </w:p>
        </w:tc>
        <w:tc>
          <w:tcPr>
            <w:tcW w:w="1456" w:type="dxa"/>
            <w:tcBorders>
              <w:top w:val="nil"/>
              <w:left w:val="nil"/>
              <w:bottom w:val="nil"/>
              <w:right w:val="nil"/>
            </w:tcBorders>
            <w:shd w:val="clear" w:color="auto" w:fill="auto"/>
            <w:noWrap/>
            <w:vAlign w:val="bottom"/>
            <w:hideMark/>
          </w:tcPr>
          <w:p w14:paraId="7ADEDE8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(0.126)</w:t>
            </w:r>
          </w:p>
        </w:tc>
        <w:tc>
          <w:tcPr>
            <w:tcW w:w="1127" w:type="dxa"/>
            <w:tcBorders>
              <w:top w:val="nil"/>
              <w:left w:val="nil"/>
              <w:bottom w:val="nil"/>
              <w:right w:val="nil"/>
            </w:tcBorders>
            <w:shd w:val="clear" w:color="auto" w:fill="auto"/>
            <w:noWrap/>
            <w:vAlign w:val="bottom"/>
            <w:hideMark/>
          </w:tcPr>
          <w:p w14:paraId="530B7A4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(0.085)</w:t>
            </w:r>
          </w:p>
        </w:tc>
      </w:tr>
      <w:tr w:rsidR="009478ED" w:rsidRPr="007F37A0" w14:paraId="27DEBC63" w14:textId="77777777" w:rsidTr="00735871">
        <w:trPr>
          <w:trHeight w:val="277"/>
          <w:jc w:val="center"/>
        </w:trPr>
        <w:tc>
          <w:tcPr>
            <w:tcW w:w="3403" w:type="dxa"/>
            <w:tcBorders>
              <w:top w:val="nil"/>
              <w:left w:val="nil"/>
              <w:bottom w:val="nil"/>
              <w:right w:val="nil"/>
            </w:tcBorders>
            <w:shd w:val="clear" w:color="auto" w:fill="auto"/>
            <w:noWrap/>
            <w:vAlign w:val="bottom"/>
            <w:hideMark/>
          </w:tcPr>
          <w:p w14:paraId="3A8B7470"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hideMark/>
          </w:tcPr>
          <w:p w14:paraId="12FECD20" w14:textId="77777777" w:rsidR="009478ED" w:rsidRPr="007F37A0" w:rsidRDefault="009478ED" w:rsidP="00735871">
            <w:pPr>
              <w:rPr>
                <w:rFonts w:ascii="Times New Roman" w:hAnsi="Times New Roman" w:cs="Times New Roman"/>
              </w:rPr>
            </w:pPr>
          </w:p>
        </w:tc>
        <w:tc>
          <w:tcPr>
            <w:tcW w:w="2258" w:type="dxa"/>
            <w:tcBorders>
              <w:top w:val="nil"/>
              <w:left w:val="nil"/>
              <w:bottom w:val="nil"/>
              <w:right w:val="nil"/>
            </w:tcBorders>
            <w:shd w:val="clear" w:color="auto" w:fill="auto"/>
            <w:noWrap/>
            <w:vAlign w:val="bottom"/>
            <w:hideMark/>
          </w:tcPr>
          <w:p w14:paraId="540FEF55"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025D7E41" w14:textId="77777777" w:rsidR="009478ED" w:rsidRPr="007F37A0" w:rsidRDefault="009478ED" w:rsidP="00735871">
            <w:pPr>
              <w:jc w:val="center"/>
              <w:rPr>
                <w:rFonts w:ascii="Times New Roman" w:hAnsi="Times New Roman" w:cs="Times New Roman"/>
              </w:rPr>
            </w:pPr>
          </w:p>
        </w:tc>
        <w:tc>
          <w:tcPr>
            <w:tcW w:w="1127" w:type="dxa"/>
            <w:tcBorders>
              <w:top w:val="nil"/>
              <w:left w:val="nil"/>
              <w:bottom w:val="nil"/>
              <w:right w:val="nil"/>
            </w:tcBorders>
            <w:shd w:val="clear" w:color="auto" w:fill="auto"/>
            <w:noWrap/>
            <w:vAlign w:val="bottom"/>
            <w:hideMark/>
          </w:tcPr>
          <w:p w14:paraId="57C12614" w14:textId="77777777" w:rsidR="009478ED" w:rsidRPr="007F37A0" w:rsidRDefault="009478ED" w:rsidP="00735871">
            <w:pPr>
              <w:jc w:val="center"/>
              <w:rPr>
                <w:rFonts w:ascii="Times New Roman" w:hAnsi="Times New Roman" w:cs="Times New Roman"/>
              </w:rPr>
            </w:pPr>
          </w:p>
        </w:tc>
      </w:tr>
      <w:tr w:rsidR="009478ED" w:rsidRPr="007F37A0" w14:paraId="2B0B71C5" w14:textId="77777777" w:rsidTr="00735871">
        <w:trPr>
          <w:trHeight w:val="277"/>
          <w:jc w:val="center"/>
        </w:trPr>
        <w:tc>
          <w:tcPr>
            <w:tcW w:w="3403" w:type="dxa"/>
            <w:tcBorders>
              <w:top w:val="nil"/>
              <w:left w:val="nil"/>
              <w:bottom w:val="nil"/>
              <w:right w:val="nil"/>
            </w:tcBorders>
            <w:shd w:val="clear" w:color="auto" w:fill="auto"/>
            <w:noWrap/>
            <w:vAlign w:val="bottom"/>
            <w:hideMark/>
          </w:tcPr>
          <w:p w14:paraId="26EDFAC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16" w:type="dxa"/>
            <w:tcBorders>
              <w:top w:val="nil"/>
              <w:left w:val="nil"/>
              <w:bottom w:val="nil"/>
              <w:right w:val="nil"/>
            </w:tcBorders>
            <w:shd w:val="clear" w:color="auto" w:fill="auto"/>
            <w:noWrap/>
            <w:vAlign w:val="bottom"/>
            <w:hideMark/>
          </w:tcPr>
          <w:p w14:paraId="12B9A15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8" w:type="dxa"/>
            <w:tcBorders>
              <w:top w:val="nil"/>
              <w:left w:val="nil"/>
              <w:bottom w:val="nil"/>
              <w:right w:val="nil"/>
            </w:tcBorders>
            <w:shd w:val="clear" w:color="auto" w:fill="auto"/>
            <w:noWrap/>
            <w:vAlign w:val="bottom"/>
            <w:hideMark/>
          </w:tcPr>
          <w:p w14:paraId="766E8D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0A29B3C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127" w:type="dxa"/>
            <w:tcBorders>
              <w:top w:val="nil"/>
              <w:left w:val="nil"/>
              <w:bottom w:val="nil"/>
              <w:right w:val="nil"/>
            </w:tcBorders>
            <w:shd w:val="clear" w:color="auto" w:fill="auto"/>
            <w:noWrap/>
            <w:vAlign w:val="bottom"/>
            <w:hideMark/>
          </w:tcPr>
          <w:p w14:paraId="7CE2FCD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2C762FC0" w14:textId="77777777" w:rsidTr="00735871">
        <w:trPr>
          <w:trHeight w:val="277"/>
          <w:jc w:val="center"/>
        </w:trPr>
        <w:tc>
          <w:tcPr>
            <w:tcW w:w="3403" w:type="dxa"/>
            <w:tcBorders>
              <w:top w:val="nil"/>
              <w:left w:val="nil"/>
              <w:bottom w:val="nil"/>
              <w:right w:val="nil"/>
            </w:tcBorders>
            <w:shd w:val="clear" w:color="auto" w:fill="auto"/>
            <w:noWrap/>
            <w:vAlign w:val="bottom"/>
            <w:hideMark/>
          </w:tcPr>
          <w:p w14:paraId="7118512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16" w:type="dxa"/>
            <w:tcBorders>
              <w:top w:val="nil"/>
              <w:left w:val="nil"/>
              <w:bottom w:val="nil"/>
              <w:right w:val="nil"/>
            </w:tcBorders>
            <w:shd w:val="clear" w:color="auto" w:fill="auto"/>
            <w:noWrap/>
            <w:vAlign w:val="bottom"/>
            <w:hideMark/>
          </w:tcPr>
          <w:p w14:paraId="4CED528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8" w:type="dxa"/>
            <w:tcBorders>
              <w:top w:val="nil"/>
              <w:left w:val="nil"/>
              <w:bottom w:val="nil"/>
              <w:right w:val="nil"/>
            </w:tcBorders>
            <w:shd w:val="clear" w:color="auto" w:fill="auto"/>
            <w:noWrap/>
            <w:vAlign w:val="bottom"/>
            <w:hideMark/>
          </w:tcPr>
          <w:p w14:paraId="4783E27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29944F9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27" w:type="dxa"/>
            <w:tcBorders>
              <w:top w:val="nil"/>
              <w:left w:val="nil"/>
              <w:bottom w:val="nil"/>
              <w:right w:val="nil"/>
            </w:tcBorders>
            <w:shd w:val="clear" w:color="auto" w:fill="auto"/>
            <w:noWrap/>
            <w:vAlign w:val="bottom"/>
            <w:hideMark/>
          </w:tcPr>
          <w:p w14:paraId="39BD411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E44AFD9" w14:textId="77777777" w:rsidTr="00735871">
        <w:trPr>
          <w:trHeight w:val="277"/>
          <w:jc w:val="center"/>
        </w:trPr>
        <w:tc>
          <w:tcPr>
            <w:tcW w:w="3403" w:type="dxa"/>
            <w:tcBorders>
              <w:top w:val="nil"/>
              <w:left w:val="nil"/>
              <w:bottom w:val="nil"/>
              <w:right w:val="nil"/>
            </w:tcBorders>
            <w:shd w:val="clear" w:color="auto" w:fill="auto"/>
            <w:noWrap/>
            <w:vAlign w:val="bottom"/>
            <w:hideMark/>
          </w:tcPr>
          <w:p w14:paraId="4D1294E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16" w:type="dxa"/>
            <w:tcBorders>
              <w:top w:val="nil"/>
              <w:left w:val="nil"/>
              <w:bottom w:val="nil"/>
              <w:right w:val="nil"/>
            </w:tcBorders>
            <w:shd w:val="clear" w:color="auto" w:fill="auto"/>
            <w:noWrap/>
            <w:vAlign w:val="bottom"/>
            <w:hideMark/>
          </w:tcPr>
          <w:p w14:paraId="5CE7CFB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nil"/>
              <w:right w:val="nil"/>
            </w:tcBorders>
            <w:shd w:val="clear" w:color="auto" w:fill="auto"/>
            <w:noWrap/>
            <w:vAlign w:val="bottom"/>
            <w:hideMark/>
          </w:tcPr>
          <w:p w14:paraId="441973B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1F79A04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27" w:type="dxa"/>
            <w:tcBorders>
              <w:top w:val="nil"/>
              <w:left w:val="nil"/>
              <w:bottom w:val="nil"/>
              <w:right w:val="nil"/>
            </w:tcBorders>
            <w:shd w:val="clear" w:color="auto" w:fill="auto"/>
            <w:noWrap/>
            <w:vAlign w:val="bottom"/>
            <w:hideMark/>
          </w:tcPr>
          <w:p w14:paraId="1805B6D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B879E8A" w14:textId="77777777" w:rsidTr="00735871">
        <w:trPr>
          <w:trHeight w:val="277"/>
          <w:jc w:val="center"/>
        </w:trPr>
        <w:tc>
          <w:tcPr>
            <w:tcW w:w="3403" w:type="dxa"/>
            <w:tcBorders>
              <w:top w:val="nil"/>
              <w:left w:val="nil"/>
              <w:right w:val="nil"/>
            </w:tcBorders>
            <w:shd w:val="clear" w:color="auto" w:fill="auto"/>
            <w:noWrap/>
            <w:vAlign w:val="bottom"/>
            <w:hideMark/>
          </w:tcPr>
          <w:p w14:paraId="1C1AEBD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16" w:type="dxa"/>
            <w:tcBorders>
              <w:top w:val="nil"/>
              <w:left w:val="nil"/>
              <w:right w:val="nil"/>
            </w:tcBorders>
            <w:shd w:val="clear" w:color="auto" w:fill="auto"/>
            <w:noWrap/>
            <w:vAlign w:val="bottom"/>
            <w:hideMark/>
          </w:tcPr>
          <w:p w14:paraId="4FD5EF3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right w:val="nil"/>
            </w:tcBorders>
            <w:shd w:val="clear" w:color="auto" w:fill="auto"/>
            <w:noWrap/>
            <w:vAlign w:val="bottom"/>
            <w:hideMark/>
          </w:tcPr>
          <w:p w14:paraId="5D48057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right w:val="nil"/>
            </w:tcBorders>
            <w:shd w:val="clear" w:color="auto" w:fill="auto"/>
            <w:noWrap/>
            <w:vAlign w:val="bottom"/>
            <w:hideMark/>
          </w:tcPr>
          <w:p w14:paraId="2F05E4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27" w:type="dxa"/>
            <w:tcBorders>
              <w:top w:val="nil"/>
              <w:left w:val="nil"/>
              <w:right w:val="nil"/>
            </w:tcBorders>
            <w:shd w:val="clear" w:color="auto" w:fill="auto"/>
            <w:noWrap/>
            <w:vAlign w:val="bottom"/>
            <w:hideMark/>
          </w:tcPr>
          <w:p w14:paraId="100E315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B2988C3" w14:textId="77777777" w:rsidTr="00735871">
        <w:trPr>
          <w:trHeight w:val="277"/>
          <w:jc w:val="center"/>
        </w:trPr>
        <w:tc>
          <w:tcPr>
            <w:tcW w:w="3403" w:type="dxa"/>
            <w:tcBorders>
              <w:top w:val="nil"/>
              <w:left w:val="nil"/>
              <w:bottom w:val="single" w:sz="4" w:space="0" w:color="auto"/>
              <w:right w:val="nil"/>
            </w:tcBorders>
            <w:shd w:val="clear" w:color="auto" w:fill="auto"/>
            <w:noWrap/>
            <w:vAlign w:val="bottom"/>
            <w:hideMark/>
          </w:tcPr>
          <w:p w14:paraId="6CD9D5F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16" w:type="dxa"/>
            <w:tcBorders>
              <w:top w:val="nil"/>
              <w:left w:val="nil"/>
              <w:bottom w:val="single" w:sz="4" w:space="0" w:color="auto"/>
              <w:right w:val="nil"/>
            </w:tcBorders>
            <w:shd w:val="clear" w:color="auto" w:fill="auto"/>
            <w:noWrap/>
            <w:vAlign w:val="bottom"/>
            <w:hideMark/>
          </w:tcPr>
          <w:p w14:paraId="7BF3648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single" w:sz="4" w:space="0" w:color="auto"/>
              <w:right w:val="nil"/>
            </w:tcBorders>
            <w:shd w:val="clear" w:color="auto" w:fill="auto"/>
            <w:noWrap/>
            <w:vAlign w:val="bottom"/>
            <w:hideMark/>
          </w:tcPr>
          <w:p w14:paraId="4363DD8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auto"/>
              <w:right w:val="nil"/>
            </w:tcBorders>
            <w:shd w:val="clear" w:color="auto" w:fill="auto"/>
            <w:noWrap/>
            <w:vAlign w:val="bottom"/>
            <w:hideMark/>
          </w:tcPr>
          <w:p w14:paraId="6935E86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127" w:type="dxa"/>
            <w:tcBorders>
              <w:top w:val="nil"/>
              <w:left w:val="nil"/>
              <w:bottom w:val="single" w:sz="4" w:space="0" w:color="auto"/>
              <w:right w:val="nil"/>
            </w:tcBorders>
            <w:shd w:val="clear" w:color="auto" w:fill="auto"/>
            <w:noWrap/>
            <w:vAlign w:val="bottom"/>
            <w:hideMark/>
          </w:tcPr>
          <w:p w14:paraId="5421438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408791B" w14:textId="77777777" w:rsidTr="00735871">
        <w:trPr>
          <w:trHeight w:val="277"/>
          <w:jc w:val="center"/>
        </w:trPr>
        <w:tc>
          <w:tcPr>
            <w:tcW w:w="9360" w:type="dxa"/>
            <w:gridSpan w:val="5"/>
            <w:tcBorders>
              <w:top w:val="single" w:sz="4" w:space="0" w:color="auto"/>
              <w:left w:val="nil"/>
              <w:right w:val="nil"/>
            </w:tcBorders>
            <w:shd w:val="clear" w:color="auto" w:fill="auto"/>
            <w:noWrap/>
            <w:vAlign w:val="bottom"/>
            <w:hideMark/>
          </w:tcPr>
          <w:p w14:paraId="2370631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NERC regions, CAA attainment status, and waste heat input control variables were dropped for convergence.</w:t>
            </w:r>
          </w:p>
          <w:p w14:paraId="2995BF9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70E509E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fuel switching reported in this table. NOx treatment is an indicator variable for treatment under either CAIR or CSAPR for NOx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p w14:paraId="1DBAE12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255B779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4107DC6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65A05C7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bl>
    <w:p w14:paraId="641AD0E8"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73CD34C9" w14:textId="5E623FF3" w:rsidR="009478ED" w:rsidRPr="007F37A0" w:rsidRDefault="009478ED" w:rsidP="007F37A0">
      <w:pPr>
        <w:pStyle w:val="Caption"/>
        <w:rPr>
          <w:rFonts w:cs="Times New Roman"/>
        </w:rPr>
      </w:pPr>
      <w:bookmarkStart w:id="190" w:name="_Toc164862568"/>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33</w:t>
      </w:r>
      <w:r w:rsidRPr="007F37A0">
        <w:rPr>
          <w:rFonts w:cs="Times New Roman"/>
        </w:rPr>
        <w:fldChar w:fldCharType="end"/>
      </w:r>
      <w:r w:rsidRPr="007F37A0">
        <w:rPr>
          <w:rFonts w:cs="Times New Roman"/>
        </w:rPr>
        <w:t>: New Selective Noncatalytic Reduction NO</w:t>
      </w:r>
      <w:r w:rsidRPr="007F37A0">
        <w:rPr>
          <w:rFonts w:cs="Times New Roman"/>
          <w:vertAlign w:val="subscript"/>
        </w:rPr>
        <w:t>x</w:t>
      </w:r>
      <w:r w:rsidRPr="007F37A0">
        <w:rPr>
          <w:rFonts w:cs="Times New Roman"/>
        </w:rPr>
        <w:t xml:space="preserve"> Abatement Technology - Multinomial Logit</w:t>
      </w:r>
      <w:bookmarkEnd w:id="190"/>
    </w:p>
    <w:tbl>
      <w:tblPr>
        <w:tblW w:w="9180" w:type="dxa"/>
        <w:jc w:val="center"/>
        <w:tblLook w:val="04A0" w:firstRow="1" w:lastRow="0" w:firstColumn="1" w:lastColumn="0" w:noHBand="0" w:noVBand="1"/>
      </w:tblPr>
      <w:tblGrid>
        <w:gridCol w:w="3133"/>
        <w:gridCol w:w="1043"/>
        <w:gridCol w:w="2258"/>
        <w:gridCol w:w="1456"/>
        <w:gridCol w:w="1290"/>
      </w:tblGrid>
      <w:tr w:rsidR="009478ED" w:rsidRPr="007F37A0" w14:paraId="2B487565" w14:textId="77777777" w:rsidTr="00735871">
        <w:trPr>
          <w:trHeight w:val="277"/>
          <w:jc w:val="center"/>
        </w:trPr>
        <w:tc>
          <w:tcPr>
            <w:tcW w:w="3133" w:type="dxa"/>
            <w:tcBorders>
              <w:top w:val="single" w:sz="4" w:space="0" w:color="000000"/>
              <w:left w:val="nil"/>
              <w:bottom w:val="nil"/>
              <w:right w:val="nil"/>
            </w:tcBorders>
            <w:shd w:val="clear" w:color="auto" w:fill="auto"/>
            <w:noWrap/>
            <w:vAlign w:val="bottom"/>
            <w:hideMark/>
          </w:tcPr>
          <w:p w14:paraId="226F016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043" w:type="dxa"/>
            <w:tcBorders>
              <w:top w:val="single" w:sz="4" w:space="0" w:color="000000"/>
              <w:left w:val="nil"/>
              <w:bottom w:val="nil"/>
              <w:right w:val="nil"/>
            </w:tcBorders>
            <w:shd w:val="clear" w:color="auto" w:fill="auto"/>
            <w:noWrap/>
            <w:vAlign w:val="bottom"/>
            <w:hideMark/>
          </w:tcPr>
          <w:p w14:paraId="1796768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8" w:type="dxa"/>
            <w:tcBorders>
              <w:top w:val="single" w:sz="4" w:space="0" w:color="000000"/>
              <w:left w:val="nil"/>
              <w:bottom w:val="nil"/>
              <w:right w:val="nil"/>
            </w:tcBorders>
            <w:shd w:val="clear" w:color="auto" w:fill="auto"/>
            <w:noWrap/>
            <w:vAlign w:val="bottom"/>
            <w:hideMark/>
          </w:tcPr>
          <w:p w14:paraId="024F1C2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456" w:type="dxa"/>
            <w:tcBorders>
              <w:top w:val="single" w:sz="4" w:space="0" w:color="000000"/>
              <w:left w:val="nil"/>
              <w:bottom w:val="nil"/>
              <w:right w:val="nil"/>
            </w:tcBorders>
            <w:shd w:val="clear" w:color="auto" w:fill="auto"/>
            <w:noWrap/>
            <w:vAlign w:val="bottom"/>
            <w:hideMark/>
          </w:tcPr>
          <w:p w14:paraId="2FF6B8B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290" w:type="dxa"/>
            <w:tcBorders>
              <w:top w:val="single" w:sz="4" w:space="0" w:color="000000"/>
              <w:left w:val="nil"/>
              <w:bottom w:val="nil"/>
              <w:right w:val="nil"/>
            </w:tcBorders>
            <w:shd w:val="clear" w:color="auto" w:fill="auto"/>
            <w:noWrap/>
            <w:vAlign w:val="bottom"/>
            <w:hideMark/>
          </w:tcPr>
          <w:p w14:paraId="2719FE9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08D50E4B" w14:textId="77777777" w:rsidTr="00735871">
        <w:trPr>
          <w:trHeight w:val="277"/>
          <w:jc w:val="center"/>
        </w:trPr>
        <w:tc>
          <w:tcPr>
            <w:tcW w:w="3133" w:type="dxa"/>
            <w:tcBorders>
              <w:top w:val="nil"/>
              <w:left w:val="nil"/>
              <w:bottom w:val="nil"/>
              <w:right w:val="nil"/>
            </w:tcBorders>
            <w:shd w:val="clear" w:color="auto" w:fill="auto"/>
            <w:noWrap/>
            <w:vAlign w:val="bottom"/>
            <w:hideMark/>
          </w:tcPr>
          <w:p w14:paraId="15CC605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5C978E8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New SNR Technology Installation</w:t>
            </w:r>
          </w:p>
        </w:tc>
        <w:tc>
          <w:tcPr>
            <w:tcW w:w="1043" w:type="dxa"/>
            <w:tcBorders>
              <w:top w:val="nil"/>
              <w:left w:val="nil"/>
              <w:bottom w:val="nil"/>
              <w:right w:val="nil"/>
            </w:tcBorders>
            <w:shd w:val="clear" w:color="auto" w:fill="auto"/>
            <w:noWrap/>
            <w:vAlign w:val="bottom"/>
            <w:hideMark/>
          </w:tcPr>
          <w:p w14:paraId="3D4333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8" w:type="dxa"/>
            <w:tcBorders>
              <w:top w:val="nil"/>
              <w:left w:val="nil"/>
              <w:bottom w:val="nil"/>
              <w:right w:val="nil"/>
            </w:tcBorders>
            <w:shd w:val="clear" w:color="auto" w:fill="auto"/>
            <w:noWrap/>
            <w:vAlign w:val="bottom"/>
            <w:hideMark/>
          </w:tcPr>
          <w:p w14:paraId="5613C02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456" w:type="dxa"/>
            <w:tcBorders>
              <w:top w:val="nil"/>
              <w:left w:val="nil"/>
              <w:bottom w:val="nil"/>
              <w:right w:val="nil"/>
            </w:tcBorders>
            <w:shd w:val="clear" w:color="auto" w:fill="auto"/>
            <w:noWrap/>
            <w:vAlign w:val="bottom"/>
            <w:hideMark/>
          </w:tcPr>
          <w:p w14:paraId="4EC068D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290" w:type="dxa"/>
            <w:tcBorders>
              <w:top w:val="nil"/>
              <w:left w:val="nil"/>
              <w:bottom w:val="nil"/>
              <w:right w:val="nil"/>
            </w:tcBorders>
            <w:shd w:val="clear" w:color="auto" w:fill="auto"/>
            <w:noWrap/>
            <w:vAlign w:val="bottom"/>
            <w:hideMark/>
          </w:tcPr>
          <w:p w14:paraId="46821E6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5BF65202" w14:textId="77777777" w:rsidTr="00735871">
        <w:trPr>
          <w:trHeight w:val="277"/>
          <w:jc w:val="center"/>
        </w:trPr>
        <w:tc>
          <w:tcPr>
            <w:tcW w:w="3133" w:type="dxa"/>
            <w:tcBorders>
              <w:top w:val="single" w:sz="4" w:space="0" w:color="000000"/>
              <w:left w:val="nil"/>
              <w:bottom w:val="nil"/>
              <w:right w:val="nil"/>
            </w:tcBorders>
            <w:shd w:val="clear" w:color="auto" w:fill="auto"/>
            <w:noWrap/>
            <w:vAlign w:val="bottom"/>
            <w:hideMark/>
          </w:tcPr>
          <w:p w14:paraId="7092018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043" w:type="dxa"/>
            <w:tcBorders>
              <w:top w:val="single" w:sz="4" w:space="0" w:color="000000"/>
              <w:left w:val="nil"/>
              <w:bottom w:val="nil"/>
              <w:right w:val="nil"/>
            </w:tcBorders>
            <w:shd w:val="clear" w:color="auto" w:fill="auto"/>
            <w:noWrap/>
            <w:vAlign w:val="bottom"/>
            <w:hideMark/>
          </w:tcPr>
          <w:p w14:paraId="2C5261C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8" w:type="dxa"/>
            <w:tcBorders>
              <w:top w:val="single" w:sz="4" w:space="0" w:color="000000"/>
              <w:left w:val="nil"/>
              <w:bottom w:val="nil"/>
              <w:right w:val="nil"/>
            </w:tcBorders>
            <w:shd w:val="clear" w:color="auto" w:fill="auto"/>
            <w:noWrap/>
            <w:vAlign w:val="bottom"/>
            <w:hideMark/>
          </w:tcPr>
          <w:p w14:paraId="6F7EDEB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7134271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290" w:type="dxa"/>
            <w:tcBorders>
              <w:top w:val="single" w:sz="4" w:space="0" w:color="000000"/>
              <w:left w:val="nil"/>
              <w:bottom w:val="nil"/>
              <w:right w:val="nil"/>
            </w:tcBorders>
            <w:shd w:val="clear" w:color="auto" w:fill="auto"/>
            <w:noWrap/>
            <w:vAlign w:val="bottom"/>
            <w:hideMark/>
          </w:tcPr>
          <w:p w14:paraId="78CC982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3CEA9BBC" w14:textId="77777777" w:rsidTr="00735871">
        <w:trPr>
          <w:trHeight w:val="277"/>
          <w:jc w:val="center"/>
        </w:trPr>
        <w:tc>
          <w:tcPr>
            <w:tcW w:w="3133" w:type="dxa"/>
            <w:tcBorders>
              <w:top w:val="nil"/>
              <w:left w:val="nil"/>
              <w:bottom w:val="nil"/>
              <w:right w:val="nil"/>
            </w:tcBorders>
            <w:shd w:val="clear" w:color="auto" w:fill="auto"/>
            <w:noWrap/>
            <w:vAlign w:val="bottom"/>
            <w:hideMark/>
          </w:tcPr>
          <w:p w14:paraId="13B4ECF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NOx Treatment</w:t>
            </w:r>
          </w:p>
        </w:tc>
        <w:tc>
          <w:tcPr>
            <w:tcW w:w="1043" w:type="dxa"/>
            <w:tcBorders>
              <w:top w:val="nil"/>
              <w:left w:val="nil"/>
              <w:bottom w:val="nil"/>
              <w:right w:val="nil"/>
            </w:tcBorders>
            <w:shd w:val="clear" w:color="auto" w:fill="auto"/>
            <w:noWrap/>
            <w:vAlign w:val="bottom"/>
            <w:hideMark/>
          </w:tcPr>
          <w:p w14:paraId="1EF3C28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0.348</w:t>
            </w:r>
          </w:p>
        </w:tc>
        <w:tc>
          <w:tcPr>
            <w:tcW w:w="2258" w:type="dxa"/>
            <w:tcBorders>
              <w:top w:val="nil"/>
              <w:left w:val="nil"/>
              <w:bottom w:val="nil"/>
              <w:right w:val="nil"/>
            </w:tcBorders>
            <w:shd w:val="clear" w:color="auto" w:fill="auto"/>
            <w:noWrap/>
            <w:vAlign w:val="bottom"/>
            <w:hideMark/>
          </w:tcPr>
          <w:p w14:paraId="087BA0F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0.740</w:t>
            </w:r>
          </w:p>
        </w:tc>
        <w:tc>
          <w:tcPr>
            <w:tcW w:w="1456" w:type="dxa"/>
            <w:tcBorders>
              <w:top w:val="nil"/>
              <w:left w:val="nil"/>
              <w:bottom w:val="nil"/>
              <w:right w:val="nil"/>
            </w:tcBorders>
            <w:shd w:val="clear" w:color="auto" w:fill="auto"/>
            <w:noWrap/>
            <w:vAlign w:val="bottom"/>
            <w:hideMark/>
          </w:tcPr>
          <w:p w14:paraId="09DB2CB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0.853*</w:t>
            </w:r>
          </w:p>
        </w:tc>
        <w:tc>
          <w:tcPr>
            <w:tcW w:w="1290" w:type="dxa"/>
            <w:tcBorders>
              <w:top w:val="nil"/>
              <w:left w:val="nil"/>
              <w:bottom w:val="nil"/>
              <w:right w:val="nil"/>
            </w:tcBorders>
            <w:shd w:val="clear" w:color="auto" w:fill="auto"/>
            <w:noWrap/>
            <w:vAlign w:val="bottom"/>
            <w:hideMark/>
          </w:tcPr>
          <w:p w14:paraId="384EAA5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0.859***</w:t>
            </w:r>
          </w:p>
        </w:tc>
      </w:tr>
      <w:tr w:rsidR="009478ED" w:rsidRPr="007F37A0" w14:paraId="18BA0C15" w14:textId="77777777" w:rsidTr="00735871">
        <w:trPr>
          <w:trHeight w:val="277"/>
          <w:jc w:val="center"/>
        </w:trPr>
        <w:tc>
          <w:tcPr>
            <w:tcW w:w="3133" w:type="dxa"/>
            <w:tcBorders>
              <w:top w:val="nil"/>
              <w:left w:val="nil"/>
              <w:bottom w:val="nil"/>
              <w:right w:val="nil"/>
            </w:tcBorders>
            <w:shd w:val="clear" w:color="auto" w:fill="auto"/>
            <w:noWrap/>
            <w:vAlign w:val="bottom"/>
            <w:hideMark/>
          </w:tcPr>
          <w:p w14:paraId="0F654EFF" w14:textId="77777777" w:rsidR="009478ED" w:rsidRPr="007F37A0" w:rsidRDefault="009478ED" w:rsidP="00735871">
            <w:pPr>
              <w:jc w:val="center"/>
              <w:rPr>
                <w:rFonts w:ascii="Times New Roman" w:hAnsi="Times New Roman" w:cs="Times New Roman"/>
              </w:rPr>
            </w:pPr>
          </w:p>
        </w:tc>
        <w:tc>
          <w:tcPr>
            <w:tcW w:w="1043" w:type="dxa"/>
            <w:tcBorders>
              <w:top w:val="nil"/>
              <w:left w:val="nil"/>
              <w:bottom w:val="nil"/>
              <w:right w:val="nil"/>
            </w:tcBorders>
            <w:shd w:val="clear" w:color="auto" w:fill="auto"/>
            <w:noWrap/>
            <w:vAlign w:val="bottom"/>
            <w:hideMark/>
          </w:tcPr>
          <w:p w14:paraId="3C943BF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(0.289)</w:t>
            </w:r>
          </w:p>
        </w:tc>
        <w:tc>
          <w:tcPr>
            <w:tcW w:w="2258" w:type="dxa"/>
            <w:tcBorders>
              <w:top w:val="nil"/>
              <w:left w:val="nil"/>
              <w:bottom w:val="nil"/>
              <w:right w:val="nil"/>
            </w:tcBorders>
            <w:shd w:val="clear" w:color="auto" w:fill="auto"/>
            <w:noWrap/>
            <w:vAlign w:val="bottom"/>
            <w:hideMark/>
          </w:tcPr>
          <w:p w14:paraId="1DCE515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(0.466)</w:t>
            </w:r>
          </w:p>
        </w:tc>
        <w:tc>
          <w:tcPr>
            <w:tcW w:w="1456" w:type="dxa"/>
            <w:tcBorders>
              <w:top w:val="nil"/>
              <w:left w:val="nil"/>
              <w:bottom w:val="nil"/>
              <w:right w:val="nil"/>
            </w:tcBorders>
            <w:shd w:val="clear" w:color="auto" w:fill="auto"/>
            <w:noWrap/>
            <w:vAlign w:val="bottom"/>
            <w:hideMark/>
          </w:tcPr>
          <w:p w14:paraId="0F128CA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(0.497)</w:t>
            </w:r>
          </w:p>
        </w:tc>
        <w:tc>
          <w:tcPr>
            <w:tcW w:w="1290" w:type="dxa"/>
            <w:tcBorders>
              <w:top w:val="nil"/>
              <w:left w:val="nil"/>
              <w:bottom w:val="nil"/>
              <w:right w:val="nil"/>
            </w:tcBorders>
            <w:shd w:val="clear" w:color="auto" w:fill="auto"/>
            <w:noWrap/>
            <w:vAlign w:val="bottom"/>
            <w:hideMark/>
          </w:tcPr>
          <w:p w14:paraId="55AAE90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(0.322)</w:t>
            </w:r>
          </w:p>
        </w:tc>
      </w:tr>
      <w:tr w:rsidR="009478ED" w:rsidRPr="007F37A0" w14:paraId="4E7CFE65" w14:textId="77777777" w:rsidTr="00735871">
        <w:trPr>
          <w:trHeight w:val="277"/>
          <w:jc w:val="center"/>
        </w:trPr>
        <w:tc>
          <w:tcPr>
            <w:tcW w:w="3133" w:type="dxa"/>
            <w:tcBorders>
              <w:top w:val="nil"/>
              <w:left w:val="nil"/>
              <w:bottom w:val="nil"/>
              <w:right w:val="nil"/>
            </w:tcBorders>
            <w:shd w:val="clear" w:color="auto" w:fill="auto"/>
            <w:noWrap/>
            <w:vAlign w:val="bottom"/>
            <w:hideMark/>
          </w:tcPr>
          <w:p w14:paraId="346E3C00" w14:textId="77777777" w:rsidR="009478ED" w:rsidRPr="007F37A0" w:rsidRDefault="009478ED" w:rsidP="00735871">
            <w:pPr>
              <w:jc w:val="center"/>
              <w:rPr>
                <w:rFonts w:ascii="Times New Roman" w:hAnsi="Times New Roman" w:cs="Times New Roman"/>
              </w:rPr>
            </w:pPr>
          </w:p>
        </w:tc>
        <w:tc>
          <w:tcPr>
            <w:tcW w:w="1043" w:type="dxa"/>
            <w:tcBorders>
              <w:top w:val="nil"/>
              <w:left w:val="nil"/>
              <w:bottom w:val="nil"/>
              <w:right w:val="nil"/>
            </w:tcBorders>
            <w:shd w:val="clear" w:color="auto" w:fill="auto"/>
            <w:noWrap/>
            <w:vAlign w:val="bottom"/>
            <w:hideMark/>
          </w:tcPr>
          <w:p w14:paraId="04009296" w14:textId="77777777" w:rsidR="009478ED" w:rsidRPr="007F37A0" w:rsidRDefault="009478ED" w:rsidP="00735871">
            <w:pPr>
              <w:rPr>
                <w:rFonts w:ascii="Times New Roman" w:hAnsi="Times New Roman" w:cs="Times New Roman"/>
              </w:rPr>
            </w:pPr>
          </w:p>
        </w:tc>
        <w:tc>
          <w:tcPr>
            <w:tcW w:w="2258" w:type="dxa"/>
            <w:tcBorders>
              <w:top w:val="nil"/>
              <w:left w:val="nil"/>
              <w:bottom w:val="nil"/>
              <w:right w:val="nil"/>
            </w:tcBorders>
            <w:shd w:val="clear" w:color="auto" w:fill="auto"/>
            <w:noWrap/>
            <w:vAlign w:val="bottom"/>
            <w:hideMark/>
          </w:tcPr>
          <w:p w14:paraId="25043C04"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2E7F2FC9" w14:textId="77777777" w:rsidR="009478ED" w:rsidRPr="007F37A0" w:rsidRDefault="009478ED" w:rsidP="00735871">
            <w:pPr>
              <w:jc w:val="center"/>
              <w:rPr>
                <w:rFonts w:ascii="Times New Roman" w:hAnsi="Times New Roman" w:cs="Times New Roman"/>
              </w:rPr>
            </w:pPr>
          </w:p>
        </w:tc>
        <w:tc>
          <w:tcPr>
            <w:tcW w:w="1290" w:type="dxa"/>
            <w:tcBorders>
              <w:top w:val="nil"/>
              <w:left w:val="nil"/>
              <w:bottom w:val="nil"/>
              <w:right w:val="nil"/>
            </w:tcBorders>
            <w:shd w:val="clear" w:color="auto" w:fill="auto"/>
            <w:noWrap/>
            <w:vAlign w:val="bottom"/>
            <w:hideMark/>
          </w:tcPr>
          <w:p w14:paraId="6058ECB0" w14:textId="77777777" w:rsidR="009478ED" w:rsidRPr="007F37A0" w:rsidRDefault="009478ED" w:rsidP="00735871">
            <w:pPr>
              <w:jc w:val="center"/>
              <w:rPr>
                <w:rFonts w:ascii="Times New Roman" w:hAnsi="Times New Roman" w:cs="Times New Roman"/>
              </w:rPr>
            </w:pPr>
          </w:p>
        </w:tc>
      </w:tr>
      <w:tr w:rsidR="009478ED" w:rsidRPr="007F37A0" w14:paraId="6C6E0A70" w14:textId="77777777" w:rsidTr="00735871">
        <w:trPr>
          <w:trHeight w:val="277"/>
          <w:jc w:val="center"/>
        </w:trPr>
        <w:tc>
          <w:tcPr>
            <w:tcW w:w="3133" w:type="dxa"/>
            <w:tcBorders>
              <w:top w:val="nil"/>
              <w:left w:val="nil"/>
              <w:bottom w:val="nil"/>
              <w:right w:val="nil"/>
            </w:tcBorders>
            <w:shd w:val="clear" w:color="auto" w:fill="auto"/>
            <w:noWrap/>
            <w:vAlign w:val="bottom"/>
            <w:hideMark/>
          </w:tcPr>
          <w:p w14:paraId="2C38361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043" w:type="dxa"/>
            <w:tcBorders>
              <w:top w:val="nil"/>
              <w:left w:val="nil"/>
              <w:bottom w:val="nil"/>
              <w:right w:val="nil"/>
            </w:tcBorders>
            <w:shd w:val="clear" w:color="auto" w:fill="auto"/>
            <w:noWrap/>
            <w:vAlign w:val="bottom"/>
            <w:hideMark/>
          </w:tcPr>
          <w:p w14:paraId="0380028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8" w:type="dxa"/>
            <w:tcBorders>
              <w:top w:val="nil"/>
              <w:left w:val="nil"/>
              <w:bottom w:val="nil"/>
              <w:right w:val="nil"/>
            </w:tcBorders>
            <w:shd w:val="clear" w:color="auto" w:fill="auto"/>
            <w:noWrap/>
            <w:vAlign w:val="bottom"/>
            <w:hideMark/>
          </w:tcPr>
          <w:p w14:paraId="60EE87C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39DCC69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290" w:type="dxa"/>
            <w:tcBorders>
              <w:top w:val="nil"/>
              <w:left w:val="nil"/>
              <w:bottom w:val="nil"/>
              <w:right w:val="nil"/>
            </w:tcBorders>
            <w:shd w:val="clear" w:color="auto" w:fill="auto"/>
            <w:noWrap/>
            <w:vAlign w:val="bottom"/>
            <w:hideMark/>
          </w:tcPr>
          <w:p w14:paraId="65BBB07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4DE8BCB6" w14:textId="77777777" w:rsidTr="00735871">
        <w:trPr>
          <w:trHeight w:val="277"/>
          <w:jc w:val="center"/>
        </w:trPr>
        <w:tc>
          <w:tcPr>
            <w:tcW w:w="3133" w:type="dxa"/>
            <w:tcBorders>
              <w:top w:val="nil"/>
              <w:left w:val="nil"/>
              <w:bottom w:val="nil"/>
              <w:right w:val="nil"/>
            </w:tcBorders>
            <w:shd w:val="clear" w:color="auto" w:fill="auto"/>
            <w:noWrap/>
            <w:vAlign w:val="bottom"/>
            <w:hideMark/>
          </w:tcPr>
          <w:p w14:paraId="54936DE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043" w:type="dxa"/>
            <w:tcBorders>
              <w:top w:val="nil"/>
              <w:left w:val="nil"/>
              <w:bottom w:val="nil"/>
              <w:right w:val="nil"/>
            </w:tcBorders>
            <w:shd w:val="clear" w:color="auto" w:fill="auto"/>
            <w:noWrap/>
            <w:vAlign w:val="bottom"/>
            <w:hideMark/>
          </w:tcPr>
          <w:p w14:paraId="36EB796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8" w:type="dxa"/>
            <w:tcBorders>
              <w:top w:val="nil"/>
              <w:left w:val="nil"/>
              <w:bottom w:val="nil"/>
              <w:right w:val="nil"/>
            </w:tcBorders>
            <w:shd w:val="clear" w:color="auto" w:fill="auto"/>
            <w:noWrap/>
            <w:vAlign w:val="bottom"/>
            <w:hideMark/>
          </w:tcPr>
          <w:p w14:paraId="029D396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64AF640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290" w:type="dxa"/>
            <w:tcBorders>
              <w:top w:val="nil"/>
              <w:left w:val="nil"/>
              <w:bottom w:val="nil"/>
              <w:right w:val="nil"/>
            </w:tcBorders>
            <w:shd w:val="clear" w:color="auto" w:fill="auto"/>
            <w:noWrap/>
            <w:vAlign w:val="bottom"/>
            <w:hideMark/>
          </w:tcPr>
          <w:p w14:paraId="379E45C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61466F6B" w14:textId="77777777" w:rsidTr="00735871">
        <w:trPr>
          <w:trHeight w:val="277"/>
          <w:jc w:val="center"/>
        </w:trPr>
        <w:tc>
          <w:tcPr>
            <w:tcW w:w="3133" w:type="dxa"/>
            <w:tcBorders>
              <w:top w:val="nil"/>
              <w:left w:val="nil"/>
              <w:bottom w:val="nil"/>
              <w:right w:val="nil"/>
            </w:tcBorders>
            <w:shd w:val="clear" w:color="auto" w:fill="auto"/>
            <w:noWrap/>
            <w:vAlign w:val="bottom"/>
            <w:hideMark/>
          </w:tcPr>
          <w:p w14:paraId="749C79E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043" w:type="dxa"/>
            <w:tcBorders>
              <w:top w:val="nil"/>
              <w:left w:val="nil"/>
              <w:bottom w:val="nil"/>
              <w:right w:val="nil"/>
            </w:tcBorders>
            <w:shd w:val="clear" w:color="auto" w:fill="auto"/>
            <w:noWrap/>
            <w:vAlign w:val="bottom"/>
            <w:hideMark/>
          </w:tcPr>
          <w:p w14:paraId="31FD0F9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nil"/>
              <w:right w:val="nil"/>
            </w:tcBorders>
            <w:shd w:val="clear" w:color="auto" w:fill="auto"/>
            <w:noWrap/>
            <w:vAlign w:val="bottom"/>
            <w:hideMark/>
          </w:tcPr>
          <w:p w14:paraId="544D20E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2DF4051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290" w:type="dxa"/>
            <w:tcBorders>
              <w:top w:val="nil"/>
              <w:left w:val="nil"/>
              <w:bottom w:val="nil"/>
              <w:right w:val="nil"/>
            </w:tcBorders>
            <w:shd w:val="clear" w:color="auto" w:fill="auto"/>
            <w:noWrap/>
            <w:vAlign w:val="bottom"/>
            <w:hideMark/>
          </w:tcPr>
          <w:p w14:paraId="05747F5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4F64BAA" w14:textId="77777777" w:rsidTr="00735871">
        <w:trPr>
          <w:trHeight w:val="277"/>
          <w:jc w:val="center"/>
        </w:trPr>
        <w:tc>
          <w:tcPr>
            <w:tcW w:w="3133" w:type="dxa"/>
            <w:tcBorders>
              <w:top w:val="nil"/>
              <w:left w:val="nil"/>
              <w:right w:val="nil"/>
            </w:tcBorders>
            <w:shd w:val="clear" w:color="auto" w:fill="auto"/>
            <w:noWrap/>
            <w:vAlign w:val="bottom"/>
            <w:hideMark/>
          </w:tcPr>
          <w:p w14:paraId="662D3FE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043" w:type="dxa"/>
            <w:tcBorders>
              <w:top w:val="nil"/>
              <w:left w:val="nil"/>
              <w:right w:val="nil"/>
            </w:tcBorders>
            <w:shd w:val="clear" w:color="auto" w:fill="auto"/>
            <w:noWrap/>
            <w:vAlign w:val="bottom"/>
            <w:hideMark/>
          </w:tcPr>
          <w:p w14:paraId="70F9473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right w:val="nil"/>
            </w:tcBorders>
            <w:shd w:val="clear" w:color="auto" w:fill="auto"/>
            <w:noWrap/>
            <w:vAlign w:val="bottom"/>
            <w:hideMark/>
          </w:tcPr>
          <w:p w14:paraId="262D57E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right w:val="nil"/>
            </w:tcBorders>
            <w:shd w:val="clear" w:color="auto" w:fill="auto"/>
            <w:noWrap/>
            <w:vAlign w:val="bottom"/>
            <w:hideMark/>
          </w:tcPr>
          <w:p w14:paraId="349213C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290" w:type="dxa"/>
            <w:tcBorders>
              <w:top w:val="nil"/>
              <w:left w:val="nil"/>
              <w:right w:val="nil"/>
            </w:tcBorders>
            <w:shd w:val="clear" w:color="auto" w:fill="auto"/>
            <w:noWrap/>
            <w:vAlign w:val="bottom"/>
            <w:hideMark/>
          </w:tcPr>
          <w:p w14:paraId="630EAC5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642D19B" w14:textId="77777777" w:rsidTr="00735871">
        <w:trPr>
          <w:trHeight w:val="277"/>
          <w:jc w:val="center"/>
        </w:trPr>
        <w:tc>
          <w:tcPr>
            <w:tcW w:w="3133" w:type="dxa"/>
            <w:tcBorders>
              <w:top w:val="nil"/>
              <w:left w:val="nil"/>
              <w:bottom w:val="single" w:sz="4" w:space="0" w:color="auto"/>
              <w:right w:val="nil"/>
            </w:tcBorders>
            <w:shd w:val="clear" w:color="auto" w:fill="auto"/>
            <w:noWrap/>
            <w:vAlign w:val="bottom"/>
            <w:hideMark/>
          </w:tcPr>
          <w:p w14:paraId="37C18C3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043" w:type="dxa"/>
            <w:tcBorders>
              <w:top w:val="nil"/>
              <w:left w:val="nil"/>
              <w:bottom w:val="single" w:sz="4" w:space="0" w:color="auto"/>
              <w:right w:val="nil"/>
            </w:tcBorders>
            <w:shd w:val="clear" w:color="auto" w:fill="auto"/>
            <w:noWrap/>
            <w:vAlign w:val="bottom"/>
            <w:hideMark/>
          </w:tcPr>
          <w:p w14:paraId="172D744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single" w:sz="4" w:space="0" w:color="auto"/>
              <w:right w:val="nil"/>
            </w:tcBorders>
            <w:shd w:val="clear" w:color="auto" w:fill="auto"/>
            <w:noWrap/>
            <w:vAlign w:val="bottom"/>
            <w:hideMark/>
          </w:tcPr>
          <w:p w14:paraId="45D173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auto"/>
              <w:right w:val="nil"/>
            </w:tcBorders>
            <w:shd w:val="clear" w:color="auto" w:fill="auto"/>
            <w:noWrap/>
            <w:vAlign w:val="bottom"/>
            <w:hideMark/>
          </w:tcPr>
          <w:p w14:paraId="0F40FF5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290" w:type="dxa"/>
            <w:tcBorders>
              <w:top w:val="nil"/>
              <w:left w:val="nil"/>
              <w:bottom w:val="single" w:sz="4" w:space="0" w:color="auto"/>
              <w:right w:val="nil"/>
            </w:tcBorders>
            <w:shd w:val="clear" w:color="auto" w:fill="auto"/>
            <w:noWrap/>
            <w:vAlign w:val="bottom"/>
            <w:hideMark/>
          </w:tcPr>
          <w:p w14:paraId="4B910A3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A9F14E8" w14:textId="77777777" w:rsidTr="00735871">
        <w:trPr>
          <w:trHeight w:val="277"/>
          <w:jc w:val="center"/>
        </w:trPr>
        <w:tc>
          <w:tcPr>
            <w:tcW w:w="9180" w:type="dxa"/>
            <w:gridSpan w:val="5"/>
            <w:tcBorders>
              <w:top w:val="single" w:sz="4" w:space="0" w:color="auto"/>
              <w:left w:val="nil"/>
              <w:right w:val="nil"/>
            </w:tcBorders>
            <w:shd w:val="clear" w:color="auto" w:fill="auto"/>
            <w:noWrap/>
            <w:vAlign w:val="bottom"/>
            <w:hideMark/>
          </w:tcPr>
          <w:p w14:paraId="1C6FDC1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NERC regions, CAA attainment status, and waste heat input control variables were dropped for convergence.</w:t>
            </w:r>
          </w:p>
          <w:p w14:paraId="0A5A007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39D1C1D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new technology installation for selective noncatalytic reduction technology reported in this table. NOx treatment is an indicator variable for treatment under either CAIR or CSAPR for NOx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p w14:paraId="3F05DCF9" w14:textId="77777777" w:rsidR="009478ED" w:rsidRPr="007F37A0" w:rsidRDefault="009478ED" w:rsidP="00735871">
            <w:pPr>
              <w:rPr>
                <w:rFonts w:ascii="Times New Roman" w:hAnsi="Times New Roman" w:cs="Times New Roman"/>
              </w:rPr>
            </w:pPr>
          </w:p>
          <w:p w14:paraId="5EFB1911" w14:textId="77777777" w:rsidR="009478ED" w:rsidRPr="007F37A0" w:rsidRDefault="009478ED" w:rsidP="00735871">
            <w:pPr>
              <w:rPr>
                <w:rFonts w:ascii="Times New Roman" w:hAnsi="Times New Roman" w:cs="Times New Roman"/>
              </w:rPr>
            </w:pPr>
          </w:p>
          <w:p w14:paraId="61FD8E7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5750788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452BA29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3609376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bl>
    <w:p w14:paraId="7E9D20BD" w14:textId="4CD24CCA" w:rsidR="009478ED" w:rsidRPr="007F37A0" w:rsidRDefault="009478ED" w:rsidP="007F37A0">
      <w:pPr>
        <w:pStyle w:val="Caption"/>
        <w:rPr>
          <w:rFonts w:cs="Times New Roman"/>
        </w:rPr>
      </w:pPr>
      <w:bookmarkStart w:id="191" w:name="_Toc164862569"/>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34</w:t>
      </w:r>
      <w:r w:rsidRPr="007F37A0">
        <w:rPr>
          <w:rFonts w:cs="Times New Roman"/>
        </w:rPr>
        <w:fldChar w:fldCharType="end"/>
      </w:r>
      <w:r w:rsidRPr="007F37A0">
        <w:rPr>
          <w:rFonts w:cs="Times New Roman"/>
        </w:rPr>
        <w:t>: Selective Catalytic Reduction NO</w:t>
      </w:r>
      <w:r w:rsidRPr="007F37A0">
        <w:rPr>
          <w:rFonts w:cs="Times New Roman"/>
          <w:vertAlign w:val="subscript"/>
        </w:rPr>
        <w:t>x</w:t>
      </w:r>
      <w:r w:rsidRPr="007F37A0">
        <w:rPr>
          <w:rFonts w:cs="Times New Roman"/>
        </w:rPr>
        <w:t xml:space="preserve"> Abatement Technology - Multinomial Logit</w:t>
      </w:r>
      <w:bookmarkEnd w:id="191"/>
    </w:p>
    <w:tbl>
      <w:tblPr>
        <w:tblW w:w="8550" w:type="dxa"/>
        <w:jc w:val="center"/>
        <w:tblLook w:val="04A0" w:firstRow="1" w:lastRow="0" w:firstColumn="1" w:lastColumn="0" w:noHBand="0" w:noVBand="1"/>
      </w:tblPr>
      <w:tblGrid>
        <w:gridCol w:w="2683"/>
        <w:gridCol w:w="1043"/>
        <w:gridCol w:w="2258"/>
        <w:gridCol w:w="1456"/>
        <w:gridCol w:w="1110"/>
      </w:tblGrid>
      <w:tr w:rsidR="009478ED" w:rsidRPr="007F37A0" w14:paraId="140C3405" w14:textId="77777777" w:rsidTr="00735871">
        <w:trPr>
          <w:trHeight w:val="277"/>
          <w:jc w:val="center"/>
        </w:trPr>
        <w:tc>
          <w:tcPr>
            <w:tcW w:w="2683" w:type="dxa"/>
            <w:tcBorders>
              <w:top w:val="single" w:sz="4" w:space="0" w:color="000000"/>
              <w:left w:val="nil"/>
              <w:bottom w:val="nil"/>
              <w:right w:val="nil"/>
            </w:tcBorders>
            <w:shd w:val="clear" w:color="auto" w:fill="auto"/>
            <w:noWrap/>
            <w:vAlign w:val="bottom"/>
            <w:hideMark/>
          </w:tcPr>
          <w:p w14:paraId="6CFDE55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043" w:type="dxa"/>
            <w:tcBorders>
              <w:top w:val="single" w:sz="4" w:space="0" w:color="000000"/>
              <w:left w:val="nil"/>
              <w:bottom w:val="nil"/>
              <w:right w:val="nil"/>
            </w:tcBorders>
            <w:shd w:val="clear" w:color="auto" w:fill="auto"/>
            <w:noWrap/>
            <w:vAlign w:val="bottom"/>
            <w:hideMark/>
          </w:tcPr>
          <w:p w14:paraId="6355714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8" w:type="dxa"/>
            <w:tcBorders>
              <w:top w:val="single" w:sz="4" w:space="0" w:color="000000"/>
              <w:left w:val="nil"/>
              <w:bottom w:val="nil"/>
              <w:right w:val="nil"/>
            </w:tcBorders>
            <w:shd w:val="clear" w:color="auto" w:fill="auto"/>
            <w:noWrap/>
            <w:vAlign w:val="bottom"/>
            <w:hideMark/>
          </w:tcPr>
          <w:p w14:paraId="5FE8D10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456" w:type="dxa"/>
            <w:tcBorders>
              <w:top w:val="single" w:sz="4" w:space="0" w:color="000000"/>
              <w:left w:val="nil"/>
              <w:bottom w:val="nil"/>
              <w:right w:val="nil"/>
            </w:tcBorders>
            <w:shd w:val="clear" w:color="auto" w:fill="auto"/>
            <w:noWrap/>
            <w:vAlign w:val="bottom"/>
            <w:hideMark/>
          </w:tcPr>
          <w:p w14:paraId="01A7872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110" w:type="dxa"/>
            <w:tcBorders>
              <w:top w:val="single" w:sz="4" w:space="0" w:color="000000"/>
              <w:left w:val="nil"/>
              <w:bottom w:val="nil"/>
              <w:right w:val="nil"/>
            </w:tcBorders>
            <w:shd w:val="clear" w:color="auto" w:fill="auto"/>
            <w:noWrap/>
            <w:vAlign w:val="bottom"/>
            <w:hideMark/>
          </w:tcPr>
          <w:p w14:paraId="12F9CBC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30FD1C20" w14:textId="77777777" w:rsidTr="00735871">
        <w:trPr>
          <w:trHeight w:val="277"/>
          <w:jc w:val="center"/>
        </w:trPr>
        <w:tc>
          <w:tcPr>
            <w:tcW w:w="2683" w:type="dxa"/>
            <w:tcBorders>
              <w:top w:val="nil"/>
              <w:left w:val="nil"/>
              <w:bottom w:val="nil"/>
              <w:right w:val="nil"/>
            </w:tcBorders>
            <w:shd w:val="clear" w:color="auto" w:fill="auto"/>
            <w:noWrap/>
            <w:vAlign w:val="bottom"/>
            <w:hideMark/>
          </w:tcPr>
          <w:p w14:paraId="333459C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7A65F59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New SCR Technology Installation</w:t>
            </w:r>
          </w:p>
        </w:tc>
        <w:tc>
          <w:tcPr>
            <w:tcW w:w="1043" w:type="dxa"/>
            <w:tcBorders>
              <w:top w:val="nil"/>
              <w:left w:val="nil"/>
              <w:bottom w:val="nil"/>
              <w:right w:val="nil"/>
            </w:tcBorders>
            <w:shd w:val="clear" w:color="auto" w:fill="auto"/>
            <w:noWrap/>
            <w:vAlign w:val="bottom"/>
            <w:hideMark/>
          </w:tcPr>
          <w:p w14:paraId="348B511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8" w:type="dxa"/>
            <w:tcBorders>
              <w:top w:val="nil"/>
              <w:left w:val="nil"/>
              <w:bottom w:val="nil"/>
              <w:right w:val="nil"/>
            </w:tcBorders>
            <w:shd w:val="clear" w:color="auto" w:fill="auto"/>
            <w:noWrap/>
            <w:vAlign w:val="bottom"/>
            <w:hideMark/>
          </w:tcPr>
          <w:p w14:paraId="5FB306F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456" w:type="dxa"/>
            <w:tcBorders>
              <w:top w:val="nil"/>
              <w:left w:val="nil"/>
              <w:bottom w:val="nil"/>
              <w:right w:val="nil"/>
            </w:tcBorders>
            <w:shd w:val="clear" w:color="auto" w:fill="auto"/>
            <w:noWrap/>
            <w:vAlign w:val="bottom"/>
            <w:hideMark/>
          </w:tcPr>
          <w:p w14:paraId="721F3E9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110" w:type="dxa"/>
            <w:tcBorders>
              <w:top w:val="nil"/>
              <w:left w:val="nil"/>
              <w:bottom w:val="nil"/>
              <w:right w:val="nil"/>
            </w:tcBorders>
            <w:shd w:val="clear" w:color="auto" w:fill="auto"/>
            <w:noWrap/>
            <w:vAlign w:val="bottom"/>
            <w:hideMark/>
          </w:tcPr>
          <w:p w14:paraId="33B139A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669697EC" w14:textId="77777777" w:rsidTr="00735871">
        <w:trPr>
          <w:trHeight w:val="277"/>
          <w:jc w:val="center"/>
        </w:trPr>
        <w:tc>
          <w:tcPr>
            <w:tcW w:w="2683" w:type="dxa"/>
            <w:tcBorders>
              <w:top w:val="single" w:sz="4" w:space="0" w:color="000000"/>
              <w:left w:val="nil"/>
              <w:bottom w:val="nil"/>
              <w:right w:val="nil"/>
            </w:tcBorders>
            <w:shd w:val="clear" w:color="auto" w:fill="auto"/>
            <w:noWrap/>
            <w:vAlign w:val="bottom"/>
            <w:hideMark/>
          </w:tcPr>
          <w:p w14:paraId="792CBF6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043" w:type="dxa"/>
            <w:tcBorders>
              <w:top w:val="single" w:sz="4" w:space="0" w:color="000000"/>
              <w:left w:val="nil"/>
              <w:bottom w:val="nil"/>
              <w:right w:val="nil"/>
            </w:tcBorders>
            <w:shd w:val="clear" w:color="auto" w:fill="auto"/>
            <w:noWrap/>
            <w:vAlign w:val="bottom"/>
            <w:hideMark/>
          </w:tcPr>
          <w:p w14:paraId="44B7D31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8" w:type="dxa"/>
            <w:tcBorders>
              <w:top w:val="single" w:sz="4" w:space="0" w:color="000000"/>
              <w:left w:val="nil"/>
              <w:bottom w:val="nil"/>
              <w:right w:val="nil"/>
            </w:tcBorders>
            <w:shd w:val="clear" w:color="auto" w:fill="auto"/>
            <w:noWrap/>
            <w:vAlign w:val="bottom"/>
            <w:hideMark/>
          </w:tcPr>
          <w:p w14:paraId="5B292EB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55F2A9E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110" w:type="dxa"/>
            <w:tcBorders>
              <w:top w:val="single" w:sz="4" w:space="0" w:color="000000"/>
              <w:left w:val="nil"/>
              <w:bottom w:val="nil"/>
              <w:right w:val="nil"/>
            </w:tcBorders>
            <w:shd w:val="clear" w:color="auto" w:fill="auto"/>
            <w:noWrap/>
            <w:vAlign w:val="bottom"/>
            <w:hideMark/>
          </w:tcPr>
          <w:p w14:paraId="596DDBD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4F6D7D90" w14:textId="77777777" w:rsidTr="00735871">
        <w:trPr>
          <w:trHeight w:val="277"/>
          <w:jc w:val="center"/>
        </w:trPr>
        <w:tc>
          <w:tcPr>
            <w:tcW w:w="2683" w:type="dxa"/>
            <w:tcBorders>
              <w:top w:val="nil"/>
              <w:left w:val="nil"/>
              <w:bottom w:val="nil"/>
              <w:right w:val="nil"/>
            </w:tcBorders>
            <w:shd w:val="clear" w:color="auto" w:fill="auto"/>
            <w:noWrap/>
            <w:vAlign w:val="bottom"/>
            <w:hideMark/>
          </w:tcPr>
          <w:p w14:paraId="3A4F1F0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NOx Treatment</w:t>
            </w:r>
          </w:p>
        </w:tc>
        <w:tc>
          <w:tcPr>
            <w:tcW w:w="1043" w:type="dxa"/>
            <w:tcBorders>
              <w:top w:val="nil"/>
              <w:left w:val="nil"/>
              <w:bottom w:val="nil"/>
              <w:right w:val="nil"/>
            </w:tcBorders>
            <w:shd w:val="clear" w:color="auto" w:fill="auto"/>
            <w:noWrap/>
            <w:vAlign w:val="bottom"/>
            <w:hideMark/>
          </w:tcPr>
          <w:p w14:paraId="08658D9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0.225</w:t>
            </w:r>
          </w:p>
        </w:tc>
        <w:tc>
          <w:tcPr>
            <w:tcW w:w="2258" w:type="dxa"/>
            <w:tcBorders>
              <w:top w:val="nil"/>
              <w:left w:val="nil"/>
              <w:bottom w:val="nil"/>
              <w:right w:val="nil"/>
            </w:tcBorders>
            <w:shd w:val="clear" w:color="auto" w:fill="auto"/>
            <w:noWrap/>
            <w:vAlign w:val="bottom"/>
            <w:hideMark/>
          </w:tcPr>
          <w:p w14:paraId="3AF6532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0.343</w:t>
            </w:r>
          </w:p>
        </w:tc>
        <w:tc>
          <w:tcPr>
            <w:tcW w:w="1456" w:type="dxa"/>
            <w:tcBorders>
              <w:top w:val="nil"/>
              <w:left w:val="nil"/>
              <w:bottom w:val="nil"/>
              <w:right w:val="nil"/>
            </w:tcBorders>
            <w:shd w:val="clear" w:color="auto" w:fill="auto"/>
            <w:noWrap/>
            <w:vAlign w:val="bottom"/>
            <w:hideMark/>
          </w:tcPr>
          <w:p w14:paraId="16E0722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0.324</w:t>
            </w:r>
          </w:p>
        </w:tc>
        <w:tc>
          <w:tcPr>
            <w:tcW w:w="1110" w:type="dxa"/>
            <w:tcBorders>
              <w:top w:val="nil"/>
              <w:left w:val="nil"/>
              <w:bottom w:val="nil"/>
              <w:right w:val="nil"/>
            </w:tcBorders>
            <w:shd w:val="clear" w:color="auto" w:fill="auto"/>
            <w:noWrap/>
            <w:vAlign w:val="bottom"/>
            <w:hideMark/>
          </w:tcPr>
          <w:p w14:paraId="3B8744F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0.466</w:t>
            </w:r>
          </w:p>
        </w:tc>
      </w:tr>
      <w:tr w:rsidR="009478ED" w:rsidRPr="007F37A0" w14:paraId="0E027644" w14:textId="77777777" w:rsidTr="00735871">
        <w:trPr>
          <w:trHeight w:val="277"/>
          <w:jc w:val="center"/>
        </w:trPr>
        <w:tc>
          <w:tcPr>
            <w:tcW w:w="2683" w:type="dxa"/>
            <w:tcBorders>
              <w:top w:val="nil"/>
              <w:left w:val="nil"/>
              <w:bottom w:val="nil"/>
              <w:right w:val="nil"/>
            </w:tcBorders>
            <w:shd w:val="clear" w:color="auto" w:fill="auto"/>
            <w:noWrap/>
            <w:vAlign w:val="bottom"/>
            <w:hideMark/>
          </w:tcPr>
          <w:p w14:paraId="3676E23E" w14:textId="77777777" w:rsidR="009478ED" w:rsidRPr="007F37A0" w:rsidRDefault="009478ED" w:rsidP="00735871">
            <w:pPr>
              <w:jc w:val="center"/>
              <w:rPr>
                <w:rFonts w:ascii="Times New Roman" w:hAnsi="Times New Roman" w:cs="Times New Roman"/>
              </w:rPr>
            </w:pPr>
          </w:p>
        </w:tc>
        <w:tc>
          <w:tcPr>
            <w:tcW w:w="1043" w:type="dxa"/>
            <w:tcBorders>
              <w:top w:val="nil"/>
              <w:left w:val="nil"/>
              <w:bottom w:val="nil"/>
              <w:right w:val="nil"/>
            </w:tcBorders>
            <w:shd w:val="clear" w:color="auto" w:fill="auto"/>
            <w:noWrap/>
            <w:vAlign w:val="bottom"/>
            <w:hideMark/>
          </w:tcPr>
          <w:p w14:paraId="09D231B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(0.276)</w:t>
            </w:r>
          </w:p>
        </w:tc>
        <w:tc>
          <w:tcPr>
            <w:tcW w:w="2258" w:type="dxa"/>
            <w:tcBorders>
              <w:top w:val="nil"/>
              <w:left w:val="nil"/>
              <w:bottom w:val="nil"/>
              <w:right w:val="nil"/>
            </w:tcBorders>
            <w:shd w:val="clear" w:color="auto" w:fill="auto"/>
            <w:noWrap/>
            <w:vAlign w:val="bottom"/>
            <w:hideMark/>
          </w:tcPr>
          <w:p w14:paraId="5FC97D5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(0.516)</w:t>
            </w:r>
          </w:p>
        </w:tc>
        <w:tc>
          <w:tcPr>
            <w:tcW w:w="1456" w:type="dxa"/>
            <w:tcBorders>
              <w:top w:val="nil"/>
              <w:left w:val="nil"/>
              <w:bottom w:val="nil"/>
              <w:right w:val="nil"/>
            </w:tcBorders>
            <w:shd w:val="clear" w:color="auto" w:fill="auto"/>
            <w:noWrap/>
            <w:vAlign w:val="bottom"/>
            <w:hideMark/>
          </w:tcPr>
          <w:p w14:paraId="4FD9455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(0.519)</w:t>
            </w:r>
          </w:p>
        </w:tc>
        <w:tc>
          <w:tcPr>
            <w:tcW w:w="1110" w:type="dxa"/>
            <w:tcBorders>
              <w:top w:val="nil"/>
              <w:left w:val="nil"/>
              <w:bottom w:val="nil"/>
              <w:right w:val="nil"/>
            </w:tcBorders>
            <w:shd w:val="clear" w:color="auto" w:fill="auto"/>
            <w:noWrap/>
            <w:vAlign w:val="bottom"/>
            <w:hideMark/>
          </w:tcPr>
          <w:p w14:paraId="5D47292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(0.309)</w:t>
            </w:r>
          </w:p>
        </w:tc>
      </w:tr>
      <w:tr w:rsidR="009478ED" w:rsidRPr="007F37A0" w14:paraId="166363F2" w14:textId="77777777" w:rsidTr="00735871">
        <w:trPr>
          <w:trHeight w:val="277"/>
          <w:jc w:val="center"/>
        </w:trPr>
        <w:tc>
          <w:tcPr>
            <w:tcW w:w="2683" w:type="dxa"/>
            <w:tcBorders>
              <w:top w:val="nil"/>
              <w:left w:val="nil"/>
              <w:bottom w:val="nil"/>
              <w:right w:val="nil"/>
            </w:tcBorders>
            <w:shd w:val="clear" w:color="auto" w:fill="auto"/>
            <w:noWrap/>
            <w:vAlign w:val="bottom"/>
            <w:hideMark/>
          </w:tcPr>
          <w:p w14:paraId="0F7FD1EB" w14:textId="77777777" w:rsidR="009478ED" w:rsidRPr="007F37A0" w:rsidRDefault="009478ED" w:rsidP="00735871">
            <w:pPr>
              <w:jc w:val="center"/>
              <w:rPr>
                <w:rFonts w:ascii="Times New Roman" w:hAnsi="Times New Roman" w:cs="Times New Roman"/>
              </w:rPr>
            </w:pPr>
          </w:p>
        </w:tc>
        <w:tc>
          <w:tcPr>
            <w:tcW w:w="1043" w:type="dxa"/>
            <w:tcBorders>
              <w:top w:val="nil"/>
              <w:left w:val="nil"/>
              <w:bottom w:val="nil"/>
              <w:right w:val="nil"/>
            </w:tcBorders>
            <w:shd w:val="clear" w:color="auto" w:fill="auto"/>
            <w:noWrap/>
            <w:vAlign w:val="bottom"/>
            <w:hideMark/>
          </w:tcPr>
          <w:p w14:paraId="35A4D53A" w14:textId="77777777" w:rsidR="009478ED" w:rsidRPr="007F37A0" w:rsidRDefault="009478ED" w:rsidP="00735871">
            <w:pPr>
              <w:rPr>
                <w:rFonts w:ascii="Times New Roman" w:hAnsi="Times New Roman" w:cs="Times New Roman"/>
              </w:rPr>
            </w:pPr>
          </w:p>
        </w:tc>
        <w:tc>
          <w:tcPr>
            <w:tcW w:w="2258" w:type="dxa"/>
            <w:tcBorders>
              <w:top w:val="nil"/>
              <w:left w:val="nil"/>
              <w:bottom w:val="nil"/>
              <w:right w:val="nil"/>
            </w:tcBorders>
            <w:shd w:val="clear" w:color="auto" w:fill="auto"/>
            <w:noWrap/>
            <w:vAlign w:val="bottom"/>
            <w:hideMark/>
          </w:tcPr>
          <w:p w14:paraId="0F94D609"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5BE3C114" w14:textId="77777777" w:rsidR="009478ED" w:rsidRPr="007F37A0" w:rsidRDefault="009478ED" w:rsidP="00735871">
            <w:pPr>
              <w:jc w:val="center"/>
              <w:rPr>
                <w:rFonts w:ascii="Times New Roman" w:hAnsi="Times New Roman" w:cs="Times New Roman"/>
              </w:rPr>
            </w:pPr>
          </w:p>
        </w:tc>
        <w:tc>
          <w:tcPr>
            <w:tcW w:w="1110" w:type="dxa"/>
            <w:tcBorders>
              <w:top w:val="nil"/>
              <w:left w:val="nil"/>
              <w:bottom w:val="nil"/>
              <w:right w:val="nil"/>
            </w:tcBorders>
            <w:shd w:val="clear" w:color="auto" w:fill="auto"/>
            <w:noWrap/>
            <w:vAlign w:val="bottom"/>
            <w:hideMark/>
          </w:tcPr>
          <w:p w14:paraId="4B7303BE" w14:textId="77777777" w:rsidR="009478ED" w:rsidRPr="007F37A0" w:rsidRDefault="009478ED" w:rsidP="00735871">
            <w:pPr>
              <w:jc w:val="center"/>
              <w:rPr>
                <w:rFonts w:ascii="Times New Roman" w:hAnsi="Times New Roman" w:cs="Times New Roman"/>
              </w:rPr>
            </w:pPr>
          </w:p>
        </w:tc>
      </w:tr>
      <w:tr w:rsidR="009478ED" w:rsidRPr="007F37A0" w14:paraId="488E4308" w14:textId="77777777" w:rsidTr="00735871">
        <w:trPr>
          <w:trHeight w:val="277"/>
          <w:jc w:val="center"/>
        </w:trPr>
        <w:tc>
          <w:tcPr>
            <w:tcW w:w="2683" w:type="dxa"/>
            <w:tcBorders>
              <w:top w:val="nil"/>
              <w:left w:val="nil"/>
              <w:bottom w:val="nil"/>
              <w:right w:val="nil"/>
            </w:tcBorders>
            <w:shd w:val="clear" w:color="auto" w:fill="auto"/>
            <w:noWrap/>
            <w:vAlign w:val="bottom"/>
            <w:hideMark/>
          </w:tcPr>
          <w:p w14:paraId="7DFDFF2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043" w:type="dxa"/>
            <w:tcBorders>
              <w:top w:val="nil"/>
              <w:left w:val="nil"/>
              <w:bottom w:val="nil"/>
              <w:right w:val="nil"/>
            </w:tcBorders>
            <w:shd w:val="clear" w:color="auto" w:fill="auto"/>
            <w:noWrap/>
            <w:vAlign w:val="bottom"/>
            <w:hideMark/>
          </w:tcPr>
          <w:p w14:paraId="143327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8" w:type="dxa"/>
            <w:tcBorders>
              <w:top w:val="nil"/>
              <w:left w:val="nil"/>
              <w:bottom w:val="nil"/>
              <w:right w:val="nil"/>
            </w:tcBorders>
            <w:shd w:val="clear" w:color="auto" w:fill="auto"/>
            <w:noWrap/>
            <w:vAlign w:val="bottom"/>
            <w:hideMark/>
          </w:tcPr>
          <w:p w14:paraId="096D350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3D98F0B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110" w:type="dxa"/>
            <w:tcBorders>
              <w:top w:val="nil"/>
              <w:left w:val="nil"/>
              <w:bottom w:val="nil"/>
              <w:right w:val="nil"/>
            </w:tcBorders>
            <w:shd w:val="clear" w:color="auto" w:fill="auto"/>
            <w:noWrap/>
            <w:vAlign w:val="bottom"/>
            <w:hideMark/>
          </w:tcPr>
          <w:p w14:paraId="2F5770C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53D17002" w14:textId="77777777" w:rsidTr="00735871">
        <w:trPr>
          <w:trHeight w:val="277"/>
          <w:jc w:val="center"/>
        </w:trPr>
        <w:tc>
          <w:tcPr>
            <w:tcW w:w="2683" w:type="dxa"/>
            <w:tcBorders>
              <w:top w:val="nil"/>
              <w:left w:val="nil"/>
              <w:bottom w:val="nil"/>
              <w:right w:val="nil"/>
            </w:tcBorders>
            <w:shd w:val="clear" w:color="auto" w:fill="auto"/>
            <w:noWrap/>
            <w:vAlign w:val="bottom"/>
            <w:hideMark/>
          </w:tcPr>
          <w:p w14:paraId="14AE615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043" w:type="dxa"/>
            <w:tcBorders>
              <w:top w:val="nil"/>
              <w:left w:val="nil"/>
              <w:bottom w:val="nil"/>
              <w:right w:val="nil"/>
            </w:tcBorders>
            <w:shd w:val="clear" w:color="auto" w:fill="auto"/>
            <w:noWrap/>
            <w:vAlign w:val="bottom"/>
            <w:hideMark/>
          </w:tcPr>
          <w:p w14:paraId="00D96C3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8" w:type="dxa"/>
            <w:tcBorders>
              <w:top w:val="nil"/>
              <w:left w:val="nil"/>
              <w:bottom w:val="nil"/>
              <w:right w:val="nil"/>
            </w:tcBorders>
            <w:shd w:val="clear" w:color="auto" w:fill="auto"/>
            <w:noWrap/>
            <w:vAlign w:val="bottom"/>
            <w:hideMark/>
          </w:tcPr>
          <w:p w14:paraId="3018A45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3C655FD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10" w:type="dxa"/>
            <w:tcBorders>
              <w:top w:val="nil"/>
              <w:left w:val="nil"/>
              <w:bottom w:val="nil"/>
              <w:right w:val="nil"/>
            </w:tcBorders>
            <w:shd w:val="clear" w:color="auto" w:fill="auto"/>
            <w:noWrap/>
            <w:vAlign w:val="bottom"/>
            <w:hideMark/>
          </w:tcPr>
          <w:p w14:paraId="181AB65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6066E093" w14:textId="77777777" w:rsidTr="00735871">
        <w:trPr>
          <w:trHeight w:val="277"/>
          <w:jc w:val="center"/>
        </w:trPr>
        <w:tc>
          <w:tcPr>
            <w:tcW w:w="2683" w:type="dxa"/>
            <w:tcBorders>
              <w:top w:val="nil"/>
              <w:left w:val="nil"/>
              <w:bottom w:val="nil"/>
              <w:right w:val="nil"/>
            </w:tcBorders>
            <w:shd w:val="clear" w:color="auto" w:fill="auto"/>
            <w:noWrap/>
            <w:vAlign w:val="bottom"/>
            <w:hideMark/>
          </w:tcPr>
          <w:p w14:paraId="24C2DF1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043" w:type="dxa"/>
            <w:tcBorders>
              <w:top w:val="nil"/>
              <w:left w:val="nil"/>
              <w:bottom w:val="nil"/>
              <w:right w:val="nil"/>
            </w:tcBorders>
            <w:shd w:val="clear" w:color="auto" w:fill="auto"/>
            <w:noWrap/>
            <w:vAlign w:val="bottom"/>
            <w:hideMark/>
          </w:tcPr>
          <w:p w14:paraId="62F5FB9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nil"/>
              <w:right w:val="nil"/>
            </w:tcBorders>
            <w:shd w:val="clear" w:color="auto" w:fill="auto"/>
            <w:noWrap/>
            <w:vAlign w:val="bottom"/>
            <w:hideMark/>
          </w:tcPr>
          <w:p w14:paraId="11C2394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631B6B8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10" w:type="dxa"/>
            <w:tcBorders>
              <w:top w:val="nil"/>
              <w:left w:val="nil"/>
              <w:bottom w:val="nil"/>
              <w:right w:val="nil"/>
            </w:tcBorders>
            <w:shd w:val="clear" w:color="auto" w:fill="auto"/>
            <w:noWrap/>
            <w:vAlign w:val="bottom"/>
            <w:hideMark/>
          </w:tcPr>
          <w:p w14:paraId="2DF9BA2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7ED893D" w14:textId="77777777" w:rsidTr="00735871">
        <w:trPr>
          <w:trHeight w:val="277"/>
          <w:jc w:val="center"/>
        </w:trPr>
        <w:tc>
          <w:tcPr>
            <w:tcW w:w="2683" w:type="dxa"/>
            <w:tcBorders>
              <w:top w:val="nil"/>
              <w:left w:val="nil"/>
              <w:right w:val="nil"/>
            </w:tcBorders>
            <w:shd w:val="clear" w:color="auto" w:fill="auto"/>
            <w:noWrap/>
            <w:vAlign w:val="bottom"/>
            <w:hideMark/>
          </w:tcPr>
          <w:p w14:paraId="65C25E0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043" w:type="dxa"/>
            <w:tcBorders>
              <w:top w:val="nil"/>
              <w:left w:val="nil"/>
              <w:right w:val="nil"/>
            </w:tcBorders>
            <w:shd w:val="clear" w:color="auto" w:fill="auto"/>
            <w:noWrap/>
            <w:vAlign w:val="bottom"/>
            <w:hideMark/>
          </w:tcPr>
          <w:p w14:paraId="6C9D878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right w:val="nil"/>
            </w:tcBorders>
            <w:shd w:val="clear" w:color="auto" w:fill="auto"/>
            <w:noWrap/>
            <w:vAlign w:val="bottom"/>
            <w:hideMark/>
          </w:tcPr>
          <w:p w14:paraId="7265629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right w:val="nil"/>
            </w:tcBorders>
            <w:shd w:val="clear" w:color="auto" w:fill="auto"/>
            <w:noWrap/>
            <w:vAlign w:val="bottom"/>
            <w:hideMark/>
          </w:tcPr>
          <w:p w14:paraId="36833FC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10" w:type="dxa"/>
            <w:tcBorders>
              <w:top w:val="nil"/>
              <w:left w:val="nil"/>
              <w:right w:val="nil"/>
            </w:tcBorders>
            <w:shd w:val="clear" w:color="auto" w:fill="auto"/>
            <w:noWrap/>
            <w:vAlign w:val="bottom"/>
            <w:hideMark/>
          </w:tcPr>
          <w:p w14:paraId="643171F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C3487DD" w14:textId="77777777" w:rsidTr="00735871">
        <w:trPr>
          <w:trHeight w:val="277"/>
          <w:jc w:val="center"/>
        </w:trPr>
        <w:tc>
          <w:tcPr>
            <w:tcW w:w="2683" w:type="dxa"/>
            <w:tcBorders>
              <w:top w:val="nil"/>
              <w:left w:val="nil"/>
              <w:bottom w:val="single" w:sz="4" w:space="0" w:color="auto"/>
              <w:right w:val="nil"/>
            </w:tcBorders>
            <w:shd w:val="clear" w:color="auto" w:fill="auto"/>
            <w:noWrap/>
            <w:vAlign w:val="bottom"/>
            <w:hideMark/>
          </w:tcPr>
          <w:p w14:paraId="4EB6BCB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043" w:type="dxa"/>
            <w:tcBorders>
              <w:top w:val="nil"/>
              <w:left w:val="nil"/>
              <w:bottom w:val="single" w:sz="4" w:space="0" w:color="auto"/>
              <w:right w:val="nil"/>
            </w:tcBorders>
            <w:shd w:val="clear" w:color="auto" w:fill="auto"/>
            <w:noWrap/>
            <w:vAlign w:val="bottom"/>
            <w:hideMark/>
          </w:tcPr>
          <w:p w14:paraId="5372338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single" w:sz="4" w:space="0" w:color="auto"/>
              <w:right w:val="nil"/>
            </w:tcBorders>
            <w:shd w:val="clear" w:color="auto" w:fill="auto"/>
            <w:noWrap/>
            <w:vAlign w:val="bottom"/>
            <w:hideMark/>
          </w:tcPr>
          <w:p w14:paraId="5F2FE90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auto"/>
              <w:right w:val="nil"/>
            </w:tcBorders>
            <w:shd w:val="clear" w:color="auto" w:fill="auto"/>
            <w:noWrap/>
            <w:vAlign w:val="bottom"/>
            <w:hideMark/>
          </w:tcPr>
          <w:p w14:paraId="4C0CB99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110" w:type="dxa"/>
            <w:tcBorders>
              <w:top w:val="nil"/>
              <w:left w:val="nil"/>
              <w:bottom w:val="single" w:sz="4" w:space="0" w:color="auto"/>
              <w:right w:val="nil"/>
            </w:tcBorders>
            <w:shd w:val="clear" w:color="auto" w:fill="auto"/>
            <w:noWrap/>
            <w:vAlign w:val="bottom"/>
            <w:hideMark/>
          </w:tcPr>
          <w:p w14:paraId="1F37D6B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5086E00" w14:textId="77777777" w:rsidTr="00735871">
        <w:trPr>
          <w:trHeight w:val="277"/>
          <w:jc w:val="center"/>
        </w:trPr>
        <w:tc>
          <w:tcPr>
            <w:tcW w:w="8550" w:type="dxa"/>
            <w:gridSpan w:val="5"/>
            <w:tcBorders>
              <w:top w:val="single" w:sz="4" w:space="0" w:color="auto"/>
              <w:left w:val="nil"/>
              <w:right w:val="nil"/>
            </w:tcBorders>
            <w:shd w:val="clear" w:color="auto" w:fill="auto"/>
            <w:noWrap/>
            <w:vAlign w:val="bottom"/>
            <w:hideMark/>
          </w:tcPr>
          <w:p w14:paraId="464D064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NERC regions, CAA attainment status, and waste heat input control variables were dropped for convergence.</w:t>
            </w:r>
          </w:p>
          <w:p w14:paraId="13F66ED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7008006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new technology installation for selective catalytic reduction technology reported in this table. NOx treatment is an indicator variable for treatment under either CAIR or CSAPR for NOx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p w14:paraId="7E0473BD" w14:textId="77777777" w:rsidR="009478ED" w:rsidRPr="007F37A0" w:rsidRDefault="009478ED" w:rsidP="00735871">
            <w:pPr>
              <w:rPr>
                <w:rFonts w:ascii="Times New Roman" w:hAnsi="Times New Roman" w:cs="Times New Roman"/>
              </w:rPr>
            </w:pPr>
          </w:p>
          <w:p w14:paraId="0BD9117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2180138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4979908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57A9B81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bl>
    <w:p w14:paraId="4F70C473" w14:textId="77777777" w:rsidR="009478ED" w:rsidRPr="007F37A0" w:rsidRDefault="009478ED" w:rsidP="009478ED">
      <w:pPr>
        <w:rPr>
          <w:rFonts w:ascii="Times New Roman" w:hAnsi="Times New Roman" w:cs="Times New Roman"/>
        </w:rPr>
      </w:pPr>
    </w:p>
    <w:p w14:paraId="342D5070" w14:textId="6CB8C4E4" w:rsidR="009478ED" w:rsidRPr="007F37A0" w:rsidRDefault="009478ED" w:rsidP="007F37A0">
      <w:pPr>
        <w:pStyle w:val="Caption"/>
        <w:rPr>
          <w:rFonts w:cs="Times New Roman"/>
        </w:rPr>
      </w:pPr>
      <w:bookmarkStart w:id="192" w:name="_Toc164862570"/>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35</w:t>
      </w:r>
      <w:r w:rsidRPr="007F37A0">
        <w:rPr>
          <w:rFonts w:cs="Times New Roman"/>
        </w:rPr>
        <w:fldChar w:fldCharType="end"/>
      </w:r>
      <w:r w:rsidRPr="007F37A0">
        <w:rPr>
          <w:rFonts w:cs="Times New Roman"/>
        </w:rPr>
        <w:t>: Other NO</w:t>
      </w:r>
      <w:r w:rsidRPr="007F37A0">
        <w:rPr>
          <w:rFonts w:cs="Times New Roman"/>
          <w:vertAlign w:val="subscript"/>
        </w:rPr>
        <w:t>x</w:t>
      </w:r>
      <w:r w:rsidRPr="007F37A0">
        <w:rPr>
          <w:rFonts w:cs="Times New Roman"/>
        </w:rPr>
        <w:t xml:space="preserve"> Abatement Technology - Multinomial Logit</w:t>
      </w:r>
      <w:bookmarkEnd w:id="192"/>
    </w:p>
    <w:tbl>
      <w:tblPr>
        <w:tblW w:w="8370" w:type="dxa"/>
        <w:jc w:val="center"/>
        <w:tblLook w:val="04A0" w:firstRow="1" w:lastRow="0" w:firstColumn="1" w:lastColumn="0" w:noHBand="0" w:noVBand="1"/>
      </w:tblPr>
      <w:tblGrid>
        <w:gridCol w:w="2430"/>
        <w:gridCol w:w="1116"/>
        <w:gridCol w:w="2258"/>
        <w:gridCol w:w="1456"/>
        <w:gridCol w:w="1336"/>
      </w:tblGrid>
      <w:tr w:rsidR="009478ED" w:rsidRPr="007F37A0" w14:paraId="65CF307D" w14:textId="77777777" w:rsidTr="00735871">
        <w:trPr>
          <w:trHeight w:val="277"/>
          <w:jc w:val="center"/>
        </w:trPr>
        <w:tc>
          <w:tcPr>
            <w:tcW w:w="2430" w:type="dxa"/>
            <w:tcBorders>
              <w:top w:val="single" w:sz="4" w:space="0" w:color="000000"/>
              <w:left w:val="nil"/>
              <w:bottom w:val="nil"/>
              <w:right w:val="nil"/>
            </w:tcBorders>
            <w:shd w:val="clear" w:color="auto" w:fill="auto"/>
            <w:noWrap/>
            <w:vAlign w:val="bottom"/>
            <w:hideMark/>
          </w:tcPr>
          <w:p w14:paraId="4973984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16" w:type="dxa"/>
            <w:tcBorders>
              <w:top w:val="single" w:sz="4" w:space="0" w:color="000000"/>
              <w:left w:val="nil"/>
              <w:bottom w:val="nil"/>
              <w:right w:val="nil"/>
            </w:tcBorders>
            <w:shd w:val="clear" w:color="auto" w:fill="auto"/>
            <w:noWrap/>
            <w:vAlign w:val="bottom"/>
            <w:hideMark/>
          </w:tcPr>
          <w:p w14:paraId="72A6A3F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8" w:type="dxa"/>
            <w:tcBorders>
              <w:top w:val="single" w:sz="4" w:space="0" w:color="000000"/>
              <w:left w:val="nil"/>
              <w:bottom w:val="nil"/>
              <w:right w:val="nil"/>
            </w:tcBorders>
            <w:shd w:val="clear" w:color="auto" w:fill="auto"/>
            <w:noWrap/>
            <w:vAlign w:val="bottom"/>
            <w:hideMark/>
          </w:tcPr>
          <w:p w14:paraId="7DED9E2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456" w:type="dxa"/>
            <w:tcBorders>
              <w:top w:val="single" w:sz="4" w:space="0" w:color="000000"/>
              <w:left w:val="nil"/>
              <w:bottom w:val="nil"/>
              <w:right w:val="nil"/>
            </w:tcBorders>
            <w:shd w:val="clear" w:color="auto" w:fill="auto"/>
            <w:noWrap/>
            <w:vAlign w:val="bottom"/>
            <w:hideMark/>
          </w:tcPr>
          <w:p w14:paraId="1FD8895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110" w:type="dxa"/>
            <w:tcBorders>
              <w:top w:val="single" w:sz="4" w:space="0" w:color="000000"/>
              <w:left w:val="nil"/>
              <w:bottom w:val="nil"/>
              <w:right w:val="nil"/>
            </w:tcBorders>
            <w:shd w:val="clear" w:color="auto" w:fill="auto"/>
            <w:noWrap/>
            <w:vAlign w:val="bottom"/>
            <w:hideMark/>
          </w:tcPr>
          <w:p w14:paraId="5119CCB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02925A46" w14:textId="77777777" w:rsidTr="00735871">
        <w:trPr>
          <w:trHeight w:val="277"/>
          <w:jc w:val="center"/>
        </w:trPr>
        <w:tc>
          <w:tcPr>
            <w:tcW w:w="2430" w:type="dxa"/>
            <w:tcBorders>
              <w:top w:val="nil"/>
              <w:left w:val="nil"/>
              <w:bottom w:val="nil"/>
              <w:right w:val="nil"/>
            </w:tcBorders>
            <w:shd w:val="clear" w:color="auto" w:fill="auto"/>
            <w:noWrap/>
            <w:vAlign w:val="bottom"/>
            <w:hideMark/>
          </w:tcPr>
          <w:p w14:paraId="58842B7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618437F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Other Technology Installation</w:t>
            </w:r>
          </w:p>
        </w:tc>
        <w:tc>
          <w:tcPr>
            <w:tcW w:w="1116" w:type="dxa"/>
            <w:tcBorders>
              <w:top w:val="nil"/>
              <w:left w:val="nil"/>
              <w:bottom w:val="nil"/>
              <w:right w:val="nil"/>
            </w:tcBorders>
            <w:shd w:val="clear" w:color="auto" w:fill="auto"/>
            <w:noWrap/>
            <w:vAlign w:val="bottom"/>
            <w:hideMark/>
          </w:tcPr>
          <w:p w14:paraId="2863E05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8" w:type="dxa"/>
            <w:tcBorders>
              <w:top w:val="nil"/>
              <w:left w:val="nil"/>
              <w:bottom w:val="nil"/>
              <w:right w:val="nil"/>
            </w:tcBorders>
            <w:shd w:val="clear" w:color="auto" w:fill="auto"/>
            <w:noWrap/>
            <w:vAlign w:val="bottom"/>
            <w:hideMark/>
          </w:tcPr>
          <w:p w14:paraId="1AA31D4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456" w:type="dxa"/>
            <w:tcBorders>
              <w:top w:val="nil"/>
              <w:left w:val="nil"/>
              <w:bottom w:val="nil"/>
              <w:right w:val="nil"/>
            </w:tcBorders>
            <w:shd w:val="clear" w:color="auto" w:fill="auto"/>
            <w:noWrap/>
            <w:vAlign w:val="bottom"/>
            <w:hideMark/>
          </w:tcPr>
          <w:p w14:paraId="7EA6662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110" w:type="dxa"/>
            <w:tcBorders>
              <w:top w:val="nil"/>
              <w:left w:val="nil"/>
              <w:bottom w:val="nil"/>
              <w:right w:val="nil"/>
            </w:tcBorders>
            <w:shd w:val="clear" w:color="auto" w:fill="auto"/>
            <w:noWrap/>
            <w:vAlign w:val="bottom"/>
            <w:hideMark/>
          </w:tcPr>
          <w:p w14:paraId="50A91B8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0A3A0BB0" w14:textId="77777777" w:rsidTr="00735871">
        <w:trPr>
          <w:trHeight w:val="277"/>
          <w:jc w:val="center"/>
        </w:trPr>
        <w:tc>
          <w:tcPr>
            <w:tcW w:w="2430" w:type="dxa"/>
            <w:tcBorders>
              <w:top w:val="single" w:sz="4" w:space="0" w:color="000000"/>
              <w:left w:val="nil"/>
              <w:bottom w:val="nil"/>
              <w:right w:val="nil"/>
            </w:tcBorders>
            <w:shd w:val="clear" w:color="auto" w:fill="auto"/>
            <w:noWrap/>
            <w:vAlign w:val="bottom"/>
            <w:hideMark/>
          </w:tcPr>
          <w:p w14:paraId="439DDA7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16" w:type="dxa"/>
            <w:tcBorders>
              <w:top w:val="single" w:sz="4" w:space="0" w:color="000000"/>
              <w:left w:val="nil"/>
              <w:bottom w:val="nil"/>
              <w:right w:val="nil"/>
            </w:tcBorders>
            <w:shd w:val="clear" w:color="auto" w:fill="auto"/>
            <w:noWrap/>
            <w:vAlign w:val="bottom"/>
            <w:hideMark/>
          </w:tcPr>
          <w:p w14:paraId="19D1DE9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8" w:type="dxa"/>
            <w:tcBorders>
              <w:top w:val="single" w:sz="4" w:space="0" w:color="000000"/>
              <w:left w:val="nil"/>
              <w:bottom w:val="nil"/>
              <w:right w:val="nil"/>
            </w:tcBorders>
            <w:shd w:val="clear" w:color="auto" w:fill="auto"/>
            <w:noWrap/>
            <w:vAlign w:val="bottom"/>
            <w:hideMark/>
          </w:tcPr>
          <w:p w14:paraId="2354566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7582FB8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110" w:type="dxa"/>
            <w:tcBorders>
              <w:top w:val="single" w:sz="4" w:space="0" w:color="000000"/>
              <w:left w:val="nil"/>
              <w:bottom w:val="nil"/>
              <w:right w:val="nil"/>
            </w:tcBorders>
            <w:shd w:val="clear" w:color="auto" w:fill="auto"/>
            <w:noWrap/>
            <w:vAlign w:val="bottom"/>
            <w:hideMark/>
          </w:tcPr>
          <w:p w14:paraId="3CF7D1D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556F8F57" w14:textId="77777777" w:rsidTr="00735871">
        <w:trPr>
          <w:trHeight w:val="277"/>
          <w:jc w:val="center"/>
        </w:trPr>
        <w:tc>
          <w:tcPr>
            <w:tcW w:w="2430" w:type="dxa"/>
            <w:tcBorders>
              <w:top w:val="nil"/>
              <w:left w:val="nil"/>
              <w:bottom w:val="nil"/>
              <w:right w:val="nil"/>
            </w:tcBorders>
            <w:shd w:val="clear" w:color="auto" w:fill="auto"/>
            <w:noWrap/>
            <w:vAlign w:val="bottom"/>
            <w:hideMark/>
          </w:tcPr>
          <w:p w14:paraId="6FDF059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NOx Treatment</w:t>
            </w:r>
          </w:p>
        </w:tc>
        <w:tc>
          <w:tcPr>
            <w:tcW w:w="1116" w:type="dxa"/>
            <w:tcBorders>
              <w:top w:val="nil"/>
              <w:left w:val="nil"/>
              <w:bottom w:val="nil"/>
              <w:right w:val="nil"/>
            </w:tcBorders>
            <w:shd w:val="clear" w:color="auto" w:fill="auto"/>
            <w:noWrap/>
            <w:vAlign w:val="bottom"/>
            <w:hideMark/>
          </w:tcPr>
          <w:p w14:paraId="59E6B44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-2.717**</w:t>
            </w:r>
          </w:p>
        </w:tc>
        <w:tc>
          <w:tcPr>
            <w:tcW w:w="2258" w:type="dxa"/>
            <w:tcBorders>
              <w:top w:val="nil"/>
              <w:left w:val="nil"/>
              <w:bottom w:val="nil"/>
              <w:right w:val="nil"/>
            </w:tcBorders>
            <w:shd w:val="clear" w:color="auto" w:fill="auto"/>
            <w:noWrap/>
            <w:vAlign w:val="bottom"/>
            <w:hideMark/>
          </w:tcPr>
          <w:p w14:paraId="029F88E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-3.011**</w:t>
            </w:r>
          </w:p>
        </w:tc>
        <w:tc>
          <w:tcPr>
            <w:tcW w:w="1456" w:type="dxa"/>
            <w:tcBorders>
              <w:top w:val="nil"/>
              <w:left w:val="nil"/>
              <w:bottom w:val="nil"/>
              <w:right w:val="nil"/>
            </w:tcBorders>
            <w:shd w:val="clear" w:color="auto" w:fill="auto"/>
            <w:noWrap/>
            <w:vAlign w:val="bottom"/>
            <w:hideMark/>
          </w:tcPr>
          <w:p w14:paraId="3D52B4D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-3.204**</w:t>
            </w:r>
          </w:p>
        </w:tc>
        <w:tc>
          <w:tcPr>
            <w:tcW w:w="1110" w:type="dxa"/>
            <w:tcBorders>
              <w:top w:val="nil"/>
              <w:left w:val="nil"/>
              <w:bottom w:val="nil"/>
              <w:right w:val="nil"/>
            </w:tcBorders>
            <w:shd w:val="clear" w:color="auto" w:fill="auto"/>
            <w:noWrap/>
            <w:vAlign w:val="bottom"/>
            <w:hideMark/>
          </w:tcPr>
          <w:p w14:paraId="28F18B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-42.401</w:t>
            </w:r>
          </w:p>
        </w:tc>
      </w:tr>
      <w:tr w:rsidR="009478ED" w:rsidRPr="007F37A0" w14:paraId="0761E551" w14:textId="77777777" w:rsidTr="00735871">
        <w:trPr>
          <w:trHeight w:val="277"/>
          <w:jc w:val="center"/>
        </w:trPr>
        <w:tc>
          <w:tcPr>
            <w:tcW w:w="2430" w:type="dxa"/>
            <w:tcBorders>
              <w:top w:val="nil"/>
              <w:left w:val="nil"/>
              <w:bottom w:val="nil"/>
              <w:right w:val="nil"/>
            </w:tcBorders>
            <w:shd w:val="clear" w:color="auto" w:fill="auto"/>
            <w:noWrap/>
            <w:vAlign w:val="bottom"/>
            <w:hideMark/>
          </w:tcPr>
          <w:p w14:paraId="33DAE9DA"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hideMark/>
          </w:tcPr>
          <w:p w14:paraId="704A239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(1.081)</w:t>
            </w:r>
          </w:p>
        </w:tc>
        <w:tc>
          <w:tcPr>
            <w:tcW w:w="2258" w:type="dxa"/>
            <w:tcBorders>
              <w:top w:val="nil"/>
              <w:left w:val="nil"/>
              <w:bottom w:val="nil"/>
              <w:right w:val="nil"/>
            </w:tcBorders>
            <w:shd w:val="clear" w:color="auto" w:fill="auto"/>
            <w:noWrap/>
            <w:vAlign w:val="bottom"/>
            <w:hideMark/>
          </w:tcPr>
          <w:p w14:paraId="6744381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(1.285)</w:t>
            </w:r>
          </w:p>
        </w:tc>
        <w:tc>
          <w:tcPr>
            <w:tcW w:w="1456" w:type="dxa"/>
            <w:tcBorders>
              <w:top w:val="nil"/>
              <w:left w:val="nil"/>
              <w:bottom w:val="nil"/>
              <w:right w:val="nil"/>
            </w:tcBorders>
            <w:shd w:val="clear" w:color="auto" w:fill="auto"/>
            <w:noWrap/>
            <w:vAlign w:val="bottom"/>
            <w:hideMark/>
          </w:tcPr>
          <w:p w14:paraId="3F27A05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(1.408)</w:t>
            </w:r>
          </w:p>
        </w:tc>
        <w:tc>
          <w:tcPr>
            <w:tcW w:w="1110" w:type="dxa"/>
            <w:tcBorders>
              <w:top w:val="nil"/>
              <w:left w:val="nil"/>
              <w:bottom w:val="nil"/>
              <w:right w:val="nil"/>
            </w:tcBorders>
            <w:shd w:val="clear" w:color="auto" w:fill="auto"/>
            <w:noWrap/>
            <w:vAlign w:val="bottom"/>
            <w:hideMark/>
          </w:tcPr>
          <w:p w14:paraId="6E3F245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(2,947.272)</w:t>
            </w:r>
          </w:p>
        </w:tc>
      </w:tr>
      <w:tr w:rsidR="009478ED" w:rsidRPr="007F37A0" w14:paraId="52736FE8" w14:textId="77777777" w:rsidTr="00735871">
        <w:trPr>
          <w:trHeight w:val="277"/>
          <w:jc w:val="center"/>
        </w:trPr>
        <w:tc>
          <w:tcPr>
            <w:tcW w:w="2430" w:type="dxa"/>
            <w:tcBorders>
              <w:top w:val="nil"/>
              <w:left w:val="nil"/>
              <w:bottom w:val="nil"/>
              <w:right w:val="nil"/>
            </w:tcBorders>
            <w:shd w:val="clear" w:color="auto" w:fill="auto"/>
            <w:noWrap/>
            <w:vAlign w:val="bottom"/>
            <w:hideMark/>
          </w:tcPr>
          <w:p w14:paraId="51A70175"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hideMark/>
          </w:tcPr>
          <w:p w14:paraId="0EEFC5B7" w14:textId="77777777" w:rsidR="009478ED" w:rsidRPr="007F37A0" w:rsidRDefault="009478ED" w:rsidP="00735871">
            <w:pPr>
              <w:rPr>
                <w:rFonts w:ascii="Times New Roman" w:hAnsi="Times New Roman" w:cs="Times New Roman"/>
              </w:rPr>
            </w:pPr>
          </w:p>
        </w:tc>
        <w:tc>
          <w:tcPr>
            <w:tcW w:w="2258" w:type="dxa"/>
            <w:tcBorders>
              <w:top w:val="nil"/>
              <w:left w:val="nil"/>
              <w:bottom w:val="nil"/>
              <w:right w:val="nil"/>
            </w:tcBorders>
            <w:shd w:val="clear" w:color="auto" w:fill="auto"/>
            <w:noWrap/>
            <w:vAlign w:val="bottom"/>
            <w:hideMark/>
          </w:tcPr>
          <w:p w14:paraId="1F80B9A6"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285EE9AD" w14:textId="77777777" w:rsidR="009478ED" w:rsidRPr="007F37A0" w:rsidRDefault="009478ED" w:rsidP="00735871">
            <w:pPr>
              <w:jc w:val="center"/>
              <w:rPr>
                <w:rFonts w:ascii="Times New Roman" w:hAnsi="Times New Roman" w:cs="Times New Roman"/>
              </w:rPr>
            </w:pPr>
          </w:p>
        </w:tc>
        <w:tc>
          <w:tcPr>
            <w:tcW w:w="1110" w:type="dxa"/>
            <w:tcBorders>
              <w:top w:val="nil"/>
              <w:left w:val="nil"/>
              <w:bottom w:val="nil"/>
              <w:right w:val="nil"/>
            </w:tcBorders>
            <w:shd w:val="clear" w:color="auto" w:fill="auto"/>
            <w:noWrap/>
            <w:vAlign w:val="bottom"/>
            <w:hideMark/>
          </w:tcPr>
          <w:p w14:paraId="5C37598D" w14:textId="77777777" w:rsidR="009478ED" w:rsidRPr="007F37A0" w:rsidRDefault="009478ED" w:rsidP="00735871">
            <w:pPr>
              <w:jc w:val="center"/>
              <w:rPr>
                <w:rFonts w:ascii="Times New Roman" w:hAnsi="Times New Roman" w:cs="Times New Roman"/>
              </w:rPr>
            </w:pPr>
          </w:p>
        </w:tc>
      </w:tr>
      <w:tr w:rsidR="009478ED" w:rsidRPr="007F37A0" w14:paraId="17E5DB75" w14:textId="77777777" w:rsidTr="00735871">
        <w:trPr>
          <w:trHeight w:val="277"/>
          <w:jc w:val="center"/>
        </w:trPr>
        <w:tc>
          <w:tcPr>
            <w:tcW w:w="2430" w:type="dxa"/>
            <w:tcBorders>
              <w:top w:val="nil"/>
              <w:left w:val="nil"/>
              <w:bottom w:val="nil"/>
              <w:right w:val="nil"/>
            </w:tcBorders>
            <w:shd w:val="clear" w:color="auto" w:fill="auto"/>
            <w:noWrap/>
            <w:vAlign w:val="bottom"/>
            <w:hideMark/>
          </w:tcPr>
          <w:p w14:paraId="3198F08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16" w:type="dxa"/>
            <w:tcBorders>
              <w:top w:val="nil"/>
              <w:left w:val="nil"/>
              <w:bottom w:val="nil"/>
              <w:right w:val="nil"/>
            </w:tcBorders>
            <w:shd w:val="clear" w:color="auto" w:fill="auto"/>
            <w:noWrap/>
            <w:vAlign w:val="bottom"/>
            <w:hideMark/>
          </w:tcPr>
          <w:p w14:paraId="535004F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8" w:type="dxa"/>
            <w:tcBorders>
              <w:top w:val="nil"/>
              <w:left w:val="nil"/>
              <w:bottom w:val="nil"/>
              <w:right w:val="nil"/>
            </w:tcBorders>
            <w:shd w:val="clear" w:color="auto" w:fill="auto"/>
            <w:noWrap/>
            <w:vAlign w:val="bottom"/>
            <w:hideMark/>
          </w:tcPr>
          <w:p w14:paraId="3FDB721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60B4A79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110" w:type="dxa"/>
            <w:tcBorders>
              <w:top w:val="nil"/>
              <w:left w:val="nil"/>
              <w:bottom w:val="nil"/>
              <w:right w:val="nil"/>
            </w:tcBorders>
            <w:shd w:val="clear" w:color="auto" w:fill="auto"/>
            <w:noWrap/>
            <w:vAlign w:val="bottom"/>
            <w:hideMark/>
          </w:tcPr>
          <w:p w14:paraId="0D8DE70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10103F0A" w14:textId="77777777" w:rsidTr="00735871">
        <w:trPr>
          <w:trHeight w:val="277"/>
          <w:jc w:val="center"/>
        </w:trPr>
        <w:tc>
          <w:tcPr>
            <w:tcW w:w="2430" w:type="dxa"/>
            <w:tcBorders>
              <w:top w:val="nil"/>
              <w:left w:val="nil"/>
              <w:bottom w:val="nil"/>
              <w:right w:val="nil"/>
            </w:tcBorders>
            <w:shd w:val="clear" w:color="auto" w:fill="auto"/>
            <w:noWrap/>
            <w:vAlign w:val="bottom"/>
            <w:hideMark/>
          </w:tcPr>
          <w:p w14:paraId="6820C30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16" w:type="dxa"/>
            <w:tcBorders>
              <w:top w:val="nil"/>
              <w:left w:val="nil"/>
              <w:bottom w:val="nil"/>
              <w:right w:val="nil"/>
            </w:tcBorders>
            <w:shd w:val="clear" w:color="auto" w:fill="auto"/>
            <w:noWrap/>
            <w:vAlign w:val="bottom"/>
            <w:hideMark/>
          </w:tcPr>
          <w:p w14:paraId="4BE71E9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8" w:type="dxa"/>
            <w:tcBorders>
              <w:top w:val="nil"/>
              <w:left w:val="nil"/>
              <w:bottom w:val="nil"/>
              <w:right w:val="nil"/>
            </w:tcBorders>
            <w:shd w:val="clear" w:color="auto" w:fill="auto"/>
            <w:noWrap/>
            <w:vAlign w:val="bottom"/>
            <w:hideMark/>
          </w:tcPr>
          <w:p w14:paraId="7C8C628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30AD150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10" w:type="dxa"/>
            <w:tcBorders>
              <w:top w:val="nil"/>
              <w:left w:val="nil"/>
              <w:bottom w:val="nil"/>
              <w:right w:val="nil"/>
            </w:tcBorders>
            <w:shd w:val="clear" w:color="auto" w:fill="auto"/>
            <w:noWrap/>
            <w:vAlign w:val="bottom"/>
            <w:hideMark/>
          </w:tcPr>
          <w:p w14:paraId="7B0BD5A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64CCEA8" w14:textId="77777777" w:rsidTr="00735871">
        <w:trPr>
          <w:trHeight w:val="277"/>
          <w:jc w:val="center"/>
        </w:trPr>
        <w:tc>
          <w:tcPr>
            <w:tcW w:w="2430" w:type="dxa"/>
            <w:tcBorders>
              <w:top w:val="nil"/>
              <w:left w:val="nil"/>
              <w:bottom w:val="nil"/>
              <w:right w:val="nil"/>
            </w:tcBorders>
            <w:shd w:val="clear" w:color="auto" w:fill="auto"/>
            <w:noWrap/>
            <w:vAlign w:val="bottom"/>
            <w:hideMark/>
          </w:tcPr>
          <w:p w14:paraId="5A4F0E5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16" w:type="dxa"/>
            <w:tcBorders>
              <w:top w:val="nil"/>
              <w:left w:val="nil"/>
              <w:bottom w:val="nil"/>
              <w:right w:val="nil"/>
            </w:tcBorders>
            <w:shd w:val="clear" w:color="auto" w:fill="auto"/>
            <w:noWrap/>
            <w:vAlign w:val="bottom"/>
            <w:hideMark/>
          </w:tcPr>
          <w:p w14:paraId="25E50F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nil"/>
              <w:right w:val="nil"/>
            </w:tcBorders>
            <w:shd w:val="clear" w:color="auto" w:fill="auto"/>
            <w:noWrap/>
            <w:vAlign w:val="bottom"/>
            <w:hideMark/>
          </w:tcPr>
          <w:p w14:paraId="5F88903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1511F51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10" w:type="dxa"/>
            <w:tcBorders>
              <w:top w:val="nil"/>
              <w:left w:val="nil"/>
              <w:bottom w:val="nil"/>
              <w:right w:val="nil"/>
            </w:tcBorders>
            <w:shd w:val="clear" w:color="auto" w:fill="auto"/>
            <w:noWrap/>
            <w:vAlign w:val="bottom"/>
            <w:hideMark/>
          </w:tcPr>
          <w:p w14:paraId="6CF3212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86CD64A" w14:textId="77777777" w:rsidTr="00735871">
        <w:trPr>
          <w:trHeight w:val="277"/>
          <w:jc w:val="center"/>
        </w:trPr>
        <w:tc>
          <w:tcPr>
            <w:tcW w:w="2430" w:type="dxa"/>
            <w:tcBorders>
              <w:top w:val="nil"/>
              <w:left w:val="nil"/>
              <w:right w:val="nil"/>
            </w:tcBorders>
            <w:shd w:val="clear" w:color="auto" w:fill="auto"/>
            <w:noWrap/>
            <w:vAlign w:val="bottom"/>
            <w:hideMark/>
          </w:tcPr>
          <w:p w14:paraId="0BA0E11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16" w:type="dxa"/>
            <w:tcBorders>
              <w:top w:val="nil"/>
              <w:left w:val="nil"/>
              <w:right w:val="nil"/>
            </w:tcBorders>
            <w:shd w:val="clear" w:color="auto" w:fill="auto"/>
            <w:noWrap/>
            <w:vAlign w:val="bottom"/>
            <w:hideMark/>
          </w:tcPr>
          <w:p w14:paraId="35E7217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right w:val="nil"/>
            </w:tcBorders>
            <w:shd w:val="clear" w:color="auto" w:fill="auto"/>
            <w:noWrap/>
            <w:vAlign w:val="bottom"/>
            <w:hideMark/>
          </w:tcPr>
          <w:p w14:paraId="7EFAC4D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right w:val="nil"/>
            </w:tcBorders>
            <w:shd w:val="clear" w:color="auto" w:fill="auto"/>
            <w:noWrap/>
            <w:vAlign w:val="bottom"/>
            <w:hideMark/>
          </w:tcPr>
          <w:p w14:paraId="755E4F4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110" w:type="dxa"/>
            <w:tcBorders>
              <w:top w:val="nil"/>
              <w:left w:val="nil"/>
              <w:right w:val="nil"/>
            </w:tcBorders>
            <w:shd w:val="clear" w:color="auto" w:fill="auto"/>
            <w:noWrap/>
            <w:vAlign w:val="bottom"/>
            <w:hideMark/>
          </w:tcPr>
          <w:p w14:paraId="3E15766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8EBE681" w14:textId="77777777" w:rsidTr="00735871">
        <w:trPr>
          <w:trHeight w:val="277"/>
          <w:jc w:val="center"/>
        </w:trPr>
        <w:tc>
          <w:tcPr>
            <w:tcW w:w="2430" w:type="dxa"/>
            <w:tcBorders>
              <w:top w:val="nil"/>
              <w:left w:val="nil"/>
              <w:bottom w:val="single" w:sz="4" w:space="0" w:color="auto"/>
              <w:right w:val="nil"/>
            </w:tcBorders>
            <w:shd w:val="clear" w:color="auto" w:fill="auto"/>
            <w:noWrap/>
            <w:vAlign w:val="bottom"/>
            <w:hideMark/>
          </w:tcPr>
          <w:p w14:paraId="6265B28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16" w:type="dxa"/>
            <w:tcBorders>
              <w:top w:val="nil"/>
              <w:left w:val="nil"/>
              <w:bottom w:val="single" w:sz="4" w:space="0" w:color="auto"/>
              <w:right w:val="nil"/>
            </w:tcBorders>
            <w:shd w:val="clear" w:color="auto" w:fill="auto"/>
            <w:noWrap/>
            <w:vAlign w:val="bottom"/>
            <w:hideMark/>
          </w:tcPr>
          <w:p w14:paraId="727F5A4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single" w:sz="4" w:space="0" w:color="auto"/>
              <w:right w:val="nil"/>
            </w:tcBorders>
            <w:shd w:val="clear" w:color="auto" w:fill="auto"/>
            <w:noWrap/>
            <w:vAlign w:val="bottom"/>
            <w:hideMark/>
          </w:tcPr>
          <w:p w14:paraId="1AB7698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auto"/>
              <w:right w:val="nil"/>
            </w:tcBorders>
            <w:shd w:val="clear" w:color="auto" w:fill="auto"/>
            <w:noWrap/>
            <w:vAlign w:val="bottom"/>
            <w:hideMark/>
          </w:tcPr>
          <w:p w14:paraId="0959278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110" w:type="dxa"/>
            <w:tcBorders>
              <w:top w:val="nil"/>
              <w:left w:val="nil"/>
              <w:bottom w:val="single" w:sz="4" w:space="0" w:color="auto"/>
              <w:right w:val="nil"/>
            </w:tcBorders>
            <w:shd w:val="clear" w:color="auto" w:fill="auto"/>
            <w:noWrap/>
            <w:vAlign w:val="bottom"/>
            <w:hideMark/>
          </w:tcPr>
          <w:p w14:paraId="3C4F4A8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6696964" w14:textId="77777777" w:rsidTr="00735871">
        <w:trPr>
          <w:trHeight w:val="277"/>
          <w:jc w:val="center"/>
        </w:trPr>
        <w:tc>
          <w:tcPr>
            <w:tcW w:w="8370" w:type="dxa"/>
            <w:gridSpan w:val="5"/>
            <w:tcBorders>
              <w:top w:val="single" w:sz="4" w:space="0" w:color="auto"/>
              <w:left w:val="nil"/>
              <w:right w:val="nil"/>
            </w:tcBorders>
            <w:shd w:val="clear" w:color="auto" w:fill="auto"/>
            <w:noWrap/>
            <w:vAlign w:val="bottom"/>
            <w:hideMark/>
          </w:tcPr>
          <w:p w14:paraId="1CF6B03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NERC regions, CAA attainment status, and waste heat input control variables were dropped for convergence.</w:t>
            </w:r>
          </w:p>
          <w:p w14:paraId="3ED20CA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1B3C867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new technology installation for other technology reported in this table. NOx treatment is an indicator variable for treatment under either CAIR or CSAPR for NOx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p w14:paraId="7BFF3940" w14:textId="77777777" w:rsidR="009478ED" w:rsidRPr="007F37A0" w:rsidRDefault="009478ED" w:rsidP="00735871">
            <w:pPr>
              <w:rPr>
                <w:rFonts w:ascii="Times New Roman" w:hAnsi="Times New Roman" w:cs="Times New Roman"/>
              </w:rPr>
            </w:pPr>
          </w:p>
          <w:p w14:paraId="09444B0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1BFF324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28385C0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152F660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bl>
    <w:p w14:paraId="24FCF52D" w14:textId="77777777" w:rsidR="009478ED" w:rsidRPr="007F37A0" w:rsidRDefault="009478ED" w:rsidP="009478ED">
      <w:pPr>
        <w:rPr>
          <w:rFonts w:ascii="Times New Roman" w:hAnsi="Times New Roman" w:cs="Times New Roman"/>
        </w:rPr>
      </w:pPr>
    </w:p>
    <w:p w14:paraId="6BF86961" w14:textId="23198F3C" w:rsidR="009478ED" w:rsidRPr="007F37A0" w:rsidRDefault="009478ED" w:rsidP="007F37A0">
      <w:pPr>
        <w:pStyle w:val="Caption"/>
        <w:rPr>
          <w:rFonts w:cs="Times New Roman"/>
        </w:rPr>
      </w:pPr>
      <w:bookmarkStart w:id="193" w:name="_Ref164514999"/>
      <w:bookmarkStart w:id="194" w:name="_Toc164862571"/>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36</w:t>
      </w:r>
      <w:r w:rsidRPr="007F37A0">
        <w:rPr>
          <w:rFonts w:cs="Times New Roman"/>
        </w:rPr>
        <w:fldChar w:fldCharType="end"/>
      </w:r>
      <w:bookmarkEnd w:id="193"/>
      <w:r w:rsidRPr="007F37A0">
        <w:rPr>
          <w:rFonts w:cs="Times New Roman"/>
        </w:rPr>
        <w:t>: Boiler Retirement by NO</w:t>
      </w:r>
      <w:r w:rsidRPr="007F37A0">
        <w:rPr>
          <w:rFonts w:cs="Times New Roman"/>
          <w:vertAlign w:val="subscript"/>
        </w:rPr>
        <w:t>x</w:t>
      </w:r>
      <w:r w:rsidRPr="007F37A0">
        <w:rPr>
          <w:rFonts w:cs="Times New Roman"/>
        </w:rPr>
        <w:t xml:space="preserve"> Treatment - Multinomial Logit</w:t>
      </w:r>
      <w:bookmarkEnd w:id="194"/>
    </w:p>
    <w:tbl>
      <w:tblPr>
        <w:tblW w:w="8190" w:type="dxa"/>
        <w:jc w:val="center"/>
        <w:tblLook w:val="04A0" w:firstRow="1" w:lastRow="0" w:firstColumn="1" w:lastColumn="0" w:noHBand="0" w:noVBand="1"/>
      </w:tblPr>
      <w:tblGrid>
        <w:gridCol w:w="2413"/>
        <w:gridCol w:w="1116"/>
        <w:gridCol w:w="2258"/>
        <w:gridCol w:w="1456"/>
        <w:gridCol w:w="1043"/>
      </w:tblGrid>
      <w:tr w:rsidR="009478ED" w:rsidRPr="007F37A0" w14:paraId="0EFC32A5" w14:textId="77777777" w:rsidTr="00735871">
        <w:trPr>
          <w:trHeight w:val="277"/>
          <w:jc w:val="center"/>
        </w:trPr>
        <w:tc>
          <w:tcPr>
            <w:tcW w:w="2413" w:type="dxa"/>
            <w:tcBorders>
              <w:top w:val="single" w:sz="4" w:space="0" w:color="000000"/>
              <w:left w:val="nil"/>
              <w:bottom w:val="nil"/>
              <w:right w:val="nil"/>
            </w:tcBorders>
            <w:shd w:val="clear" w:color="auto" w:fill="auto"/>
            <w:noWrap/>
            <w:vAlign w:val="bottom"/>
            <w:hideMark/>
          </w:tcPr>
          <w:p w14:paraId="33EFAB3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16" w:type="dxa"/>
            <w:tcBorders>
              <w:top w:val="single" w:sz="4" w:space="0" w:color="000000"/>
              <w:left w:val="nil"/>
              <w:bottom w:val="nil"/>
              <w:right w:val="nil"/>
            </w:tcBorders>
            <w:shd w:val="clear" w:color="auto" w:fill="auto"/>
            <w:noWrap/>
            <w:vAlign w:val="bottom"/>
            <w:hideMark/>
          </w:tcPr>
          <w:p w14:paraId="0C885C4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8" w:type="dxa"/>
            <w:tcBorders>
              <w:top w:val="single" w:sz="4" w:space="0" w:color="000000"/>
              <w:left w:val="nil"/>
              <w:bottom w:val="nil"/>
              <w:right w:val="nil"/>
            </w:tcBorders>
            <w:shd w:val="clear" w:color="auto" w:fill="auto"/>
            <w:noWrap/>
            <w:vAlign w:val="bottom"/>
            <w:hideMark/>
          </w:tcPr>
          <w:p w14:paraId="664927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456" w:type="dxa"/>
            <w:tcBorders>
              <w:top w:val="single" w:sz="4" w:space="0" w:color="000000"/>
              <w:left w:val="nil"/>
              <w:bottom w:val="nil"/>
              <w:right w:val="nil"/>
            </w:tcBorders>
            <w:shd w:val="clear" w:color="auto" w:fill="auto"/>
            <w:noWrap/>
            <w:vAlign w:val="bottom"/>
            <w:hideMark/>
          </w:tcPr>
          <w:p w14:paraId="1F75731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947" w:type="dxa"/>
            <w:tcBorders>
              <w:top w:val="single" w:sz="4" w:space="0" w:color="000000"/>
              <w:left w:val="nil"/>
              <w:bottom w:val="nil"/>
              <w:right w:val="nil"/>
            </w:tcBorders>
            <w:shd w:val="clear" w:color="auto" w:fill="auto"/>
            <w:noWrap/>
            <w:vAlign w:val="bottom"/>
            <w:hideMark/>
          </w:tcPr>
          <w:p w14:paraId="77CD031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77764B02" w14:textId="77777777" w:rsidTr="00735871">
        <w:trPr>
          <w:trHeight w:val="277"/>
          <w:jc w:val="center"/>
        </w:trPr>
        <w:tc>
          <w:tcPr>
            <w:tcW w:w="2413" w:type="dxa"/>
            <w:tcBorders>
              <w:top w:val="nil"/>
              <w:left w:val="nil"/>
              <w:bottom w:val="nil"/>
              <w:right w:val="nil"/>
            </w:tcBorders>
            <w:shd w:val="clear" w:color="auto" w:fill="auto"/>
            <w:noWrap/>
            <w:vAlign w:val="bottom"/>
            <w:hideMark/>
          </w:tcPr>
          <w:p w14:paraId="7C2F9AB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494F2FD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Boiler Retirement</w:t>
            </w:r>
          </w:p>
        </w:tc>
        <w:tc>
          <w:tcPr>
            <w:tcW w:w="1116" w:type="dxa"/>
            <w:tcBorders>
              <w:top w:val="nil"/>
              <w:left w:val="nil"/>
              <w:bottom w:val="nil"/>
              <w:right w:val="nil"/>
            </w:tcBorders>
            <w:shd w:val="clear" w:color="auto" w:fill="auto"/>
            <w:noWrap/>
            <w:vAlign w:val="bottom"/>
            <w:hideMark/>
          </w:tcPr>
          <w:p w14:paraId="7DEBA23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8" w:type="dxa"/>
            <w:tcBorders>
              <w:top w:val="nil"/>
              <w:left w:val="nil"/>
              <w:bottom w:val="nil"/>
              <w:right w:val="nil"/>
            </w:tcBorders>
            <w:shd w:val="clear" w:color="auto" w:fill="auto"/>
            <w:noWrap/>
            <w:vAlign w:val="bottom"/>
            <w:hideMark/>
          </w:tcPr>
          <w:p w14:paraId="53BB51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456" w:type="dxa"/>
            <w:tcBorders>
              <w:top w:val="nil"/>
              <w:left w:val="nil"/>
              <w:bottom w:val="nil"/>
              <w:right w:val="nil"/>
            </w:tcBorders>
            <w:shd w:val="clear" w:color="auto" w:fill="auto"/>
            <w:noWrap/>
            <w:vAlign w:val="bottom"/>
            <w:hideMark/>
          </w:tcPr>
          <w:p w14:paraId="542CD23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947" w:type="dxa"/>
            <w:tcBorders>
              <w:top w:val="nil"/>
              <w:left w:val="nil"/>
              <w:bottom w:val="nil"/>
              <w:right w:val="nil"/>
            </w:tcBorders>
            <w:shd w:val="clear" w:color="auto" w:fill="auto"/>
            <w:noWrap/>
            <w:vAlign w:val="bottom"/>
            <w:hideMark/>
          </w:tcPr>
          <w:p w14:paraId="5689971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387B19BE" w14:textId="77777777" w:rsidTr="00735871">
        <w:trPr>
          <w:trHeight w:val="277"/>
          <w:jc w:val="center"/>
        </w:trPr>
        <w:tc>
          <w:tcPr>
            <w:tcW w:w="2413" w:type="dxa"/>
            <w:tcBorders>
              <w:top w:val="single" w:sz="4" w:space="0" w:color="000000"/>
              <w:left w:val="nil"/>
              <w:bottom w:val="nil"/>
              <w:right w:val="nil"/>
            </w:tcBorders>
            <w:shd w:val="clear" w:color="auto" w:fill="auto"/>
            <w:noWrap/>
            <w:vAlign w:val="bottom"/>
            <w:hideMark/>
          </w:tcPr>
          <w:p w14:paraId="10287D0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16" w:type="dxa"/>
            <w:tcBorders>
              <w:top w:val="single" w:sz="4" w:space="0" w:color="000000"/>
              <w:left w:val="nil"/>
              <w:bottom w:val="nil"/>
              <w:right w:val="nil"/>
            </w:tcBorders>
            <w:shd w:val="clear" w:color="auto" w:fill="auto"/>
            <w:noWrap/>
            <w:vAlign w:val="bottom"/>
            <w:hideMark/>
          </w:tcPr>
          <w:p w14:paraId="7C50F4D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8" w:type="dxa"/>
            <w:tcBorders>
              <w:top w:val="single" w:sz="4" w:space="0" w:color="000000"/>
              <w:left w:val="nil"/>
              <w:bottom w:val="nil"/>
              <w:right w:val="nil"/>
            </w:tcBorders>
            <w:shd w:val="clear" w:color="auto" w:fill="auto"/>
            <w:noWrap/>
            <w:vAlign w:val="bottom"/>
            <w:hideMark/>
          </w:tcPr>
          <w:p w14:paraId="48CED08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456" w:type="dxa"/>
            <w:tcBorders>
              <w:top w:val="single" w:sz="4" w:space="0" w:color="000000"/>
              <w:left w:val="nil"/>
              <w:bottom w:val="nil"/>
              <w:right w:val="nil"/>
            </w:tcBorders>
            <w:shd w:val="clear" w:color="auto" w:fill="auto"/>
            <w:noWrap/>
            <w:vAlign w:val="bottom"/>
            <w:hideMark/>
          </w:tcPr>
          <w:p w14:paraId="41218F0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947" w:type="dxa"/>
            <w:tcBorders>
              <w:top w:val="single" w:sz="4" w:space="0" w:color="000000"/>
              <w:left w:val="nil"/>
              <w:bottom w:val="nil"/>
              <w:right w:val="nil"/>
            </w:tcBorders>
            <w:shd w:val="clear" w:color="auto" w:fill="auto"/>
            <w:noWrap/>
            <w:vAlign w:val="bottom"/>
            <w:hideMark/>
          </w:tcPr>
          <w:p w14:paraId="3F79A35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4B817FFD" w14:textId="77777777" w:rsidTr="00735871">
        <w:trPr>
          <w:trHeight w:val="277"/>
          <w:jc w:val="center"/>
        </w:trPr>
        <w:tc>
          <w:tcPr>
            <w:tcW w:w="2413" w:type="dxa"/>
            <w:tcBorders>
              <w:top w:val="nil"/>
              <w:left w:val="nil"/>
              <w:bottom w:val="nil"/>
              <w:right w:val="nil"/>
            </w:tcBorders>
            <w:shd w:val="clear" w:color="auto" w:fill="auto"/>
            <w:noWrap/>
            <w:vAlign w:val="bottom"/>
            <w:hideMark/>
          </w:tcPr>
          <w:p w14:paraId="6597542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NOx Treatment</w:t>
            </w:r>
          </w:p>
        </w:tc>
        <w:tc>
          <w:tcPr>
            <w:tcW w:w="1116" w:type="dxa"/>
            <w:tcBorders>
              <w:top w:val="nil"/>
              <w:left w:val="nil"/>
              <w:bottom w:val="nil"/>
              <w:right w:val="nil"/>
            </w:tcBorders>
            <w:shd w:val="clear" w:color="auto" w:fill="auto"/>
            <w:noWrap/>
            <w:vAlign w:val="bottom"/>
            <w:hideMark/>
          </w:tcPr>
          <w:p w14:paraId="79845CF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0.327***</w:t>
            </w:r>
          </w:p>
        </w:tc>
        <w:tc>
          <w:tcPr>
            <w:tcW w:w="2258" w:type="dxa"/>
            <w:tcBorders>
              <w:top w:val="nil"/>
              <w:left w:val="nil"/>
              <w:bottom w:val="nil"/>
              <w:right w:val="nil"/>
            </w:tcBorders>
            <w:shd w:val="clear" w:color="auto" w:fill="auto"/>
            <w:noWrap/>
            <w:vAlign w:val="bottom"/>
            <w:hideMark/>
          </w:tcPr>
          <w:p w14:paraId="65EF792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-0.038</w:t>
            </w:r>
          </w:p>
        </w:tc>
        <w:tc>
          <w:tcPr>
            <w:tcW w:w="1456" w:type="dxa"/>
            <w:tcBorders>
              <w:top w:val="nil"/>
              <w:left w:val="nil"/>
              <w:bottom w:val="nil"/>
              <w:right w:val="nil"/>
            </w:tcBorders>
            <w:shd w:val="clear" w:color="auto" w:fill="auto"/>
            <w:noWrap/>
            <w:vAlign w:val="bottom"/>
            <w:hideMark/>
          </w:tcPr>
          <w:p w14:paraId="2F0785B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-0.030</w:t>
            </w:r>
          </w:p>
        </w:tc>
        <w:tc>
          <w:tcPr>
            <w:tcW w:w="947" w:type="dxa"/>
            <w:tcBorders>
              <w:top w:val="nil"/>
              <w:left w:val="nil"/>
              <w:bottom w:val="nil"/>
              <w:right w:val="nil"/>
            </w:tcBorders>
            <w:shd w:val="clear" w:color="auto" w:fill="auto"/>
            <w:noWrap/>
            <w:vAlign w:val="bottom"/>
            <w:hideMark/>
          </w:tcPr>
          <w:p w14:paraId="4EA282D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-0.021</w:t>
            </w:r>
          </w:p>
        </w:tc>
      </w:tr>
      <w:tr w:rsidR="009478ED" w:rsidRPr="007F37A0" w14:paraId="035ACE52" w14:textId="77777777" w:rsidTr="00735871">
        <w:trPr>
          <w:trHeight w:val="277"/>
          <w:jc w:val="center"/>
        </w:trPr>
        <w:tc>
          <w:tcPr>
            <w:tcW w:w="2413" w:type="dxa"/>
            <w:tcBorders>
              <w:top w:val="nil"/>
              <w:left w:val="nil"/>
              <w:bottom w:val="nil"/>
              <w:right w:val="nil"/>
            </w:tcBorders>
            <w:shd w:val="clear" w:color="auto" w:fill="auto"/>
            <w:noWrap/>
            <w:vAlign w:val="bottom"/>
            <w:hideMark/>
          </w:tcPr>
          <w:p w14:paraId="4217F49C"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hideMark/>
          </w:tcPr>
          <w:p w14:paraId="2C0FED8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(0.067)</w:t>
            </w:r>
          </w:p>
        </w:tc>
        <w:tc>
          <w:tcPr>
            <w:tcW w:w="2258" w:type="dxa"/>
            <w:tcBorders>
              <w:top w:val="nil"/>
              <w:left w:val="nil"/>
              <w:bottom w:val="nil"/>
              <w:right w:val="nil"/>
            </w:tcBorders>
            <w:shd w:val="clear" w:color="auto" w:fill="auto"/>
            <w:noWrap/>
            <w:vAlign w:val="bottom"/>
            <w:hideMark/>
          </w:tcPr>
          <w:p w14:paraId="7A16FF6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(0.106)</w:t>
            </w:r>
          </w:p>
        </w:tc>
        <w:tc>
          <w:tcPr>
            <w:tcW w:w="1456" w:type="dxa"/>
            <w:tcBorders>
              <w:top w:val="nil"/>
              <w:left w:val="nil"/>
              <w:bottom w:val="nil"/>
              <w:right w:val="nil"/>
            </w:tcBorders>
            <w:shd w:val="clear" w:color="auto" w:fill="auto"/>
            <w:noWrap/>
            <w:vAlign w:val="bottom"/>
            <w:hideMark/>
          </w:tcPr>
          <w:p w14:paraId="5F50B2D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(0.106)</w:t>
            </w:r>
          </w:p>
        </w:tc>
        <w:tc>
          <w:tcPr>
            <w:tcW w:w="947" w:type="dxa"/>
            <w:tcBorders>
              <w:top w:val="nil"/>
              <w:left w:val="nil"/>
              <w:bottom w:val="nil"/>
              <w:right w:val="nil"/>
            </w:tcBorders>
            <w:shd w:val="clear" w:color="auto" w:fill="auto"/>
            <w:noWrap/>
            <w:vAlign w:val="bottom"/>
            <w:hideMark/>
          </w:tcPr>
          <w:p w14:paraId="35EA94C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(0.077)</w:t>
            </w:r>
          </w:p>
        </w:tc>
      </w:tr>
      <w:tr w:rsidR="009478ED" w:rsidRPr="007F37A0" w14:paraId="2D511DB8" w14:textId="77777777" w:rsidTr="00735871">
        <w:trPr>
          <w:trHeight w:val="277"/>
          <w:jc w:val="center"/>
        </w:trPr>
        <w:tc>
          <w:tcPr>
            <w:tcW w:w="2413" w:type="dxa"/>
            <w:tcBorders>
              <w:top w:val="nil"/>
              <w:left w:val="nil"/>
              <w:bottom w:val="nil"/>
              <w:right w:val="nil"/>
            </w:tcBorders>
            <w:shd w:val="clear" w:color="auto" w:fill="auto"/>
            <w:noWrap/>
            <w:vAlign w:val="bottom"/>
            <w:hideMark/>
          </w:tcPr>
          <w:p w14:paraId="4DA9D776" w14:textId="77777777" w:rsidR="009478ED" w:rsidRPr="007F37A0" w:rsidRDefault="009478ED" w:rsidP="00735871">
            <w:pPr>
              <w:jc w:val="center"/>
              <w:rPr>
                <w:rFonts w:ascii="Times New Roman" w:hAnsi="Times New Roman" w:cs="Times New Roman"/>
              </w:rPr>
            </w:pPr>
          </w:p>
        </w:tc>
        <w:tc>
          <w:tcPr>
            <w:tcW w:w="1116" w:type="dxa"/>
            <w:tcBorders>
              <w:top w:val="nil"/>
              <w:left w:val="nil"/>
              <w:bottom w:val="nil"/>
              <w:right w:val="nil"/>
            </w:tcBorders>
            <w:shd w:val="clear" w:color="auto" w:fill="auto"/>
            <w:noWrap/>
            <w:vAlign w:val="bottom"/>
            <w:hideMark/>
          </w:tcPr>
          <w:p w14:paraId="07BBA223" w14:textId="77777777" w:rsidR="009478ED" w:rsidRPr="007F37A0" w:rsidRDefault="009478ED" w:rsidP="00735871">
            <w:pPr>
              <w:rPr>
                <w:rFonts w:ascii="Times New Roman" w:hAnsi="Times New Roman" w:cs="Times New Roman"/>
              </w:rPr>
            </w:pPr>
          </w:p>
        </w:tc>
        <w:tc>
          <w:tcPr>
            <w:tcW w:w="2258" w:type="dxa"/>
            <w:tcBorders>
              <w:top w:val="nil"/>
              <w:left w:val="nil"/>
              <w:bottom w:val="nil"/>
              <w:right w:val="nil"/>
            </w:tcBorders>
            <w:shd w:val="clear" w:color="auto" w:fill="auto"/>
            <w:noWrap/>
            <w:vAlign w:val="bottom"/>
            <w:hideMark/>
          </w:tcPr>
          <w:p w14:paraId="4447CB24" w14:textId="77777777" w:rsidR="009478ED" w:rsidRPr="007F37A0" w:rsidRDefault="009478ED" w:rsidP="00735871">
            <w:pPr>
              <w:jc w:val="center"/>
              <w:rPr>
                <w:rFonts w:ascii="Times New Roman" w:hAnsi="Times New Roman" w:cs="Times New Roman"/>
              </w:rPr>
            </w:pPr>
          </w:p>
        </w:tc>
        <w:tc>
          <w:tcPr>
            <w:tcW w:w="1456" w:type="dxa"/>
            <w:tcBorders>
              <w:top w:val="nil"/>
              <w:left w:val="nil"/>
              <w:bottom w:val="nil"/>
              <w:right w:val="nil"/>
            </w:tcBorders>
            <w:shd w:val="clear" w:color="auto" w:fill="auto"/>
            <w:noWrap/>
            <w:vAlign w:val="bottom"/>
            <w:hideMark/>
          </w:tcPr>
          <w:p w14:paraId="11490749" w14:textId="77777777" w:rsidR="009478ED" w:rsidRPr="007F37A0" w:rsidRDefault="009478ED" w:rsidP="00735871">
            <w:pPr>
              <w:jc w:val="center"/>
              <w:rPr>
                <w:rFonts w:ascii="Times New Roman" w:hAnsi="Times New Roman" w:cs="Times New Roman"/>
              </w:rPr>
            </w:pPr>
          </w:p>
        </w:tc>
        <w:tc>
          <w:tcPr>
            <w:tcW w:w="947" w:type="dxa"/>
            <w:tcBorders>
              <w:top w:val="nil"/>
              <w:left w:val="nil"/>
              <w:bottom w:val="nil"/>
              <w:right w:val="nil"/>
            </w:tcBorders>
            <w:shd w:val="clear" w:color="auto" w:fill="auto"/>
            <w:noWrap/>
            <w:vAlign w:val="bottom"/>
            <w:hideMark/>
          </w:tcPr>
          <w:p w14:paraId="39A941E1" w14:textId="77777777" w:rsidR="009478ED" w:rsidRPr="007F37A0" w:rsidRDefault="009478ED" w:rsidP="00735871">
            <w:pPr>
              <w:jc w:val="center"/>
              <w:rPr>
                <w:rFonts w:ascii="Times New Roman" w:hAnsi="Times New Roman" w:cs="Times New Roman"/>
              </w:rPr>
            </w:pPr>
          </w:p>
        </w:tc>
      </w:tr>
      <w:tr w:rsidR="009478ED" w:rsidRPr="007F37A0" w14:paraId="043FF206" w14:textId="77777777" w:rsidTr="00735871">
        <w:trPr>
          <w:trHeight w:val="277"/>
          <w:jc w:val="center"/>
        </w:trPr>
        <w:tc>
          <w:tcPr>
            <w:tcW w:w="2413" w:type="dxa"/>
            <w:tcBorders>
              <w:top w:val="nil"/>
              <w:left w:val="nil"/>
              <w:bottom w:val="nil"/>
              <w:right w:val="nil"/>
            </w:tcBorders>
            <w:shd w:val="clear" w:color="auto" w:fill="auto"/>
            <w:noWrap/>
            <w:vAlign w:val="bottom"/>
            <w:hideMark/>
          </w:tcPr>
          <w:p w14:paraId="1BEDF28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16" w:type="dxa"/>
            <w:tcBorders>
              <w:top w:val="nil"/>
              <w:left w:val="nil"/>
              <w:bottom w:val="nil"/>
              <w:right w:val="nil"/>
            </w:tcBorders>
            <w:shd w:val="clear" w:color="auto" w:fill="auto"/>
            <w:noWrap/>
            <w:vAlign w:val="bottom"/>
            <w:hideMark/>
          </w:tcPr>
          <w:p w14:paraId="127E51A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2258" w:type="dxa"/>
            <w:tcBorders>
              <w:top w:val="nil"/>
              <w:left w:val="nil"/>
              <w:bottom w:val="nil"/>
              <w:right w:val="nil"/>
            </w:tcBorders>
            <w:shd w:val="clear" w:color="auto" w:fill="auto"/>
            <w:noWrap/>
            <w:vAlign w:val="bottom"/>
            <w:hideMark/>
          </w:tcPr>
          <w:p w14:paraId="131046D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1456" w:type="dxa"/>
            <w:tcBorders>
              <w:top w:val="nil"/>
              <w:left w:val="nil"/>
              <w:bottom w:val="nil"/>
              <w:right w:val="nil"/>
            </w:tcBorders>
            <w:shd w:val="clear" w:color="auto" w:fill="auto"/>
            <w:noWrap/>
            <w:vAlign w:val="bottom"/>
            <w:hideMark/>
          </w:tcPr>
          <w:p w14:paraId="727B978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c>
          <w:tcPr>
            <w:tcW w:w="947" w:type="dxa"/>
            <w:tcBorders>
              <w:top w:val="nil"/>
              <w:left w:val="nil"/>
              <w:bottom w:val="nil"/>
              <w:right w:val="nil"/>
            </w:tcBorders>
            <w:shd w:val="clear" w:color="auto" w:fill="auto"/>
            <w:noWrap/>
            <w:vAlign w:val="bottom"/>
            <w:hideMark/>
          </w:tcPr>
          <w:p w14:paraId="0A6FF61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44,957</w:t>
            </w:r>
          </w:p>
        </w:tc>
      </w:tr>
      <w:tr w:rsidR="009478ED" w:rsidRPr="007F37A0" w14:paraId="1F294B7A" w14:textId="77777777" w:rsidTr="00735871">
        <w:trPr>
          <w:trHeight w:val="277"/>
          <w:jc w:val="center"/>
        </w:trPr>
        <w:tc>
          <w:tcPr>
            <w:tcW w:w="2413" w:type="dxa"/>
            <w:tcBorders>
              <w:top w:val="nil"/>
              <w:left w:val="nil"/>
              <w:bottom w:val="nil"/>
              <w:right w:val="nil"/>
            </w:tcBorders>
            <w:shd w:val="clear" w:color="auto" w:fill="auto"/>
            <w:noWrap/>
            <w:vAlign w:val="bottom"/>
            <w:hideMark/>
          </w:tcPr>
          <w:p w14:paraId="24348FB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16" w:type="dxa"/>
            <w:tcBorders>
              <w:top w:val="nil"/>
              <w:left w:val="nil"/>
              <w:bottom w:val="nil"/>
              <w:right w:val="nil"/>
            </w:tcBorders>
            <w:shd w:val="clear" w:color="auto" w:fill="auto"/>
            <w:noWrap/>
            <w:vAlign w:val="bottom"/>
            <w:hideMark/>
          </w:tcPr>
          <w:p w14:paraId="0F7A60E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8" w:type="dxa"/>
            <w:tcBorders>
              <w:top w:val="nil"/>
              <w:left w:val="nil"/>
              <w:bottom w:val="nil"/>
              <w:right w:val="nil"/>
            </w:tcBorders>
            <w:shd w:val="clear" w:color="auto" w:fill="auto"/>
            <w:noWrap/>
            <w:vAlign w:val="bottom"/>
            <w:hideMark/>
          </w:tcPr>
          <w:p w14:paraId="64E38C2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08857E8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947" w:type="dxa"/>
            <w:tcBorders>
              <w:top w:val="nil"/>
              <w:left w:val="nil"/>
              <w:bottom w:val="nil"/>
              <w:right w:val="nil"/>
            </w:tcBorders>
            <w:shd w:val="clear" w:color="auto" w:fill="auto"/>
            <w:noWrap/>
            <w:vAlign w:val="bottom"/>
            <w:hideMark/>
          </w:tcPr>
          <w:p w14:paraId="0453D54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AC81695" w14:textId="77777777" w:rsidTr="00735871">
        <w:trPr>
          <w:trHeight w:val="277"/>
          <w:jc w:val="center"/>
        </w:trPr>
        <w:tc>
          <w:tcPr>
            <w:tcW w:w="2413" w:type="dxa"/>
            <w:tcBorders>
              <w:top w:val="nil"/>
              <w:left w:val="nil"/>
              <w:bottom w:val="nil"/>
              <w:right w:val="nil"/>
            </w:tcBorders>
            <w:shd w:val="clear" w:color="auto" w:fill="auto"/>
            <w:noWrap/>
            <w:vAlign w:val="bottom"/>
            <w:hideMark/>
          </w:tcPr>
          <w:p w14:paraId="0E413C8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116" w:type="dxa"/>
            <w:tcBorders>
              <w:top w:val="nil"/>
              <w:left w:val="nil"/>
              <w:bottom w:val="nil"/>
              <w:right w:val="nil"/>
            </w:tcBorders>
            <w:shd w:val="clear" w:color="auto" w:fill="auto"/>
            <w:noWrap/>
            <w:vAlign w:val="bottom"/>
            <w:hideMark/>
          </w:tcPr>
          <w:p w14:paraId="77BB92C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nil"/>
              <w:right w:val="nil"/>
            </w:tcBorders>
            <w:shd w:val="clear" w:color="auto" w:fill="auto"/>
            <w:noWrap/>
            <w:vAlign w:val="bottom"/>
            <w:hideMark/>
          </w:tcPr>
          <w:p w14:paraId="71FBD68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456" w:type="dxa"/>
            <w:tcBorders>
              <w:top w:val="nil"/>
              <w:left w:val="nil"/>
              <w:bottom w:val="nil"/>
              <w:right w:val="nil"/>
            </w:tcBorders>
            <w:shd w:val="clear" w:color="auto" w:fill="auto"/>
            <w:noWrap/>
            <w:vAlign w:val="bottom"/>
            <w:hideMark/>
          </w:tcPr>
          <w:p w14:paraId="6561F63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947" w:type="dxa"/>
            <w:tcBorders>
              <w:top w:val="nil"/>
              <w:left w:val="nil"/>
              <w:bottom w:val="nil"/>
              <w:right w:val="nil"/>
            </w:tcBorders>
            <w:shd w:val="clear" w:color="auto" w:fill="auto"/>
            <w:noWrap/>
            <w:vAlign w:val="bottom"/>
            <w:hideMark/>
          </w:tcPr>
          <w:p w14:paraId="7A30BCC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E7B61C3" w14:textId="77777777" w:rsidTr="00735871">
        <w:trPr>
          <w:trHeight w:val="277"/>
          <w:jc w:val="center"/>
        </w:trPr>
        <w:tc>
          <w:tcPr>
            <w:tcW w:w="2413" w:type="dxa"/>
            <w:tcBorders>
              <w:top w:val="nil"/>
              <w:left w:val="nil"/>
              <w:right w:val="nil"/>
            </w:tcBorders>
            <w:shd w:val="clear" w:color="auto" w:fill="auto"/>
            <w:noWrap/>
            <w:vAlign w:val="bottom"/>
            <w:hideMark/>
          </w:tcPr>
          <w:p w14:paraId="291733C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116" w:type="dxa"/>
            <w:tcBorders>
              <w:top w:val="nil"/>
              <w:left w:val="nil"/>
              <w:right w:val="nil"/>
            </w:tcBorders>
            <w:shd w:val="clear" w:color="auto" w:fill="auto"/>
            <w:noWrap/>
            <w:vAlign w:val="bottom"/>
            <w:hideMark/>
          </w:tcPr>
          <w:p w14:paraId="7A298D5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right w:val="nil"/>
            </w:tcBorders>
            <w:shd w:val="clear" w:color="auto" w:fill="auto"/>
            <w:noWrap/>
            <w:vAlign w:val="bottom"/>
            <w:hideMark/>
          </w:tcPr>
          <w:p w14:paraId="271F2F3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right w:val="nil"/>
            </w:tcBorders>
            <w:shd w:val="clear" w:color="auto" w:fill="auto"/>
            <w:noWrap/>
            <w:vAlign w:val="bottom"/>
            <w:hideMark/>
          </w:tcPr>
          <w:p w14:paraId="72636C9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947" w:type="dxa"/>
            <w:tcBorders>
              <w:top w:val="nil"/>
              <w:left w:val="nil"/>
              <w:right w:val="nil"/>
            </w:tcBorders>
            <w:shd w:val="clear" w:color="auto" w:fill="auto"/>
            <w:noWrap/>
            <w:vAlign w:val="bottom"/>
            <w:hideMark/>
          </w:tcPr>
          <w:p w14:paraId="6B4A5A6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926E84D" w14:textId="77777777" w:rsidTr="00735871">
        <w:trPr>
          <w:trHeight w:val="277"/>
          <w:jc w:val="center"/>
        </w:trPr>
        <w:tc>
          <w:tcPr>
            <w:tcW w:w="2413" w:type="dxa"/>
            <w:tcBorders>
              <w:top w:val="nil"/>
              <w:left w:val="nil"/>
              <w:bottom w:val="single" w:sz="4" w:space="0" w:color="auto"/>
              <w:right w:val="nil"/>
            </w:tcBorders>
            <w:shd w:val="clear" w:color="auto" w:fill="auto"/>
            <w:noWrap/>
            <w:vAlign w:val="bottom"/>
            <w:hideMark/>
          </w:tcPr>
          <w:p w14:paraId="7E6233C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116" w:type="dxa"/>
            <w:tcBorders>
              <w:top w:val="nil"/>
              <w:left w:val="nil"/>
              <w:bottom w:val="single" w:sz="4" w:space="0" w:color="auto"/>
              <w:right w:val="nil"/>
            </w:tcBorders>
            <w:shd w:val="clear" w:color="auto" w:fill="auto"/>
            <w:noWrap/>
            <w:vAlign w:val="bottom"/>
            <w:hideMark/>
          </w:tcPr>
          <w:p w14:paraId="186A47F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8" w:type="dxa"/>
            <w:tcBorders>
              <w:top w:val="nil"/>
              <w:left w:val="nil"/>
              <w:bottom w:val="single" w:sz="4" w:space="0" w:color="auto"/>
              <w:right w:val="nil"/>
            </w:tcBorders>
            <w:shd w:val="clear" w:color="auto" w:fill="auto"/>
            <w:noWrap/>
            <w:vAlign w:val="bottom"/>
            <w:hideMark/>
          </w:tcPr>
          <w:p w14:paraId="4058B35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456" w:type="dxa"/>
            <w:tcBorders>
              <w:top w:val="nil"/>
              <w:left w:val="nil"/>
              <w:bottom w:val="single" w:sz="4" w:space="0" w:color="auto"/>
              <w:right w:val="nil"/>
            </w:tcBorders>
            <w:shd w:val="clear" w:color="auto" w:fill="auto"/>
            <w:noWrap/>
            <w:vAlign w:val="bottom"/>
            <w:hideMark/>
          </w:tcPr>
          <w:p w14:paraId="25E3EE5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947" w:type="dxa"/>
            <w:tcBorders>
              <w:top w:val="nil"/>
              <w:left w:val="nil"/>
              <w:bottom w:val="single" w:sz="4" w:space="0" w:color="auto"/>
              <w:right w:val="nil"/>
            </w:tcBorders>
            <w:shd w:val="clear" w:color="auto" w:fill="auto"/>
            <w:noWrap/>
            <w:vAlign w:val="bottom"/>
            <w:hideMark/>
          </w:tcPr>
          <w:p w14:paraId="343A3C4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7BC9EDF" w14:textId="77777777" w:rsidTr="00735871">
        <w:trPr>
          <w:trHeight w:val="277"/>
          <w:jc w:val="center"/>
        </w:trPr>
        <w:tc>
          <w:tcPr>
            <w:tcW w:w="8190" w:type="dxa"/>
            <w:gridSpan w:val="5"/>
            <w:tcBorders>
              <w:top w:val="single" w:sz="4" w:space="0" w:color="auto"/>
              <w:left w:val="nil"/>
              <w:right w:val="nil"/>
            </w:tcBorders>
            <w:shd w:val="clear" w:color="auto" w:fill="auto"/>
            <w:noWrap/>
            <w:vAlign w:val="bottom"/>
            <w:hideMark/>
          </w:tcPr>
          <w:p w14:paraId="24AAA58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Age, efficiency 100% load, efficiency 50% load, air flow 100% load, max steam flow, firing type indicators, fly ash reinjection, heat recovery steam generator, NERC regions, CAA attainment status, and waste heat input control variables were dropped for convergence.</w:t>
            </w:r>
          </w:p>
          <w:p w14:paraId="419CA71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31C3445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compliance strategies at the annual level for 2009-2022, with boiler retirement reported in this table. NOx treatment is an indicator variable for treatment under either CAIR or CSAPR for NOx emissions. Wet type technology is the indicator for jet bubbling reactor wet scrubber, mechanically aided type wet scrubber, packed type wet scrubber, spray type wet scrubber, tray type wet scrubber, and venturi type wet scrubber. Dry type technology is the indicator for circulating dry scrubber, spray dryer type/ dry FGD/ semi-dry FGD, dry sorbent powder injection type, or lime injection. Particulate technology is the indicator for baghouse filters, electrostatic precipitators, multiple and single cyclone technologies, and activated carbon injection system. Other technology is the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p w14:paraId="2B22C5A2" w14:textId="77777777" w:rsidR="009478ED" w:rsidRPr="007F37A0" w:rsidRDefault="009478ED" w:rsidP="00735871">
            <w:pPr>
              <w:rPr>
                <w:rFonts w:ascii="Times New Roman" w:hAnsi="Times New Roman" w:cs="Times New Roman"/>
              </w:rPr>
            </w:pPr>
          </w:p>
          <w:p w14:paraId="7004988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7B5BD06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0C57C2B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p w14:paraId="1DD677B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bl>
    <w:p w14:paraId="2A27AB9A" w14:textId="77777777" w:rsidR="009478ED" w:rsidRPr="007F37A0" w:rsidRDefault="009478ED" w:rsidP="009478ED">
      <w:pPr>
        <w:rPr>
          <w:rFonts w:ascii="Times New Roman" w:hAnsi="Times New Roman" w:cs="Times New Roman"/>
        </w:rPr>
      </w:pPr>
    </w:p>
    <w:p w14:paraId="4182C6F2" w14:textId="27E0BEC2" w:rsidR="009478ED" w:rsidRPr="007F37A0" w:rsidRDefault="009478ED" w:rsidP="007F37A0">
      <w:pPr>
        <w:pStyle w:val="Caption"/>
        <w:rPr>
          <w:rFonts w:cs="Times New Roman"/>
        </w:rPr>
      </w:pPr>
      <w:bookmarkStart w:id="195" w:name="_Ref164516371"/>
      <w:bookmarkStart w:id="196" w:name="_Toc164862572"/>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37</w:t>
      </w:r>
      <w:r w:rsidRPr="007F37A0">
        <w:rPr>
          <w:rFonts w:cs="Times New Roman"/>
        </w:rPr>
        <w:fldChar w:fldCharType="end"/>
      </w:r>
      <w:bookmarkEnd w:id="195"/>
      <w:r w:rsidRPr="007F37A0">
        <w:rPr>
          <w:rFonts w:cs="Times New Roman"/>
        </w:rPr>
        <w:t>: Fuel Switching by NO</w:t>
      </w:r>
      <w:r w:rsidRPr="007F37A0">
        <w:rPr>
          <w:rFonts w:cs="Times New Roman"/>
          <w:vertAlign w:val="subscript"/>
        </w:rPr>
        <w:t>x</w:t>
      </w:r>
      <w:r w:rsidRPr="007F37A0">
        <w:rPr>
          <w:rFonts w:cs="Times New Roman"/>
        </w:rPr>
        <w:t xml:space="preserve"> Treatment</w:t>
      </w:r>
      <w:bookmarkEnd w:id="196"/>
    </w:p>
    <w:tbl>
      <w:tblPr>
        <w:tblW w:w="9000" w:type="dxa"/>
        <w:jc w:val="center"/>
        <w:tblLook w:val="04A0" w:firstRow="1" w:lastRow="0" w:firstColumn="1" w:lastColumn="0" w:noHBand="0" w:noVBand="1"/>
      </w:tblPr>
      <w:tblGrid>
        <w:gridCol w:w="2070"/>
        <w:gridCol w:w="1530"/>
        <w:gridCol w:w="2250"/>
        <w:gridCol w:w="1800"/>
        <w:gridCol w:w="1350"/>
      </w:tblGrid>
      <w:tr w:rsidR="009478ED" w:rsidRPr="007F37A0" w14:paraId="28902182" w14:textId="77777777" w:rsidTr="00735871">
        <w:trPr>
          <w:trHeight w:val="270"/>
          <w:jc w:val="center"/>
        </w:trPr>
        <w:tc>
          <w:tcPr>
            <w:tcW w:w="2070" w:type="dxa"/>
            <w:tcBorders>
              <w:top w:val="single" w:sz="4" w:space="0" w:color="000000"/>
              <w:left w:val="nil"/>
              <w:bottom w:val="nil"/>
              <w:right w:val="nil"/>
            </w:tcBorders>
            <w:shd w:val="clear" w:color="auto" w:fill="auto"/>
            <w:noWrap/>
            <w:vAlign w:val="bottom"/>
            <w:hideMark/>
          </w:tcPr>
          <w:p w14:paraId="511703E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shd w:val="clear" w:color="auto" w:fill="auto"/>
            <w:noWrap/>
            <w:vAlign w:val="bottom"/>
            <w:hideMark/>
          </w:tcPr>
          <w:p w14:paraId="7AFCEA5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0" w:type="dxa"/>
            <w:tcBorders>
              <w:top w:val="single" w:sz="4" w:space="0" w:color="000000"/>
              <w:left w:val="nil"/>
              <w:bottom w:val="nil"/>
              <w:right w:val="nil"/>
            </w:tcBorders>
            <w:shd w:val="clear" w:color="auto" w:fill="auto"/>
            <w:noWrap/>
            <w:vAlign w:val="bottom"/>
            <w:hideMark/>
          </w:tcPr>
          <w:p w14:paraId="53B7D5E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800" w:type="dxa"/>
            <w:tcBorders>
              <w:top w:val="single" w:sz="4" w:space="0" w:color="000000"/>
              <w:left w:val="nil"/>
              <w:bottom w:val="nil"/>
              <w:right w:val="nil"/>
            </w:tcBorders>
            <w:shd w:val="clear" w:color="auto" w:fill="auto"/>
            <w:noWrap/>
            <w:vAlign w:val="bottom"/>
            <w:hideMark/>
          </w:tcPr>
          <w:p w14:paraId="4E95591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350" w:type="dxa"/>
            <w:tcBorders>
              <w:top w:val="single" w:sz="4" w:space="0" w:color="000000"/>
              <w:left w:val="nil"/>
              <w:bottom w:val="nil"/>
              <w:right w:val="nil"/>
            </w:tcBorders>
            <w:shd w:val="clear" w:color="auto" w:fill="auto"/>
            <w:noWrap/>
            <w:vAlign w:val="bottom"/>
            <w:hideMark/>
          </w:tcPr>
          <w:p w14:paraId="5287388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6AC9514D"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3C622DE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1D86C65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Switched Fuel Type</w:t>
            </w:r>
          </w:p>
        </w:tc>
        <w:tc>
          <w:tcPr>
            <w:tcW w:w="1530" w:type="dxa"/>
            <w:tcBorders>
              <w:top w:val="nil"/>
              <w:left w:val="nil"/>
              <w:bottom w:val="nil"/>
              <w:right w:val="nil"/>
            </w:tcBorders>
            <w:shd w:val="clear" w:color="auto" w:fill="auto"/>
            <w:noWrap/>
            <w:vAlign w:val="bottom"/>
            <w:hideMark/>
          </w:tcPr>
          <w:p w14:paraId="5672C00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2250" w:type="dxa"/>
            <w:tcBorders>
              <w:top w:val="nil"/>
              <w:left w:val="nil"/>
              <w:bottom w:val="nil"/>
              <w:right w:val="nil"/>
            </w:tcBorders>
            <w:shd w:val="clear" w:color="auto" w:fill="auto"/>
            <w:noWrap/>
            <w:vAlign w:val="bottom"/>
            <w:hideMark/>
          </w:tcPr>
          <w:p w14:paraId="0B3DCC0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800" w:type="dxa"/>
            <w:tcBorders>
              <w:top w:val="nil"/>
              <w:left w:val="nil"/>
              <w:bottom w:val="nil"/>
              <w:right w:val="nil"/>
            </w:tcBorders>
            <w:shd w:val="clear" w:color="auto" w:fill="auto"/>
            <w:noWrap/>
            <w:vAlign w:val="bottom"/>
            <w:hideMark/>
          </w:tcPr>
          <w:p w14:paraId="5CC7CE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350" w:type="dxa"/>
            <w:tcBorders>
              <w:top w:val="nil"/>
              <w:left w:val="nil"/>
              <w:bottom w:val="nil"/>
              <w:right w:val="nil"/>
            </w:tcBorders>
            <w:shd w:val="clear" w:color="auto" w:fill="auto"/>
            <w:noWrap/>
            <w:vAlign w:val="bottom"/>
            <w:hideMark/>
          </w:tcPr>
          <w:p w14:paraId="78442EE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4CB5EA25" w14:textId="77777777" w:rsidTr="00735871">
        <w:trPr>
          <w:trHeight w:val="270"/>
          <w:jc w:val="center"/>
        </w:trPr>
        <w:tc>
          <w:tcPr>
            <w:tcW w:w="2070" w:type="dxa"/>
            <w:tcBorders>
              <w:top w:val="single" w:sz="4" w:space="0" w:color="000000"/>
              <w:left w:val="nil"/>
              <w:bottom w:val="nil"/>
              <w:right w:val="nil"/>
            </w:tcBorders>
            <w:shd w:val="clear" w:color="auto" w:fill="auto"/>
            <w:noWrap/>
            <w:vAlign w:val="bottom"/>
            <w:hideMark/>
          </w:tcPr>
          <w:p w14:paraId="4840E61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shd w:val="clear" w:color="auto" w:fill="auto"/>
            <w:noWrap/>
            <w:vAlign w:val="bottom"/>
            <w:hideMark/>
          </w:tcPr>
          <w:p w14:paraId="7CC7E89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0" w:type="dxa"/>
            <w:tcBorders>
              <w:top w:val="single" w:sz="4" w:space="0" w:color="000000"/>
              <w:left w:val="nil"/>
              <w:bottom w:val="nil"/>
              <w:right w:val="nil"/>
            </w:tcBorders>
            <w:shd w:val="clear" w:color="auto" w:fill="auto"/>
            <w:noWrap/>
            <w:vAlign w:val="bottom"/>
            <w:hideMark/>
          </w:tcPr>
          <w:p w14:paraId="1C32690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00" w:type="dxa"/>
            <w:tcBorders>
              <w:top w:val="single" w:sz="4" w:space="0" w:color="000000"/>
              <w:left w:val="nil"/>
              <w:bottom w:val="nil"/>
              <w:right w:val="nil"/>
            </w:tcBorders>
            <w:shd w:val="clear" w:color="auto" w:fill="auto"/>
            <w:noWrap/>
            <w:vAlign w:val="bottom"/>
            <w:hideMark/>
          </w:tcPr>
          <w:p w14:paraId="54F3334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1103754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24F21C53"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79E47BB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Treatment</w:t>
            </w:r>
          </w:p>
        </w:tc>
        <w:tc>
          <w:tcPr>
            <w:tcW w:w="1530" w:type="dxa"/>
            <w:tcBorders>
              <w:top w:val="nil"/>
              <w:left w:val="nil"/>
              <w:bottom w:val="nil"/>
              <w:right w:val="nil"/>
            </w:tcBorders>
            <w:shd w:val="clear" w:color="auto" w:fill="auto"/>
            <w:noWrap/>
            <w:vAlign w:val="bottom"/>
            <w:hideMark/>
          </w:tcPr>
          <w:p w14:paraId="4D6BC38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c>
          <w:tcPr>
            <w:tcW w:w="2250" w:type="dxa"/>
            <w:tcBorders>
              <w:top w:val="nil"/>
              <w:left w:val="nil"/>
              <w:bottom w:val="nil"/>
              <w:right w:val="nil"/>
            </w:tcBorders>
            <w:shd w:val="clear" w:color="auto" w:fill="auto"/>
            <w:noWrap/>
            <w:vAlign w:val="bottom"/>
            <w:hideMark/>
          </w:tcPr>
          <w:p w14:paraId="3A38B8A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c>
          <w:tcPr>
            <w:tcW w:w="1800" w:type="dxa"/>
            <w:tcBorders>
              <w:top w:val="nil"/>
              <w:left w:val="nil"/>
              <w:bottom w:val="nil"/>
              <w:right w:val="nil"/>
            </w:tcBorders>
            <w:shd w:val="clear" w:color="auto" w:fill="auto"/>
            <w:noWrap/>
            <w:vAlign w:val="bottom"/>
            <w:hideMark/>
          </w:tcPr>
          <w:p w14:paraId="2D0FE73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c>
          <w:tcPr>
            <w:tcW w:w="1350" w:type="dxa"/>
            <w:tcBorders>
              <w:top w:val="nil"/>
              <w:left w:val="nil"/>
              <w:bottom w:val="nil"/>
              <w:right w:val="nil"/>
            </w:tcBorders>
            <w:shd w:val="clear" w:color="auto" w:fill="auto"/>
            <w:noWrap/>
            <w:vAlign w:val="bottom"/>
            <w:hideMark/>
          </w:tcPr>
          <w:p w14:paraId="5626AE1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r>
      <w:tr w:rsidR="009478ED" w:rsidRPr="007F37A0" w14:paraId="7D7FFD40"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77355FCF"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55A9893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c>
          <w:tcPr>
            <w:tcW w:w="2250" w:type="dxa"/>
            <w:tcBorders>
              <w:top w:val="nil"/>
              <w:left w:val="nil"/>
              <w:bottom w:val="nil"/>
              <w:right w:val="nil"/>
            </w:tcBorders>
            <w:shd w:val="clear" w:color="auto" w:fill="auto"/>
            <w:noWrap/>
            <w:vAlign w:val="bottom"/>
            <w:hideMark/>
          </w:tcPr>
          <w:p w14:paraId="640247D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c>
          <w:tcPr>
            <w:tcW w:w="1800" w:type="dxa"/>
            <w:tcBorders>
              <w:top w:val="nil"/>
              <w:left w:val="nil"/>
              <w:bottom w:val="nil"/>
              <w:right w:val="nil"/>
            </w:tcBorders>
            <w:shd w:val="clear" w:color="auto" w:fill="auto"/>
            <w:noWrap/>
            <w:vAlign w:val="bottom"/>
            <w:hideMark/>
          </w:tcPr>
          <w:p w14:paraId="4689FD4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c>
          <w:tcPr>
            <w:tcW w:w="1350" w:type="dxa"/>
            <w:tcBorders>
              <w:top w:val="nil"/>
              <w:left w:val="nil"/>
              <w:bottom w:val="nil"/>
              <w:right w:val="nil"/>
            </w:tcBorders>
            <w:shd w:val="clear" w:color="auto" w:fill="auto"/>
            <w:noWrap/>
            <w:vAlign w:val="bottom"/>
            <w:hideMark/>
          </w:tcPr>
          <w:p w14:paraId="36C6A3A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r>
      <w:tr w:rsidR="009478ED" w:rsidRPr="007F37A0" w14:paraId="075B4579"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32236F12"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1468D1E5" w14:textId="77777777" w:rsidR="009478ED" w:rsidRPr="007F37A0" w:rsidRDefault="009478ED" w:rsidP="00735871">
            <w:pPr>
              <w:rPr>
                <w:rFonts w:ascii="Times New Roman" w:hAnsi="Times New Roman" w:cs="Times New Roman"/>
              </w:rPr>
            </w:pPr>
          </w:p>
        </w:tc>
        <w:tc>
          <w:tcPr>
            <w:tcW w:w="2250" w:type="dxa"/>
            <w:tcBorders>
              <w:top w:val="nil"/>
              <w:left w:val="nil"/>
              <w:bottom w:val="nil"/>
              <w:right w:val="nil"/>
            </w:tcBorders>
            <w:shd w:val="clear" w:color="auto" w:fill="auto"/>
            <w:noWrap/>
            <w:vAlign w:val="bottom"/>
            <w:hideMark/>
          </w:tcPr>
          <w:p w14:paraId="1448F531" w14:textId="77777777" w:rsidR="009478ED" w:rsidRPr="007F37A0" w:rsidRDefault="009478ED" w:rsidP="00735871">
            <w:pPr>
              <w:jc w:val="center"/>
              <w:rPr>
                <w:rFonts w:ascii="Times New Roman" w:hAnsi="Times New Roman" w:cs="Times New Roman"/>
              </w:rPr>
            </w:pPr>
          </w:p>
        </w:tc>
        <w:tc>
          <w:tcPr>
            <w:tcW w:w="1800" w:type="dxa"/>
            <w:tcBorders>
              <w:top w:val="nil"/>
              <w:left w:val="nil"/>
              <w:bottom w:val="nil"/>
              <w:right w:val="nil"/>
            </w:tcBorders>
            <w:shd w:val="clear" w:color="auto" w:fill="auto"/>
            <w:noWrap/>
            <w:vAlign w:val="bottom"/>
          </w:tcPr>
          <w:p w14:paraId="4DF318B7"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tcPr>
          <w:p w14:paraId="0207FC00" w14:textId="77777777" w:rsidR="009478ED" w:rsidRPr="007F37A0" w:rsidRDefault="009478ED" w:rsidP="00735871">
            <w:pPr>
              <w:jc w:val="center"/>
              <w:rPr>
                <w:rFonts w:ascii="Times New Roman" w:hAnsi="Times New Roman" w:cs="Times New Roman"/>
              </w:rPr>
            </w:pPr>
          </w:p>
        </w:tc>
      </w:tr>
      <w:tr w:rsidR="009478ED" w:rsidRPr="007F37A0" w14:paraId="50FEF4CD"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5384F2A6"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2E5DA3E9" w14:textId="77777777" w:rsidR="009478ED" w:rsidRPr="007F37A0" w:rsidRDefault="009478ED" w:rsidP="00735871">
            <w:pPr>
              <w:rPr>
                <w:rFonts w:ascii="Times New Roman" w:hAnsi="Times New Roman" w:cs="Times New Roman"/>
              </w:rPr>
            </w:pPr>
          </w:p>
        </w:tc>
        <w:tc>
          <w:tcPr>
            <w:tcW w:w="2250" w:type="dxa"/>
            <w:tcBorders>
              <w:top w:val="nil"/>
              <w:left w:val="nil"/>
              <w:bottom w:val="nil"/>
              <w:right w:val="nil"/>
            </w:tcBorders>
            <w:shd w:val="clear" w:color="auto" w:fill="auto"/>
            <w:noWrap/>
            <w:vAlign w:val="bottom"/>
            <w:hideMark/>
          </w:tcPr>
          <w:p w14:paraId="5965F57D" w14:textId="77777777" w:rsidR="009478ED" w:rsidRPr="007F37A0" w:rsidRDefault="009478ED" w:rsidP="00735871">
            <w:pPr>
              <w:jc w:val="center"/>
              <w:rPr>
                <w:rFonts w:ascii="Times New Roman" w:hAnsi="Times New Roman" w:cs="Times New Roman"/>
              </w:rPr>
            </w:pPr>
          </w:p>
        </w:tc>
        <w:tc>
          <w:tcPr>
            <w:tcW w:w="1800" w:type="dxa"/>
            <w:tcBorders>
              <w:top w:val="nil"/>
              <w:left w:val="nil"/>
              <w:bottom w:val="nil"/>
              <w:right w:val="nil"/>
            </w:tcBorders>
            <w:shd w:val="clear" w:color="auto" w:fill="auto"/>
            <w:noWrap/>
            <w:vAlign w:val="bottom"/>
            <w:hideMark/>
          </w:tcPr>
          <w:p w14:paraId="3787A011"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691475FA" w14:textId="77777777" w:rsidR="009478ED" w:rsidRPr="007F37A0" w:rsidRDefault="009478ED" w:rsidP="00735871">
            <w:pPr>
              <w:jc w:val="center"/>
              <w:rPr>
                <w:rFonts w:ascii="Times New Roman" w:hAnsi="Times New Roman" w:cs="Times New Roman"/>
              </w:rPr>
            </w:pPr>
          </w:p>
        </w:tc>
      </w:tr>
      <w:tr w:rsidR="009478ED" w:rsidRPr="007F37A0" w14:paraId="34DFDA31"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6002356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530" w:type="dxa"/>
            <w:tcBorders>
              <w:top w:val="nil"/>
              <w:left w:val="nil"/>
              <w:bottom w:val="nil"/>
              <w:right w:val="nil"/>
            </w:tcBorders>
            <w:shd w:val="clear" w:color="auto" w:fill="auto"/>
            <w:noWrap/>
            <w:vAlign w:val="bottom"/>
            <w:hideMark/>
          </w:tcPr>
          <w:p w14:paraId="4FC7EE4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46,474</w:t>
            </w:r>
          </w:p>
        </w:tc>
        <w:tc>
          <w:tcPr>
            <w:tcW w:w="2250" w:type="dxa"/>
            <w:tcBorders>
              <w:top w:val="nil"/>
              <w:left w:val="nil"/>
              <w:bottom w:val="nil"/>
              <w:right w:val="nil"/>
            </w:tcBorders>
            <w:shd w:val="clear" w:color="auto" w:fill="auto"/>
            <w:noWrap/>
            <w:vAlign w:val="bottom"/>
            <w:hideMark/>
          </w:tcPr>
          <w:p w14:paraId="440D4B0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46,474</w:t>
            </w:r>
          </w:p>
        </w:tc>
        <w:tc>
          <w:tcPr>
            <w:tcW w:w="1800" w:type="dxa"/>
            <w:tcBorders>
              <w:top w:val="nil"/>
              <w:left w:val="nil"/>
              <w:bottom w:val="nil"/>
              <w:right w:val="nil"/>
            </w:tcBorders>
            <w:shd w:val="clear" w:color="auto" w:fill="auto"/>
            <w:noWrap/>
            <w:vAlign w:val="bottom"/>
            <w:hideMark/>
          </w:tcPr>
          <w:p w14:paraId="4D0308B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46,474</w:t>
            </w:r>
          </w:p>
        </w:tc>
        <w:tc>
          <w:tcPr>
            <w:tcW w:w="1350" w:type="dxa"/>
            <w:tcBorders>
              <w:top w:val="nil"/>
              <w:left w:val="nil"/>
              <w:bottom w:val="nil"/>
              <w:right w:val="nil"/>
            </w:tcBorders>
            <w:shd w:val="clear" w:color="auto" w:fill="auto"/>
            <w:noWrap/>
            <w:vAlign w:val="bottom"/>
            <w:hideMark/>
          </w:tcPr>
          <w:p w14:paraId="0872BD9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46,474</w:t>
            </w:r>
          </w:p>
        </w:tc>
      </w:tr>
      <w:tr w:rsidR="009478ED" w:rsidRPr="007F37A0" w14:paraId="2FACCD1B"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0AC2543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530" w:type="dxa"/>
            <w:tcBorders>
              <w:top w:val="nil"/>
              <w:left w:val="nil"/>
              <w:bottom w:val="nil"/>
              <w:right w:val="nil"/>
            </w:tcBorders>
            <w:shd w:val="clear" w:color="auto" w:fill="auto"/>
            <w:noWrap/>
            <w:vAlign w:val="bottom"/>
            <w:hideMark/>
          </w:tcPr>
          <w:p w14:paraId="5C2536E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0" w:type="dxa"/>
            <w:tcBorders>
              <w:top w:val="nil"/>
              <w:left w:val="nil"/>
              <w:bottom w:val="nil"/>
              <w:right w:val="nil"/>
            </w:tcBorders>
            <w:shd w:val="clear" w:color="auto" w:fill="auto"/>
            <w:noWrap/>
            <w:vAlign w:val="bottom"/>
            <w:hideMark/>
          </w:tcPr>
          <w:p w14:paraId="1AB7A72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00" w:type="dxa"/>
            <w:tcBorders>
              <w:top w:val="nil"/>
              <w:left w:val="nil"/>
              <w:bottom w:val="nil"/>
              <w:right w:val="nil"/>
            </w:tcBorders>
            <w:shd w:val="clear" w:color="auto" w:fill="auto"/>
            <w:noWrap/>
            <w:vAlign w:val="bottom"/>
            <w:hideMark/>
          </w:tcPr>
          <w:p w14:paraId="1294C4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7031559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A7B36B2"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1345637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530" w:type="dxa"/>
            <w:tcBorders>
              <w:top w:val="nil"/>
              <w:left w:val="nil"/>
              <w:bottom w:val="nil"/>
              <w:right w:val="nil"/>
            </w:tcBorders>
            <w:shd w:val="clear" w:color="auto" w:fill="auto"/>
            <w:noWrap/>
            <w:vAlign w:val="bottom"/>
            <w:hideMark/>
          </w:tcPr>
          <w:p w14:paraId="6804CFB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nil"/>
              <w:right w:val="nil"/>
            </w:tcBorders>
            <w:shd w:val="clear" w:color="auto" w:fill="auto"/>
            <w:noWrap/>
            <w:vAlign w:val="bottom"/>
            <w:hideMark/>
          </w:tcPr>
          <w:p w14:paraId="1BA0E43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00" w:type="dxa"/>
            <w:tcBorders>
              <w:top w:val="nil"/>
              <w:left w:val="nil"/>
              <w:bottom w:val="nil"/>
              <w:right w:val="nil"/>
            </w:tcBorders>
            <w:shd w:val="clear" w:color="auto" w:fill="auto"/>
            <w:noWrap/>
            <w:vAlign w:val="bottom"/>
            <w:hideMark/>
          </w:tcPr>
          <w:p w14:paraId="065FD1D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250135D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36DC7A6" w14:textId="77777777" w:rsidTr="00735871">
        <w:trPr>
          <w:trHeight w:val="270"/>
          <w:jc w:val="center"/>
        </w:trPr>
        <w:tc>
          <w:tcPr>
            <w:tcW w:w="2070" w:type="dxa"/>
            <w:tcBorders>
              <w:top w:val="nil"/>
              <w:left w:val="nil"/>
              <w:bottom w:val="nil"/>
              <w:right w:val="nil"/>
            </w:tcBorders>
            <w:shd w:val="clear" w:color="auto" w:fill="auto"/>
            <w:noWrap/>
            <w:vAlign w:val="bottom"/>
            <w:hideMark/>
          </w:tcPr>
          <w:p w14:paraId="23EE305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530" w:type="dxa"/>
            <w:tcBorders>
              <w:top w:val="nil"/>
              <w:left w:val="nil"/>
              <w:bottom w:val="nil"/>
              <w:right w:val="nil"/>
            </w:tcBorders>
            <w:shd w:val="clear" w:color="auto" w:fill="auto"/>
            <w:noWrap/>
            <w:vAlign w:val="bottom"/>
            <w:hideMark/>
          </w:tcPr>
          <w:p w14:paraId="03C1661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nil"/>
              <w:right w:val="nil"/>
            </w:tcBorders>
            <w:shd w:val="clear" w:color="auto" w:fill="auto"/>
            <w:noWrap/>
            <w:vAlign w:val="bottom"/>
            <w:hideMark/>
          </w:tcPr>
          <w:p w14:paraId="2D76CDE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nil"/>
              <w:right w:val="nil"/>
            </w:tcBorders>
            <w:shd w:val="clear" w:color="auto" w:fill="auto"/>
            <w:noWrap/>
            <w:vAlign w:val="bottom"/>
            <w:hideMark/>
          </w:tcPr>
          <w:p w14:paraId="41C53A2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4654EF5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3C54D34" w14:textId="77777777" w:rsidTr="00735871">
        <w:trPr>
          <w:trHeight w:val="270"/>
          <w:jc w:val="center"/>
        </w:trPr>
        <w:tc>
          <w:tcPr>
            <w:tcW w:w="2070" w:type="dxa"/>
            <w:tcBorders>
              <w:top w:val="nil"/>
              <w:left w:val="nil"/>
              <w:bottom w:val="single" w:sz="4" w:space="0" w:color="000000"/>
              <w:right w:val="nil"/>
            </w:tcBorders>
            <w:shd w:val="clear" w:color="auto" w:fill="auto"/>
            <w:noWrap/>
            <w:vAlign w:val="bottom"/>
            <w:hideMark/>
          </w:tcPr>
          <w:p w14:paraId="6591013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530" w:type="dxa"/>
            <w:tcBorders>
              <w:top w:val="nil"/>
              <w:left w:val="nil"/>
              <w:bottom w:val="single" w:sz="4" w:space="0" w:color="000000"/>
              <w:right w:val="nil"/>
            </w:tcBorders>
            <w:shd w:val="clear" w:color="auto" w:fill="auto"/>
            <w:noWrap/>
            <w:vAlign w:val="bottom"/>
            <w:hideMark/>
          </w:tcPr>
          <w:p w14:paraId="06E9B4D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2250" w:type="dxa"/>
            <w:tcBorders>
              <w:top w:val="nil"/>
              <w:left w:val="nil"/>
              <w:bottom w:val="single" w:sz="4" w:space="0" w:color="000000"/>
              <w:right w:val="nil"/>
            </w:tcBorders>
            <w:shd w:val="clear" w:color="auto" w:fill="auto"/>
            <w:noWrap/>
            <w:vAlign w:val="bottom"/>
            <w:hideMark/>
          </w:tcPr>
          <w:p w14:paraId="4ECB659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single" w:sz="4" w:space="0" w:color="000000"/>
              <w:right w:val="nil"/>
            </w:tcBorders>
            <w:shd w:val="clear" w:color="auto" w:fill="auto"/>
            <w:noWrap/>
            <w:vAlign w:val="bottom"/>
            <w:hideMark/>
          </w:tcPr>
          <w:p w14:paraId="6C05F2C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350" w:type="dxa"/>
            <w:tcBorders>
              <w:top w:val="nil"/>
              <w:left w:val="nil"/>
              <w:bottom w:val="single" w:sz="4" w:space="0" w:color="000000"/>
              <w:right w:val="nil"/>
            </w:tcBorders>
            <w:shd w:val="clear" w:color="auto" w:fill="auto"/>
            <w:noWrap/>
            <w:vAlign w:val="bottom"/>
            <w:hideMark/>
          </w:tcPr>
          <w:p w14:paraId="3B3FA5B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7FE0DB68" w14:textId="77777777" w:rsidTr="00735871">
        <w:trPr>
          <w:trHeight w:val="270"/>
          <w:jc w:val="center"/>
        </w:trPr>
        <w:tc>
          <w:tcPr>
            <w:tcW w:w="7650" w:type="dxa"/>
            <w:gridSpan w:val="4"/>
            <w:tcBorders>
              <w:top w:val="nil"/>
              <w:left w:val="nil"/>
              <w:bottom w:val="nil"/>
              <w:right w:val="nil"/>
            </w:tcBorders>
            <w:shd w:val="clear" w:color="auto" w:fill="auto"/>
            <w:noWrap/>
            <w:vAlign w:val="bottom"/>
            <w:hideMark/>
          </w:tcPr>
          <w:p w14:paraId="132F70B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tc>
        <w:tc>
          <w:tcPr>
            <w:tcW w:w="1350" w:type="dxa"/>
            <w:tcBorders>
              <w:top w:val="nil"/>
              <w:left w:val="nil"/>
              <w:bottom w:val="nil"/>
              <w:right w:val="nil"/>
            </w:tcBorders>
            <w:shd w:val="clear" w:color="auto" w:fill="auto"/>
            <w:noWrap/>
            <w:vAlign w:val="bottom"/>
            <w:hideMark/>
          </w:tcPr>
          <w:p w14:paraId="1E034E55" w14:textId="77777777" w:rsidR="009478ED" w:rsidRPr="007F37A0" w:rsidRDefault="009478ED" w:rsidP="00735871">
            <w:pPr>
              <w:rPr>
                <w:rFonts w:ascii="Times New Roman" w:hAnsi="Times New Roman" w:cs="Times New Roman"/>
              </w:rPr>
            </w:pPr>
          </w:p>
        </w:tc>
      </w:tr>
      <w:tr w:rsidR="009478ED" w:rsidRPr="007F37A0" w14:paraId="7FF0B4AC" w14:textId="77777777" w:rsidTr="00735871">
        <w:trPr>
          <w:trHeight w:val="270"/>
          <w:jc w:val="center"/>
        </w:trPr>
        <w:tc>
          <w:tcPr>
            <w:tcW w:w="9000" w:type="dxa"/>
            <w:gridSpan w:val="5"/>
            <w:tcBorders>
              <w:top w:val="nil"/>
              <w:left w:val="nil"/>
              <w:bottom w:val="nil"/>
              <w:right w:val="nil"/>
            </w:tcBorders>
            <w:shd w:val="clear" w:color="auto" w:fill="auto"/>
            <w:noWrap/>
            <w:vAlign w:val="bottom"/>
            <w:hideMark/>
          </w:tcPr>
          <w:p w14:paraId="704E1E6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fuel switching at the annual level for 2009-2022. NO</w:t>
            </w:r>
            <w:r w:rsidRPr="007F37A0">
              <w:rPr>
                <w:rFonts w:ascii="Times New Roman" w:hAnsi="Times New Roman" w:cs="Times New Roman"/>
                <w:vertAlign w:val="subscript"/>
              </w:rPr>
              <w:t>x</w:t>
            </w:r>
            <w:r w:rsidRPr="007F37A0">
              <w:rPr>
                <w:rFonts w:ascii="Times New Roman" w:hAnsi="Times New Roman" w:cs="Times New Roman"/>
              </w:rPr>
              <w:t xml:space="preserve"> treatment is an indicator variable for treatment under either CAIR or CSAPR for NO</w:t>
            </w:r>
            <w:r w:rsidRPr="007F37A0">
              <w:rPr>
                <w:rFonts w:ascii="Times New Roman" w:hAnsi="Times New Roman" w:cs="Times New Roman"/>
                <w:vertAlign w:val="subscript"/>
              </w:rPr>
              <w:t>x</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50501C4D"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2C5A8C84" w14:textId="77777777" w:rsidR="009478ED" w:rsidRPr="007F37A0" w:rsidRDefault="009478ED" w:rsidP="009478ED">
      <w:pPr>
        <w:rPr>
          <w:rFonts w:ascii="Times New Roman" w:hAnsi="Times New Roman" w:cs="Times New Roman"/>
        </w:rPr>
      </w:pPr>
    </w:p>
    <w:p w14:paraId="28CD75ED" w14:textId="789444D6" w:rsidR="009478ED" w:rsidRPr="007F37A0" w:rsidRDefault="009478ED" w:rsidP="007F37A0">
      <w:pPr>
        <w:pStyle w:val="Caption"/>
        <w:rPr>
          <w:rFonts w:cs="Times New Roman"/>
        </w:rPr>
      </w:pPr>
      <w:bookmarkStart w:id="197" w:name="_Ref160878803"/>
      <w:bookmarkStart w:id="198" w:name="_Toc160879147"/>
      <w:bookmarkStart w:id="199" w:name="_Toc164862573"/>
      <w:r w:rsidRPr="007F37A0">
        <w:rPr>
          <w:rFonts w:cs="Times New Roman"/>
        </w:rPr>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38</w:t>
      </w:r>
      <w:r w:rsidRPr="007F37A0">
        <w:rPr>
          <w:rFonts w:cs="Times New Roman"/>
        </w:rPr>
        <w:fldChar w:fldCharType="end"/>
      </w:r>
      <w:bookmarkEnd w:id="197"/>
      <w:r w:rsidRPr="007F37A0">
        <w:rPr>
          <w:rFonts w:cs="Times New Roman"/>
        </w:rPr>
        <w:t>: Boiler Retirement by NO</w:t>
      </w:r>
      <w:r w:rsidRPr="007F37A0">
        <w:rPr>
          <w:rFonts w:cs="Times New Roman"/>
          <w:vertAlign w:val="subscript"/>
        </w:rPr>
        <w:t>x</w:t>
      </w:r>
      <w:r w:rsidRPr="007F37A0">
        <w:rPr>
          <w:rFonts w:cs="Times New Roman"/>
        </w:rPr>
        <w:t xml:space="preserve"> Treatment</w:t>
      </w:r>
      <w:bookmarkEnd w:id="198"/>
      <w:bookmarkEnd w:id="199"/>
    </w:p>
    <w:tbl>
      <w:tblPr>
        <w:tblW w:w="8205" w:type="dxa"/>
        <w:jc w:val="center"/>
        <w:tblLook w:val="04A0" w:firstRow="1" w:lastRow="0" w:firstColumn="1" w:lastColumn="0" w:noHBand="0" w:noVBand="1"/>
      </w:tblPr>
      <w:tblGrid>
        <w:gridCol w:w="2430"/>
        <w:gridCol w:w="1260"/>
        <w:gridCol w:w="1630"/>
        <w:gridCol w:w="1842"/>
        <w:gridCol w:w="1043"/>
      </w:tblGrid>
      <w:tr w:rsidR="009478ED" w:rsidRPr="007F37A0" w14:paraId="410D70DA" w14:textId="77777777" w:rsidTr="00735871">
        <w:trPr>
          <w:trHeight w:val="273"/>
          <w:jc w:val="center"/>
        </w:trPr>
        <w:tc>
          <w:tcPr>
            <w:tcW w:w="2430" w:type="dxa"/>
            <w:tcBorders>
              <w:top w:val="single" w:sz="4" w:space="0" w:color="000000"/>
              <w:left w:val="nil"/>
              <w:bottom w:val="nil"/>
              <w:right w:val="nil"/>
            </w:tcBorders>
            <w:shd w:val="clear" w:color="auto" w:fill="auto"/>
            <w:noWrap/>
            <w:vAlign w:val="bottom"/>
            <w:hideMark/>
          </w:tcPr>
          <w:p w14:paraId="6D31D3F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260" w:type="dxa"/>
            <w:tcBorders>
              <w:top w:val="single" w:sz="4" w:space="0" w:color="000000"/>
              <w:left w:val="nil"/>
              <w:bottom w:val="nil"/>
              <w:right w:val="nil"/>
            </w:tcBorders>
            <w:shd w:val="clear" w:color="auto" w:fill="auto"/>
            <w:noWrap/>
            <w:vAlign w:val="bottom"/>
            <w:hideMark/>
          </w:tcPr>
          <w:p w14:paraId="2B9EC1B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1630" w:type="dxa"/>
            <w:tcBorders>
              <w:top w:val="single" w:sz="4" w:space="0" w:color="000000"/>
              <w:left w:val="nil"/>
              <w:bottom w:val="nil"/>
              <w:right w:val="nil"/>
            </w:tcBorders>
            <w:shd w:val="clear" w:color="auto" w:fill="auto"/>
            <w:noWrap/>
            <w:vAlign w:val="bottom"/>
            <w:hideMark/>
          </w:tcPr>
          <w:p w14:paraId="047B634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842" w:type="dxa"/>
            <w:tcBorders>
              <w:top w:val="single" w:sz="4" w:space="0" w:color="000000"/>
              <w:left w:val="nil"/>
              <w:bottom w:val="nil"/>
              <w:right w:val="nil"/>
            </w:tcBorders>
            <w:shd w:val="clear" w:color="auto" w:fill="auto"/>
            <w:noWrap/>
            <w:vAlign w:val="bottom"/>
            <w:hideMark/>
          </w:tcPr>
          <w:p w14:paraId="0C9C58B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043" w:type="dxa"/>
            <w:tcBorders>
              <w:top w:val="single" w:sz="4" w:space="0" w:color="000000"/>
              <w:left w:val="nil"/>
              <w:bottom w:val="nil"/>
              <w:right w:val="nil"/>
            </w:tcBorders>
            <w:shd w:val="clear" w:color="auto" w:fill="auto"/>
            <w:noWrap/>
            <w:vAlign w:val="bottom"/>
            <w:hideMark/>
          </w:tcPr>
          <w:p w14:paraId="65030CC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0AF88A74" w14:textId="77777777" w:rsidTr="00735871">
        <w:trPr>
          <w:trHeight w:val="273"/>
          <w:jc w:val="center"/>
        </w:trPr>
        <w:tc>
          <w:tcPr>
            <w:tcW w:w="2430" w:type="dxa"/>
            <w:tcBorders>
              <w:top w:val="nil"/>
              <w:left w:val="nil"/>
              <w:bottom w:val="nil"/>
              <w:right w:val="nil"/>
            </w:tcBorders>
            <w:shd w:val="clear" w:color="auto" w:fill="auto"/>
            <w:noWrap/>
            <w:vAlign w:val="bottom"/>
            <w:hideMark/>
          </w:tcPr>
          <w:p w14:paraId="3BAF372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4BE2E85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Boiler Retirement</w:t>
            </w:r>
          </w:p>
        </w:tc>
        <w:tc>
          <w:tcPr>
            <w:tcW w:w="1260" w:type="dxa"/>
            <w:tcBorders>
              <w:top w:val="nil"/>
              <w:left w:val="nil"/>
              <w:bottom w:val="nil"/>
              <w:right w:val="nil"/>
            </w:tcBorders>
            <w:shd w:val="clear" w:color="auto" w:fill="auto"/>
            <w:noWrap/>
            <w:vAlign w:val="bottom"/>
            <w:hideMark/>
          </w:tcPr>
          <w:p w14:paraId="5AF76AE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 Controls</w:t>
            </w:r>
          </w:p>
        </w:tc>
        <w:tc>
          <w:tcPr>
            <w:tcW w:w="1630" w:type="dxa"/>
            <w:tcBorders>
              <w:top w:val="nil"/>
              <w:left w:val="nil"/>
              <w:bottom w:val="nil"/>
              <w:right w:val="nil"/>
            </w:tcBorders>
            <w:shd w:val="clear" w:color="auto" w:fill="auto"/>
            <w:noWrap/>
            <w:vAlign w:val="bottom"/>
            <w:hideMark/>
          </w:tcPr>
          <w:p w14:paraId="60CC127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842" w:type="dxa"/>
            <w:tcBorders>
              <w:top w:val="nil"/>
              <w:left w:val="nil"/>
              <w:bottom w:val="nil"/>
              <w:right w:val="nil"/>
            </w:tcBorders>
            <w:shd w:val="clear" w:color="auto" w:fill="auto"/>
            <w:noWrap/>
            <w:vAlign w:val="bottom"/>
            <w:hideMark/>
          </w:tcPr>
          <w:p w14:paraId="0FECC86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043" w:type="dxa"/>
            <w:tcBorders>
              <w:top w:val="nil"/>
              <w:left w:val="nil"/>
              <w:bottom w:val="nil"/>
              <w:right w:val="nil"/>
            </w:tcBorders>
            <w:shd w:val="clear" w:color="auto" w:fill="auto"/>
            <w:noWrap/>
            <w:vAlign w:val="bottom"/>
            <w:hideMark/>
          </w:tcPr>
          <w:p w14:paraId="09CFFBB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6F7182E7" w14:textId="77777777" w:rsidTr="00735871">
        <w:trPr>
          <w:trHeight w:val="273"/>
          <w:jc w:val="center"/>
        </w:trPr>
        <w:tc>
          <w:tcPr>
            <w:tcW w:w="2430" w:type="dxa"/>
            <w:tcBorders>
              <w:top w:val="single" w:sz="4" w:space="0" w:color="000000"/>
              <w:left w:val="nil"/>
              <w:bottom w:val="nil"/>
              <w:right w:val="nil"/>
            </w:tcBorders>
            <w:shd w:val="clear" w:color="auto" w:fill="auto"/>
            <w:noWrap/>
            <w:vAlign w:val="bottom"/>
            <w:hideMark/>
          </w:tcPr>
          <w:p w14:paraId="7BE437F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260" w:type="dxa"/>
            <w:tcBorders>
              <w:top w:val="single" w:sz="4" w:space="0" w:color="000000"/>
              <w:left w:val="nil"/>
              <w:bottom w:val="nil"/>
              <w:right w:val="nil"/>
            </w:tcBorders>
            <w:shd w:val="clear" w:color="auto" w:fill="auto"/>
            <w:noWrap/>
            <w:vAlign w:val="bottom"/>
            <w:hideMark/>
          </w:tcPr>
          <w:p w14:paraId="7D44D96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630" w:type="dxa"/>
            <w:tcBorders>
              <w:top w:val="single" w:sz="4" w:space="0" w:color="000000"/>
              <w:left w:val="nil"/>
              <w:bottom w:val="nil"/>
              <w:right w:val="nil"/>
            </w:tcBorders>
            <w:shd w:val="clear" w:color="auto" w:fill="auto"/>
            <w:noWrap/>
            <w:vAlign w:val="bottom"/>
            <w:hideMark/>
          </w:tcPr>
          <w:p w14:paraId="5555EF7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42" w:type="dxa"/>
            <w:tcBorders>
              <w:top w:val="single" w:sz="4" w:space="0" w:color="000000"/>
              <w:left w:val="nil"/>
              <w:bottom w:val="nil"/>
              <w:right w:val="nil"/>
            </w:tcBorders>
            <w:shd w:val="clear" w:color="auto" w:fill="auto"/>
            <w:noWrap/>
            <w:vAlign w:val="bottom"/>
            <w:hideMark/>
          </w:tcPr>
          <w:p w14:paraId="5CD032A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043" w:type="dxa"/>
            <w:tcBorders>
              <w:top w:val="single" w:sz="4" w:space="0" w:color="000000"/>
              <w:left w:val="nil"/>
              <w:bottom w:val="nil"/>
              <w:right w:val="nil"/>
            </w:tcBorders>
            <w:shd w:val="clear" w:color="auto" w:fill="auto"/>
            <w:noWrap/>
            <w:vAlign w:val="bottom"/>
            <w:hideMark/>
          </w:tcPr>
          <w:p w14:paraId="3A33C74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43D29053" w14:textId="77777777" w:rsidTr="00735871">
        <w:trPr>
          <w:trHeight w:val="273"/>
          <w:jc w:val="center"/>
        </w:trPr>
        <w:tc>
          <w:tcPr>
            <w:tcW w:w="2430" w:type="dxa"/>
            <w:tcBorders>
              <w:top w:val="nil"/>
              <w:left w:val="nil"/>
              <w:bottom w:val="nil"/>
              <w:right w:val="nil"/>
            </w:tcBorders>
            <w:shd w:val="clear" w:color="auto" w:fill="auto"/>
            <w:noWrap/>
            <w:vAlign w:val="bottom"/>
            <w:hideMark/>
          </w:tcPr>
          <w:p w14:paraId="70B7BF0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NOx Treatment</w:t>
            </w:r>
          </w:p>
        </w:tc>
        <w:tc>
          <w:tcPr>
            <w:tcW w:w="1260" w:type="dxa"/>
            <w:tcBorders>
              <w:top w:val="nil"/>
              <w:left w:val="nil"/>
              <w:bottom w:val="nil"/>
              <w:right w:val="nil"/>
            </w:tcBorders>
            <w:shd w:val="clear" w:color="auto" w:fill="auto"/>
            <w:noWrap/>
            <w:vAlign w:val="bottom"/>
            <w:hideMark/>
          </w:tcPr>
          <w:p w14:paraId="5427FA4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0.006***</w:t>
            </w:r>
          </w:p>
        </w:tc>
        <w:tc>
          <w:tcPr>
            <w:tcW w:w="1630" w:type="dxa"/>
            <w:tcBorders>
              <w:top w:val="nil"/>
              <w:left w:val="nil"/>
              <w:bottom w:val="nil"/>
              <w:right w:val="nil"/>
            </w:tcBorders>
            <w:shd w:val="clear" w:color="auto" w:fill="auto"/>
            <w:noWrap/>
            <w:vAlign w:val="bottom"/>
            <w:hideMark/>
          </w:tcPr>
          <w:p w14:paraId="1CB88EE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842" w:type="dxa"/>
            <w:tcBorders>
              <w:top w:val="nil"/>
              <w:left w:val="nil"/>
              <w:bottom w:val="nil"/>
              <w:right w:val="nil"/>
            </w:tcBorders>
            <w:shd w:val="clear" w:color="auto" w:fill="auto"/>
            <w:noWrap/>
            <w:vAlign w:val="bottom"/>
            <w:hideMark/>
          </w:tcPr>
          <w:p w14:paraId="6F4F982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043" w:type="dxa"/>
            <w:tcBorders>
              <w:top w:val="nil"/>
              <w:left w:val="nil"/>
              <w:bottom w:val="nil"/>
              <w:right w:val="nil"/>
            </w:tcBorders>
            <w:shd w:val="clear" w:color="auto" w:fill="auto"/>
            <w:noWrap/>
            <w:vAlign w:val="bottom"/>
            <w:hideMark/>
          </w:tcPr>
          <w:p w14:paraId="5B8CCE4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2D74E01F" w14:textId="77777777" w:rsidTr="00735871">
        <w:trPr>
          <w:trHeight w:val="273"/>
          <w:jc w:val="center"/>
        </w:trPr>
        <w:tc>
          <w:tcPr>
            <w:tcW w:w="2430" w:type="dxa"/>
            <w:tcBorders>
              <w:top w:val="nil"/>
              <w:left w:val="nil"/>
              <w:bottom w:val="nil"/>
              <w:right w:val="nil"/>
            </w:tcBorders>
            <w:shd w:val="clear" w:color="auto" w:fill="auto"/>
            <w:noWrap/>
            <w:vAlign w:val="bottom"/>
            <w:hideMark/>
          </w:tcPr>
          <w:p w14:paraId="7FF796C4" w14:textId="77777777" w:rsidR="009478ED" w:rsidRPr="007F37A0" w:rsidRDefault="009478ED" w:rsidP="00735871">
            <w:pPr>
              <w:jc w:val="cente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585FDC8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630" w:type="dxa"/>
            <w:tcBorders>
              <w:top w:val="nil"/>
              <w:left w:val="nil"/>
              <w:bottom w:val="nil"/>
              <w:right w:val="nil"/>
            </w:tcBorders>
            <w:shd w:val="clear" w:color="auto" w:fill="auto"/>
            <w:noWrap/>
            <w:vAlign w:val="bottom"/>
            <w:hideMark/>
          </w:tcPr>
          <w:p w14:paraId="709B321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842" w:type="dxa"/>
            <w:tcBorders>
              <w:top w:val="nil"/>
              <w:left w:val="nil"/>
              <w:bottom w:val="nil"/>
              <w:right w:val="nil"/>
            </w:tcBorders>
            <w:shd w:val="clear" w:color="auto" w:fill="auto"/>
            <w:noWrap/>
            <w:vAlign w:val="bottom"/>
            <w:hideMark/>
          </w:tcPr>
          <w:p w14:paraId="0CDD14B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043" w:type="dxa"/>
            <w:tcBorders>
              <w:top w:val="nil"/>
              <w:left w:val="nil"/>
              <w:bottom w:val="nil"/>
              <w:right w:val="nil"/>
            </w:tcBorders>
            <w:shd w:val="clear" w:color="auto" w:fill="auto"/>
            <w:noWrap/>
            <w:vAlign w:val="bottom"/>
            <w:hideMark/>
          </w:tcPr>
          <w:p w14:paraId="1870763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4C71CCBE" w14:textId="77777777" w:rsidTr="00735871">
        <w:trPr>
          <w:trHeight w:val="273"/>
          <w:jc w:val="center"/>
        </w:trPr>
        <w:tc>
          <w:tcPr>
            <w:tcW w:w="2430" w:type="dxa"/>
            <w:tcBorders>
              <w:top w:val="nil"/>
              <w:left w:val="nil"/>
              <w:bottom w:val="nil"/>
              <w:right w:val="nil"/>
            </w:tcBorders>
            <w:shd w:val="clear" w:color="auto" w:fill="auto"/>
            <w:noWrap/>
            <w:vAlign w:val="bottom"/>
            <w:hideMark/>
          </w:tcPr>
          <w:p w14:paraId="77C6D68E" w14:textId="77777777" w:rsidR="009478ED" w:rsidRPr="007F37A0" w:rsidRDefault="009478ED" w:rsidP="00735871">
            <w:pPr>
              <w:jc w:val="center"/>
              <w:rPr>
                <w:rFonts w:ascii="Times New Roman" w:hAnsi="Times New Roman" w:cs="Times New Roman"/>
              </w:rPr>
            </w:pPr>
          </w:p>
        </w:tc>
        <w:tc>
          <w:tcPr>
            <w:tcW w:w="1260" w:type="dxa"/>
            <w:tcBorders>
              <w:top w:val="nil"/>
              <w:left w:val="nil"/>
              <w:bottom w:val="nil"/>
              <w:right w:val="nil"/>
            </w:tcBorders>
            <w:shd w:val="clear" w:color="auto" w:fill="auto"/>
            <w:noWrap/>
            <w:vAlign w:val="bottom"/>
            <w:hideMark/>
          </w:tcPr>
          <w:p w14:paraId="222208DD" w14:textId="77777777" w:rsidR="009478ED" w:rsidRPr="007F37A0" w:rsidRDefault="009478ED" w:rsidP="00735871">
            <w:pPr>
              <w:rPr>
                <w:rFonts w:ascii="Times New Roman" w:hAnsi="Times New Roman" w:cs="Times New Roman"/>
              </w:rPr>
            </w:pPr>
          </w:p>
        </w:tc>
        <w:tc>
          <w:tcPr>
            <w:tcW w:w="1630" w:type="dxa"/>
            <w:tcBorders>
              <w:top w:val="nil"/>
              <w:left w:val="nil"/>
              <w:bottom w:val="nil"/>
              <w:right w:val="nil"/>
            </w:tcBorders>
            <w:shd w:val="clear" w:color="auto" w:fill="auto"/>
            <w:noWrap/>
            <w:vAlign w:val="bottom"/>
            <w:hideMark/>
          </w:tcPr>
          <w:p w14:paraId="0EBAC2C1" w14:textId="77777777" w:rsidR="009478ED" w:rsidRPr="007F37A0" w:rsidRDefault="009478ED" w:rsidP="00735871">
            <w:pPr>
              <w:jc w:val="center"/>
              <w:rPr>
                <w:rFonts w:ascii="Times New Roman" w:hAnsi="Times New Roman" w:cs="Times New Roman"/>
              </w:rPr>
            </w:pPr>
          </w:p>
        </w:tc>
        <w:tc>
          <w:tcPr>
            <w:tcW w:w="1842" w:type="dxa"/>
            <w:tcBorders>
              <w:top w:val="nil"/>
              <w:left w:val="nil"/>
              <w:bottom w:val="nil"/>
              <w:right w:val="nil"/>
            </w:tcBorders>
            <w:shd w:val="clear" w:color="auto" w:fill="auto"/>
            <w:noWrap/>
            <w:vAlign w:val="bottom"/>
            <w:hideMark/>
          </w:tcPr>
          <w:p w14:paraId="2DCE2FFE" w14:textId="77777777" w:rsidR="009478ED" w:rsidRPr="007F37A0" w:rsidRDefault="009478ED" w:rsidP="00735871">
            <w:pPr>
              <w:jc w:val="center"/>
              <w:rPr>
                <w:rFonts w:ascii="Times New Roman" w:hAnsi="Times New Roman" w:cs="Times New Roman"/>
              </w:rPr>
            </w:pPr>
          </w:p>
        </w:tc>
        <w:tc>
          <w:tcPr>
            <w:tcW w:w="1043" w:type="dxa"/>
            <w:tcBorders>
              <w:top w:val="nil"/>
              <w:left w:val="nil"/>
              <w:bottom w:val="nil"/>
              <w:right w:val="nil"/>
            </w:tcBorders>
            <w:shd w:val="clear" w:color="auto" w:fill="auto"/>
            <w:noWrap/>
            <w:vAlign w:val="bottom"/>
            <w:hideMark/>
          </w:tcPr>
          <w:p w14:paraId="5A1400DC" w14:textId="77777777" w:rsidR="009478ED" w:rsidRPr="007F37A0" w:rsidRDefault="009478ED" w:rsidP="00735871">
            <w:pPr>
              <w:jc w:val="center"/>
              <w:rPr>
                <w:rFonts w:ascii="Times New Roman" w:hAnsi="Times New Roman" w:cs="Times New Roman"/>
              </w:rPr>
            </w:pPr>
          </w:p>
        </w:tc>
      </w:tr>
      <w:tr w:rsidR="009478ED" w:rsidRPr="007F37A0" w14:paraId="453FAA04" w14:textId="77777777" w:rsidTr="00735871">
        <w:trPr>
          <w:trHeight w:val="273"/>
          <w:jc w:val="center"/>
        </w:trPr>
        <w:tc>
          <w:tcPr>
            <w:tcW w:w="2430" w:type="dxa"/>
            <w:tcBorders>
              <w:top w:val="nil"/>
              <w:left w:val="nil"/>
              <w:bottom w:val="nil"/>
              <w:right w:val="nil"/>
            </w:tcBorders>
            <w:shd w:val="clear" w:color="auto" w:fill="auto"/>
            <w:noWrap/>
            <w:vAlign w:val="bottom"/>
            <w:hideMark/>
          </w:tcPr>
          <w:p w14:paraId="44C8602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260" w:type="dxa"/>
            <w:tcBorders>
              <w:top w:val="nil"/>
              <w:left w:val="nil"/>
              <w:bottom w:val="nil"/>
              <w:right w:val="nil"/>
            </w:tcBorders>
            <w:shd w:val="clear" w:color="auto" w:fill="auto"/>
            <w:noWrap/>
            <w:vAlign w:val="bottom"/>
            <w:hideMark/>
          </w:tcPr>
          <w:p w14:paraId="561E7F4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49,578</w:t>
            </w:r>
          </w:p>
        </w:tc>
        <w:tc>
          <w:tcPr>
            <w:tcW w:w="1630" w:type="dxa"/>
            <w:tcBorders>
              <w:top w:val="nil"/>
              <w:left w:val="nil"/>
              <w:bottom w:val="nil"/>
              <w:right w:val="nil"/>
            </w:tcBorders>
            <w:shd w:val="clear" w:color="auto" w:fill="auto"/>
            <w:noWrap/>
            <w:vAlign w:val="bottom"/>
            <w:hideMark/>
          </w:tcPr>
          <w:p w14:paraId="6B06AED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49,578</w:t>
            </w:r>
          </w:p>
        </w:tc>
        <w:tc>
          <w:tcPr>
            <w:tcW w:w="1842" w:type="dxa"/>
            <w:tcBorders>
              <w:top w:val="nil"/>
              <w:left w:val="nil"/>
              <w:bottom w:val="nil"/>
              <w:right w:val="nil"/>
            </w:tcBorders>
            <w:shd w:val="clear" w:color="auto" w:fill="auto"/>
            <w:noWrap/>
            <w:vAlign w:val="bottom"/>
            <w:hideMark/>
          </w:tcPr>
          <w:p w14:paraId="7A6DA62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49,578</w:t>
            </w:r>
          </w:p>
        </w:tc>
        <w:tc>
          <w:tcPr>
            <w:tcW w:w="1043" w:type="dxa"/>
            <w:tcBorders>
              <w:top w:val="nil"/>
              <w:left w:val="nil"/>
              <w:bottom w:val="nil"/>
              <w:right w:val="nil"/>
            </w:tcBorders>
            <w:shd w:val="clear" w:color="auto" w:fill="auto"/>
            <w:noWrap/>
            <w:vAlign w:val="bottom"/>
            <w:hideMark/>
          </w:tcPr>
          <w:p w14:paraId="5B8CD7C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49,578</w:t>
            </w:r>
          </w:p>
        </w:tc>
      </w:tr>
      <w:tr w:rsidR="009478ED" w:rsidRPr="007F37A0" w14:paraId="4EDDCE35" w14:textId="77777777" w:rsidTr="00735871">
        <w:trPr>
          <w:trHeight w:val="273"/>
          <w:jc w:val="center"/>
        </w:trPr>
        <w:tc>
          <w:tcPr>
            <w:tcW w:w="2430" w:type="dxa"/>
            <w:tcBorders>
              <w:top w:val="nil"/>
              <w:left w:val="nil"/>
              <w:bottom w:val="nil"/>
              <w:right w:val="nil"/>
            </w:tcBorders>
            <w:shd w:val="clear" w:color="auto" w:fill="auto"/>
            <w:noWrap/>
            <w:vAlign w:val="bottom"/>
            <w:hideMark/>
          </w:tcPr>
          <w:p w14:paraId="366A2D6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260" w:type="dxa"/>
            <w:tcBorders>
              <w:top w:val="nil"/>
              <w:left w:val="nil"/>
              <w:bottom w:val="nil"/>
              <w:right w:val="nil"/>
            </w:tcBorders>
            <w:shd w:val="clear" w:color="auto" w:fill="auto"/>
            <w:noWrap/>
            <w:vAlign w:val="bottom"/>
            <w:hideMark/>
          </w:tcPr>
          <w:p w14:paraId="225D7D8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630" w:type="dxa"/>
            <w:tcBorders>
              <w:top w:val="nil"/>
              <w:left w:val="nil"/>
              <w:bottom w:val="nil"/>
              <w:right w:val="nil"/>
            </w:tcBorders>
            <w:shd w:val="clear" w:color="auto" w:fill="auto"/>
            <w:noWrap/>
            <w:vAlign w:val="bottom"/>
            <w:hideMark/>
          </w:tcPr>
          <w:p w14:paraId="77A4553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42" w:type="dxa"/>
            <w:tcBorders>
              <w:top w:val="nil"/>
              <w:left w:val="nil"/>
              <w:bottom w:val="nil"/>
              <w:right w:val="nil"/>
            </w:tcBorders>
            <w:shd w:val="clear" w:color="auto" w:fill="auto"/>
            <w:noWrap/>
            <w:vAlign w:val="bottom"/>
            <w:hideMark/>
          </w:tcPr>
          <w:p w14:paraId="7666F8C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043" w:type="dxa"/>
            <w:tcBorders>
              <w:top w:val="nil"/>
              <w:left w:val="nil"/>
              <w:bottom w:val="nil"/>
              <w:right w:val="nil"/>
            </w:tcBorders>
            <w:shd w:val="clear" w:color="auto" w:fill="auto"/>
            <w:noWrap/>
            <w:vAlign w:val="bottom"/>
            <w:hideMark/>
          </w:tcPr>
          <w:p w14:paraId="6762A84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AE11AD4" w14:textId="77777777" w:rsidTr="00735871">
        <w:trPr>
          <w:trHeight w:val="273"/>
          <w:jc w:val="center"/>
        </w:trPr>
        <w:tc>
          <w:tcPr>
            <w:tcW w:w="2430" w:type="dxa"/>
            <w:tcBorders>
              <w:top w:val="nil"/>
              <w:left w:val="nil"/>
              <w:bottom w:val="nil"/>
              <w:right w:val="nil"/>
            </w:tcBorders>
            <w:shd w:val="clear" w:color="auto" w:fill="auto"/>
            <w:noWrap/>
            <w:vAlign w:val="bottom"/>
            <w:hideMark/>
          </w:tcPr>
          <w:p w14:paraId="2E3CA61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260" w:type="dxa"/>
            <w:tcBorders>
              <w:top w:val="nil"/>
              <w:left w:val="nil"/>
              <w:bottom w:val="nil"/>
              <w:right w:val="nil"/>
            </w:tcBorders>
            <w:shd w:val="clear" w:color="auto" w:fill="auto"/>
            <w:noWrap/>
            <w:vAlign w:val="bottom"/>
            <w:hideMark/>
          </w:tcPr>
          <w:p w14:paraId="67BD7EB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0" w:type="dxa"/>
            <w:tcBorders>
              <w:top w:val="nil"/>
              <w:left w:val="nil"/>
              <w:bottom w:val="nil"/>
              <w:right w:val="nil"/>
            </w:tcBorders>
            <w:shd w:val="clear" w:color="auto" w:fill="auto"/>
            <w:noWrap/>
            <w:vAlign w:val="bottom"/>
            <w:hideMark/>
          </w:tcPr>
          <w:p w14:paraId="6BB3776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42" w:type="dxa"/>
            <w:tcBorders>
              <w:top w:val="nil"/>
              <w:left w:val="nil"/>
              <w:bottom w:val="nil"/>
              <w:right w:val="nil"/>
            </w:tcBorders>
            <w:shd w:val="clear" w:color="auto" w:fill="auto"/>
            <w:noWrap/>
            <w:vAlign w:val="bottom"/>
            <w:hideMark/>
          </w:tcPr>
          <w:p w14:paraId="5EF81EA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043" w:type="dxa"/>
            <w:tcBorders>
              <w:top w:val="nil"/>
              <w:left w:val="nil"/>
              <w:bottom w:val="nil"/>
              <w:right w:val="nil"/>
            </w:tcBorders>
            <w:shd w:val="clear" w:color="auto" w:fill="auto"/>
            <w:noWrap/>
            <w:vAlign w:val="bottom"/>
            <w:hideMark/>
          </w:tcPr>
          <w:p w14:paraId="6FBCD91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0AA9ED1" w14:textId="77777777" w:rsidTr="00735871">
        <w:trPr>
          <w:trHeight w:val="273"/>
          <w:jc w:val="center"/>
        </w:trPr>
        <w:tc>
          <w:tcPr>
            <w:tcW w:w="2430" w:type="dxa"/>
            <w:tcBorders>
              <w:top w:val="nil"/>
              <w:left w:val="nil"/>
              <w:bottom w:val="nil"/>
              <w:right w:val="nil"/>
            </w:tcBorders>
            <w:shd w:val="clear" w:color="auto" w:fill="auto"/>
            <w:noWrap/>
            <w:vAlign w:val="bottom"/>
            <w:hideMark/>
          </w:tcPr>
          <w:p w14:paraId="68CEF7F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260" w:type="dxa"/>
            <w:tcBorders>
              <w:top w:val="nil"/>
              <w:left w:val="nil"/>
              <w:bottom w:val="nil"/>
              <w:right w:val="nil"/>
            </w:tcBorders>
            <w:shd w:val="clear" w:color="auto" w:fill="auto"/>
            <w:noWrap/>
            <w:vAlign w:val="bottom"/>
            <w:hideMark/>
          </w:tcPr>
          <w:p w14:paraId="670C1E2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0" w:type="dxa"/>
            <w:tcBorders>
              <w:top w:val="nil"/>
              <w:left w:val="nil"/>
              <w:bottom w:val="nil"/>
              <w:right w:val="nil"/>
            </w:tcBorders>
            <w:shd w:val="clear" w:color="auto" w:fill="auto"/>
            <w:noWrap/>
            <w:vAlign w:val="bottom"/>
            <w:hideMark/>
          </w:tcPr>
          <w:p w14:paraId="56EE241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42" w:type="dxa"/>
            <w:tcBorders>
              <w:top w:val="nil"/>
              <w:left w:val="nil"/>
              <w:bottom w:val="nil"/>
              <w:right w:val="nil"/>
            </w:tcBorders>
            <w:shd w:val="clear" w:color="auto" w:fill="auto"/>
            <w:noWrap/>
            <w:vAlign w:val="bottom"/>
            <w:hideMark/>
          </w:tcPr>
          <w:p w14:paraId="08ECA49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043" w:type="dxa"/>
            <w:tcBorders>
              <w:top w:val="nil"/>
              <w:left w:val="nil"/>
              <w:bottom w:val="nil"/>
              <w:right w:val="nil"/>
            </w:tcBorders>
            <w:shd w:val="clear" w:color="auto" w:fill="auto"/>
            <w:noWrap/>
            <w:vAlign w:val="bottom"/>
            <w:hideMark/>
          </w:tcPr>
          <w:p w14:paraId="7971DFF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00E20BF" w14:textId="77777777" w:rsidTr="00735871">
        <w:trPr>
          <w:trHeight w:val="273"/>
          <w:jc w:val="center"/>
        </w:trPr>
        <w:tc>
          <w:tcPr>
            <w:tcW w:w="2430" w:type="dxa"/>
            <w:tcBorders>
              <w:top w:val="nil"/>
              <w:left w:val="nil"/>
              <w:bottom w:val="single" w:sz="4" w:space="0" w:color="000000"/>
              <w:right w:val="nil"/>
            </w:tcBorders>
            <w:shd w:val="clear" w:color="auto" w:fill="auto"/>
            <w:noWrap/>
            <w:vAlign w:val="bottom"/>
            <w:hideMark/>
          </w:tcPr>
          <w:p w14:paraId="4C9B6A8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260" w:type="dxa"/>
            <w:tcBorders>
              <w:top w:val="nil"/>
              <w:left w:val="nil"/>
              <w:bottom w:val="single" w:sz="4" w:space="0" w:color="000000"/>
              <w:right w:val="nil"/>
            </w:tcBorders>
            <w:shd w:val="clear" w:color="auto" w:fill="auto"/>
            <w:noWrap/>
            <w:vAlign w:val="bottom"/>
            <w:hideMark/>
          </w:tcPr>
          <w:p w14:paraId="0151A1A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630" w:type="dxa"/>
            <w:tcBorders>
              <w:top w:val="nil"/>
              <w:left w:val="nil"/>
              <w:bottom w:val="single" w:sz="4" w:space="0" w:color="000000"/>
              <w:right w:val="nil"/>
            </w:tcBorders>
            <w:shd w:val="clear" w:color="auto" w:fill="auto"/>
            <w:noWrap/>
            <w:vAlign w:val="bottom"/>
            <w:hideMark/>
          </w:tcPr>
          <w:p w14:paraId="33B2F50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42" w:type="dxa"/>
            <w:tcBorders>
              <w:top w:val="nil"/>
              <w:left w:val="nil"/>
              <w:bottom w:val="single" w:sz="4" w:space="0" w:color="000000"/>
              <w:right w:val="nil"/>
            </w:tcBorders>
            <w:shd w:val="clear" w:color="auto" w:fill="auto"/>
            <w:noWrap/>
            <w:vAlign w:val="bottom"/>
            <w:hideMark/>
          </w:tcPr>
          <w:p w14:paraId="73700A2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043" w:type="dxa"/>
            <w:tcBorders>
              <w:top w:val="nil"/>
              <w:left w:val="nil"/>
              <w:bottom w:val="single" w:sz="4" w:space="0" w:color="000000"/>
              <w:right w:val="nil"/>
            </w:tcBorders>
            <w:shd w:val="clear" w:color="auto" w:fill="auto"/>
            <w:noWrap/>
            <w:vAlign w:val="bottom"/>
            <w:hideMark/>
          </w:tcPr>
          <w:p w14:paraId="2C4361D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8400E13" w14:textId="77777777" w:rsidTr="00735871">
        <w:trPr>
          <w:trHeight w:val="273"/>
          <w:jc w:val="center"/>
        </w:trPr>
        <w:tc>
          <w:tcPr>
            <w:tcW w:w="8205" w:type="dxa"/>
            <w:gridSpan w:val="5"/>
            <w:tcBorders>
              <w:top w:val="nil"/>
              <w:left w:val="nil"/>
              <w:bottom w:val="single" w:sz="4" w:space="0" w:color="000000"/>
              <w:right w:val="nil"/>
            </w:tcBorders>
            <w:shd w:val="clear" w:color="auto" w:fill="auto"/>
            <w:noWrap/>
            <w:vAlign w:val="bottom"/>
          </w:tcPr>
          <w:p w14:paraId="290B017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year level. ***p&lt;0.01, **p&lt;0.05, *p&lt;0.1</w:t>
            </w:r>
          </w:p>
          <w:p w14:paraId="264460B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Notes: The dependent variable is boiler retirement at the annual level for 2009-2022. NO</w:t>
            </w:r>
            <w:r w:rsidRPr="007F37A0">
              <w:rPr>
                <w:rFonts w:ascii="Times New Roman" w:hAnsi="Times New Roman" w:cs="Times New Roman"/>
                <w:vertAlign w:val="subscript"/>
              </w:rPr>
              <w:t>x</w:t>
            </w:r>
            <w:r w:rsidRPr="007F37A0">
              <w:rPr>
                <w:rFonts w:ascii="Times New Roman" w:hAnsi="Times New Roman" w:cs="Times New Roman"/>
              </w:rPr>
              <w:t xml:space="preserve"> treatment is an indicator variable for treatment under either CAIR or CSAPR for NO</w:t>
            </w:r>
            <w:r w:rsidRPr="007F37A0">
              <w:rPr>
                <w:rFonts w:ascii="Times New Roman" w:hAnsi="Times New Roman" w:cs="Times New Roman"/>
                <w:vertAlign w:val="subscript"/>
              </w:rPr>
              <w:t>x</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r w:rsidR="009478ED" w:rsidRPr="007F37A0" w14:paraId="189F8D15" w14:textId="77777777" w:rsidTr="00735871">
        <w:trPr>
          <w:trHeight w:val="552"/>
          <w:jc w:val="center"/>
        </w:trPr>
        <w:tc>
          <w:tcPr>
            <w:tcW w:w="8205" w:type="dxa"/>
            <w:gridSpan w:val="5"/>
            <w:tcBorders>
              <w:top w:val="nil"/>
              <w:left w:val="nil"/>
              <w:right w:val="nil"/>
            </w:tcBorders>
            <w:shd w:val="clear" w:color="auto" w:fill="auto"/>
            <w:noWrap/>
            <w:vAlign w:val="bottom"/>
            <w:hideMark/>
          </w:tcPr>
          <w:p w14:paraId="3C68B975" w14:textId="77777777" w:rsidR="009478ED" w:rsidRPr="007F37A0" w:rsidRDefault="009478ED" w:rsidP="00735871">
            <w:pPr>
              <w:rPr>
                <w:rFonts w:ascii="Times New Roman" w:hAnsi="Times New Roman" w:cs="Times New Roman"/>
              </w:rPr>
            </w:pPr>
          </w:p>
        </w:tc>
      </w:tr>
    </w:tbl>
    <w:p w14:paraId="3BF40E5C" w14:textId="77777777" w:rsidR="009478ED" w:rsidRPr="007F37A0" w:rsidRDefault="009478ED" w:rsidP="009478ED">
      <w:pPr>
        <w:rPr>
          <w:rFonts w:ascii="Times New Roman" w:hAnsi="Times New Roman" w:cs="Times New Roman"/>
        </w:rPr>
      </w:pPr>
    </w:p>
    <w:p w14:paraId="1CD7ADF3"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1939048B" w14:textId="180DD140" w:rsidR="009478ED" w:rsidRPr="007F37A0" w:rsidRDefault="009478ED" w:rsidP="007F37A0">
      <w:pPr>
        <w:pStyle w:val="Caption"/>
        <w:rPr>
          <w:rFonts w:cs="Times New Roman"/>
        </w:rPr>
      </w:pPr>
      <w:bookmarkStart w:id="200" w:name="_Ref164516463"/>
      <w:bookmarkStart w:id="201" w:name="_Toc164862574"/>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39</w:t>
      </w:r>
      <w:r w:rsidRPr="007F37A0">
        <w:rPr>
          <w:rFonts w:cs="Times New Roman"/>
        </w:rPr>
        <w:fldChar w:fldCharType="end"/>
      </w:r>
      <w:bookmarkEnd w:id="200"/>
      <w:r w:rsidRPr="007F37A0">
        <w:rPr>
          <w:rFonts w:cs="Times New Roman"/>
        </w:rPr>
        <w:t>: Boiler Retirement by NO</w:t>
      </w:r>
      <w:r w:rsidRPr="007F37A0">
        <w:rPr>
          <w:rFonts w:cs="Times New Roman"/>
          <w:vertAlign w:val="subscript"/>
        </w:rPr>
        <w:t>x</w:t>
      </w:r>
      <w:r w:rsidRPr="007F37A0">
        <w:rPr>
          <w:rFonts w:cs="Times New Roman"/>
        </w:rPr>
        <w:t xml:space="preserve"> Treatment – Fuel Specific Effects</w:t>
      </w:r>
      <w:bookmarkEnd w:id="201"/>
    </w:p>
    <w:tbl>
      <w:tblPr>
        <w:tblW w:w="8010" w:type="dxa"/>
        <w:tblLook w:val="04A0" w:firstRow="1" w:lastRow="0" w:firstColumn="1" w:lastColumn="0" w:noHBand="0" w:noVBand="1"/>
      </w:tblPr>
      <w:tblGrid>
        <w:gridCol w:w="2610"/>
        <w:gridCol w:w="1350"/>
        <w:gridCol w:w="1350"/>
        <w:gridCol w:w="1350"/>
        <w:gridCol w:w="1350"/>
      </w:tblGrid>
      <w:tr w:rsidR="009478ED" w:rsidRPr="007F37A0" w14:paraId="600F0D83" w14:textId="77777777" w:rsidTr="00735871">
        <w:trPr>
          <w:trHeight w:val="276"/>
        </w:trPr>
        <w:tc>
          <w:tcPr>
            <w:tcW w:w="2610" w:type="dxa"/>
            <w:tcBorders>
              <w:top w:val="single" w:sz="4" w:space="0" w:color="000000"/>
              <w:left w:val="nil"/>
              <w:bottom w:val="nil"/>
              <w:right w:val="nil"/>
            </w:tcBorders>
            <w:shd w:val="clear" w:color="auto" w:fill="auto"/>
            <w:noWrap/>
            <w:vAlign w:val="bottom"/>
            <w:hideMark/>
          </w:tcPr>
          <w:p w14:paraId="3B7003F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5355E34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1350" w:type="dxa"/>
            <w:tcBorders>
              <w:top w:val="single" w:sz="4" w:space="0" w:color="000000"/>
              <w:left w:val="nil"/>
              <w:bottom w:val="nil"/>
              <w:right w:val="nil"/>
            </w:tcBorders>
            <w:shd w:val="clear" w:color="auto" w:fill="auto"/>
            <w:noWrap/>
            <w:vAlign w:val="bottom"/>
            <w:hideMark/>
          </w:tcPr>
          <w:p w14:paraId="20FD7AA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350" w:type="dxa"/>
            <w:tcBorders>
              <w:top w:val="single" w:sz="4" w:space="0" w:color="000000"/>
              <w:left w:val="nil"/>
              <w:bottom w:val="nil"/>
              <w:right w:val="nil"/>
            </w:tcBorders>
            <w:vAlign w:val="bottom"/>
          </w:tcPr>
          <w:p w14:paraId="3758352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350" w:type="dxa"/>
            <w:tcBorders>
              <w:top w:val="single" w:sz="4" w:space="0" w:color="000000"/>
              <w:left w:val="nil"/>
              <w:bottom w:val="nil"/>
              <w:right w:val="nil"/>
            </w:tcBorders>
            <w:vAlign w:val="bottom"/>
          </w:tcPr>
          <w:p w14:paraId="4DFC387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009E6746" w14:textId="77777777" w:rsidTr="00735871">
        <w:trPr>
          <w:trHeight w:val="276"/>
        </w:trPr>
        <w:tc>
          <w:tcPr>
            <w:tcW w:w="2610" w:type="dxa"/>
            <w:tcBorders>
              <w:top w:val="nil"/>
              <w:left w:val="nil"/>
              <w:bottom w:val="nil"/>
              <w:right w:val="nil"/>
            </w:tcBorders>
            <w:shd w:val="clear" w:color="auto" w:fill="auto"/>
            <w:noWrap/>
            <w:vAlign w:val="bottom"/>
            <w:hideMark/>
          </w:tcPr>
          <w:p w14:paraId="3C86441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05EEF69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Boiler Retirement</w:t>
            </w:r>
          </w:p>
        </w:tc>
        <w:tc>
          <w:tcPr>
            <w:tcW w:w="1350" w:type="dxa"/>
            <w:tcBorders>
              <w:top w:val="nil"/>
              <w:left w:val="nil"/>
              <w:bottom w:val="nil"/>
              <w:right w:val="nil"/>
            </w:tcBorders>
            <w:shd w:val="clear" w:color="auto" w:fill="auto"/>
            <w:noWrap/>
            <w:vAlign w:val="bottom"/>
            <w:hideMark/>
          </w:tcPr>
          <w:p w14:paraId="3B77606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Baseline</w:t>
            </w:r>
          </w:p>
        </w:tc>
        <w:tc>
          <w:tcPr>
            <w:tcW w:w="1350" w:type="dxa"/>
            <w:tcBorders>
              <w:top w:val="nil"/>
              <w:left w:val="nil"/>
              <w:bottom w:val="nil"/>
              <w:right w:val="nil"/>
            </w:tcBorders>
            <w:shd w:val="clear" w:color="auto" w:fill="auto"/>
            <w:noWrap/>
            <w:vAlign w:val="bottom"/>
            <w:hideMark/>
          </w:tcPr>
          <w:p w14:paraId="6DB9AC2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Coal</w:t>
            </w:r>
          </w:p>
        </w:tc>
        <w:tc>
          <w:tcPr>
            <w:tcW w:w="1350" w:type="dxa"/>
            <w:tcBorders>
              <w:top w:val="nil"/>
              <w:left w:val="nil"/>
              <w:bottom w:val="nil"/>
              <w:right w:val="nil"/>
            </w:tcBorders>
            <w:vAlign w:val="bottom"/>
          </w:tcPr>
          <w:p w14:paraId="070D32A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Petroleum</w:t>
            </w:r>
          </w:p>
        </w:tc>
        <w:tc>
          <w:tcPr>
            <w:tcW w:w="1350" w:type="dxa"/>
            <w:tcBorders>
              <w:top w:val="nil"/>
              <w:left w:val="nil"/>
              <w:bottom w:val="nil"/>
              <w:right w:val="nil"/>
            </w:tcBorders>
            <w:vAlign w:val="bottom"/>
          </w:tcPr>
          <w:p w14:paraId="205BE64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Natural Gas</w:t>
            </w:r>
          </w:p>
        </w:tc>
      </w:tr>
      <w:tr w:rsidR="009478ED" w:rsidRPr="007F37A0" w14:paraId="409DB6FE" w14:textId="77777777" w:rsidTr="00735871">
        <w:trPr>
          <w:trHeight w:val="276"/>
        </w:trPr>
        <w:tc>
          <w:tcPr>
            <w:tcW w:w="2610" w:type="dxa"/>
            <w:tcBorders>
              <w:top w:val="single" w:sz="4" w:space="0" w:color="000000"/>
              <w:left w:val="nil"/>
              <w:bottom w:val="nil"/>
              <w:right w:val="nil"/>
            </w:tcBorders>
            <w:shd w:val="clear" w:color="auto" w:fill="auto"/>
            <w:noWrap/>
            <w:vAlign w:val="bottom"/>
            <w:hideMark/>
          </w:tcPr>
          <w:p w14:paraId="57EC995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2AC429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4273393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tcPr>
          <w:p w14:paraId="5966AC73" w14:textId="77777777" w:rsidR="009478ED" w:rsidRPr="007F37A0" w:rsidRDefault="009478ED" w:rsidP="00735871">
            <w:pPr>
              <w:jc w:val="center"/>
              <w:rPr>
                <w:rFonts w:ascii="Times New Roman" w:hAnsi="Times New Roman" w:cs="Times New Roman"/>
              </w:rPr>
            </w:pPr>
          </w:p>
        </w:tc>
        <w:tc>
          <w:tcPr>
            <w:tcW w:w="1350" w:type="dxa"/>
            <w:tcBorders>
              <w:top w:val="single" w:sz="4" w:space="0" w:color="000000"/>
              <w:left w:val="nil"/>
              <w:bottom w:val="nil"/>
              <w:right w:val="nil"/>
            </w:tcBorders>
          </w:tcPr>
          <w:p w14:paraId="52F29DD4" w14:textId="77777777" w:rsidR="009478ED" w:rsidRPr="007F37A0" w:rsidRDefault="009478ED" w:rsidP="00735871">
            <w:pPr>
              <w:jc w:val="center"/>
              <w:rPr>
                <w:rFonts w:ascii="Times New Roman" w:hAnsi="Times New Roman" w:cs="Times New Roman"/>
              </w:rPr>
            </w:pPr>
          </w:p>
        </w:tc>
      </w:tr>
      <w:tr w:rsidR="009478ED" w:rsidRPr="007F37A0" w14:paraId="5C5695DF" w14:textId="77777777" w:rsidTr="00735871">
        <w:trPr>
          <w:trHeight w:val="276"/>
        </w:trPr>
        <w:tc>
          <w:tcPr>
            <w:tcW w:w="2610" w:type="dxa"/>
            <w:tcBorders>
              <w:top w:val="nil"/>
              <w:left w:val="nil"/>
              <w:bottom w:val="nil"/>
              <w:right w:val="nil"/>
            </w:tcBorders>
            <w:shd w:val="clear" w:color="auto" w:fill="auto"/>
            <w:noWrap/>
            <w:vAlign w:val="bottom"/>
            <w:hideMark/>
          </w:tcPr>
          <w:p w14:paraId="7D81F41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Treatment</w:t>
            </w:r>
          </w:p>
        </w:tc>
        <w:tc>
          <w:tcPr>
            <w:tcW w:w="1350" w:type="dxa"/>
            <w:tcBorders>
              <w:top w:val="nil"/>
              <w:left w:val="nil"/>
              <w:bottom w:val="nil"/>
              <w:right w:val="nil"/>
            </w:tcBorders>
            <w:shd w:val="clear" w:color="auto" w:fill="auto"/>
            <w:noWrap/>
            <w:vAlign w:val="bottom"/>
            <w:hideMark/>
          </w:tcPr>
          <w:p w14:paraId="7D7E94B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350" w:type="dxa"/>
            <w:tcBorders>
              <w:top w:val="nil"/>
              <w:left w:val="nil"/>
              <w:bottom w:val="nil"/>
              <w:right w:val="nil"/>
            </w:tcBorders>
            <w:shd w:val="clear" w:color="auto" w:fill="auto"/>
            <w:noWrap/>
            <w:vAlign w:val="bottom"/>
            <w:hideMark/>
          </w:tcPr>
          <w:p w14:paraId="7C1CE3E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350" w:type="dxa"/>
            <w:tcBorders>
              <w:top w:val="nil"/>
              <w:left w:val="nil"/>
              <w:bottom w:val="nil"/>
              <w:right w:val="nil"/>
            </w:tcBorders>
            <w:vAlign w:val="bottom"/>
          </w:tcPr>
          <w:p w14:paraId="7B6045F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1350" w:type="dxa"/>
            <w:tcBorders>
              <w:top w:val="nil"/>
              <w:left w:val="nil"/>
              <w:bottom w:val="nil"/>
              <w:right w:val="nil"/>
            </w:tcBorders>
            <w:vAlign w:val="bottom"/>
          </w:tcPr>
          <w:p w14:paraId="376943B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592A9958" w14:textId="77777777" w:rsidTr="00735871">
        <w:trPr>
          <w:trHeight w:val="276"/>
        </w:trPr>
        <w:tc>
          <w:tcPr>
            <w:tcW w:w="2610" w:type="dxa"/>
            <w:tcBorders>
              <w:top w:val="nil"/>
              <w:left w:val="nil"/>
              <w:bottom w:val="nil"/>
              <w:right w:val="nil"/>
            </w:tcBorders>
            <w:shd w:val="clear" w:color="auto" w:fill="auto"/>
            <w:noWrap/>
            <w:vAlign w:val="bottom"/>
            <w:hideMark/>
          </w:tcPr>
          <w:p w14:paraId="00C06B2D"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70DC44A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50" w:type="dxa"/>
            <w:tcBorders>
              <w:top w:val="nil"/>
              <w:left w:val="nil"/>
              <w:bottom w:val="nil"/>
              <w:right w:val="nil"/>
            </w:tcBorders>
            <w:shd w:val="clear" w:color="auto" w:fill="auto"/>
            <w:noWrap/>
            <w:vAlign w:val="bottom"/>
            <w:hideMark/>
          </w:tcPr>
          <w:p w14:paraId="4D43D54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c>
          <w:tcPr>
            <w:tcW w:w="1350" w:type="dxa"/>
            <w:tcBorders>
              <w:top w:val="nil"/>
              <w:left w:val="nil"/>
              <w:bottom w:val="nil"/>
              <w:right w:val="nil"/>
            </w:tcBorders>
            <w:vAlign w:val="bottom"/>
          </w:tcPr>
          <w:p w14:paraId="3E59D2C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1350" w:type="dxa"/>
            <w:tcBorders>
              <w:top w:val="nil"/>
              <w:left w:val="nil"/>
              <w:bottom w:val="nil"/>
              <w:right w:val="nil"/>
            </w:tcBorders>
            <w:vAlign w:val="bottom"/>
          </w:tcPr>
          <w:p w14:paraId="16F892F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7364A43F" w14:textId="77777777" w:rsidTr="00735871">
        <w:trPr>
          <w:trHeight w:val="276"/>
        </w:trPr>
        <w:tc>
          <w:tcPr>
            <w:tcW w:w="2610" w:type="dxa"/>
            <w:tcBorders>
              <w:top w:val="nil"/>
              <w:left w:val="nil"/>
              <w:bottom w:val="nil"/>
              <w:right w:val="nil"/>
            </w:tcBorders>
            <w:shd w:val="clear" w:color="auto" w:fill="auto"/>
            <w:noWrap/>
            <w:vAlign w:val="bottom"/>
            <w:hideMark/>
          </w:tcPr>
          <w:p w14:paraId="5249A4BA"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6E4152A7" w14:textId="77777777" w:rsidR="009478ED" w:rsidRPr="007F37A0" w:rsidRDefault="009478ED" w:rsidP="00735871">
            <w:pP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5B0CBDC3"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tcPr>
          <w:p w14:paraId="12D8CDAA"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tcPr>
          <w:p w14:paraId="2256B4D9" w14:textId="77777777" w:rsidR="009478ED" w:rsidRPr="007F37A0" w:rsidRDefault="009478ED" w:rsidP="00735871">
            <w:pPr>
              <w:jc w:val="center"/>
              <w:rPr>
                <w:rFonts w:ascii="Times New Roman" w:hAnsi="Times New Roman" w:cs="Times New Roman"/>
              </w:rPr>
            </w:pPr>
          </w:p>
        </w:tc>
      </w:tr>
      <w:tr w:rsidR="009478ED" w:rsidRPr="007F37A0" w14:paraId="52955C89" w14:textId="77777777" w:rsidTr="00735871">
        <w:trPr>
          <w:trHeight w:val="276"/>
        </w:trPr>
        <w:tc>
          <w:tcPr>
            <w:tcW w:w="2610" w:type="dxa"/>
            <w:tcBorders>
              <w:top w:val="nil"/>
              <w:left w:val="nil"/>
              <w:bottom w:val="nil"/>
              <w:right w:val="nil"/>
            </w:tcBorders>
            <w:shd w:val="clear" w:color="auto" w:fill="auto"/>
            <w:noWrap/>
            <w:vAlign w:val="bottom"/>
            <w:hideMark/>
          </w:tcPr>
          <w:p w14:paraId="76FE06A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350" w:type="dxa"/>
            <w:tcBorders>
              <w:top w:val="nil"/>
              <w:left w:val="nil"/>
              <w:bottom w:val="nil"/>
              <w:right w:val="nil"/>
            </w:tcBorders>
            <w:shd w:val="clear" w:color="auto" w:fill="auto"/>
            <w:noWrap/>
            <w:vAlign w:val="bottom"/>
            <w:hideMark/>
          </w:tcPr>
          <w:p w14:paraId="0A52725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49,885</w:t>
            </w:r>
          </w:p>
        </w:tc>
        <w:tc>
          <w:tcPr>
            <w:tcW w:w="1350" w:type="dxa"/>
            <w:tcBorders>
              <w:top w:val="nil"/>
              <w:left w:val="nil"/>
              <w:bottom w:val="nil"/>
              <w:right w:val="nil"/>
            </w:tcBorders>
            <w:shd w:val="clear" w:color="auto" w:fill="auto"/>
            <w:noWrap/>
            <w:vAlign w:val="bottom"/>
            <w:hideMark/>
          </w:tcPr>
          <w:p w14:paraId="17F836B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11,587</w:t>
            </w:r>
          </w:p>
        </w:tc>
        <w:tc>
          <w:tcPr>
            <w:tcW w:w="1350" w:type="dxa"/>
            <w:tcBorders>
              <w:top w:val="nil"/>
              <w:left w:val="nil"/>
              <w:bottom w:val="nil"/>
              <w:right w:val="nil"/>
            </w:tcBorders>
            <w:vAlign w:val="bottom"/>
          </w:tcPr>
          <w:p w14:paraId="2857C12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5,135</w:t>
            </w:r>
          </w:p>
        </w:tc>
        <w:tc>
          <w:tcPr>
            <w:tcW w:w="1350" w:type="dxa"/>
            <w:tcBorders>
              <w:top w:val="nil"/>
              <w:left w:val="nil"/>
              <w:bottom w:val="nil"/>
              <w:right w:val="nil"/>
            </w:tcBorders>
            <w:vAlign w:val="bottom"/>
          </w:tcPr>
          <w:p w14:paraId="499ACC1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17,989</w:t>
            </w:r>
          </w:p>
        </w:tc>
      </w:tr>
      <w:tr w:rsidR="009478ED" w:rsidRPr="007F37A0" w14:paraId="22478CE4" w14:textId="77777777" w:rsidTr="00735871">
        <w:trPr>
          <w:trHeight w:val="276"/>
        </w:trPr>
        <w:tc>
          <w:tcPr>
            <w:tcW w:w="2610" w:type="dxa"/>
            <w:tcBorders>
              <w:top w:val="nil"/>
              <w:left w:val="nil"/>
              <w:bottom w:val="nil"/>
              <w:right w:val="nil"/>
            </w:tcBorders>
            <w:shd w:val="clear" w:color="auto" w:fill="auto"/>
            <w:noWrap/>
            <w:vAlign w:val="bottom"/>
            <w:hideMark/>
          </w:tcPr>
          <w:p w14:paraId="470BD21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350" w:type="dxa"/>
            <w:tcBorders>
              <w:top w:val="nil"/>
              <w:left w:val="nil"/>
              <w:bottom w:val="nil"/>
              <w:right w:val="nil"/>
            </w:tcBorders>
            <w:shd w:val="clear" w:color="auto" w:fill="auto"/>
            <w:noWrap/>
            <w:vAlign w:val="bottom"/>
            <w:hideMark/>
          </w:tcPr>
          <w:p w14:paraId="2B88239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20C9F9C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7F80EBC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0FE3693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45132E17" w14:textId="77777777" w:rsidTr="00735871">
        <w:trPr>
          <w:trHeight w:val="276"/>
        </w:trPr>
        <w:tc>
          <w:tcPr>
            <w:tcW w:w="2610" w:type="dxa"/>
            <w:tcBorders>
              <w:top w:val="nil"/>
              <w:left w:val="nil"/>
              <w:bottom w:val="nil"/>
              <w:right w:val="nil"/>
            </w:tcBorders>
            <w:shd w:val="clear" w:color="auto" w:fill="auto"/>
            <w:noWrap/>
            <w:vAlign w:val="bottom"/>
            <w:hideMark/>
          </w:tcPr>
          <w:p w14:paraId="2DF4C59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350" w:type="dxa"/>
            <w:tcBorders>
              <w:top w:val="nil"/>
              <w:left w:val="nil"/>
              <w:bottom w:val="nil"/>
              <w:right w:val="nil"/>
            </w:tcBorders>
            <w:shd w:val="clear" w:color="auto" w:fill="auto"/>
            <w:noWrap/>
            <w:vAlign w:val="bottom"/>
            <w:hideMark/>
          </w:tcPr>
          <w:p w14:paraId="224E207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2A40DF9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15CF1DB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45B4D31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66F56188" w14:textId="77777777" w:rsidTr="00735871">
        <w:trPr>
          <w:trHeight w:val="276"/>
        </w:trPr>
        <w:tc>
          <w:tcPr>
            <w:tcW w:w="2610" w:type="dxa"/>
            <w:tcBorders>
              <w:top w:val="nil"/>
              <w:left w:val="nil"/>
              <w:bottom w:val="single" w:sz="4" w:space="0" w:color="000000"/>
              <w:right w:val="nil"/>
            </w:tcBorders>
            <w:shd w:val="clear" w:color="auto" w:fill="auto"/>
            <w:noWrap/>
            <w:vAlign w:val="bottom"/>
            <w:hideMark/>
          </w:tcPr>
          <w:p w14:paraId="0BDBF13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350" w:type="dxa"/>
            <w:tcBorders>
              <w:top w:val="nil"/>
              <w:left w:val="nil"/>
              <w:bottom w:val="single" w:sz="4" w:space="0" w:color="000000"/>
              <w:right w:val="nil"/>
            </w:tcBorders>
            <w:shd w:val="clear" w:color="auto" w:fill="auto"/>
            <w:noWrap/>
            <w:vAlign w:val="bottom"/>
            <w:hideMark/>
          </w:tcPr>
          <w:p w14:paraId="0FC0873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shd w:val="clear" w:color="auto" w:fill="auto"/>
            <w:noWrap/>
            <w:vAlign w:val="bottom"/>
            <w:hideMark/>
          </w:tcPr>
          <w:p w14:paraId="680F4AF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vAlign w:val="bottom"/>
          </w:tcPr>
          <w:p w14:paraId="2DBB388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vAlign w:val="bottom"/>
          </w:tcPr>
          <w:p w14:paraId="02753EC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FB70A0F" w14:textId="77777777" w:rsidTr="00735871">
        <w:trPr>
          <w:trHeight w:val="276"/>
        </w:trPr>
        <w:tc>
          <w:tcPr>
            <w:tcW w:w="8010" w:type="dxa"/>
            <w:gridSpan w:val="5"/>
            <w:tcBorders>
              <w:top w:val="nil"/>
              <w:left w:val="nil"/>
              <w:bottom w:val="nil"/>
              <w:right w:val="nil"/>
            </w:tcBorders>
            <w:shd w:val="clear" w:color="auto" w:fill="auto"/>
            <w:noWrap/>
            <w:vAlign w:val="bottom"/>
            <w:hideMark/>
          </w:tcPr>
          <w:p w14:paraId="6EAB7C1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p w14:paraId="43C38AF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Efficiency 100% load, efficiency 50% load, NERC regions, and CAA attainment status control variables were dropped for convergence.</w:t>
            </w:r>
          </w:p>
        </w:tc>
      </w:tr>
      <w:tr w:rsidR="009478ED" w:rsidRPr="007F37A0" w14:paraId="4DA1E933" w14:textId="77777777" w:rsidTr="00735871">
        <w:trPr>
          <w:trHeight w:val="276"/>
        </w:trPr>
        <w:tc>
          <w:tcPr>
            <w:tcW w:w="8010" w:type="dxa"/>
            <w:gridSpan w:val="5"/>
            <w:tcBorders>
              <w:top w:val="nil"/>
              <w:left w:val="nil"/>
              <w:bottom w:val="nil"/>
              <w:right w:val="nil"/>
            </w:tcBorders>
            <w:shd w:val="clear" w:color="auto" w:fill="auto"/>
            <w:noWrap/>
            <w:vAlign w:val="bottom"/>
            <w:hideMark/>
          </w:tcPr>
          <w:p w14:paraId="6C09C39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boiler retirement at the annual level for 2009-2022. NO</w:t>
            </w:r>
            <w:r w:rsidRPr="007F37A0">
              <w:rPr>
                <w:rFonts w:ascii="Times New Roman" w:hAnsi="Times New Roman" w:cs="Times New Roman"/>
                <w:vertAlign w:val="subscript"/>
              </w:rPr>
              <w:t>x</w:t>
            </w:r>
            <w:r w:rsidRPr="007F37A0">
              <w:rPr>
                <w:rFonts w:ascii="Times New Roman" w:hAnsi="Times New Roman" w:cs="Times New Roman"/>
              </w:rPr>
              <w:t xml:space="preserve"> treatment is an indicator variable for treatment under either CAIR or CSAPR for NO</w:t>
            </w:r>
            <w:r w:rsidRPr="007F37A0">
              <w:rPr>
                <w:rFonts w:ascii="Times New Roman" w:hAnsi="Times New Roman" w:cs="Times New Roman"/>
                <w:vertAlign w:val="subscript"/>
              </w:rPr>
              <w:t>x</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577C25EA" w14:textId="77777777" w:rsidR="009478ED" w:rsidRPr="007F37A0" w:rsidRDefault="009478ED" w:rsidP="009478ED">
      <w:pPr>
        <w:rPr>
          <w:rFonts w:ascii="Times New Roman" w:hAnsi="Times New Roman" w:cs="Times New Roman"/>
        </w:rPr>
      </w:pPr>
    </w:p>
    <w:p w14:paraId="50C75A6C"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0AE4C7F7" w14:textId="60406940" w:rsidR="009478ED" w:rsidRPr="007F37A0" w:rsidRDefault="009478ED" w:rsidP="007F37A0">
      <w:pPr>
        <w:pStyle w:val="Caption"/>
        <w:rPr>
          <w:rFonts w:cs="Times New Roman"/>
        </w:rPr>
      </w:pPr>
      <w:bookmarkStart w:id="202" w:name="_Ref160878856"/>
      <w:bookmarkStart w:id="203" w:name="_Toc160879150"/>
      <w:bookmarkStart w:id="204" w:name="_Toc164862575"/>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40</w:t>
      </w:r>
      <w:r w:rsidRPr="007F37A0">
        <w:rPr>
          <w:rFonts w:cs="Times New Roman"/>
        </w:rPr>
        <w:fldChar w:fldCharType="end"/>
      </w:r>
      <w:bookmarkEnd w:id="202"/>
      <w:r w:rsidRPr="007F37A0">
        <w:rPr>
          <w:rFonts w:cs="Times New Roman"/>
        </w:rPr>
        <w:t>: New NO</w:t>
      </w:r>
      <w:r w:rsidRPr="007F37A0">
        <w:rPr>
          <w:rFonts w:cs="Times New Roman"/>
          <w:vertAlign w:val="subscript"/>
        </w:rPr>
        <w:t>x</w:t>
      </w:r>
      <w:r w:rsidRPr="007F37A0">
        <w:rPr>
          <w:rFonts w:cs="Times New Roman"/>
        </w:rPr>
        <w:t xml:space="preserve"> Abatement Technology</w:t>
      </w:r>
      <w:bookmarkEnd w:id="203"/>
      <w:bookmarkEnd w:id="204"/>
    </w:p>
    <w:tbl>
      <w:tblPr>
        <w:tblW w:w="8550" w:type="dxa"/>
        <w:jc w:val="center"/>
        <w:tblLook w:val="04A0" w:firstRow="1" w:lastRow="0" w:firstColumn="1" w:lastColumn="0" w:noHBand="0" w:noVBand="1"/>
      </w:tblPr>
      <w:tblGrid>
        <w:gridCol w:w="2340"/>
        <w:gridCol w:w="1980"/>
        <w:gridCol w:w="1800"/>
        <w:gridCol w:w="1350"/>
        <w:gridCol w:w="1080"/>
      </w:tblGrid>
      <w:tr w:rsidR="009478ED" w:rsidRPr="007F37A0" w14:paraId="1AF8D7AC" w14:textId="77777777" w:rsidTr="00735871">
        <w:trPr>
          <w:trHeight w:val="282"/>
          <w:jc w:val="center"/>
        </w:trPr>
        <w:tc>
          <w:tcPr>
            <w:tcW w:w="2340" w:type="dxa"/>
            <w:tcBorders>
              <w:top w:val="single" w:sz="4" w:space="0" w:color="000000"/>
              <w:left w:val="nil"/>
              <w:bottom w:val="nil"/>
              <w:right w:val="nil"/>
            </w:tcBorders>
            <w:shd w:val="clear" w:color="auto" w:fill="auto"/>
            <w:noWrap/>
            <w:vAlign w:val="bottom"/>
            <w:hideMark/>
          </w:tcPr>
          <w:p w14:paraId="05D8035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980" w:type="dxa"/>
            <w:tcBorders>
              <w:top w:val="single" w:sz="4" w:space="0" w:color="000000"/>
              <w:left w:val="nil"/>
              <w:bottom w:val="nil"/>
              <w:right w:val="nil"/>
            </w:tcBorders>
            <w:shd w:val="clear" w:color="auto" w:fill="auto"/>
            <w:noWrap/>
            <w:vAlign w:val="bottom"/>
            <w:hideMark/>
          </w:tcPr>
          <w:p w14:paraId="4B049AF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1800" w:type="dxa"/>
            <w:tcBorders>
              <w:top w:val="single" w:sz="4" w:space="0" w:color="000000"/>
              <w:left w:val="nil"/>
              <w:bottom w:val="nil"/>
              <w:right w:val="nil"/>
            </w:tcBorders>
            <w:shd w:val="clear" w:color="auto" w:fill="auto"/>
            <w:noWrap/>
            <w:vAlign w:val="bottom"/>
            <w:hideMark/>
          </w:tcPr>
          <w:p w14:paraId="0ABA9DD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350" w:type="dxa"/>
            <w:tcBorders>
              <w:top w:val="single" w:sz="4" w:space="0" w:color="000000"/>
              <w:left w:val="nil"/>
              <w:bottom w:val="nil"/>
              <w:right w:val="nil"/>
            </w:tcBorders>
            <w:shd w:val="clear" w:color="auto" w:fill="auto"/>
            <w:noWrap/>
            <w:vAlign w:val="bottom"/>
            <w:hideMark/>
          </w:tcPr>
          <w:p w14:paraId="344661A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080" w:type="dxa"/>
            <w:tcBorders>
              <w:top w:val="single" w:sz="4" w:space="0" w:color="000000"/>
              <w:left w:val="nil"/>
              <w:bottom w:val="nil"/>
              <w:right w:val="nil"/>
            </w:tcBorders>
            <w:shd w:val="clear" w:color="auto" w:fill="auto"/>
            <w:noWrap/>
            <w:vAlign w:val="bottom"/>
            <w:hideMark/>
          </w:tcPr>
          <w:p w14:paraId="0B1E0D8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43A317CB"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577691B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7AC1D89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New Technology Installation (any type)</w:t>
            </w:r>
          </w:p>
        </w:tc>
        <w:tc>
          <w:tcPr>
            <w:tcW w:w="1980" w:type="dxa"/>
            <w:tcBorders>
              <w:top w:val="nil"/>
              <w:left w:val="nil"/>
              <w:bottom w:val="nil"/>
              <w:right w:val="nil"/>
            </w:tcBorders>
            <w:shd w:val="clear" w:color="auto" w:fill="auto"/>
            <w:noWrap/>
            <w:vAlign w:val="bottom"/>
            <w:hideMark/>
          </w:tcPr>
          <w:p w14:paraId="799F56B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800" w:type="dxa"/>
            <w:tcBorders>
              <w:top w:val="nil"/>
              <w:left w:val="nil"/>
              <w:bottom w:val="nil"/>
              <w:right w:val="nil"/>
            </w:tcBorders>
            <w:shd w:val="clear" w:color="auto" w:fill="auto"/>
            <w:noWrap/>
            <w:vAlign w:val="bottom"/>
            <w:hideMark/>
          </w:tcPr>
          <w:p w14:paraId="70CEDBD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Technology or Fuel Type</w:t>
            </w:r>
          </w:p>
        </w:tc>
        <w:tc>
          <w:tcPr>
            <w:tcW w:w="1350" w:type="dxa"/>
            <w:tcBorders>
              <w:top w:val="nil"/>
              <w:left w:val="nil"/>
              <w:bottom w:val="nil"/>
              <w:right w:val="nil"/>
            </w:tcBorders>
            <w:shd w:val="clear" w:color="auto" w:fill="auto"/>
            <w:noWrap/>
            <w:vAlign w:val="bottom"/>
            <w:hideMark/>
          </w:tcPr>
          <w:p w14:paraId="4AD4787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Controls - No Fuel Type</w:t>
            </w:r>
          </w:p>
        </w:tc>
        <w:tc>
          <w:tcPr>
            <w:tcW w:w="1080" w:type="dxa"/>
            <w:tcBorders>
              <w:top w:val="nil"/>
              <w:left w:val="nil"/>
              <w:bottom w:val="nil"/>
              <w:right w:val="nil"/>
            </w:tcBorders>
            <w:shd w:val="clear" w:color="auto" w:fill="auto"/>
            <w:noWrap/>
            <w:vAlign w:val="bottom"/>
            <w:hideMark/>
          </w:tcPr>
          <w:p w14:paraId="541EFB7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All Controls</w:t>
            </w:r>
          </w:p>
        </w:tc>
      </w:tr>
      <w:tr w:rsidR="009478ED" w:rsidRPr="007F37A0" w14:paraId="0ED2DE76" w14:textId="77777777" w:rsidTr="00735871">
        <w:trPr>
          <w:trHeight w:val="282"/>
          <w:jc w:val="center"/>
        </w:trPr>
        <w:tc>
          <w:tcPr>
            <w:tcW w:w="2340" w:type="dxa"/>
            <w:tcBorders>
              <w:top w:val="single" w:sz="4" w:space="0" w:color="000000"/>
              <w:left w:val="nil"/>
              <w:bottom w:val="nil"/>
              <w:right w:val="nil"/>
            </w:tcBorders>
            <w:shd w:val="clear" w:color="auto" w:fill="auto"/>
            <w:noWrap/>
            <w:vAlign w:val="bottom"/>
            <w:hideMark/>
          </w:tcPr>
          <w:p w14:paraId="62D4ACB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980" w:type="dxa"/>
            <w:tcBorders>
              <w:top w:val="single" w:sz="4" w:space="0" w:color="000000"/>
              <w:left w:val="nil"/>
              <w:bottom w:val="nil"/>
              <w:right w:val="nil"/>
            </w:tcBorders>
            <w:shd w:val="clear" w:color="auto" w:fill="auto"/>
            <w:noWrap/>
            <w:vAlign w:val="bottom"/>
            <w:hideMark/>
          </w:tcPr>
          <w:p w14:paraId="13F3173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800" w:type="dxa"/>
            <w:tcBorders>
              <w:top w:val="single" w:sz="4" w:space="0" w:color="000000"/>
              <w:left w:val="nil"/>
              <w:bottom w:val="nil"/>
              <w:right w:val="nil"/>
            </w:tcBorders>
            <w:shd w:val="clear" w:color="auto" w:fill="auto"/>
            <w:noWrap/>
            <w:vAlign w:val="bottom"/>
            <w:hideMark/>
          </w:tcPr>
          <w:p w14:paraId="6FCE62E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5BB64F6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080" w:type="dxa"/>
            <w:tcBorders>
              <w:top w:val="single" w:sz="4" w:space="0" w:color="000000"/>
              <w:left w:val="nil"/>
              <w:bottom w:val="nil"/>
              <w:right w:val="nil"/>
            </w:tcBorders>
            <w:shd w:val="clear" w:color="auto" w:fill="auto"/>
            <w:noWrap/>
            <w:vAlign w:val="bottom"/>
            <w:hideMark/>
          </w:tcPr>
          <w:p w14:paraId="7C100D1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1D85A017"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4AAD03D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NOx Treatment</w:t>
            </w:r>
          </w:p>
        </w:tc>
        <w:tc>
          <w:tcPr>
            <w:tcW w:w="1980" w:type="dxa"/>
            <w:tcBorders>
              <w:top w:val="nil"/>
              <w:left w:val="nil"/>
              <w:bottom w:val="nil"/>
              <w:right w:val="nil"/>
            </w:tcBorders>
            <w:shd w:val="clear" w:color="auto" w:fill="auto"/>
            <w:noWrap/>
            <w:vAlign w:val="bottom"/>
            <w:hideMark/>
          </w:tcPr>
          <w:p w14:paraId="6A79716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800" w:type="dxa"/>
            <w:tcBorders>
              <w:top w:val="nil"/>
              <w:left w:val="nil"/>
              <w:bottom w:val="nil"/>
              <w:right w:val="nil"/>
            </w:tcBorders>
            <w:shd w:val="clear" w:color="auto" w:fill="auto"/>
            <w:noWrap/>
            <w:vAlign w:val="bottom"/>
            <w:hideMark/>
          </w:tcPr>
          <w:p w14:paraId="5000408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50" w:type="dxa"/>
            <w:tcBorders>
              <w:top w:val="nil"/>
              <w:left w:val="nil"/>
              <w:bottom w:val="nil"/>
              <w:right w:val="nil"/>
            </w:tcBorders>
            <w:shd w:val="clear" w:color="auto" w:fill="auto"/>
            <w:noWrap/>
            <w:vAlign w:val="bottom"/>
            <w:hideMark/>
          </w:tcPr>
          <w:p w14:paraId="34B8592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080" w:type="dxa"/>
            <w:tcBorders>
              <w:top w:val="nil"/>
              <w:left w:val="nil"/>
              <w:bottom w:val="nil"/>
              <w:right w:val="nil"/>
            </w:tcBorders>
            <w:shd w:val="clear" w:color="auto" w:fill="auto"/>
            <w:noWrap/>
            <w:vAlign w:val="bottom"/>
            <w:hideMark/>
          </w:tcPr>
          <w:p w14:paraId="1F410C6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6AD80108"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2A5B4F93" w14:textId="77777777" w:rsidR="009478ED" w:rsidRPr="007F37A0" w:rsidRDefault="009478ED" w:rsidP="00735871">
            <w:pPr>
              <w:jc w:val="center"/>
              <w:rPr>
                <w:rFonts w:ascii="Times New Roman" w:hAnsi="Times New Roman" w:cs="Times New Roman"/>
              </w:rPr>
            </w:pPr>
          </w:p>
        </w:tc>
        <w:tc>
          <w:tcPr>
            <w:tcW w:w="1980" w:type="dxa"/>
            <w:tcBorders>
              <w:top w:val="nil"/>
              <w:left w:val="nil"/>
              <w:bottom w:val="nil"/>
              <w:right w:val="nil"/>
            </w:tcBorders>
            <w:shd w:val="clear" w:color="auto" w:fill="auto"/>
            <w:noWrap/>
            <w:vAlign w:val="bottom"/>
            <w:hideMark/>
          </w:tcPr>
          <w:p w14:paraId="0C087D3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800" w:type="dxa"/>
            <w:tcBorders>
              <w:top w:val="nil"/>
              <w:left w:val="nil"/>
              <w:bottom w:val="nil"/>
              <w:right w:val="nil"/>
            </w:tcBorders>
            <w:shd w:val="clear" w:color="auto" w:fill="auto"/>
            <w:noWrap/>
            <w:vAlign w:val="bottom"/>
            <w:hideMark/>
          </w:tcPr>
          <w:p w14:paraId="3CB967E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50" w:type="dxa"/>
            <w:tcBorders>
              <w:top w:val="nil"/>
              <w:left w:val="nil"/>
              <w:bottom w:val="nil"/>
              <w:right w:val="nil"/>
            </w:tcBorders>
            <w:shd w:val="clear" w:color="auto" w:fill="auto"/>
            <w:noWrap/>
            <w:vAlign w:val="bottom"/>
            <w:hideMark/>
          </w:tcPr>
          <w:p w14:paraId="2FD3BB1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080" w:type="dxa"/>
            <w:tcBorders>
              <w:top w:val="nil"/>
              <w:left w:val="nil"/>
              <w:bottom w:val="nil"/>
              <w:right w:val="nil"/>
            </w:tcBorders>
            <w:shd w:val="clear" w:color="auto" w:fill="auto"/>
            <w:noWrap/>
            <w:vAlign w:val="bottom"/>
            <w:hideMark/>
          </w:tcPr>
          <w:p w14:paraId="68BE628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4F085D07"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7BAC7E1F" w14:textId="77777777" w:rsidR="009478ED" w:rsidRPr="007F37A0" w:rsidRDefault="009478ED" w:rsidP="00735871">
            <w:pPr>
              <w:jc w:val="center"/>
              <w:rPr>
                <w:rFonts w:ascii="Times New Roman" w:hAnsi="Times New Roman" w:cs="Times New Roman"/>
              </w:rPr>
            </w:pPr>
          </w:p>
        </w:tc>
        <w:tc>
          <w:tcPr>
            <w:tcW w:w="1980" w:type="dxa"/>
            <w:tcBorders>
              <w:top w:val="nil"/>
              <w:left w:val="nil"/>
              <w:bottom w:val="nil"/>
              <w:right w:val="nil"/>
            </w:tcBorders>
            <w:shd w:val="clear" w:color="auto" w:fill="auto"/>
            <w:noWrap/>
            <w:vAlign w:val="bottom"/>
            <w:hideMark/>
          </w:tcPr>
          <w:p w14:paraId="236F72F5" w14:textId="77777777" w:rsidR="009478ED" w:rsidRPr="007F37A0" w:rsidRDefault="009478ED" w:rsidP="00735871">
            <w:pPr>
              <w:rPr>
                <w:rFonts w:ascii="Times New Roman" w:hAnsi="Times New Roman" w:cs="Times New Roman"/>
              </w:rPr>
            </w:pPr>
          </w:p>
        </w:tc>
        <w:tc>
          <w:tcPr>
            <w:tcW w:w="1800" w:type="dxa"/>
            <w:tcBorders>
              <w:top w:val="nil"/>
              <w:left w:val="nil"/>
              <w:bottom w:val="nil"/>
              <w:right w:val="nil"/>
            </w:tcBorders>
            <w:shd w:val="clear" w:color="auto" w:fill="auto"/>
            <w:noWrap/>
            <w:vAlign w:val="bottom"/>
            <w:hideMark/>
          </w:tcPr>
          <w:p w14:paraId="0599F90C"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7EF4053E" w14:textId="77777777" w:rsidR="009478ED" w:rsidRPr="007F37A0" w:rsidRDefault="009478ED" w:rsidP="00735871">
            <w:pPr>
              <w:jc w:val="center"/>
              <w:rPr>
                <w:rFonts w:ascii="Times New Roman" w:hAnsi="Times New Roman" w:cs="Times New Roman"/>
              </w:rPr>
            </w:pPr>
          </w:p>
        </w:tc>
        <w:tc>
          <w:tcPr>
            <w:tcW w:w="1080" w:type="dxa"/>
            <w:tcBorders>
              <w:top w:val="nil"/>
              <w:left w:val="nil"/>
              <w:bottom w:val="nil"/>
              <w:right w:val="nil"/>
            </w:tcBorders>
            <w:shd w:val="clear" w:color="auto" w:fill="auto"/>
            <w:noWrap/>
            <w:vAlign w:val="bottom"/>
            <w:hideMark/>
          </w:tcPr>
          <w:p w14:paraId="727A0B17" w14:textId="77777777" w:rsidR="009478ED" w:rsidRPr="007F37A0" w:rsidRDefault="009478ED" w:rsidP="00735871">
            <w:pPr>
              <w:jc w:val="center"/>
              <w:rPr>
                <w:rFonts w:ascii="Times New Roman" w:hAnsi="Times New Roman" w:cs="Times New Roman"/>
              </w:rPr>
            </w:pPr>
          </w:p>
        </w:tc>
      </w:tr>
      <w:tr w:rsidR="009478ED" w:rsidRPr="007F37A0" w14:paraId="3F65E7CC"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0EE5B02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980" w:type="dxa"/>
            <w:tcBorders>
              <w:top w:val="nil"/>
              <w:left w:val="nil"/>
              <w:bottom w:val="nil"/>
              <w:right w:val="nil"/>
            </w:tcBorders>
            <w:shd w:val="clear" w:color="auto" w:fill="auto"/>
            <w:noWrap/>
            <w:vAlign w:val="bottom"/>
            <w:hideMark/>
          </w:tcPr>
          <w:p w14:paraId="1CA2D2F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34,238</w:t>
            </w:r>
          </w:p>
        </w:tc>
        <w:tc>
          <w:tcPr>
            <w:tcW w:w="1800" w:type="dxa"/>
            <w:tcBorders>
              <w:top w:val="nil"/>
              <w:left w:val="nil"/>
              <w:bottom w:val="nil"/>
              <w:right w:val="nil"/>
            </w:tcBorders>
            <w:shd w:val="clear" w:color="auto" w:fill="auto"/>
            <w:noWrap/>
            <w:vAlign w:val="bottom"/>
            <w:hideMark/>
          </w:tcPr>
          <w:p w14:paraId="2D84BDB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34,238</w:t>
            </w:r>
          </w:p>
        </w:tc>
        <w:tc>
          <w:tcPr>
            <w:tcW w:w="1350" w:type="dxa"/>
            <w:tcBorders>
              <w:top w:val="nil"/>
              <w:left w:val="nil"/>
              <w:bottom w:val="nil"/>
              <w:right w:val="nil"/>
            </w:tcBorders>
            <w:shd w:val="clear" w:color="auto" w:fill="auto"/>
            <w:noWrap/>
            <w:vAlign w:val="bottom"/>
            <w:hideMark/>
          </w:tcPr>
          <w:p w14:paraId="586F5A8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34,238</w:t>
            </w:r>
          </w:p>
        </w:tc>
        <w:tc>
          <w:tcPr>
            <w:tcW w:w="1080" w:type="dxa"/>
            <w:tcBorders>
              <w:top w:val="nil"/>
              <w:left w:val="nil"/>
              <w:bottom w:val="nil"/>
              <w:right w:val="nil"/>
            </w:tcBorders>
            <w:shd w:val="clear" w:color="auto" w:fill="auto"/>
            <w:noWrap/>
            <w:vAlign w:val="bottom"/>
            <w:hideMark/>
          </w:tcPr>
          <w:p w14:paraId="42F1556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34,238</w:t>
            </w:r>
          </w:p>
        </w:tc>
      </w:tr>
      <w:tr w:rsidR="009478ED" w:rsidRPr="007F37A0" w14:paraId="7686FFAF"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437A4A5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R-squared</w:t>
            </w:r>
          </w:p>
        </w:tc>
        <w:tc>
          <w:tcPr>
            <w:tcW w:w="1980" w:type="dxa"/>
            <w:tcBorders>
              <w:top w:val="nil"/>
              <w:left w:val="nil"/>
              <w:bottom w:val="nil"/>
              <w:right w:val="nil"/>
            </w:tcBorders>
            <w:shd w:val="clear" w:color="auto" w:fill="auto"/>
            <w:noWrap/>
            <w:vAlign w:val="bottom"/>
            <w:hideMark/>
          </w:tcPr>
          <w:p w14:paraId="45838FA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1800" w:type="dxa"/>
            <w:tcBorders>
              <w:top w:val="nil"/>
              <w:left w:val="nil"/>
              <w:bottom w:val="nil"/>
              <w:right w:val="nil"/>
            </w:tcBorders>
            <w:shd w:val="clear" w:color="auto" w:fill="auto"/>
            <w:noWrap/>
            <w:vAlign w:val="bottom"/>
            <w:hideMark/>
          </w:tcPr>
          <w:p w14:paraId="632BBB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c>
          <w:tcPr>
            <w:tcW w:w="1350" w:type="dxa"/>
            <w:tcBorders>
              <w:top w:val="nil"/>
              <w:left w:val="nil"/>
              <w:bottom w:val="nil"/>
              <w:right w:val="nil"/>
            </w:tcBorders>
            <w:shd w:val="clear" w:color="auto" w:fill="auto"/>
            <w:noWrap/>
            <w:vAlign w:val="bottom"/>
            <w:hideMark/>
          </w:tcPr>
          <w:p w14:paraId="1FB3244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0.010</w:t>
            </w:r>
          </w:p>
        </w:tc>
        <w:tc>
          <w:tcPr>
            <w:tcW w:w="1080" w:type="dxa"/>
            <w:tcBorders>
              <w:top w:val="nil"/>
              <w:left w:val="nil"/>
              <w:bottom w:val="nil"/>
              <w:right w:val="nil"/>
            </w:tcBorders>
            <w:shd w:val="clear" w:color="auto" w:fill="auto"/>
            <w:noWrap/>
            <w:vAlign w:val="bottom"/>
            <w:hideMark/>
          </w:tcPr>
          <w:p w14:paraId="3683BA1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0.012</w:t>
            </w:r>
          </w:p>
        </w:tc>
      </w:tr>
      <w:tr w:rsidR="009478ED" w:rsidRPr="007F37A0" w14:paraId="0B5DB78B"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340BDC0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980" w:type="dxa"/>
            <w:tcBorders>
              <w:top w:val="nil"/>
              <w:left w:val="nil"/>
              <w:bottom w:val="nil"/>
              <w:right w:val="nil"/>
            </w:tcBorders>
            <w:shd w:val="clear" w:color="auto" w:fill="auto"/>
            <w:noWrap/>
            <w:vAlign w:val="bottom"/>
            <w:hideMark/>
          </w:tcPr>
          <w:p w14:paraId="4604D15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800" w:type="dxa"/>
            <w:tcBorders>
              <w:top w:val="nil"/>
              <w:left w:val="nil"/>
              <w:bottom w:val="nil"/>
              <w:right w:val="nil"/>
            </w:tcBorders>
            <w:shd w:val="clear" w:color="auto" w:fill="auto"/>
            <w:noWrap/>
            <w:vAlign w:val="bottom"/>
            <w:hideMark/>
          </w:tcPr>
          <w:p w14:paraId="41DF8D1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38344B5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080" w:type="dxa"/>
            <w:tcBorders>
              <w:top w:val="nil"/>
              <w:left w:val="nil"/>
              <w:bottom w:val="nil"/>
              <w:right w:val="nil"/>
            </w:tcBorders>
            <w:shd w:val="clear" w:color="auto" w:fill="auto"/>
            <w:noWrap/>
            <w:vAlign w:val="bottom"/>
            <w:hideMark/>
          </w:tcPr>
          <w:p w14:paraId="493B84A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7BB1BCF1"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2557090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Base Controls</w:t>
            </w:r>
          </w:p>
        </w:tc>
        <w:tc>
          <w:tcPr>
            <w:tcW w:w="1980" w:type="dxa"/>
            <w:tcBorders>
              <w:top w:val="nil"/>
              <w:left w:val="nil"/>
              <w:bottom w:val="nil"/>
              <w:right w:val="nil"/>
            </w:tcBorders>
            <w:shd w:val="clear" w:color="auto" w:fill="auto"/>
            <w:noWrap/>
            <w:vAlign w:val="bottom"/>
            <w:hideMark/>
          </w:tcPr>
          <w:p w14:paraId="1702B1A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nil"/>
              <w:right w:val="nil"/>
            </w:tcBorders>
            <w:shd w:val="clear" w:color="auto" w:fill="auto"/>
            <w:noWrap/>
            <w:vAlign w:val="bottom"/>
            <w:hideMark/>
          </w:tcPr>
          <w:p w14:paraId="5D66388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359332E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080" w:type="dxa"/>
            <w:tcBorders>
              <w:top w:val="nil"/>
              <w:left w:val="nil"/>
              <w:bottom w:val="nil"/>
              <w:right w:val="nil"/>
            </w:tcBorders>
            <w:shd w:val="clear" w:color="auto" w:fill="auto"/>
            <w:noWrap/>
            <w:vAlign w:val="bottom"/>
            <w:hideMark/>
          </w:tcPr>
          <w:p w14:paraId="6B140FD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65A79184" w14:textId="77777777" w:rsidTr="00735871">
        <w:trPr>
          <w:trHeight w:val="282"/>
          <w:jc w:val="center"/>
        </w:trPr>
        <w:tc>
          <w:tcPr>
            <w:tcW w:w="2340" w:type="dxa"/>
            <w:tcBorders>
              <w:top w:val="nil"/>
              <w:left w:val="nil"/>
              <w:bottom w:val="nil"/>
              <w:right w:val="nil"/>
            </w:tcBorders>
            <w:shd w:val="clear" w:color="auto" w:fill="auto"/>
            <w:noWrap/>
            <w:vAlign w:val="bottom"/>
            <w:hideMark/>
          </w:tcPr>
          <w:p w14:paraId="6CAA6F2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980" w:type="dxa"/>
            <w:tcBorders>
              <w:top w:val="nil"/>
              <w:left w:val="nil"/>
              <w:bottom w:val="nil"/>
              <w:right w:val="nil"/>
            </w:tcBorders>
            <w:shd w:val="clear" w:color="auto" w:fill="auto"/>
            <w:noWrap/>
            <w:vAlign w:val="bottom"/>
            <w:hideMark/>
          </w:tcPr>
          <w:p w14:paraId="6176D98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nil"/>
              <w:right w:val="nil"/>
            </w:tcBorders>
            <w:shd w:val="clear" w:color="auto" w:fill="auto"/>
            <w:noWrap/>
            <w:vAlign w:val="bottom"/>
            <w:hideMark/>
          </w:tcPr>
          <w:p w14:paraId="2784BA7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350" w:type="dxa"/>
            <w:tcBorders>
              <w:top w:val="nil"/>
              <w:left w:val="nil"/>
              <w:bottom w:val="nil"/>
              <w:right w:val="nil"/>
            </w:tcBorders>
            <w:shd w:val="clear" w:color="auto" w:fill="auto"/>
            <w:noWrap/>
            <w:vAlign w:val="bottom"/>
            <w:hideMark/>
          </w:tcPr>
          <w:p w14:paraId="29F2ECB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080" w:type="dxa"/>
            <w:tcBorders>
              <w:top w:val="nil"/>
              <w:left w:val="nil"/>
              <w:bottom w:val="nil"/>
              <w:right w:val="nil"/>
            </w:tcBorders>
            <w:shd w:val="clear" w:color="auto" w:fill="auto"/>
            <w:noWrap/>
            <w:vAlign w:val="bottom"/>
            <w:hideMark/>
          </w:tcPr>
          <w:p w14:paraId="677098E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AEB6393" w14:textId="77777777" w:rsidTr="00735871">
        <w:trPr>
          <w:trHeight w:val="282"/>
          <w:jc w:val="center"/>
        </w:trPr>
        <w:tc>
          <w:tcPr>
            <w:tcW w:w="2340" w:type="dxa"/>
            <w:tcBorders>
              <w:top w:val="nil"/>
              <w:left w:val="nil"/>
              <w:bottom w:val="single" w:sz="4" w:space="0" w:color="000000"/>
              <w:right w:val="nil"/>
            </w:tcBorders>
            <w:shd w:val="clear" w:color="auto" w:fill="auto"/>
            <w:noWrap/>
            <w:vAlign w:val="bottom"/>
            <w:hideMark/>
          </w:tcPr>
          <w:p w14:paraId="6886517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Fuel Controls</w:t>
            </w:r>
          </w:p>
        </w:tc>
        <w:tc>
          <w:tcPr>
            <w:tcW w:w="1980" w:type="dxa"/>
            <w:tcBorders>
              <w:top w:val="nil"/>
              <w:left w:val="nil"/>
              <w:bottom w:val="single" w:sz="4" w:space="0" w:color="000000"/>
              <w:right w:val="nil"/>
            </w:tcBorders>
            <w:shd w:val="clear" w:color="auto" w:fill="auto"/>
            <w:noWrap/>
            <w:vAlign w:val="bottom"/>
            <w:hideMark/>
          </w:tcPr>
          <w:p w14:paraId="03F10EC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800" w:type="dxa"/>
            <w:tcBorders>
              <w:top w:val="nil"/>
              <w:left w:val="nil"/>
              <w:bottom w:val="single" w:sz="4" w:space="0" w:color="000000"/>
              <w:right w:val="nil"/>
            </w:tcBorders>
            <w:shd w:val="clear" w:color="auto" w:fill="auto"/>
            <w:noWrap/>
            <w:vAlign w:val="bottom"/>
            <w:hideMark/>
          </w:tcPr>
          <w:p w14:paraId="51D02D5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350" w:type="dxa"/>
            <w:tcBorders>
              <w:top w:val="nil"/>
              <w:left w:val="nil"/>
              <w:bottom w:val="single" w:sz="4" w:space="0" w:color="000000"/>
              <w:right w:val="nil"/>
            </w:tcBorders>
            <w:shd w:val="clear" w:color="auto" w:fill="auto"/>
            <w:noWrap/>
            <w:vAlign w:val="bottom"/>
            <w:hideMark/>
          </w:tcPr>
          <w:p w14:paraId="3A67A4D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p>
        </w:tc>
        <w:tc>
          <w:tcPr>
            <w:tcW w:w="1080" w:type="dxa"/>
            <w:tcBorders>
              <w:top w:val="nil"/>
              <w:left w:val="nil"/>
              <w:bottom w:val="single" w:sz="4" w:space="0" w:color="000000"/>
              <w:right w:val="nil"/>
            </w:tcBorders>
            <w:shd w:val="clear" w:color="auto" w:fill="auto"/>
            <w:noWrap/>
            <w:vAlign w:val="bottom"/>
            <w:hideMark/>
          </w:tcPr>
          <w:p w14:paraId="352C98B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F5D16EA" w14:textId="77777777" w:rsidTr="00735871">
        <w:trPr>
          <w:trHeight w:val="564"/>
          <w:jc w:val="center"/>
        </w:trPr>
        <w:tc>
          <w:tcPr>
            <w:tcW w:w="8550" w:type="dxa"/>
            <w:gridSpan w:val="5"/>
            <w:tcBorders>
              <w:top w:val="nil"/>
              <w:left w:val="nil"/>
              <w:right w:val="nil"/>
            </w:tcBorders>
            <w:shd w:val="clear" w:color="auto" w:fill="auto"/>
            <w:noWrap/>
            <w:vAlign w:val="bottom"/>
            <w:hideMark/>
          </w:tcPr>
          <w:p w14:paraId="0357AFA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r w:rsidRPr="007F37A0">
              <w:rPr>
                <w:rFonts w:ascii="Times New Roman" w:hAnsi="Times New Roman" w:cs="Times New Roman"/>
              </w:rPr>
              <w:tab/>
            </w:r>
          </w:p>
          <w:p w14:paraId="55F99A4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63A0EAD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new technology installation for any technology type at the annual level for 2009-2022. NO</w:t>
            </w:r>
            <w:r w:rsidRPr="007F37A0">
              <w:rPr>
                <w:rFonts w:ascii="Times New Roman" w:hAnsi="Times New Roman" w:cs="Times New Roman"/>
                <w:vertAlign w:val="subscript"/>
              </w:rPr>
              <w:t>x</w:t>
            </w:r>
            <w:r w:rsidRPr="007F37A0">
              <w:rPr>
                <w:rFonts w:ascii="Times New Roman" w:hAnsi="Times New Roman" w:cs="Times New Roman"/>
              </w:rPr>
              <w:t xml:space="preserve"> treatment is an indicator variable for treatment under either CAIR or CSAPR for NO</w:t>
            </w:r>
            <w:r w:rsidRPr="007F37A0">
              <w:rPr>
                <w:rFonts w:ascii="Times New Roman" w:hAnsi="Times New Roman" w:cs="Times New Roman"/>
                <w:vertAlign w:val="subscript"/>
              </w:rPr>
              <w:t>x</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2144D152" w14:textId="77777777" w:rsidR="009478ED" w:rsidRPr="007F37A0" w:rsidRDefault="009478ED" w:rsidP="009478ED">
      <w:pPr>
        <w:rPr>
          <w:rFonts w:ascii="Times New Roman" w:hAnsi="Times New Roman" w:cs="Times New Roman"/>
        </w:rPr>
      </w:pPr>
    </w:p>
    <w:p w14:paraId="681F071C"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0960B297" w14:textId="502C9FF9" w:rsidR="009478ED" w:rsidRPr="007F37A0" w:rsidRDefault="009478ED" w:rsidP="007F37A0">
      <w:pPr>
        <w:pStyle w:val="Caption"/>
        <w:rPr>
          <w:rFonts w:cs="Times New Roman"/>
        </w:rPr>
      </w:pPr>
      <w:bookmarkStart w:id="205" w:name="_Ref164517434"/>
      <w:bookmarkStart w:id="206" w:name="_Toc164862576"/>
      <w:r w:rsidRPr="007F37A0">
        <w:rPr>
          <w:rFonts w:cs="Times New Roman"/>
        </w:rPr>
        <w:lastRenderedPageBreak/>
        <w:t xml:space="preserve">Table </w:t>
      </w:r>
      <w:r w:rsidRPr="007F37A0">
        <w:rPr>
          <w:rFonts w:cs="Times New Roman"/>
        </w:rPr>
        <w:fldChar w:fldCharType="begin"/>
      </w:r>
      <w:r w:rsidRPr="007F37A0">
        <w:rPr>
          <w:rFonts w:cs="Times New Roman"/>
        </w:rPr>
        <w:instrText xml:space="preserve"> SEQ Table \* ARABIC </w:instrText>
      </w:r>
      <w:r w:rsidRPr="007F37A0">
        <w:rPr>
          <w:rFonts w:cs="Times New Roman"/>
        </w:rPr>
        <w:fldChar w:fldCharType="separate"/>
      </w:r>
      <w:r w:rsidR="00142A7E">
        <w:rPr>
          <w:rFonts w:cs="Times New Roman"/>
          <w:noProof/>
        </w:rPr>
        <w:t>41</w:t>
      </w:r>
      <w:r w:rsidRPr="007F37A0">
        <w:rPr>
          <w:rFonts w:cs="Times New Roman"/>
        </w:rPr>
        <w:fldChar w:fldCharType="end"/>
      </w:r>
      <w:bookmarkEnd w:id="205"/>
      <w:r w:rsidRPr="007F37A0">
        <w:rPr>
          <w:rFonts w:cs="Times New Roman"/>
        </w:rPr>
        <w:t>: New NO</w:t>
      </w:r>
      <w:r w:rsidRPr="007F37A0">
        <w:rPr>
          <w:rFonts w:cs="Times New Roman"/>
          <w:vertAlign w:val="subscript"/>
        </w:rPr>
        <w:t>x</w:t>
      </w:r>
      <w:r w:rsidRPr="007F37A0">
        <w:rPr>
          <w:rFonts w:cs="Times New Roman"/>
        </w:rPr>
        <w:t xml:space="preserve"> Abatement Technology – Fuel Specific Effects</w:t>
      </w:r>
      <w:bookmarkEnd w:id="206"/>
    </w:p>
    <w:tbl>
      <w:tblPr>
        <w:tblW w:w="8010" w:type="dxa"/>
        <w:jc w:val="center"/>
        <w:tblLook w:val="04A0" w:firstRow="1" w:lastRow="0" w:firstColumn="1" w:lastColumn="0" w:noHBand="0" w:noVBand="1"/>
      </w:tblPr>
      <w:tblGrid>
        <w:gridCol w:w="2610"/>
        <w:gridCol w:w="1350"/>
        <w:gridCol w:w="1350"/>
        <w:gridCol w:w="1350"/>
        <w:gridCol w:w="1350"/>
      </w:tblGrid>
      <w:tr w:rsidR="009478ED" w:rsidRPr="007F37A0" w14:paraId="57577061" w14:textId="77777777" w:rsidTr="00735871">
        <w:trPr>
          <w:trHeight w:val="276"/>
          <w:jc w:val="center"/>
        </w:trPr>
        <w:tc>
          <w:tcPr>
            <w:tcW w:w="2610" w:type="dxa"/>
            <w:tcBorders>
              <w:top w:val="single" w:sz="4" w:space="0" w:color="000000"/>
              <w:left w:val="nil"/>
              <w:bottom w:val="nil"/>
              <w:right w:val="nil"/>
            </w:tcBorders>
            <w:shd w:val="clear" w:color="auto" w:fill="auto"/>
            <w:noWrap/>
            <w:vAlign w:val="bottom"/>
            <w:hideMark/>
          </w:tcPr>
          <w:p w14:paraId="5DAFF02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419D8CF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1350" w:type="dxa"/>
            <w:tcBorders>
              <w:top w:val="single" w:sz="4" w:space="0" w:color="000000"/>
              <w:left w:val="nil"/>
              <w:bottom w:val="nil"/>
              <w:right w:val="nil"/>
            </w:tcBorders>
            <w:shd w:val="clear" w:color="auto" w:fill="auto"/>
            <w:noWrap/>
            <w:vAlign w:val="bottom"/>
            <w:hideMark/>
          </w:tcPr>
          <w:p w14:paraId="5436D14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1350" w:type="dxa"/>
            <w:tcBorders>
              <w:top w:val="single" w:sz="4" w:space="0" w:color="000000"/>
              <w:left w:val="nil"/>
              <w:bottom w:val="nil"/>
              <w:right w:val="nil"/>
            </w:tcBorders>
            <w:vAlign w:val="bottom"/>
          </w:tcPr>
          <w:p w14:paraId="560764F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c>
          <w:tcPr>
            <w:tcW w:w="1350" w:type="dxa"/>
            <w:tcBorders>
              <w:top w:val="single" w:sz="4" w:space="0" w:color="000000"/>
              <w:left w:val="nil"/>
              <w:bottom w:val="nil"/>
              <w:right w:val="nil"/>
            </w:tcBorders>
            <w:vAlign w:val="bottom"/>
          </w:tcPr>
          <w:p w14:paraId="74B8245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w:t>
            </w:r>
          </w:p>
        </w:tc>
      </w:tr>
      <w:tr w:rsidR="009478ED" w:rsidRPr="007F37A0" w14:paraId="0F10DDF4" w14:textId="77777777" w:rsidTr="00735871">
        <w:trPr>
          <w:trHeight w:val="276"/>
          <w:jc w:val="center"/>
        </w:trPr>
        <w:tc>
          <w:tcPr>
            <w:tcW w:w="2610" w:type="dxa"/>
            <w:tcBorders>
              <w:top w:val="nil"/>
              <w:left w:val="nil"/>
              <w:bottom w:val="nil"/>
              <w:right w:val="nil"/>
            </w:tcBorders>
            <w:shd w:val="clear" w:color="auto" w:fill="auto"/>
            <w:noWrap/>
            <w:vAlign w:val="bottom"/>
            <w:hideMark/>
          </w:tcPr>
          <w:p w14:paraId="507F116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35CC7AC9"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New Technology Installation (any type)</w:t>
            </w:r>
          </w:p>
        </w:tc>
        <w:tc>
          <w:tcPr>
            <w:tcW w:w="1350" w:type="dxa"/>
            <w:tcBorders>
              <w:top w:val="nil"/>
              <w:left w:val="nil"/>
              <w:bottom w:val="nil"/>
              <w:right w:val="nil"/>
            </w:tcBorders>
            <w:shd w:val="clear" w:color="auto" w:fill="auto"/>
            <w:noWrap/>
            <w:vAlign w:val="bottom"/>
            <w:hideMark/>
          </w:tcPr>
          <w:p w14:paraId="008F31F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Baseline</w:t>
            </w:r>
          </w:p>
        </w:tc>
        <w:tc>
          <w:tcPr>
            <w:tcW w:w="1350" w:type="dxa"/>
            <w:tcBorders>
              <w:top w:val="nil"/>
              <w:left w:val="nil"/>
              <w:bottom w:val="nil"/>
              <w:right w:val="nil"/>
            </w:tcBorders>
            <w:shd w:val="clear" w:color="auto" w:fill="auto"/>
            <w:noWrap/>
            <w:vAlign w:val="bottom"/>
            <w:hideMark/>
          </w:tcPr>
          <w:p w14:paraId="107D568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Coal</w:t>
            </w:r>
          </w:p>
        </w:tc>
        <w:tc>
          <w:tcPr>
            <w:tcW w:w="1350" w:type="dxa"/>
            <w:tcBorders>
              <w:top w:val="nil"/>
              <w:left w:val="nil"/>
              <w:bottom w:val="nil"/>
              <w:right w:val="nil"/>
            </w:tcBorders>
            <w:vAlign w:val="bottom"/>
          </w:tcPr>
          <w:p w14:paraId="336D6BE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Petroleum</w:t>
            </w:r>
          </w:p>
        </w:tc>
        <w:tc>
          <w:tcPr>
            <w:tcW w:w="1350" w:type="dxa"/>
            <w:tcBorders>
              <w:top w:val="nil"/>
              <w:left w:val="nil"/>
              <w:bottom w:val="nil"/>
              <w:right w:val="nil"/>
            </w:tcBorders>
            <w:vAlign w:val="bottom"/>
          </w:tcPr>
          <w:p w14:paraId="07D19A1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Natural Gas</w:t>
            </w:r>
          </w:p>
        </w:tc>
      </w:tr>
      <w:tr w:rsidR="009478ED" w:rsidRPr="007F37A0" w14:paraId="7489C9AC" w14:textId="77777777" w:rsidTr="00735871">
        <w:trPr>
          <w:trHeight w:val="276"/>
          <w:jc w:val="center"/>
        </w:trPr>
        <w:tc>
          <w:tcPr>
            <w:tcW w:w="2610" w:type="dxa"/>
            <w:tcBorders>
              <w:top w:val="single" w:sz="4" w:space="0" w:color="000000"/>
              <w:left w:val="nil"/>
              <w:bottom w:val="nil"/>
              <w:right w:val="nil"/>
            </w:tcBorders>
            <w:shd w:val="clear" w:color="auto" w:fill="auto"/>
            <w:noWrap/>
            <w:vAlign w:val="bottom"/>
            <w:hideMark/>
          </w:tcPr>
          <w:p w14:paraId="151F8BF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7648FB9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shd w:val="clear" w:color="auto" w:fill="auto"/>
            <w:noWrap/>
            <w:vAlign w:val="bottom"/>
            <w:hideMark/>
          </w:tcPr>
          <w:p w14:paraId="68E8161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1350" w:type="dxa"/>
            <w:tcBorders>
              <w:top w:val="single" w:sz="4" w:space="0" w:color="000000"/>
              <w:left w:val="nil"/>
              <w:bottom w:val="nil"/>
              <w:right w:val="nil"/>
            </w:tcBorders>
          </w:tcPr>
          <w:p w14:paraId="2AA59215" w14:textId="77777777" w:rsidR="009478ED" w:rsidRPr="007F37A0" w:rsidRDefault="009478ED" w:rsidP="00735871">
            <w:pPr>
              <w:jc w:val="center"/>
              <w:rPr>
                <w:rFonts w:ascii="Times New Roman" w:hAnsi="Times New Roman" w:cs="Times New Roman"/>
              </w:rPr>
            </w:pPr>
          </w:p>
        </w:tc>
        <w:tc>
          <w:tcPr>
            <w:tcW w:w="1350" w:type="dxa"/>
            <w:tcBorders>
              <w:top w:val="single" w:sz="4" w:space="0" w:color="000000"/>
              <w:left w:val="nil"/>
              <w:bottom w:val="nil"/>
              <w:right w:val="nil"/>
            </w:tcBorders>
          </w:tcPr>
          <w:p w14:paraId="2CE1FBE8" w14:textId="77777777" w:rsidR="009478ED" w:rsidRPr="007F37A0" w:rsidRDefault="009478ED" w:rsidP="00735871">
            <w:pPr>
              <w:jc w:val="center"/>
              <w:rPr>
                <w:rFonts w:ascii="Times New Roman" w:hAnsi="Times New Roman" w:cs="Times New Roman"/>
              </w:rPr>
            </w:pPr>
          </w:p>
        </w:tc>
      </w:tr>
      <w:tr w:rsidR="009478ED" w:rsidRPr="007F37A0" w14:paraId="2B51B92B" w14:textId="77777777" w:rsidTr="00735871">
        <w:trPr>
          <w:trHeight w:val="276"/>
          <w:jc w:val="center"/>
        </w:trPr>
        <w:tc>
          <w:tcPr>
            <w:tcW w:w="2610" w:type="dxa"/>
            <w:tcBorders>
              <w:top w:val="nil"/>
              <w:left w:val="nil"/>
              <w:bottom w:val="nil"/>
              <w:right w:val="nil"/>
            </w:tcBorders>
            <w:shd w:val="clear" w:color="auto" w:fill="auto"/>
            <w:noWrap/>
            <w:vAlign w:val="bottom"/>
            <w:hideMark/>
          </w:tcPr>
          <w:p w14:paraId="650AB5E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Treatment</w:t>
            </w:r>
          </w:p>
        </w:tc>
        <w:tc>
          <w:tcPr>
            <w:tcW w:w="1350" w:type="dxa"/>
            <w:tcBorders>
              <w:top w:val="nil"/>
              <w:left w:val="nil"/>
              <w:bottom w:val="nil"/>
              <w:right w:val="nil"/>
            </w:tcBorders>
            <w:shd w:val="clear" w:color="auto" w:fill="auto"/>
            <w:noWrap/>
            <w:vAlign w:val="bottom"/>
            <w:hideMark/>
          </w:tcPr>
          <w:p w14:paraId="66F0763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350" w:type="dxa"/>
            <w:tcBorders>
              <w:top w:val="nil"/>
              <w:left w:val="nil"/>
              <w:bottom w:val="nil"/>
              <w:right w:val="nil"/>
            </w:tcBorders>
            <w:shd w:val="clear" w:color="auto" w:fill="auto"/>
            <w:noWrap/>
            <w:vAlign w:val="bottom"/>
            <w:hideMark/>
          </w:tcPr>
          <w:p w14:paraId="31F50BE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50" w:type="dxa"/>
            <w:tcBorders>
              <w:top w:val="nil"/>
              <w:left w:val="nil"/>
              <w:bottom w:val="nil"/>
              <w:right w:val="nil"/>
            </w:tcBorders>
            <w:vAlign w:val="bottom"/>
          </w:tcPr>
          <w:p w14:paraId="20D58B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50" w:type="dxa"/>
            <w:tcBorders>
              <w:top w:val="nil"/>
              <w:left w:val="nil"/>
              <w:bottom w:val="nil"/>
              <w:right w:val="nil"/>
            </w:tcBorders>
            <w:vAlign w:val="bottom"/>
          </w:tcPr>
          <w:p w14:paraId="3B43990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6E3D74AA" w14:textId="77777777" w:rsidTr="00735871">
        <w:trPr>
          <w:trHeight w:val="276"/>
          <w:jc w:val="center"/>
        </w:trPr>
        <w:tc>
          <w:tcPr>
            <w:tcW w:w="2610" w:type="dxa"/>
            <w:tcBorders>
              <w:top w:val="nil"/>
              <w:left w:val="nil"/>
              <w:bottom w:val="nil"/>
              <w:right w:val="nil"/>
            </w:tcBorders>
            <w:shd w:val="clear" w:color="auto" w:fill="auto"/>
            <w:noWrap/>
            <w:vAlign w:val="bottom"/>
            <w:hideMark/>
          </w:tcPr>
          <w:p w14:paraId="79397F7C"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2DDCA23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1350" w:type="dxa"/>
            <w:tcBorders>
              <w:top w:val="nil"/>
              <w:left w:val="nil"/>
              <w:bottom w:val="nil"/>
              <w:right w:val="nil"/>
            </w:tcBorders>
            <w:shd w:val="clear" w:color="auto" w:fill="auto"/>
            <w:noWrap/>
            <w:vAlign w:val="bottom"/>
            <w:hideMark/>
          </w:tcPr>
          <w:p w14:paraId="0448270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50" w:type="dxa"/>
            <w:tcBorders>
              <w:top w:val="nil"/>
              <w:left w:val="nil"/>
              <w:bottom w:val="nil"/>
              <w:right w:val="nil"/>
            </w:tcBorders>
            <w:vAlign w:val="bottom"/>
          </w:tcPr>
          <w:p w14:paraId="5F0DBB2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1350" w:type="dxa"/>
            <w:tcBorders>
              <w:top w:val="nil"/>
              <w:left w:val="nil"/>
              <w:bottom w:val="nil"/>
              <w:right w:val="nil"/>
            </w:tcBorders>
            <w:vAlign w:val="bottom"/>
          </w:tcPr>
          <w:p w14:paraId="2CD1232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7A94091F" w14:textId="77777777" w:rsidTr="00735871">
        <w:trPr>
          <w:trHeight w:val="276"/>
          <w:jc w:val="center"/>
        </w:trPr>
        <w:tc>
          <w:tcPr>
            <w:tcW w:w="2610" w:type="dxa"/>
            <w:tcBorders>
              <w:top w:val="nil"/>
              <w:left w:val="nil"/>
              <w:bottom w:val="nil"/>
              <w:right w:val="nil"/>
            </w:tcBorders>
            <w:shd w:val="clear" w:color="auto" w:fill="auto"/>
            <w:noWrap/>
            <w:vAlign w:val="bottom"/>
            <w:hideMark/>
          </w:tcPr>
          <w:p w14:paraId="46B18921"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23E69C12" w14:textId="77777777" w:rsidR="009478ED" w:rsidRPr="007F37A0" w:rsidRDefault="009478ED" w:rsidP="00735871">
            <w:pPr>
              <w:rPr>
                <w:rFonts w:ascii="Times New Roman" w:hAnsi="Times New Roman" w:cs="Times New Roman"/>
              </w:rPr>
            </w:pPr>
          </w:p>
        </w:tc>
        <w:tc>
          <w:tcPr>
            <w:tcW w:w="1350" w:type="dxa"/>
            <w:tcBorders>
              <w:top w:val="nil"/>
              <w:left w:val="nil"/>
              <w:bottom w:val="nil"/>
              <w:right w:val="nil"/>
            </w:tcBorders>
            <w:shd w:val="clear" w:color="auto" w:fill="auto"/>
            <w:noWrap/>
            <w:vAlign w:val="bottom"/>
            <w:hideMark/>
          </w:tcPr>
          <w:p w14:paraId="60FE1349"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tcPr>
          <w:p w14:paraId="0E36D2EE" w14:textId="77777777" w:rsidR="009478ED" w:rsidRPr="007F37A0" w:rsidRDefault="009478ED" w:rsidP="00735871">
            <w:pPr>
              <w:jc w:val="center"/>
              <w:rPr>
                <w:rFonts w:ascii="Times New Roman" w:hAnsi="Times New Roman" w:cs="Times New Roman"/>
              </w:rPr>
            </w:pPr>
          </w:p>
        </w:tc>
        <w:tc>
          <w:tcPr>
            <w:tcW w:w="1350" w:type="dxa"/>
            <w:tcBorders>
              <w:top w:val="nil"/>
              <w:left w:val="nil"/>
              <w:bottom w:val="nil"/>
              <w:right w:val="nil"/>
            </w:tcBorders>
          </w:tcPr>
          <w:p w14:paraId="6846AE27" w14:textId="77777777" w:rsidR="009478ED" w:rsidRPr="007F37A0" w:rsidRDefault="009478ED" w:rsidP="00735871">
            <w:pPr>
              <w:jc w:val="center"/>
              <w:rPr>
                <w:rFonts w:ascii="Times New Roman" w:hAnsi="Times New Roman" w:cs="Times New Roman"/>
              </w:rPr>
            </w:pPr>
          </w:p>
        </w:tc>
      </w:tr>
      <w:tr w:rsidR="009478ED" w:rsidRPr="007F37A0" w14:paraId="73A414B5" w14:textId="77777777" w:rsidTr="00735871">
        <w:trPr>
          <w:trHeight w:val="276"/>
          <w:jc w:val="center"/>
        </w:trPr>
        <w:tc>
          <w:tcPr>
            <w:tcW w:w="2610" w:type="dxa"/>
            <w:tcBorders>
              <w:top w:val="nil"/>
              <w:left w:val="nil"/>
              <w:bottom w:val="nil"/>
              <w:right w:val="nil"/>
            </w:tcBorders>
            <w:shd w:val="clear" w:color="auto" w:fill="auto"/>
            <w:noWrap/>
            <w:vAlign w:val="bottom"/>
            <w:hideMark/>
          </w:tcPr>
          <w:p w14:paraId="1C2EED3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350" w:type="dxa"/>
            <w:tcBorders>
              <w:top w:val="nil"/>
              <w:left w:val="nil"/>
              <w:bottom w:val="nil"/>
              <w:right w:val="nil"/>
            </w:tcBorders>
            <w:shd w:val="clear" w:color="auto" w:fill="auto"/>
            <w:noWrap/>
            <w:vAlign w:val="bottom"/>
            <w:hideMark/>
          </w:tcPr>
          <w:p w14:paraId="4F50041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35,258</w:t>
            </w:r>
          </w:p>
        </w:tc>
        <w:tc>
          <w:tcPr>
            <w:tcW w:w="1350" w:type="dxa"/>
            <w:tcBorders>
              <w:top w:val="nil"/>
              <w:left w:val="nil"/>
              <w:bottom w:val="nil"/>
              <w:right w:val="nil"/>
            </w:tcBorders>
            <w:shd w:val="clear" w:color="auto" w:fill="auto"/>
            <w:noWrap/>
            <w:vAlign w:val="bottom"/>
            <w:hideMark/>
          </w:tcPr>
          <w:p w14:paraId="4BBACD4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9,092</w:t>
            </w:r>
          </w:p>
        </w:tc>
        <w:tc>
          <w:tcPr>
            <w:tcW w:w="1350" w:type="dxa"/>
            <w:tcBorders>
              <w:top w:val="nil"/>
              <w:left w:val="nil"/>
              <w:bottom w:val="nil"/>
              <w:right w:val="nil"/>
            </w:tcBorders>
            <w:vAlign w:val="bottom"/>
          </w:tcPr>
          <w:p w14:paraId="58615F6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3,094</w:t>
            </w:r>
          </w:p>
        </w:tc>
        <w:tc>
          <w:tcPr>
            <w:tcW w:w="1350" w:type="dxa"/>
            <w:tcBorders>
              <w:top w:val="nil"/>
              <w:left w:val="nil"/>
              <w:bottom w:val="nil"/>
              <w:right w:val="nil"/>
            </w:tcBorders>
            <w:vAlign w:val="bottom"/>
          </w:tcPr>
          <w:p w14:paraId="2A96BB8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9,229</w:t>
            </w:r>
          </w:p>
        </w:tc>
      </w:tr>
      <w:tr w:rsidR="009478ED" w:rsidRPr="007F37A0" w14:paraId="0C541B3C" w14:textId="77777777" w:rsidTr="00735871">
        <w:trPr>
          <w:trHeight w:val="276"/>
          <w:jc w:val="center"/>
        </w:trPr>
        <w:tc>
          <w:tcPr>
            <w:tcW w:w="2610" w:type="dxa"/>
            <w:tcBorders>
              <w:top w:val="nil"/>
              <w:left w:val="nil"/>
              <w:bottom w:val="nil"/>
              <w:right w:val="nil"/>
            </w:tcBorders>
            <w:shd w:val="clear" w:color="auto" w:fill="auto"/>
            <w:noWrap/>
            <w:vAlign w:val="bottom"/>
            <w:hideMark/>
          </w:tcPr>
          <w:p w14:paraId="78BB639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350" w:type="dxa"/>
            <w:tcBorders>
              <w:top w:val="nil"/>
              <w:left w:val="nil"/>
              <w:bottom w:val="nil"/>
              <w:right w:val="nil"/>
            </w:tcBorders>
            <w:shd w:val="clear" w:color="auto" w:fill="auto"/>
            <w:noWrap/>
            <w:vAlign w:val="bottom"/>
            <w:hideMark/>
          </w:tcPr>
          <w:p w14:paraId="47E8207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2F32979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42EEBA0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5B63522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6504CCBC" w14:textId="77777777" w:rsidTr="00735871">
        <w:trPr>
          <w:trHeight w:val="276"/>
          <w:jc w:val="center"/>
        </w:trPr>
        <w:tc>
          <w:tcPr>
            <w:tcW w:w="2610" w:type="dxa"/>
            <w:tcBorders>
              <w:top w:val="nil"/>
              <w:left w:val="nil"/>
              <w:bottom w:val="nil"/>
              <w:right w:val="nil"/>
            </w:tcBorders>
            <w:shd w:val="clear" w:color="auto" w:fill="auto"/>
            <w:noWrap/>
            <w:vAlign w:val="bottom"/>
            <w:hideMark/>
          </w:tcPr>
          <w:p w14:paraId="11A5779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Technology Controls</w:t>
            </w:r>
          </w:p>
        </w:tc>
        <w:tc>
          <w:tcPr>
            <w:tcW w:w="1350" w:type="dxa"/>
            <w:tcBorders>
              <w:top w:val="nil"/>
              <w:left w:val="nil"/>
              <w:bottom w:val="nil"/>
              <w:right w:val="nil"/>
            </w:tcBorders>
            <w:shd w:val="clear" w:color="auto" w:fill="auto"/>
            <w:noWrap/>
            <w:vAlign w:val="bottom"/>
            <w:hideMark/>
          </w:tcPr>
          <w:p w14:paraId="13E95E1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shd w:val="clear" w:color="auto" w:fill="auto"/>
            <w:noWrap/>
            <w:vAlign w:val="bottom"/>
            <w:hideMark/>
          </w:tcPr>
          <w:p w14:paraId="7ACBF68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7DBD157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nil"/>
              <w:right w:val="nil"/>
            </w:tcBorders>
            <w:vAlign w:val="bottom"/>
          </w:tcPr>
          <w:p w14:paraId="59EC9B0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784216D1" w14:textId="77777777" w:rsidTr="00735871">
        <w:trPr>
          <w:trHeight w:val="276"/>
          <w:jc w:val="center"/>
        </w:trPr>
        <w:tc>
          <w:tcPr>
            <w:tcW w:w="2610" w:type="dxa"/>
            <w:tcBorders>
              <w:top w:val="nil"/>
              <w:left w:val="nil"/>
              <w:bottom w:val="single" w:sz="4" w:space="0" w:color="000000"/>
              <w:right w:val="nil"/>
            </w:tcBorders>
            <w:shd w:val="clear" w:color="auto" w:fill="auto"/>
            <w:noWrap/>
            <w:vAlign w:val="bottom"/>
            <w:hideMark/>
          </w:tcPr>
          <w:p w14:paraId="042F3D0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350" w:type="dxa"/>
            <w:tcBorders>
              <w:top w:val="nil"/>
              <w:left w:val="nil"/>
              <w:bottom w:val="single" w:sz="4" w:space="0" w:color="000000"/>
              <w:right w:val="nil"/>
            </w:tcBorders>
            <w:shd w:val="clear" w:color="auto" w:fill="auto"/>
            <w:noWrap/>
            <w:vAlign w:val="bottom"/>
            <w:hideMark/>
          </w:tcPr>
          <w:p w14:paraId="23455BF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shd w:val="clear" w:color="auto" w:fill="auto"/>
            <w:noWrap/>
            <w:vAlign w:val="bottom"/>
            <w:hideMark/>
          </w:tcPr>
          <w:p w14:paraId="36E5B01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vAlign w:val="bottom"/>
          </w:tcPr>
          <w:p w14:paraId="24A1B71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1350" w:type="dxa"/>
            <w:tcBorders>
              <w:top w:val="nil"/>
              <w:left w:val="nil"/>
              <w:bottom w:val="single" w:sz="4" w:space="0" w:color="000000"/>
              <w:right w:val="nil"/>
            </w:tcBorders>
            <w:vAlign w:val="bottom"/>
          </w:tcPr>
          <w:p w14:paraId="6AF947B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8374F9F" w14:textId="77777777" w:rsidTr="00735871">
        <w:trPr>
          <w:trHeight w:val="276"/>
          <w:jc w:val="center"/>
        </w:trPr>
        <w:tc>
          <w:tcPr>
            <w:tcW w:w="8010" w:type="dxa"/>
            <w:gridSpan w:val="5"/>
            <w:tcBorders>
              <w:top w:val="nil"/>
              <w:left w:val="nil"/>
              <w:bottom w:val="nil"/>
              <w:right w:val="nil"/>
            </w:tcBorders>
            <w:shd w:val="clear" w:color="auto" w:fill="auto"/>
            <w:noWrap/>
            <w:vAlign w:val="bottom"/>
            <w:hideMark/>
          </w:tcPr>
          <w:p w14:paraId="1A72453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p w14:paraId="2CD5269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Efficiency 100% load, efficiency 50% load, NERC regions, and CAA attainment status control variables were dropped for convergence.</w:t>
            </w:r>
          </w:p>
        </w:tc>
      </w:tr>
      <w:tr w:rsidR="009478ED" w:rsidRPr="007F37A0" w14:paraId="1E167CF9" w14:textId="77777777" w:rsidTr="00735871">
        <w:trPr>
          <w:trHeight w:val="276"/>
          <w:jc w:val="center"/>
        </w:trPr>
        <w:tc>
          <w:tcPr>
            <w:tcW w:w="8010" w:type="dxa"/>
            <w:gridSpan w:val="5"/>
            <w:tcBorders>
              <w:top w:val="nil"/>
              <w:left w:val="nil"/>
              <w:bottom w:val="nil"/>
              <w:right w:val="nil"/>
            </w:tcBorders>
            <w:shd w:val="clear" w:color="auto" w:fill="auto"/>
            <w:noWrap/>
            <w:vAlign w:val="bottom"/>
            <w:hideMark/>
          </w:tcPr>
          <w:p w14:paraId="4CF6408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an indicator for new technology installation for any technology type at the annual level for 2009-2022. NO</w:t>
            </w:r>
            <w:r w:rsidRPr="007F37A0">
              <w:rPr>
                <w:rFonts w:ascii="Times New Roman" w:hAnsi="Times New Roman" w:cs="Times New Roman"/>
                <w:vertAlign w:val="subscript"/>
              </w:rPr>
              <w:t>x</w:t>
            </w:r>
            <w:r w:rsidRPr="007F37A0">
              <w:rPr>
                <w:rFonts w:ascii="Times New Roman" w:hAnsi="Times New Roman" w:cs="Times New Roman"/>
              </w:rPr>
              <w:t xml:space="preserve"> treatment is an indicator variable for treatment under either CAIR or CSAPR for NO</w:t>
            </w:r>
            <w:r w:rsidRPr="007F37A0">
              <w:rPr>
                <w:rFonts w:ascii="Times New Roman" w:hAnsi="Times New Roman" w:cs="Times New Roman"/>
                <w:vertAlign w:val="subscript"/>
              </w:rPr>
              <w:t>x</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turndown ratio, waste heat input, NERC region, CAA attainment status. Technology controls refers to wet, dry, particulate, selective noncatalytic reduction, selective catalytic reduction, and other technology indicators previously described. Fuel controls include indicators for each fuel type listed by the EIA.</w:t>
            </w:r>
          </w:p>
        </w:tc>
      </w:tr>
    </w:tbl>
    <w:p w14:paraId="5FC50E95"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25CD57D3" w14:textId="77777777" w:rsidR="009478ED" w:rsidRPr="007F37A0" w:rsidRDefault="009478ED" w:rsidP="009478ED">
      <w:pPr>
        <w:rPr>
          <w:rFonts w:ascii="Times New Roman" w:hAnsi="Times New Roman" w:cs="Times New Roman"/>
          <w:b/>
          <w:bCs/>
        </w:rPr>
      </w:pPr>
    </w:p>
    <w:p w14:paraId="51AF107E" w14:textId="16556BFA" w:rsidR="009478ED" w:rsidRPr="007F37A0" w:rsidRDefault="009478ED" w:rsidP="009478ED">
      <w:pPr>
        <w:rPr>
          <w:rFonts w:ascii="Times New Roman" w:hAnsi="Times New Roman" w:cs="Times New Roman"/>
        </w:rPr>
      </w:pPr>
      <w:bookmarkStart w:id="207" w:name="_Ref160878927"/>
      <w:bookmarkStart w:id="208" w:name="_Toc160879156"/>
      <w:bookmarkStart w:id="209" w:name="_Toc164862577"/>
      <w:r w:rsidRPr="007F37A0">
        <w:rPr>
          <w:rFonts w:ascii="Times New Roman" w:hAnsi="Times New Roman" w:cs="Times New Roman"/>
        </w:rPr>
        <w:t xml:space="preserve">Table </w:t>
      </w:r>
      <w:r w:rsidRPr="007F37A0">
        <w:rPr>
          <w:rFonts w:ascii="Times New Roman" w:hAnsi="Times New Roman" w:cs="Times New Roman"/>
        </w:rPr>
        <w:fldChar w:fldCharType="begin"/>
      </w:r>
      <w:r w:rsidRPr="007F37A0">
        <w:rPr>
          <w:rFonts w:ascii="Times New Roman" w:hAnsi="Times New Roman" w:cs="Times New Roman"/>
        </w:rPr>
        <w:instrText xml:space="preserve"> SEQ Table \* ARABIC </w:instrText>
      </w:r>
      <w:r w:rsidRPr="007F37A0">
        <w:rPr>
          <w:rFonts w:ascii="Times New Roman" w:hAnsi="Times New Roman" w:cs="Times New Roman"/>
        </w:rPr>
        <w:fldChar w:fldCharType="separate"/>
      </w:r>
      <w:r w:rsidR="00142A7E">
        <w:rPr>
          <w:rFonts w:ascii="Times New Roman" w:hAnsi="Times New Roman" w:cs="Times New Roman"/>
          <w:noProof/>
        </w:rPr>
        <w:t>42</w:t>
      </w:r>
      <w:r w:rsidRPr="007F37A0">
        <w:rPr>
          <w:rFonts w:ascii="Times New Roman" w:hAnsi="Times New Roman" w:cs="Times New Roman"/>
        </w:rPr>
        <w:fldChar w:fldCharType="end"/>
      </w:r>
      <w:bookmarkEnd w:id="207"/>
      <w:r w:rsidRPr="007F37A0">
        <w:rPr>
          <w:rFonts w:ascii="Times New Roman" w:hAnsi="Times New Roman" w:cs="Times New Roman"/>
        </w:rPr>
        <w:t>: Fuel Switching by Regulation - CAIR and CSAPR</w:t>
      </w:r>
      <w:bookmarkEnd w:id="208"/>
      <w:bookmarkEnd w:id="209"/>
    </w:p>
    <w:tbl>
      <w:tblPr>
        <w:tblW w:w="7920" w:type="dxa"/>
        <w:jc w:val="center"/>
        <w:tblLook w:val="04A0" w:firstRow="1" w:lastRow="0" w:firstColumn="1" w:lastColumn="0" w:noHBand="0" w:noVBand="1"/>
      </w:tblPr>
      <w:tblGrid>
        <w:gridCol w:w="3621"/>
        <w:gridCol w:w="1790"/>
        <w:gridCol w:w="2509"/>
      </w:tblGrid>
      <w:tr w:rsidR="009478ED" w:rsidRPr="007F37A0" w14:paraId="36B943CE" w14:textId="77777777" w:rsidTr="00735871">
        <w:trPr>
          <w:trHeight w:val="276"/>
          <w:jc w:val="center"/>
        </w:trPr>
        <w:tc>
          <w:tcPr>
            <w:tcW w:w="3621" w:type="dxa"/>
            <w:tcBorders>
              <w:top w:val="single" w:sz="4" w:space="0" w:color="000000"/>
              <w:left w:val="nil"/>
              <w:bottom w:val="nil"/>
              <w:right w:val="nil"/>
            </w:tcBorders>
            <w:shd w:val="clear" w:color="auto" w:fill="auto"/>
            <w:noWrap/>
            <w:vAlign w:val="bottom"/>
            <w:hideMark/>
          </w:tcPr>
          <w:p w14:paraId="44189F9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790" w:type="dxa"/>
            <w:tcBorders>
              <w:top w:val="single" w:sz="4" w:space="0" w:color="000000"/>
              <w:left w:val="nil"/>
              <w:bottom w:val="nil"/>
              <w:right w:val="nil"/>
            </w:tcBorders>
            <w:shd w:val="clear" w:color="auto" w:fill="auto"/>
            <w:noWrap/>
            <w:vAlign w:val="bottom"/>
            <w:hideMark/>
          </w:tcPr>
          <w:p w14:paraId="7FB0552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509" w:type="dxa"/>
            <w:tcBorders>
              <w:top w:val="single" w:sz="4" w:space="0" w:color="000000"/>
              <w:left w:val="nil"/>
              <w:bottom w:val="nil"/>
              <w:right w:val="nil"/>
            </w:tcBorders>
            <w:shd w:val="clear" w:color="auto" w:fill="auto"/>
            <w:noWrap/>
            <w:vAlign w:val="bottom"/>
            <w:hideMark/>
          </w:tcPr>
          <w:p w14:paraId="2AC084F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r>
      <w:tr w:rsidR="009478ED" w:rsidRPr="007F37A0" w14:paraId="5B062012"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7C6B146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32FA496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Switch Fuel Types</w:t>
            </w:r>
          </w:p>
        </w:tc>
        <w:tc>
          <w:tcPr>
            <w:tcW w:w="1790" w:type="dxa"/>
            <w:tcBorders>
              <w:top w:val="nil"/>
              <w:left w:val="nil"/>
              <w:bottom w:val="nil"/>
              <w:right w:val="nil"/>
            </w:tcBorders>
            <w:shd w:val="clear" w:color="auto" w:fill="auto"/>
            <w:noWrap/>
            <w:vAlign w:val="bottom"/>
            <w:hideMark/>
          </w:tcPr>
          <w:p w14:paraId="46DDA3E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Treatment</w:t>
            </w:r>
          </w:p>
        </w:tc>
        <w:tc>
          <w:tcPr>
            <w:tcW w:w="2509" w:type="dxa"/>
            <w:tcBorders>
              <w:top w:val="nil"/>
              <w:left w:val="nil"/>
              <w:bottom w:val="nil"/>
              <w:right w:val="nil"/>
            </w:tcBorders>
            <w:shd w:val="clear" w:color="auto" w:fill="auto"/>
            <w:noWrap/>
            <w:vAlign w:val="bottom"/>
            <w:hideMark/>
          </w:tcPr>
          <w:p w14:paraId="3FE54EA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Treatment</w:t>
            </w:r>
          </w:p>
        </w:tc>
      </w:tr>
      <w:tr w:rsidR="009478ED" w:rsidRPr="007F37A0" w14:paraId="62AFE5A4" w14:textId="77777777" w:rsidTr="00735871">
        <w:trPr>
          <w:trHeight w:val="276"/>
          <w:jc w:val="center"/>
        </w:trPr>
        <w:tc>
          <w:tcPr>
            <w:tcW w:w="3621" w:type="dxa"/>
            <w:tcBorders>
              <w:top w:val="single" w:sz="4" w:space="0" w:color="000000"/>
              <w:left w:val="nil"/>
              <w:bottom w:val="nil"/>
              <w:right w:val="nil"/>
            </w:tcBorders>
            <w:shd w:val="clear" w:color="auto" w:fill="auto"/>
            <w:noWrap/>
            <w:vAlign w:val="bottom"/>
            <w:hideMark/>
          </w:tcPr>
          <w:p w14:paraId="15094B7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790" w:type="dxa"/>
            <w:tcBorders>
              <w:top w:val="single" w:sz="4" w:space="0" w:color="000000"/>
              <w:left w:val="nil"/>
              <w:bottom w:val="nil"/>
              <w:right w:val="nil"/>
            </w:tcBorders>
            <w:shd w:val="clear" w:color="auto" w:fill="auto"/>
            <w:noWrap/>
            <w:vAlign w:val="bottom"/>
            <w:hideMark/>
          </w:tcPr>
          <w:p w14:paraId="20A1413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509" w:type="dxa"/>
            <w:tcBorders>
              <w:top w:val="single" w:sz="4" w:space="0" w:color="000000"/>
              <w:left w:val="nil"/>
              <w:bottom w:val="nil"/>
              <w:right w:val="nil"/>
            </w:tcBorders>
            <w:shd w:val="clear" w:color="auto" w:fill="auto"/>
            <w:noWrap/>
            <w:vAlign w:val="bottom"/>
            <w:hideMark/>
          </w:tcPr>
          <w:p w14:paraId="6550AAA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504C1373"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1109B30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CAIR Treatment</w:t>
            </w:r>
          </w:p>
        </w:tc>
        <w:tc>
          <w:tcPr>
            <w:tcW w:w="1790" w:type="dxa"/>
            <w:tcBorders>
              <w:top w:val="nil"/>
              <w:left w:val="nil"/>
              <w:bottom w:val="nil"/>
              <w:right w:val="nil"/>
            </w:tcBorders>
            <w:shd w:val="clear" w:color="auto" w:fill="auto"/>
            <w:noWrap/>
            <w:vAlign w:val="bottom"/>
            <w:hideMark/>
          </w:tcPr>
          <w:p w14:paraId="3C25BCF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0.008</w:t>
            </w:r>
          </w:p>
        </w:tc>
        <w:tc>
          <w:tcPr>
            <w:tcW w:w="2509" w:type="dxa"/>
            <w:tcBorders>
              <w:top w:val="nil"/>
              <w:left w:val="nil"/>
              <w:bottom w:val="nil"/>
              <w:right w:val="nil"/>
            </w:tcBorders>
            <w:shd w:val="clear" w:color="auto" w:fill="auto"/>
            <w:noWrap/>
            <w:vAlign w:val="bottom"/>
            <w:hideMark/>
          </w:tcPr>
          <w:p w14:paraId="0ECFADD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0.028***</w:t>
            </w:r>
          </w:p>
        </w:tc>
      </w:tr>
      <w:tr w:rsidR="009478ED" w:rsidRPr="007F37A0" w14:paraId="31F3F30A"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11930B88" w14:textId="77777777" w:rsidR="009478ED" w:rsidRPr="007F37A0" w:rsidRDefault="009478ED" w:rsidP="00735871">
            <w:pPr>
              <w:jc w:val="center"/>
              <w:rPr>
                <w:rFonts w:ascii="Times New Roman" w:hAnsi="Times New Roman" w:cs="Times New Roman"/>
              </w:rPr>
            </w:pPr>
          </w:p>
        </w:tc>
        <w:tc>
          <w:tcPr>
            <w:tcW w:w="1790" w:type="dxa"/>
            <w:tcBorders>
              <w:top w:val="nil"/>
              <w:left w:val="nil"/>
              <w:bottom w:val="nil"/>
              <w:right w:val="nil"/>
            </w:tcBorders>
            <w:shd w:val="clear" w:color="auto" w:fill="auto"/>
            <w:noWrap/>
            <w:vAlign w:val="bottom"/>
            <w:hideMark/>
          </w:tcPr>
          <w:p w14:paraId="512E115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c>
          <w:tcPr>
            <w:tcW w:w="2509" w:type="dxa"/>
            <w:tcBorders>
              <w:top w:val="nil"/>
              <w:left w:val="nil"/>
              <w:bottom w:val="nil"/>
              <w:right w:val="nil"/>
            </w:tcBorders>
            <w:shd w:val="clear" w:color="auto" w:fill="auto"/>
            <w:noWrap/>
            <w:vAlign w:val="bottom"/>
            <w:hideMark/>
          </w:tcPr>
          <w:p w14:paraId="6F5BDB2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(0.010)</w:t>
            </w:r>
          </w:p>
        </w:tc>
      </w:tr>
      <w:tr w:rsidR="009478ED" w:rsidRPr="007F37A0" w14:paraId="20752403"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76BF883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CSAPR Treatment</w:t>
            </w:r>
          </w:p>
        </w:tc>
        <w:tc>
          <w:tcPr>
            <w:tcW w:w="1790" w:type="dxa"/>
            <w:tcBorders>
              <w:top w:val="nil"/>
              <w:left w:val="nil"/>
              <w:bottom w:val="nil"/>
              <w:right w:val="nil"/>
            </w:tcBorders>
            <w:shd w:val="clear" w:color="auto" w:fill="auto"/>
            <w:noWrap/>
            <w:vAlign w:val="bottom"/>
            <w:hideMark/>
          </w:tcPr>
          <w:p w14:paraId="2CD8BD8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2509" w:type="dxa"/>
            <w:tcBorders>
              <w:top w:val="nil"/>
              <w:left w:val="nil"/>
              <w:bottom w:val="nil"/>
              <w:right w:val="nil"/>
            </w:tcBorders>
            <w:shd w:val="clear" w:color="auto" w:fill="auto"/>
            <w:noWrap/>
            <w:vAlign w:val="bottom"/>
            <w:hideMark/>
          </w:tcPr>
          <w:p w14:paraId="11EBDC7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68A3590F"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48F340B6" w14:textId="77777777" w:rsidR="009478ED" w:rsidRPr="007F37A0" w:rsidRDefault="009478ED" w:rsidP="00735871">
            <w:pPr>
              <w:jc w:val="center"/>
              <w:rPr>
                <w:rFonts w:ascii="Times New Roman" w:hAnsi="Times New Roman" w:cs="Times New Roman"/>
              </w:rPr>
            </w:pPr>
          </w:p>
        </w:tc>
        <w:tc>
          <w:tcPr>
            <w:tcW w:w="1790" w:type="dxa"/>
            <w:tcBorders>
              <w:top w:val="nil"/>
              <w:left w:val="nil"/>
              <w:bottom w:val="nil"/>
              <w:right w:val="nil"/>
            </w:tcBorders>
            <w:shd w:val="clear" w:color="auto" w:fill="auto"/>
            <w:noWrap/>
            <w:vAlign w:val="bottom"/>
            <w:hideMark/>
          </w:tcPr>
          <w:p w14:paraId="370653B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(0.011)</w:t>
            </w:r>
          </w:p>
        </w:tc>
        <w:tc>
          <w:tcPr>
            <w:tcW w:w="2509" w:type="dxa"/>
            <w:tcBorders>
              <w:top w:val="nil"/>
              <w:left w:val="nil"/>
              <w:bottom w:val="nil"/>
              <w:right w:val="nil"/>
            </w:tcBorders>
            <w:shd w:val="clear" w:color="auto" w:fill="auto"/>
            <w:noWrap/>
            <w:vAlign w:val="bottom"/>
            <w:hideMark/>
          </w:tcPr>
          <w:p w14:paraId="08C780C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(0.009)</w:t>
            </w:r>
          </w:p>
        </w:tc>
      </w:tr>
      <w:tr w:rsidR="009478ED" w:rsidRPr="007F37A0" w14:paraId="717C1DFE"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5D9C725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CAIR and CSAPR Treatment</w:t>
            </w:r>
          </w:p>
        </w:tc>
        <w:tc>
          <w:tcPr>
            <w:tcW w:w="1790" w:type="dxa"/>
            <w:tcBorders>
              <w:top w:val="nil"/>
              <w:left w:val="nil"/>
              <w:bottom w:val="nil"/>
              <w:right w:val="nil"/>
            </w:tcBorders>
            <w:shd w:val="clear" w:color="auto" w:fill="auto"/>
            <w:noWrap/>
            <w:vAlign w:val="bottom"/>
            <w:hideMark/>
          </w:tcPr>
          <w:p w14:paraId="55DB179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2509" w:type="dxa"/>
            <w:tcBorders>
              <w:top w:val="nil"/>
              <w:left w:val="nil"/>
              <w:bottom w:val="nil"/>
              <w:right w:val="nil"/>
            </w:tcBorders>
            <w:shd w:val="clear" w:color="auto" w:fill="auto"/>
            <w:noWrap/>
            <w:vAlign w:val="bottom"/>
            <w:hideMark/>
          </w:tcPr>
          <w:p w14:paraId="51241D1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0.013***</w:t>
            </w:r>
          </w:p>
        </w:tc>
      </w:tr>
      <w:tr w:rsidR="009478ED" w:rsidRPr="007F37A0" w14:paraId="1062F338"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41978D0A" w14:textId="77777777" w:rsidR="009478ED" w:rsidRPr="007F37A0" w:rsidRDefault="009478ED" w:rsidP="00735871">
            <w:pPr>
              <w:jc w:val="center"/>
              <w:rPr>
                <w:rFonts w:ascii="Times New Roman" w:hAnsi="Times New Roman" w:cs="Times New Roman"/>
              </w:rPr>
            </w:pPr>
          </w:p>
        </w:tc>
        <w:tc>
          <w:tcPr>
            <w:tcW w:w="1790" w:type="dxa"/>
            <w:tcBorders>
              <w:top w:val="nil"/>
              <w:left w:val="nil"/>
              <w:bottom w:val="nil"/>
              <w:right w:val="nil"/>
            </w:tcBorders>
            <w:shd w:val="clear" w:color="auto" w:fill="auto"/>
            <w:noWrap/>
            <w:vAlign w:val="bottom"/>
            <w:hideMark/>
          </w:tcPr>
          <w:p w14:paraId="6E0A848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c>
          <w:tcPr>
            <w:tcW w:w="2509" w:type="dxa"/>
            <w:tcBorders>
              <w:top w:val="nil"/>
              <w:left w:val="nil"/>
              <w:bottom w:val="nil"/>
              <w:right w:val="nil"/>
            </w:tcBorders>
            <w:shd w:val="clear" w:color="auto" w:fill="auto"/>
            <w:noWrap/>
            <w:vAlign w:val="bottom"/>
            <w:hideMark/>
          </w:tcPr>
          <w:p w14:paraId="248B55A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(0.004)</w:t>
            </w:r>
          </w:p>
        </w:tc>
      </w:tr>
      <w:tr w:rsidR="009478ED" w:rsidRPr="007F37A0" w14:paraId="19A70956"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3F195A40" w14:textId="77777777" w:rsidR="009478ED" w:rsidRPr="007F37A0" w:rsidRDefault="009478ED" w:rsidP="00735871">
            <w:pPr>
              <w:jc w:val="center"/>
              <w:rPr>
                <w:rFonts w:ascii="Times New Roman" w:hAnsi="Times New Roman" w:cs="Times New Roman"/>
              </w:rPr>
            </w:pPr>
          </w:p>
        </w:tc>
        <w:tc>
          <w:tcPr>
            <w:tcW w:w="1790" w:type="dxa"/>
            <w:tcBorders>
              <w:top w:val="nil"/>
              <w:left w:val="nil"/>
              <w:bottom w:val="nil"/>
              <w:right w:val="nil"/>
            </w:tcBorders>
            <w:shd w:val="clear" w:color="auto" w:fill="auto"/>
            <w:noWrap/>
            <w:vAlign w:val="bottom"/>
            <w:hideMark/>
          </w:tcPr>
          <w:p w14:paraId="4AA817D9" w14:textId="77777777" w:rsidR="009478ED" w:rsidRPr="007F37A0" w:rsidRDefault="009478ED" w:rsidP="00735871">
            <w:pPr>
              <w:rPr>
                <w:rFonts w:ascii="Times New Roman" w:hAnsi="Times New Roman" w:cs="Times New Roman"/>
              </w:rPr>
            </w:pPr>
          </w:p>
        </w:tc>
        <w:tc>
          <w:tcPr>
            <w:tcW w:w="2509" w:type="dxa"/>
            <w:tcBorders>
              <w:top w:val="nil"/>
              <w:left w:val="nil"/>
              <w:bottom w:val="nil"/>
              <w:right w:val="nil"/>
            </w:tcBorders>
            <w:shd w:val="clear" w:color="auto" w:fill="auto"/>
            <w:noWrap/>
            <w:vAlign w:val="bottom"/>
            <w:hideMark/>
          </w:tcPr>
          <w:p w14:paraId="2DA7CE6D" w14:textId="77777777" w:rsidR="009478ED" w:rsidRPr="007F37A0" w:rsidRDefault="009478ED" w:rsidP="00735871">
            <w:pPr>
              <w:jc w:val="center"/>
              <w:rPr>
                <w:rFonts w:ascii="Times New Roman" w:hAnsi="Times New Roman" w:cs="Times New Roman"/>
              </w:rPr>
            </w:pPr>
          </w:p>
        </w:tc>
      </w:tr>
      <w:tr w:rsidR="009478ED" w:rsidRPr="007F37A0" w14:paraId="038B8E54"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381DE4A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790" w:type="dxa"/>
            <w:tcBorders>
              <w:top w:val="nil"/>
              <w:left w:val="nil"/>
              <w:bottom w:val="nil"/>
              <w:right w:val="nil"/>
            </w:tcBorders>
            <w:shd w:val="clear" w:color="auto" w:fill="auto"/>
            <w:noWrap/>
            <w:vAlign w:val="bottom"/>
            <w:hideMark/>
          </w:tcPr>
          <w:p w14:paraId="6DD9042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46,474</w:t>
            </w:r>
          </w:p>
        </w:tc>
        <w:tc>
          <w:tcPr>
            <w:tcW w:w="2509" w:type="dxa"/>
            <w:tcBorders>
              <w:top w:val="nil"/>
              <w:left w:val="nil"/>
              <w:bottom w:val="nil"/>
              <w:right w:val="nil"/>
            </w:tcBorders>
            <w:shd w:val="clear" w:color="auto" w:fill="auto"/>
            <w:noWrap/>
            <w:vAlign w:val="bottom"/>
            <w:hideMark/>
          </w:tcPr>
          <w:p w14:paraId="3980215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46,474</w:t>
            </w:r>
          </w:p>
        </w:tc>
      </w:tr>
      <w:tr w:rsidR="009478ED" w:rsidRPr="007F37A0" w14:paraId="637A5D59" w14:textId="77777777" w:rsidTr="00735871">
        <w:trPr>
          <w:trHeight w:val="276"/>
          <w:jc w:val="center"/>
        </w:trPr>
        <w:tc>
          <w:tcPr>
            <w:tcW w:w="3621" w:type="dxa"/>
            <w:tcBorders>
              <w:top w:val="nil"/>
              <w:left w:val="nil"/>
              <w:bottom w:val="nil"/>
              <w:right w:val="nil"/>
            </w:tcBorders>
            <w:shd w:val="clear" w:color="auto" w:fill="auto"/>
            <w:noWrap/>
            <w:vAlign w:val="bottom"/>
            <w:hideMark/>
          </w:tcPr>
          <w:p w14:paraId="1BDFD4D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790" w:type="dxa"/>
            <w:tcBorders>
              <w:top w:val="nil"/>
              <w:left w:val="nil"/>
              <w:bottom w:val="nil"/>
              <w:right w:val="nil"/>
            </w:tcBorders>
            <w:shd w:val="clear" w:color="auto" w:fill="auto"/>
            <w:noWrap/>
            <w:vAlign w:val="bottom"/>
            <w:hideMark/>
          </w:tcPr>
          <w:p w14:paraId="74F4983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509" w:type="dxa"/>
            <w:tcBorders>
              <w:top w:val="nil"/>
              <w:left w:val="nil"/>
              <w:bottom w:val="nil"/>
              <w:right w:val="nil"/>
            </w:tcBorders>
            <w:shd w:val="clear" w:color="auto" w:fill="auto"/>
            <w:noWrap/>
            <w:vAlign w:val="bottom"/>
            <w:hideMark/>
          </w:tcPr>
          <w:p w14:paraId="66804F9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364D49B3" w14:textId="77777777" w:rsidTr="00735871">
        <w:trPr>
          <w:trHeight w:val="276"/>
          <w:jc w:val="center"/>
        </w:trPr>
        <w:tc>
          <w:tcPr>
            <w:tcW w:w="3621" w:type="dxa"/>
            <w:tcBorders>
              <w:top w:val="nil"/>
              <w:left w:val="nil"/>
              <w:bottom w:val="single" w:sz="4" w:space="0" w:color="000000"/>
              <w:right w:val="nil"/>
            </w:tcBorders>
            <w:shd w:val="clear" w:color="auto" w:fill="auto"/>
            <w:noWrap/>
            <w:vAlign w:val="bottom"/>
            <w:hideMark/>
          </w:tcPr>
          <w:p w14:paraId="685C051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790" w:type="dxa"/>
            <w:tcBorders>
              <w:top w:val="nil"/>
              <w:left w:val="nil"/>
              <w:bottom w:val="single" w:sz="4" w:space="0" w:color="000000"/>
              <w:right w:val="nil"/>
            </w:tcBorders>
            <w:shd w:val="clear" w:color="auto" w:fill="auto"/>
            <w:noWrap/>
            <w:vAlign w:val="bottom"/>
            <w:hideMark/>
          </w:tcPr>
          <w:p w14:paraId="2D3BEA1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509" w:type="dxa"/>
            <w:tcBorders>
              <w:top w:val="nil"/>
              <w:left w:val="nil"/>
              <w:bottom w:val="single" w:sz="4" w:space="0" w:color="000000"/>
              <w:right w:val="nil"/>
            </w:tcBorders>
            <w:shd w:val="clear" w:color="auto" w:fill="auto"/>
            <w:noWrap/>
            <w:vAlign w:val="bottom"/>
            <w:hideMark/>
          </w:tcPr>
          <w:p w14:paraId="6E90710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F68E8FF" w14:textId="77777777" w:rsidTr="00735871">
        <w:trPr>
          <w:trHeight w:val="276"/>
          <w:jc w:val="center"/>
        </w:trPr>
        <w:tc>
          <w:tcPr>
            <w:tcW w:w="7920" w:type="dxa"/>
            <w:gridSpan w:val="3"/>
            <w:tcBorders>
              <w:top w:val="nil"/>
              <w:left w:val="nil"/>
              <w:bottom w:val="nil"/>
              <w:right w:val="nil"/>
            </w:tcBorders>
            <w:shd w:val="clear" w:color="auto" w:fill="auto"/>
            <w:noWrap/>
            <w:vAlign w:val="bottom"/>
            <w:hideMark/>
          </w:tcPr>
          <w:p w14:paraId="4E11335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p w14:paraId="04EC60B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7B47DFF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boiler retirement at the annual level for 2009-2022. CAIR treatment is an indicator variable for treatment under CAIR but not CSAPR for SO2 emissions in column 1 and NOx emissions in column 2. CSAPR treatment is an indicator variable for treatment under CSAPR but not CAIR for SO2 emissions in column 1 and NOx emissions in column 2. CAIR and CSAPR treatment is an indicator variable for treatment under both CAIR and CSAPR for SO2 emissions in column 1 and NOx emissions in column 2.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All controls include indicators for boiler firing type, fly ash reinjection, heat recovery steam generator, indicators for standards of performance, age of boiler, efficiency 100% load, efficiency 50% load, air flow 100% load, max steam flow, turndown ratio, waste heat input, technology indicators, fuel type indicators, CAA attainment status, and NERC regions.</w:t>
            </w:r>
          </w:p>
        </w:tc>
      </w:tr>
    </w:tbl>
    <w:p w14:paraId="46BF2A52" w14:textId="77777777" w:rsidR="009478ED" w:rsidRPr="007F37A0" w:rsidRDefault="009478ED" w:rsidP="007F37A0">
      <w:pPr>
        <w:pStyle w:val="Caption"/>
        <w:rPr>
          <w:rFonts w:cs="Times New Roman"/>
        </w:rPr>
      </w:pPr>
    </w:p>
    <w:p w14:paraId="2EC761A9" w14:textId="77777777" w:rsidR="009478ED" w:rsidRPr="007F37A0" w:rsidRDefault="009478ED" w:rsidP="009478ED">
      <w:pPr>
        <w:rPr>
          <w:rFonts w:ascii="Times New Roman" w:hAnsi="Times New Roman" w:cs="Times New Roman"/>
        </w:rPr>
      </w:pPr>
    </w:p>
    <w:p w14:paraId="31FA4A04" w14:textId="77777777" w:rsidR="009478ED" w:rsidRPr="007F37A0" w:rsidRDefault="009478ED" w:rsidP="009478ED">
      <w:pPr>
        <w:rPr>
          <w:rFonts w:ascii="Times New Roman" w:hAnsi="Times New Roman" w:cs="Times New Roman"/>
          <w:b/>
          <w:bCs/>
        </w:rPr>
      </w:pPr>
    </w:p>
    <w:p w14:paraId="69F64914" w14:textId="77777777" w:rsidR="009478ED" w:rsidRPr="007F37A0" w:rsidRDefault="009478ED" w:rsidP="009478ED">
      <w:pPr>
        <w:rPr>
          <w:rFonts w:ascii="Times New Roman" w:hAnsi="Times New Roman" w:cs="Times New Roman"/>
        </w:rPr>
      </w:pPr>
    </w:p>
    <w:p w14:paraId="285E6500" w14:textId="247E61C5" w:rsidR="009478ED" w:rsidRPr="007F37A0" w:rsidRDefault="009478ED" w:rsidP="009478ED">
      <w:pPr>
        <w:rPr>
          <w:rFonts w:ascii="Times New Roman" w:hAnsi="Times New Roman" w:cs="Times New Roman"/>
        </w:rPr>
      </w:pPr>
      <w:bookmarkStart w:id="210" w:name="_Ref164519813"/>
      <w:bookmarkStart w:id="211" w:name="_Toc164862578"/>
      <w:r w:rsidRPr="007F37A0">
        <w:rPr>
          <w:rFonts w:ascii="Times New Roman" w:hAnsi="Times New Roman" w:cs="Times New Roman"/>
        </w:rPr>
        <w:lastRenderedPageBreak/>
        <w:t xml:space="preserve">Table </w:t>
      </w:r>
      <w:r w:rsidRPr="007F37A0">
        <w:rPr>
          <w:rFonts w:ascii="Times New Roman" w:hAnsi="Times New Roman" w:cs="Times New Roman"/>
        </w:rPr>
        <w:fldChar w:fldCharType="begin"/>
      </w:r>
      <w:r w:rsidRPr="007F37A0">
        <w:rPr>
          <w:rFonts w:ascii="Times New Roman" w:hAnsi="Times New Roman" w:cs="Times New Roman"/>
        </w:rPr>
        <w:instrText xml:space="preserve"> SEQ Table \* ARABIC </w:instrText>
      </w:r>
      <w:r w:rsidRPr="007F37A0">
        <w:rPr>
          <w:rFonts w:ascii="Times New Roman" w:hAnsi="Times New Roman" w:cs="Times New Roman"/>
        </w:rPr>
        <w:fldChar w:fldCharType="separate"/>
      </w:r>
      <w:r w:rsidR="00142A7E">
        <w:rPr>
          <w:rFonts w:ascii="Times New Roman" w:hAnsi="Times New Roman" w:cs="Times New Roman"/>
          <w:noProof/>
        </w:rPr>
        <w:t>43</w:t>
      </w:r>
      <w:r w:rsidRPr="007F37A0">
        <w:rPr>
          <w:rFonts w:ascii="Times New Roman" w:hAnsi="Times New Roman" w:cs="Times New Roman"/>
        </w:rPr>
        <w:fldChar w:fldCharType="end"/>
      </w:r>
      <w:bookmarkEnd w:id="210"/>
      <w:r w:rsidRPr="007F37A0">
        <w:rPr>
          <w:rFonts w:ascii="Times New Roman" w:hAnsi="Times New Roman" w:cs="Times New Roman"/>
        </w:rPr>
        <w:t>: Boiler Retirement by Regulation - CAIR and CSAPR</w:t>
      </w:r>
      <w:bookmarkEnd w:id="211"/>
    </w:p>
    <w:tbl>
      <w:tblPr>
        <w:tblW w:w="8010" w:type="dxa"/>
        <w:jc w:val="center"/>
        <w:tblLook w:val="04A0" w:firstRow="1" w:lastRow="0" w:firstColumn="1" w:lastColumn="0" w:noHBand="0" w:noVBand="1"/>
      </w:tblPr>
      <w:tblGrid>
        <w:gridCol w:w="3801"/>
        <w:gridCol w:w="1790"/>
        <w:gridCol w:w="2419"/>
      </w:tblGrid>
      <w:tr w:rsidR="009478ED" w:rsidRPr="007F37A0" w14:paraId="47E965B0" w14:textId="77777777" w:rsidTr="00735871">
        <w:trPr>
          <w:trHeight w:val="276"/>
          <w:jc w:val="center"/>
        </w:trPr>
        <w:tc>
          <w:tcPr>
            <w:tcW w:w="3801" w:type="dxa"/>
            <w:tcBorders>
              <w:top w:val="single" w:sz="4" w:space="0" w:color="000000"/>
              <w:left w:val="nil"/>
              <w:bottom w:val="nil"/>
              <w:right w:val="nil"/>
            </w:tcBorders>
            <w:shd w:val="clear" w:color="auto" w:fill="auto"/>
            <w:noWrap/>
            <w:vAlign w:val="bottom"/>
            <w:hideMark/>
          </w:tcPr>
          <w:p w14:paraId="4855779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790" w:type="dxa"/>
            <w:tcBorders>
              <w:top w:val="single" w:sz="4" w:space="0" w:color="000000"/>
              <w:left w:val="nil"/>
              <w:bottom w:val="nil"/>
              <w:right w:val="nil"/>
            </w:tcBorders>
            <w:shd w:val="clear" w:color="auto" w:fill="auto"/>
            <w:noWrap/>
            <w:vAlign w:val="bottom"/>
            <w:hideMark/>
          </w:tcPr>
          <w:p w14:paraId="11D96D0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419" w:type="dxa"/>
            <w:tcBorders>
              <w:top w:val="single" w:sz="4" w:space="0" w:color="000000"/>
              <w:left w:val="nil"/>
              <w:bottom w:val="nil"/>
              <w:right w:val="nil"/>
            </w:tcBorders>
            <w:shd w:val="clear" w:color="auto" w:fill="auto"/>
            <w:noWrap/>
            <w:vAlign w:val="bottom"/>
            <w:hideMark/>
          </w:tcPr>
          <w:p w14:paraId="5D37FCC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r>
      <w:tr w:rsidR="009478ED" w:rsidRPr="007F37A0" w14:paraId="7178CB98"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5FEEF36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6CFC371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Boiler Retirement</w:t>
            </w:r>
          </w:p>
        </w:tc>
        <w:tc>
          <w:tcPr>
            <w:tcW w:w="1790" w:type="dxa"/>
            <w:tcBorders>
              <w:top w:val="nil"/>
              <w:left w:val="nil"/>
              <w:bottom w:val="nil"/>
              <w:right w:val="nil"/>
            </w:tcBorders>
            <w:shd w:val="clear" w:color="auto" w:fill="auto"/>
            <w:noWrap/>
            <w:vAlign w:val="bottom"/>
            <w:hideMark/>
          </w:tcPr>
          <w:p w14:paraId="22DA5F8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Treatment</w:t>
            </w:r>
          </w:p>
        </w:tc>
        <w:tc>
          <w:tcPr>
            <w:tcW w:w="2419" w:type="dxa"/>
            <w:tcBorders>
              <w:top w:val="nil"/>
              <w:left w:val="nil"/>
              <w:bottom w:val="nil"/>
              <w:right w:val="nil"/>
            </w:tcBorders>
            <w:shd w:val="clear" w:color="auto" w:fill="auto"/>
            <w:noWrap/>
            <w:vAlign w:val="bottom"/>
            <w:hideMark/>
          </w:tcPr>
          <w:p w14:paraId="2E9050C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Treatment</w:t>
            </w:r>
          </w:p>
        </w:tc>
      </w:tr>
      <w:tr w:rsidR="009478ED" w:rsidRPr="007F37A0" w14:paraId="7194F837" w14:textId="77777777" w:rsidTr="00735871">
        <w:trPr>
          <w:trHeight w:val="276"/>
          <w:jc w:val="center"/>
        </w:trPr>
        <w:tc>
          <w:tcPr>
            <w:tcW w:w="3801" w:type="dxa"/>
            <w:tcBorders>
              <w:top w:val="single" w:sz="4" w:space="0" w:color="000000"/>
              <w:left w:val="nil"/>
              <w:bottom w:val="nil"/>
              <w:right w:val="nil"/>
            </w:tcBorders>
            <w:shd w:val="clear" w:color="auto" w:fill="auto"/>
            <w:noWrap/>
            <w:vAlign w:val="bottom"/>
            <w:hideMark/>
          </w:tcPr>
          <w:p w14:paraId="4227817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790" w:type="dxa"/>
            <w:tcBorders>
              <w:top w:val="single" w:sz="4" w:space="0" w:color="000000"/>
              <w:left w:val="nil"/>
              <w:bottom w:val="nil"/>
              <w:right w:val="nil"/>
            </w:tcBorders>
            <w:shd w:val="clear" w:color="auto" w:fill="auto"/>
            <w:noWrap/>
            <w:vAlign w:val="bottom"/>
            <w:hideMark/>
          </w:tcPr>
          <w:p w14:paraId="009EF78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419" w:type="dxa"/>
            <w:tcBorders>
              <w:top w:val="single" w:sz="4" w:space="0" w:color="000000"/>
              <w:left w:val="nil"/>
              <w:bottom w:val="nil"/>
              <w:right w:val="nil"/>
            </w:tcBorders>
            <w:shd w:val="clear" w:color="auto" w:fill="auto"/>
            <w:noWrap/>
            <w:vAlign w:val="bottom"/>
            <w:hideMark/>
          </w:tcPr>
          <w:p w14:paraId="6D8A66C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0A318CB0"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7B03565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CAIR Treatment</w:t>
            </w:r>
          </w:p>
        </w:tc>
        <w:tc>
          <w:tcPr>
            <w:tcW w:w="1790" w:type="dxa"/>
            <w:tcBorders>
              <w:top w:val="nil"/>
              <w:left w:val="nil"/>
              <w:bottom w:val="nil"/>
              <w:right w:val="nil"/>
            </w:tcBorders>
            <w:shd w:val="clear" w:color="auto" w:fill="auto"/>
            <w:noWrap/>
            <w:vAlign w:val="bottom"/>
            <w:hideMark/>
          </w:tcPr>
          <w:p w14:paraId="4A13DA9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c>
          <w:tcPr>
            <w:tcW w:w="2419" w:type="dxa"/>
            <w:tcBorders>
              <w:top w:val="nil"/>
              <w:left w:val="nil"/>
              <w:bottom w:val="nil"/>
              <w:right w:val="nil"/>
            </w:tcBorders>
            <w:shd w:val="clear" w:color="auto" w:fill="auto"/>
            <w:noWrap/>
            <w:vAlign w:val="bottom"/>
            <w:hideMark/>
          </w:tcPr>
          <w:p w14:paraId="76B49E8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70E91D2A"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29EEFCE7" w14:textId="77777777" w:rsidR="009478ED" w:rsidRPr="007F37A0" w:rsidRDefault="009478ED" w:rsidP="00735871">
            <w:pPr>
              <w:jc w:val="center"/>
              <w:rPr>
                <w:rFonts w:ascii="Times New Roman" w:hAnsi="Times New Roman" w:cs="Times New Roman"/>
              </w:rPr>
            </w:pPr>
          </w:p>
        </w:tc>
        <w:tc>
          <w:tcPr>
            <w:tcW w:w="1790" w:type="dxa"/>
            <w:tcBorders>
              <w:top w:val="nil"/>
              <w:left w:val="nil"/>
              <w:bottom w:val="nil"/>
              <w:right w:val="nil"/>
            </w:tcBorders>
            <w:shd w:val="clear" w:color="auto" w:fill="auto"/>
            <w:noWrap/>
            <w:vAlign w:val="bottom"/>
            <w:hideMark/>
          </w:tcPr>
          <w:p w14:paraId="5068EFE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(0.005)</w:t>
            </w:r>
          </w:p>
        </w:tc>
        <w:tc>
          <w:tcPr>
            <w:tcW w:w="2419" w:type="dxa"/>
            <w:tcBorders>
              <w:top w:val="nil"/>
              <w:left w:val="nil"/>
              <w:bottom w:val="nil"/>
              <w:right w:val="nil"/>
            </w:tcBorders>
            <w:shd w:val="clear" w:color="auto" w:fill="auto"/>
            <w:noWrap/>
            <w:vAlign w:val="bottom"/>
            <w:hideMark/>
          </w:tcPr>
          <w:p w14:paraId="64C83D6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6AB78726"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3A10D8A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CSAPR Treatment</w:t>
            </w:r>
          </w:p>
        </w:tc>
        <w:tc>
          <w:tcPr>
            <w:tcW w:w="1790" w:type="dxa"/>
            <w:tcBorders>
              <w:top w:val="nil"/>
              <w:left w:val="nil"/>
              <w:bottom w:val="nil"/>
              <w:right w:val="nil"/>
            </w:tcBorders>
            <w:shd w:val="clear" w:color="auto" w:fill="auto"/>
            <w:noWrap/>
            <w:vAlign w:val="bottom"/>
            <w:hideMark/>
          </w:tcPr>
          <w:p w14:paraId="33547D5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2419" w:type="dxa"/>
            <w:tcBorders>
              <w:top w:val="nil"/>
              <w:left w:val="nil"/>
              <w:bottom w:val="nil"/>
              <w:right w:val="nil"/>
            </w:tcBorders>
            <w:shd w:val="clear" w:color="auto" w:fill="auto"/>
            <w:noWrap/>
            <w:vAlign w:val="bottom"/>
            <w:hideMark/>
          </w:tcPr>
          <w:p w14:paraId="4B5A854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566498EF"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1DC8A9E7" w14:textId="77777777" w:rsidR="009478ED" w:rsidRPr="007F37A0" w:rsidRDefault="009478ED" w:rsidP="00735871">
            <w:pPr>
              <w:jc w:val="center"/>
              <w:rPr>
                <w:rFonts w:ascii="Times New Roman" w:hAnsi="Times New Roman" w:cs="Times New Roman"/>
              </w:rPr>
            </w:pPr>
          </w:p>
        </w:tc>
        <w:tc>
          <w:tcPr>
            <w:tcW w:w="1790" w:type="dxa"/>
            <w:tcBorders>
              <w:top w:val="nil"/>
              <w:left w:val="nil"/>
              <w:bottom w:val="nil"/>
              <w:right w:val="nil"/>
            </w:tcBorders>
            <w:shd w:val="clear" w:color="auto" w:fill="auto"/>
            <w:noWrap/>
            <w:vAlign w:val="bottom"/>
            <w:hideMark/>
          </w:tcPr>
          <w:p w14:paraId="362AC86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2419" w:type="dxa"/>
            <w:tcBorders>
              <w:top w:val="nil"/>
              <w:left w:val="nil"/>
              <w:bottom w:val="nil"/>
              <w:right w:val="nil"/>
            </w:tcBorders>
            <w:shd w:val="clear" w:color="auto" w:fill="auto"/>
            <w:noWrap/>
            <w:vAlign w:val="bottom"/>
            <w:hideMark/>
          </w:tcPr>
          <w:p w14:paraId="2255F35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4C20ED0C"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6C4BE43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CAIR and CSAPR Treatment</w:t>
            </w:r>
          </w:p>
        </w:tc>
        <w:tc>
          <w:tcPr>
            <w:tcW w:w="1790" w:type="dxa"/>
            <w:tcBorders>
              <w:top w:val="nil"/>
              <w:left w:val="nil"/>
              <w:bottom w:val="nil"/>
              <w:right w:val="nil"/>
            </w:tcBorders>
            <w:shd w:val="clear" w:color="auto" w:fill="auto"/>
            <w:noWrap/>
            <w:vAlign w:val="bottom"/>
            <w:hideMark/>
          </w:tcPr>
          <w:p w14:paraId="367FC2B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2419" w:type="dxa"/>
            <w:tcBorders>
              <w:top w:val="nil"/>
              <w:left w:val="nil"/>
              <w:bottom w:val="nil"/>
              <w:right w:val="nil"/>
            </w:tcBorders>
            <w:shd w:val="clear" w:color="auto" w:fill="auto"/>
            <w:noWrap/>
            <w:vAlign w:val="bottom"/>
            <w:hideMark/>
          </w:tcPr>
          <w:p w14:paraId="5E5DB62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26CBADA5"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2632D621" w14:textId="77777777" w:rsidR="009478ED" w:rsidRPr="007F37A0" w:rsidRDefault="009478ED" w:rsidP="00735871">
            <w:pPr>
              <w:jc w:val="center"/>
              <w:rPr>
                <w:rFonts w:ascii="Times New Roman" w:hAnsi="Times New Roman" w:cs="Times New Roman"/>
              </w:rPr>
            </w:pPr>
          </w:p>
        </w:tc>
        <w:tc>
          <w:tcPr>
            <w:tcW w:w="1790" w:type="dxa"/>
            <w:tcBorders>
              <w:top w:val="nil"/>
              <w:left w:val="nil"/>
              <w:bottom w:val="nil"/>
              <w:right w:val="nil"/>
            </w:tcBorders>
            <w:shd w:val="clear" w:color="auto" w:fill="auto"/>
            <w:noWrap/>
            <w:vAlign w:val="bottom"/>
            <w:hideMark/>
          </w:tcPr>
          <w:p w14:paraId="074D71A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2419" w:type="dxa"/>
            <w:tcBorders>
              <w:top w:val="nil"/>
              <w:left w:val="nil"/>
              <w:bottom w:val="nil"/>
              <w:right w:val="nil"/>
            </w:tcBorders>
            <w:shd w:val="clear" w:color="auto" w:fill="auto"/>
            <w:noWrap/>
            <w:vAlign w:val="bottom"/>
            <w:hideMark/>
          </w:tcPr>
          <w:p w14:paraId="410CE57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22574C23"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6ED15B3F" w14:textId="77777777" w:rsidR="009478ED" w:rsidRPr="007F37A0" w:rsidRDefault="009478ED" w:rsidP="00735871">
            <w:pPr>
              <w:jc w:val="center"/>
              <w:rPr>
                <w:rFonts w:ascii="Times New Roman" w:hAnsi="Times New Roman" w:cs="Times New Roman"/>
              </w:rPr>
            </w:pPr>
          </w:p>
        </w:tc>
        <w:tc>
          <w:tcPr>
            <w:tcW w:w="1790" w:type="dxa"/>
            <w:tcBorders>
              <w:top w:val="nil"/>
              <w:left w:val="nil"/>
              <w:bottom w:val="nil"/>
              <w:right w:val="nil"/>
            </w:tcBorders>
            <w:shd w:val="clear" w:color="auto" w:fill="auto"/>
            <w:noWrap/>
            <w:vAlign w:val="bottom"/>
            <w:hideMark/>
          </w:tcPr>
          <w:p w14:paraId="70A66496" w14:textId="77777777" w:rsidR="009478ED" w:rsidRPr="007F37A0" w:rsidRDefault="009478ED" w:rsidP="00735871">
            <w:pPr>
              <w:rPr>
                <w:rFonts w:ascii="Times New Roman" w:hAnsi="Times New Roman" w:cs="Times New Roman"/>
              </w:rPr>
            </w:pPr>
          </w:p>
        </w:tc>
        <w:tc>
          <w:tcPr>
            <w:tcW w:w="2419" w:type="dxa"/>
            <w:tcBorders>
              <w:top w:val="nil"/>
              <w:left w:val="nil"/>
              <w:bottom w:val="nil"/>
              <w:right w:val="nil"/>
            </w:tcBorders>
            <w:shd w:val="clear" w:color="auto" w:fill="auto"/>
            <w:noWrap/>
            <w:vAlign w:val="bottom"/>
            <w:hideMark/>
          </w:tcPr>
          <w:p w14:paraId="3A6DD37E" w14:textId="77777777" w:rsidR="009478ED" w:rsidRPr="007F37A0" w:rsidRDefault="009478ED" w:rsidP="00735871">
            <w:pPr>
              <w:jc w:val="center"/>
              <w:rPr>
                <w:rFonts w:ascii="Times New Roman" w:hAnsi="Times New Roman" w:cs="Times New Roman"/>
              </w:rPr>
            </w:pPr>
          </w:p>
        </w:tc>
      </w:tr>
      <w:tr w:rsidR="009478ED" w:rsidRPr="007F37A0" w14:paraId="67FC992C"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0A10998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790" w:type="dxa"/>
            <w:tcBorders>
              <w:top w:val="nil"/>
              <w:left w:val="nil"/>
              <w:bottom w:val="nil"/>
              <w:right w:val="nil"/>
            </w:tcBorders>
            <w:shd w:val="clear" w:color="auto" w:fill="auto"/>
            <w:noWrap/>
            <w:vAlign w:val="bottom"/>
            <w:hideMark/>
          </w:tcPr>
          <w:p w14:paraId="39DDCBF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49,578</w:t>
            </w:r>
          </w:p>
        </w:tc>
        <w:tc>
          <w:tcPr>
            <w:tcW w:w="2419" w:type="dxa"/>
            <w:tcBorders>
              <w:top w:val="nil"/>
              <w:left w:val="nil"/>
              <w:bottom w:val="nil"/>
              <w:right w:val="nil"/>
            </w:tcBorders>
            <w:shd w:val="clear" w:color="auto" w:fill="auto"/>
            <w:noWrap/>
            <w:vAlign w:val="bottom"/>
            <w:hideMark/>
          </w:tcPr>
          <w:p w14:paraId="0CE5D3D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49,578</w:t>
            </w:r>
          </w:p>
        </w:tc>
      </w:tr>
      <w:tr w:rsidR="009478ED" w:rsidRPr="007F37A0" w14:paraId="00EBF5D1" w14:textId="77777777" w:rsidTr="00735871">
        <w:trPr>
          <w:trHeight w:val="276"/>
          <w:jc w:val="center"/>
        </w:trPr>
        <w:tc>
          <w:tcPr>
            <w:tcW w:w="3801" w:type="dxa"/>
            <w:tcBorders>
              <w:top w:val="nil"/>
              <w:left w:val="nil"/>
              <w:bottom w:val="nil"/>
              <w:right w:val="nil"/>
            </w:tcBorders>
            <w:shd w:val="clear" w:color="auto" w:fill="auto"/>
            <w:noWrap/>
            <w:vAlign w:val="bottom"/>
            <w:hideMark/>
          </w:tcPr>
          <w:p w14:paraId="608D246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790" w:type="dxa"/>
            <w:tcBorders>
              <w:top w:val="nil"/>
              <w:left w:val="nil"/>
              <w:bottom w:val="nil"/>
              <w:right w:val="nil"/>
            </w:tcBorders>
            <w:shd w:val="clear" w:color="auto" w:fill="auto"/>
            <w:noWrap/>
            <w:vAlign w:val="bottom"/>
            <w:hideMark/>
          </w:tcPr>
          <w:p w14:paraId="21BB0B3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419" w:type="dxa"/>
            <w:tcBorders>
              <w:top w:val="nil"/>
              <w:left w:val="nil"/>
              <w:bottom w:val="nil"/>
              <w:right w:val="nil"/>
            </w:tcBorders>
            <w:shd w:val="clear" w:color="auto" w:fill="auto"/>
            <w:noWrap/>
            <w:vAlign w:val="bottom"/>
            <w:hideMark/>
          </w:tcPr>
          <w:p w14:paraId="1FAB125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20A364B" w14:textId="77777777" w:rsidTr="00735871">
        <w:trPr>
          <w:trHeight w:val="276"/>
          <w:jc w:val="center"/>
        </w:trPr>
        <w:tc>
          <w:tcPr>
            <w:tcW w:w="3801" w:type="dxa"/>
            <w:tcBorders>
              <w:top w:val="nil"/>
              <w:left w:val="nil"/>
              <w:bottom w:val="single" w:sz="4" w:space="0" w:color="000000"/>
              <w:right w:val="nil"/>
            </w:tcBorders>
            <w:shd w:val="clear" w:color="auto" w:fill="auto"/>
            <w:noWrap/>
            <w:vAlign w:val="bottom"/>
            <w:hideMark/>
          </w:tcPr>
          <w:p w14:paraId="774214B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790" w:type="dxa"/>
            <w:tcBorders>
              <w:top w:val="nil"/>
              <w:left w:val="nil"/>
              <w:bottom w:val="single" w:sz="4" w:space="0" w:color="000000"/>
              <w:right w:val="nil"/>
            </w:tcBorders>
            <w:shd w:val="clear" w:color="auto" w:fill="auto"/>
            <w:noWrap/>
            <w:vAlign w:val="bottom"/>
            <w:hideMark/>
          </w:tcPr>
          <w:p w14:paraId="3D21766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419" w:type="dxa"/>
            <w:tcBorders>
              <w:top w:val="nil"/>
              <w:left w:val="nil"/>
              <w:bottom w:val="single" w:sz="4" w:space="0" w:color="000000"/>
              <w:right w:val="nil"/>
            </w:tcBorders>
            <w:shd w:val="clear" w:color="auto" w:fill="auto"/>
            <w:noWrap/>
            <w:vAlign w:val="bottom"/>
            <w:hideMark/>
          </w:tcPr>
          <w:p w14:paraId="47C7AB7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0B7103AB" w14:textId="77777777" w:rsidTr="00735871">
        <w:trPr>
          <w:trHeight w:val="276"/>
          <w:jc w:val="center"/>
        </w:trPr>
        <w:tc>
          <w:tcPr>
            <w:tcW w:w="8010" w:type="dxa"/>
            <w:gridSpan w:val="3"/>
            <w:tcBorders>
              <w:top w:val="nil"/>
              <w:left w:val="nil"/>
              <w:bottom w:val="nil"/>
              <w:right w:val="nil"/>
            </w:tcBorders>
            <w:shd w:val="clear" w:color="auto" w:fill="auto"/>
            <w:noWrap/>
            <w:vAlign w:val="bottom"/>
            <w:hideMark/>
          </w:tcPr>
          <w:p w14:paraId="6CD1C65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p w14:paraId="46B200E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p>
          <w:p w14:paraId="35DA1C0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boiler retirement at the annual level for 2009-2022. CAIR treatment is an indicator variable for treatment under CAIR but not CSAPR for SO2 emissions in column 1 and NOx emissions in column 2. CSAPR treatment is an indicator variable for treatment under CSAPR but not CAIR for SO2 emissions in column 1 and NOx emissions in column 2. CAIR and CSAPR treatment is an indicator variable for treatment under both CAIR and CSAPR for SO2 emissions in column 1 and NOx emissions in column 2.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All controls include indicators for boiler firing type, fly ash reinjection, heat recovery steam generator, indicators for standards of performance, age of boiler, efficiency 100% load, efficiency 50% load, air flow 100% load, max steam flow, turndown ratio, waste heat input, technology indicators, fuel type indicators, CAA attainment status, and NERC regions.</w:t>
            </w:r>
          </w:p>
        </w:tc>
      </w:tr>
    </w:tbl>
    <w:p w14:paraId="09A67E88" w14:textId="77777777" w:rsidR="009478ED" w:rsidRPr="007F37A0" w:rsidRDefault="009478ED" w:rsidP="009478ED">
      <w:pPr>
        <w:rPr>
          <w:rFonts w:ascii="Times New Roman" w:hAnsi="Times New Roman" w:cs="Times New Roman"/>
        </w:rPr>
      </w:pPr>
      <w:bookmarkStart w:id="212" w:name="_Toc160879159"/>
      <w:bookmarkStart w:id="213" w:name="_Ref160878964"/>
      <w:r w:rsidRPr="007F37A0">
        <w:rPr>
          <w:rFonts w:ascii="Times New Roman" w:hAnsi="Times New Roman" w:cs="Times New Roman"/>
        </w:rPr>
        <w:br w:type="page"/>
      </w:r>
    </w:p>
    <w:p w14:paraId="5350DEDA" w14:textId="5A03F13A" w:rsidR="009478ED" w:rsidRPr="007F37A0" w:rsidRDefault="009478ED" w:rsidP="009478ED">
      <w:pPr>
        <w:rPr>
          <w:rFonts w:ascii="Times New Roman" w:hAnsi="Times New Roman" w:cs="Times New Roman"/>
        </w:rPr>
      </w:pPr>
      <w:bookmarkStart w:id="214" w:name="_Ref164521022"/>
      <w:bookmarkStart w:id="215" w:name="_Toc164862579"/>
      <w:r w:rsidRPr="007F37A0">
        <w:rPr>
          <w:rFonts w:ascii="Times New Roman" w:hAnsi="Times New Roman" w:cs="Times New Roman"/>
        </w:rPr>
        <w:lastRenderedPageBreak/>
        <w:t xml:space="preserve">Table </w:t>
      </w:r>
      <w:r w:rsidRPr="007F37A0">
        <w:rPr>
          <w:rFonts w:ascii="Times New Roman" w:hAnsi="Times New Roman" w:cs="Times New Roman"/>
        </w:rPr>
        <w:fldChar w:fldCharType="begin"/>
      </w:r>
      <w:r w:rsidRPr="007F37A0">
        <w:rPr>
          <w:rFonts w:ascii="Times New Roman" w:hAnsi="Times New Roman" w:cs="Times New Roman"/>
        </w:rPr>
        <w:instrText xml:space="preserve"> SEQ Table \* ARABIC </w:instrText>
      </w:r>
      <w:r w:rsidRPr="007F37A0">
        <w:rPr>
          <w:rFonts w:ascii="Times New Roman" w:hAnsi="Times New Roman" w:cs="Times New Roman"/>
        </w:rPr>
        <w:fldChar w:fldCharType="separate"/>
      </w:r>
      <w:r w:rsidR="00142A7E">
        <w:rPr>
          <w:rFonts w:ascii="Times New Roman" w:hAnsi="Times New Roman" w:cs="Times New Roman"/>
          <w:noProof/>
        </w:rPr>
        <w:t>44</w:t>
      </w:r>
      <w:r w:rsidRPr="007F37A0">
        <w:rPr>
          <w:rFonts w:ascii="Times New Roman" w:hAnsi="Times New Roman" w:cs="Times New Roman"/>
        </w:rPr>
        <w:fldChar w:fldCharType="end"/>
      </w:r>
      <w:bookmarkEnd w:id="214"/>
      <w:r w:rsidRPr="007F37A0">
        <w:rPr>
          <w:rFonts w:ascii="Times New Roman" w:hAnsi="Times New Roman" w:cs="Times New Roman"/>
        </w:rPr>
        <w:t>: New Abatement Technology - CAIR and CSAPR</w:t>
      </w:r>
      <w:bookmarkEnd w:id="215"/>
    </w:p>
    <w:tbl>
      <w:tblPr>
        <w:tblW w:w="8640" w:type="dxa"/>
        <w:jc w:val="center"/>
        <w:tblCellMar>
          <w:left w:w="0" w:type="dxa"/>
          <w:right w:w="0" w:type="dxa"/>
        </w:tblCellMar>
        <w:tblLook w:val="04A0" w:firstRow="1" w:lastRow="0" w:firstColumn="1" w:lastColumn="0" w:noHBand="0" w:noVBand="1"/>
      </w:tblPr>
      <w:tblGrid>
        <w:gridCol w:w="4410"/>
        <w:gridCol w:w="1532"/>
        <w:gridCol w:w="2698"/>
      </w:tblGrid>
      <w:tr w:rsidR="009478ED" w:rsidRPr="007F37A0" w14:paraId="09F485D7" w14:textId="77777777" w:rsidTr="00735871">
        <w:trPr>
          <w:trHeight w:val="276"/>
          <w:jc w:val="center"/>
        </w:trPr>
        <w:tc>
          <w:tcPr>
            <w:tcW w:w="4410"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bookmarkEnd w:id="212"/>
          <w:bookmarkEnd w:id="213"/>
          <w:p w14:paraId="60823AE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2"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7F1B2E8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698"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50D4ACC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r>
      <w:tr w:rsidR="009478ED" w:rsidRPr="007F37A0" w14:paraId="76ACFD21"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04BF4A26"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398C3A65"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New Technology Installation (any type)</w:t>
            </w: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53A8FD1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Treatment</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1501873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Treatment</w:t>
            </w:r>
          </w:p>
        </w:tc>
      </w:tr>
      <w:tr w:rsidR="009478ED" w:rsidRPr="007F37A0" w14:paraId="082F796F" w14:textId="77777777" w:rsidTr="00735871">
        <w:trPr>
          <w:trHeight w:val="276"/>
          <w:jc w:val="center"/>
        </w:trPr>
        <w:tc>
          <w:tcPr>
            <w:tcW w:w="4410"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6577C50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2"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3ECDDED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698" w:type="dxa"/>
            <w:tcBorders>
              <w:top w:val="single" w:sz="4" w:space="0" w:color="000000"/>
              <w:left w:val="nil"/>
              <w:bottom w:val="nil"/>
              <w:right w:val="nil"/>
            </w:tcBorders>
            <w:shd w:val="clear" w:color="auto" w:fill="auto"/>
            <w:noWrap/>
            <w:tcMar>
              <w:top w:w="15" w:type="dxa"/>
              <w:left w:w="15" w:type="dxa"/>
              <w:bottom w:w="0" w:type="dxa"/>
              <w:right w:w="15" w:type="dxa"/>
            </w:tcMar>
            <w:vAlign w:val="bottom"/>
            <w:hideMark/>
          </w:tcPr>
          <w:p w14:paraId="7AEA439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4F2A668B"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205243C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CAIR Treatment</w:t>
            </w: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0EFE384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49C2BF1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11841474"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28ACC661" w14:textId="77777777" w:rsidR="009478ED" w:rsidRPr="007F37A0" w:rsidRDefault="009478ED" w:rsidP="00735871">
            <w:pPr>
              <w:jc w:val="center"/>
              <w:rPr>
                <w:rFonts w:ascii="Times New Roman" w:hAnsi="Times New Roman" w:cs="Times New Roman"/>
              </w:rPr>
            </w:pP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07432F9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378557B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396EAE28"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1311665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CSAPR Treatment</w:t>
            </w: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1D907E1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4B41E15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3A6D1E4C"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661C0F6B" w14:textId="77777777" w:rsidR="009478ED" w:rsidRPr="007F37A0" w:rsidRDefault="009478ED" w:rsidP="00735871">
            <w:pPr>
              <w:jc w:val="center"/>
              <w:rPr>
                <w:rFonts w:ascii="Times New Roman" w:hAnsi="Times New Roman" w:cs="Times New Roman"/>
              </w:rPr>
            </w:pP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5D88625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5432C2E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(0.002)</w:t>
            </w:r>
          </w:p>
        </w:tc>
      </w:tr>
      <w:tr w:rsidR="009478ED" w:rsidRPr="007F37A0" w14:paraId="6408211F"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07300A6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CAIR and CSAPR Treatment</w:t>
            </w: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590CAFA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56BB21A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01DFF687"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26EB8758" w14:textId="77777777" w:rsidR="009478ED" w:rsidRPr="007F37A0" w:rsidRDefault="009478ED" w:rsidP="00735871">
            <w:pPr>
              <w:jc w:val="center"/>
              <w:rPr>
                <w:rFonts w:ascii="Times New Roman" w:hAnsi="Times New Roman" w:cs="Times New Roman"/>
              </w:rPr>
            </w:pP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34B3EFB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76003AE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r>
      <w:tr w:rsidR="009478ED" w:rsidRPr="007F37A0" w14:paraId="72C770BB"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0801476D" w14:textId="77777777" w:rsidR="009478ED" w:rsidRPr="007F37A0" w:rsidRDefault="009478ED" w:rsidP="00735871">
            <w:pPr>
              <w:jc w:val="center"/>
              <w:rPr>
                <w:rFonts w:ascii="Times New Roman" w:hAnsi="Times New Roman" w:cs="Times New Roman"/>
              </w:rPr>
            </w:pP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341DE4C9" w14:textId="77777777" w:rsidR="009478ED" w:rsidRPr="007F37A0" w:rsidRDefault="009478ED" w:rsidP="00735871">
            <w:pPr>
              <w:rPr>
                <w:rFonts w:ascii="Times New Roman" w:hAnsi="Times New Roman" w:cs="Times New Roman"/>
              </w:rPr>
            </w:pP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79DEC8BA" w14:textId="77777777" w:rsidR="009478ED" w:rsidRPr="007F37A0" w:rsidRDefault="009478ED" w:rsidP="00735871">
            <w:pPr>
              <w:jc w:val="center"/>
              <w:rPr>
                <w:rFonts w:ascii="Times New Roman" w:hAnsi="Times New Roman" w:cs="Times New Roman"/>
              </w:rPr>
            </w:pPr>
          </w:p>
        </w:tc>
      </w:tr>
      <w:tr w:rsidR="009478ED" w:rsidRPr="007F37A0" w14:paraId="4254B15F"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683CA06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78E293F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20,561</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275350E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34,238</w:t>
            </w:r>
          </w:p>
        </w:tc>
      </w:tr>
      <w:tr w:rsidR="009478ED" w:rsidRPr="007F37A0" w14:paraId="42F2C7BB" w14:textId="77777777" w:rsidTr="00735871">
        <w:trPr>
          <w:trHeight w:val="276"/>
          <w:jc w:val="center"/>
        </w:trPr>
        <w:tc>
          <w:tcPr>
            <w:tcW w:w="4410" w:type="dxa"/>
            <w:tcBorders>
              <w:top w:val="nil"/>
              <w:left w:val="nil"/>
              <w:bottom w:val="nil"/>
              <w:right w:val="nil"/>
            </w:tcBorders>
            <w:shd w:val="clear" w:color="auto" w:fill="auto"/>
            <w:noWrap/>
            <w:tcMar>
              <w:top w:w="15" w:type="dxa"/>
              <w:left w:w="15" w:type="dxa"/>
              <w:bottom w:w="0" w:type="dxa"/>
              <w:right w:w="15" w:type="dxa"/>
            </w:tcMar>
            <w:vAlign w:val="bottom"/>
            <w:hideMark/>
          </w:tcPr>
          <w:p w14:paraId="46256D7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532" w:type="dxa"/>
            <w:tcBorders>
              <w:top w:val="nil"/>
              <w:left w:val="nil"/>
              <w:bottom w:val="nil"/>
              <w:right w:val="nil"/>
            </w:tcBorders>
            <w:shd w:val="clear" w:color="auto" w:fill="auto"/>
            <w:noWrap/>
            <w:tcMar>
              <w:top w:w="15" w:type="dxa"/>
              <w:left w:w="15" w:type="dxa"/>
              <w:bottom w:w="0" w:type="dxa"/>
              <w:right w:w="15" w:type="dxa"/>
            </w:tcMar>
            <w:vAlign w:val="bottom"/>
            <w:hideMark/>
          </w:tcPr>
          <w:p w14:paraId="24E553E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698" w:type="dxa"/>
            <w:tcBorders>
              <w:top w:val="nil"/>
              <w:left w:val="nil"/>
              <w:bottom w:val="nil"/>
              <w:right w:val="nil"/>
            </w:tcBorders>
            <w:shd w:val="clear" w:color="auto" w:fill="auto"/>
            <w:noWrap/>
            <w:tcMar>
              <w:top w:w="15" w:type="dxa"/>
              <w:left w:w="15" w:type="dxa"/>
              <w:bottom w:w="0" w:type="dxa"/>
              <w:right w:w="15" w:type="dxa"/>
            </w:tcMar>
            <w:vAlign w:val="bottom"/>
            <w:hideMark/>
          </w:tcPr>
          <w:p w14:paraId="0CD0D7C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0F12A47" w14:textId="77777777" w:rsidTr="00735871">
        <w:trPr>
          <w:trHeight w:val="276"/>
          <w:jc w:val="center"/>
        </w:trPr>
        <w:tc>
          <w:tcPr>
            <w:tcW w:w="4410" w:type="dxa"/>
            <w:tcBorders>
              <w:top w:val="nil"/>
              <w:left w:val="nil"/>
              <w:bottom w:val="single" w:sz="4" w:space="0" w:color="000000"/>
              <w:right w:val="nil"/>
            </w:tcBorders>
            <w:shd w:val="clear" w:color="auto" w:fill="auto"/>
            <w:noWrap/>
            <w:tcMar>
              <w:top w:w="15" w:type="dxa"/>
              <w:left w:w="15" w:type="dxa"/>
              <w:bottom w:w="0" w:type="dxa"/>
              <w:right w:w="15" w:type="dxa"/>
            </w:tcMar>
            <w:vAlign w:val="bottom"/>
            <w:hideMark/>
          </w:tcPr>
          <w:p w14:paraId="76E533FC"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532" w:type="dxa"/>
            <w:tcBorders>
              <w:top w:val="nil"/>
              <w:left w:val="nil"/>
              <w:bottom w:val="single" w:sz="4" w:space="0" w:color="000000"/>
              <w:right w:val="nil"/>
            </w:tcBorders>
            <w:shd w:val="clear" w:color="auto" w:fill="auto"/>
            <w:noWrap/>
            <w:tcMar>
              <w:top w:w="15" w:type="dxa"/>
              <w:left w:w="15" w:type="dxa"/>
              <w:bottom w:w="0" w:type="dxa"/>
              <w:right w:w="15" w:type="dxa"/>
            </w:tcMar>
            <w:vAlign w:val="bottom"/>
            <w:hideMark/>
          </w:tcPr>
          <w:p w14:paraId="52084FB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698" w:type="dxa"/>
            <w:tcBorders>
              <w:top w:val="nil"/>
              <w:left w:val="nil"/>
              <w:bottom w:val="single" w:sz="4" w:space="0" w:color="000000"/>
              <w:right w:val="nil"/>
            </w:tcBorders>
            <w:shd w:val="clear" w:color="auto" w:fill="auto"/>
            <w:noWrap/>
            <w:tcMar>
              <w:top w:w="15" w:type="dxa"/>
              <w:left w:w="15" w:type="dxa"/>
              <w:bottom w:w="0" w:type="dxa"/>
              <w:right w:w="15" w:type="dxa"/>
            </w:tcMar>
            <w:vAlign w:val="bottom"/>
            <w:hideMark/>
          </w:tcPr>
          <w:p w14:paraId="23E630F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56C3FF3" w14:textId="77777777" w:rsidTr="00735871">
        <w:trPr>
          <w:trHeight w:val="567"/>
          <w:jc w:val="center"/>
        </w:trPr>
        <w:tc>
          <w:tcPr>
            <w:tcW w:w="8640" w:type="dxa"/>
            <w:gridSpan w:val="3"/>
            <w:tcBorders>
              <w:top w:val="nil"/>
              <w:left w:val="nil"/>
              <w:right w:val="nil"/>
            </w:tcBorders>
            <w:shd w:val="clear" w:color="auto" w:fill="auto"/>
            <w:noWrap/>
            <w:tcMar>
              <w:top w:w="15" w:type="dxa"/>
              <w:left w:w="15" w:type="dxa"/>
              <w:bottom w:w="0" w:type="dxa"/>
              <w:right w:w="15" w:type="dxa"/>
            </w:tcMar>
            <w:vAlign w:val="bottom"/>
            <w:hideMark/>
          </w:tcPr>
          <w:p w14:paraId="4EEFC89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 *** p&lt;0.01, ** p&lt;0.05, * p&lt;0.1</w:t>
            </w:r>
          </w:p>
          <w:p w14:paraId="5FF06C01"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Notes: The dependent variable is an indicator for new technology installation for any technology type at the annual level for 2009-2022. CAIR treatment is an indicator variable for treatment under CAIR but not CSAPR for SO2 emissions in column 1 and NOx emissions in column 2. CSAPR treatment is an indicator variable for treatment under CSAPR but not CAIR for SO2 emissions in column 1 and NOx emissions in column 2. CAIR and CSAPR treatment is an indicator variable for treatment under both CAIR and CSAPR for SO2 emissions in column 1 and NOx emissions in column 2. Wet type technology (lag) is the lagged indicator for jet bubbling reactor wet scrubber, mechanically aided type wet scrubber, packed type wet scrubber, spray type wet scrubber, tray type wet scrubber, and venturi type wet scrubber. Dry type technology (lag) is the lagged indicator for circulating dry scrubber, spray dryer type/ dry FGD/ semi-dry FGD, dry sorbent powder injection type, or lime injection. Year fixed effects (Year FE) are included in each regression. All controls include indicators for boiler firing type, fly ash reinjection, heat recovery steam generator, indicators for standards of performance, age of boiler, efficiency 100% load, efficiency 50% load, air flow 100% load, max steam flow, turndown ratio, waste heat input, technology indicators, fuel type indicators, CAA attainment status, and NERC regions.</w:t>
            </w:r>
          </w:p>
        </w:tc>
      </w:tr>
    </w:tbl>
    <w:p w14:paraId="44DE2219" w14:textId="77777777" w:rsidR="009478ED" w:rsidRPr="007F37A0" w:rsidRDefault="009478ED" w:rsidP="009478ED">
      <w:pPr>
        <w:rPr>
          <w:rFonts w:ascii="Times New Roman" w:hAnsi="Times New Roman" w:cs="Times New Roman"/>
        </w:rPr>
      </w:pPr>
    </w:p>
    <w:p w14:paraId="18CEE43D" w14:textId="77777777" w:rsidR="009478ED" w:rsidRPr="007F37A0" w:rsidRDefault="009478ED" w:rsidP="009478ED">
      <w:pPr>
        <w:rPr>
          <w:rFonts w:ascii="Times New Roman" w:hAnsi="Times New Roman" w:cs="Times New Roman"/>
        </w:rPr>
      </w:pPr>
    </w:p>
    <w:p w14:paraId="5416B2C1" w14:textId="77777777" w:rsidR="009478ED" w:rsidRPr="007F37A0" w:rsidRDefault="009478ED" w:rsidP="009478ED">
      <w:pPr>
        <w:rPr>
          <w:rFonts w:ascii="Times New Roman" w:hAnsi="Times New Roman" w:cs="Times New Roman"/>
        </w:rPr>
      </w:pPr>
    </w:p>
    <w:p w14:paraId="05D4719B" w14:textId="77777777" w:rsidR="009478ED" w:rsidRPr="007F37A0" w:rsidRDefault="009478ED" w:rsidP="009478ED">
      <w:pPr>
        <w:rPr>
          <w:rFonts w:ascii="Times New Roman" w:hAnsi="Times New Roman" w:cs="Times New Roman"/>
        </w:rPr>
      </w:pPr>
    </w:p>
    <w:p w14:paraId="4216F278" w14:textId="77777777" w:rsidR="009478ED" w:rsidRPr="007F37A0" w:rsidRDefault="009478ED" w:rsidP="009478ED">
      <w:pPr>
        <w:rPr>
          <w:rFonts w:ascii="Times New Roman" w:hAnsi="Times New Roman" w:cs="Times New Roman"/>
        </w:rPr>
      </w:pPr>
    </w:p>
    <w:p w14:paraId="0560B10D" w14:textId="77777777" w:rsidR="009478ED" w:rsidRPr="007F37A0" w:rsidRDefault="009478ED" w:rsidP="009478ED">
      <w:pPr>
        <w:rPr>
          <w:rFonts w:ascii="Times New Roman" w:hAnsi="Times New Roman" w:cs="Times New Roman"/>
        </w:rPr>
      </w:pPr>
    </w:p>
    <w:p w14:paraId="6974EFD3" w14:textId="77777777" w:rsidR="009478ED" w:rsidRPr="007F37A0" w:rsidRDefault="009478ED" w:rsidP="009478ED">
      <w:pPr>
        <w:rPr>
          <w:rFonts w:ascii="Times New Roman" w:hAnsi="Times New Roman" w:cs="Times New Roman"/>
        </w:rPr>
      </w:pPr>
    </w:p>
    <w:p w14:paraId="46216305" w14:textId="77777777" w:rsidR="009478ED" w:rsidRPr="007F37A0" w:rsidRDefault="009478ED" w:rsidP="009478ED">
      <w:pPr>
        <w:rPr>
          <w:rFonts w:ascii="Times New Roman" w:hAnsi="Times New Roman" w:cs="Times New Roman"/>
        </w:rPr>
      </w:pPr>
    </w:p>
    <w:p w14:paraId="09E089D7" w14:textId="77777777" w:rsidR="009478ED" w:rsidRPr="007F37A0" w:rsidRDefault="009478ED" w:rsidP="009478ED">
      <w:pPr>
        <w:rPr>
          <w:rFonts w:ascii="Times New Roman" w:hAnsi="Times New Roman" w:cs="Times New Roman"/>
        </w:rPr>
      </w:pPr>
    </w:p>
    <w:p w14:paraId="0614BA7A" w14:textId="77777777" w:rsidR="009478ED" w:rsidRPr="007F37A0" w:rsidRDefault="009478ED" w:rsidP="009478ED">
      <w:pPr>
        <w:rPr>
          <w:rFonts w:ascii="Times New Roman" w:hAnsi="Times New Roman" w:cs="Times New Roman"/>
        </w:rPr>
      </w:pPr>
    </w:p>
    <w:p w14:paraId="644284BA" w14:textId="59B86465" w:rsidR="009478ED" w:rsidRPr="007F37A0" w:rsidRDefault="009478ED" w:rsidP="009478ED">
      <w:pPr>
        <w:rPr>
          <w:rFonts w:ascii="Times New Roman" w:hAnsi="Times New Roman" w:cs="Times New Roman"/>
        </w:rPr>
      </w:pPr>
      <w:bookmarkStart w:id="216" w:name="_Ref164533182"/>
      <w:bookmarkStart w:id="217" w:name="_Toc164862580"/>
      <w:r w:rsidRPr="007F37A0">
        <w:rPr>
          <w:rFonts w:ascii="Times New Roman" w:hAnsi="Times New Roman" w:cs="Times New Roman"/>
        </w:rPr>
        <w:lastRenderedPageBreak/>
        <w:t xml:space="preserve">Table </w:t>
      </w:r>
      <w:r w:rsidRPr="007F37A0">
        <w:rPr>
          <w:rFonts w:ascii="Times New Roman" w:hAnsi="Times New Roman" w:cs="Times New Roman"/>
        </w:rPr>
        <w:fldChar w:fldCharType="begin"/>
      </w:r>
      <w:r w:rsidRPr="007F37A0">
        <w:rPr>
          <w:rFonts w:ascii="Times New Roman" w:hAnsi="Times New Roman" w:cs="Times New Roman"/>
        </w:rPr>
        <w:instrText xml:space="preserve"> SEQ Table \* ARABIC </w:instrText>
      </w:r>
      <w:r w:rsidRPr="007F37A0">
        <w:rPr>
          <w:rFonts w:ascii="Times New Roman" w:hAnsi="Times New Roman" w:cs="Times New Roman"/>
        </w:rPr>
        <w:fldChar w:fldCharType="separate"/>
      </w:r>
      <w:r w:rsidR="00142A7E">
        <w:rPr>
          <w:rFonts w:ascii="Times New Roman" w:hAnsi="Times New Roman" w:cs="Times New Roman"/>
          <w:noProof/>
        </w:rPr>
        <w:t>45</w:t>
      </w:r>
      <w:r w:rsidRPr="007F37A0">
        <w:rPr>
          <w:rFonts w:ascii="Times New Roman" w:hAnsi="Times New Roman" w:cs="Times New Roman"/>
        </w:rPr>
        <w:fldChar w:fldCharType="end"/>
      </w:r>
      <w:bookmarkEnd w:id="216"/>
      <w:r w:rsidRPr="007F37A0">
        <w:rPr>
          <w:rFonts w:ascii="Times New Roman" w:hAnsi="Times New Roman" w:cs="Times New Roman"/>
        </w:rPr>
        <w:t>: Compliance Strategy by SO</w:t>
      </w:r>
      <w:r w:rsidRPr="007F37A0">
        <w:rPr>
          <w:rFonts w:ascii="Times New Roman" w:hAnsi="Times New Roman" w:cs="Times New Roman"/>
          <w:vertAlign w:val="subscript"/>
        </w:rPr>
        <w:t>2</w:t>
      </w:r>
      <w:r w:rsidRPr="007F37A0">
        <w:rPr>
          <w:rFonts w:ascii="Times New Roman" w:hAnsi="Times New Roman" w:cs="Times New Roman"/>
        </w:rPr>
        <w:t xml:space="preserve"> Treatment – Restricted Sample</w:t>
      </w:r>
      <w:bookmarkEnd w:id="217"/>
      <w:r w:rsidRPr="007F37A0">
        <w:rPr>
          <w:rFonts w:ascii="Times New Roman" w:hAnsi="Times New Roman" w:cs="Times New Roman"/>
        </w:rPr>
        <w:t xml:space="preserve"> </w:t>
      </w:r>
    </w:p>
    <w:tbl>
      <w:tblPr>
        <w:tblW w:w="9456" w:type="dxa"/>
        <w:jc w:val="center"/>
        <w:tblLook w:val="04A0" w:firstRow="1" w:lastRow="0" w:firstColumn="1" w:lastColumn="0" w:noHBand="0" w:noVBand="1"/>
      </w:tblPr>
      <w:tblGrid>
        <w:gridCol w:w="1890"/>
        <w:gridCol w:w="1530"/>
        <w:gridCol w:w="2250"/>
        <w:gridCol w:w="2340"/>
        <w:gridCol w:w="1446"/>
      </w:tblGrid>
      <w:tr w:rsidR="009478ED" w:rsidRPr="007F37A0" w14:paraId="036D6B30" w14:textId="77777777" w:rsidTr="00735871">
        <w:trPr>
          <w:gridAfter w:val="1"/>
          <w:wAfter w:w="1446" w:type="dxa"/>
          <w:trHeight w:val="270"/>
          <w:jc w:val="center"/>
        </w:trPr>
        <w:tc>
          <w:tcPr>
            <w:tcW w:w="1890" w:type="dxa"/>
            <w:tcBorders>
              <w:top w:val="single" w:sz="4" w:space="0" w:color="000000"/>
              <w:left w:val="nil"/>
              <w:bottom w:val="nil"/>
              <w:right w:val="nil"/>
            </w:tcBorders>
            <w:shd w:val="clear" w:color="auto" w:fill="auto"/>
            <w:noWrap/>
            <w:vAlign w:val="bottom"/>
            <w:hideMark/>
          </w:tcPr>
          <w:p w14:paraId="66EACC6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shd w:val="clear" w:color="auto" w:fill="auto"/>
            <w:noWrap/>
            <w:vAlign w:val="bottom"/>
            <w:hideMark/>
          </w:tcPr>
          <w:p w14:paraId="58B1714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0" w:type="dxa"/>
            <w:tcBorders>
              <w:top w:val="single" w:sz="4" w:space="0" w:color="000000"/>
              <w:left w:val="nil"/>
              <w:bottom w:val="nil"/>
              <w:right w:val="nil"/>
            </w:tcBorders>
            <w:shd w:val="clear" w:color="auto" w:fill="auto"/>
            <w:noWrap/>
            <w:vAlign w:val="bottom"/>
            <w:hideMark/>
          </w:tcPr>
          <w:p w14:paraId="2A53780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2340" w:type="dxa"/>
            <w:tcBorders>
              <w:top w:val="single" w:sz="4" w:space="0" w:color="000000"/>
              <w:left w:val="nil"/>
              <w:bottom w:val="nil"/>
              <w:right w:val="nil"/>
            </w:tcBorders>
            <w:shd w:val="clear" w:color="auto" w:fill="auto"/>
            <w:noWrap/>
            <w:vAlign w:val="bottom"/>
            <w:hideMark/>
          </w:tcPr>
          <w:p w14:paraId="5F315A9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r>
      <w:tr w:rsidR="009478ED" w:rsidRPr="007F37A0" w14:paraId="3FE10672" w14:textId="77777777" w:rsidTr="00735871">
        <w:trPr>
          <w:gridAfter w:val="1"/>
          <w:wAfter w:w="1446" w:type="dxa"/>
          <w:trHeight w:val="270"/>
          <w:jc w:val="center"/>
        </w:trPr>
        <w:tc>
          <w:tcPr>
            <w:tcW w:w="1890" w:type="dxa"/>
            <w:tcBorders>
              <w:top w:val="nil"/>
              <w:left w:val="nil"/>
              <w:bottom w:val="nil"/>
              <w:right w:val="nil"/>
            </w:tcBorders>
            <w:shd w:val="clear" w:color="auto" w:fill="auto"/>
            <w:noWrap/>
            <w:vAlign w:val="bottom"/>
            <w:hideMark/>
          </w:tcPr>
          <w:p w14:paraId="17B5CE7B"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34BF0772" w14:textId="77777777" w:rsidR="009478ED" w:rsidRPr="007F37A0" w:rsidRDefault="009478ED" w:rsidP="00735871">
            <w:pP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1F8D743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Fuel Switching</w:t>
            </w:r>
          </w:p>
        </w:tc>
        <w:tc>
          <w:tcPr>
            <w:tcW w:w="2250" w:type="dxa"/>
            <w:tcBorders>
              <w:top w:val="nil"/>
              <w:left w:val="nil"/>
              <w:bottom w:val="nil"/>
              <w:right w:val="nil"/>
            </w:tcBorders>
            <w:shd w:val="clear" w:color="auto" w:fill="auto"/>
            <w:noWrap/>
            <w:vAlign w:val="bottom"/>
            <w:hideMark/>
          </w:tcPr>
          <w:p w14:paraId="10AF0BC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Install New Technology (any)</w:t>
            </w:r>
          </w:p>
        </w:tc>
        <w:tc>
          <w:tcPr>
            <w:tcW w:w="2340" w:type="dxa"/>
            <w:tcBorders>
              <w:top w:val="nil"/>
              <w:left w:val="nil"/>
              <w:bottom w:val="nil"/>
              <w:right w:val="nil"/>
            </w:tcBorders>
            <w:shd w:val="clear" w:color="auto" w:fill="auto"/>
            <w:noWrap/>
            <w:vAlign w:val="bottom"/>
            <w:hideMark/>
          </w:tcPr>
          <w:p w14:paraId="266305C4"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Retirement</w:t>
            </w:r>
          </w:p>
        </w:tc>
      </w:tr>
      <w:tr w:rsidR="009478ED" w:rsidRPr="007F37A0" w14:paraId="4F5FC9AE" w14:textId="77777777" w:rsidTr="00735871">
        <w:trPr>
          <w:gridAfter w:val="1"/>
          <w:wAfter w:w="1446" w:type="dxa"/>
          <w:trHeight w:val="270"/>
          <w:jc w:val="center"/>
        </w:trPr>
        <w:tc>
          <w:tcPr>
            <w:tcW w:w="1890" w:type="dxa"/>
            <w:tcBorders>
              <w:top w:val="single" w:sz="4" w:space="0" w:color="000000"/>
              <w:left w:val="nil"/>
              <w:bottom w:val="nil"/>
              <w:right w:val="nil"/>
            </w:tcBorders>
            <w:shd w:val="clear" w:color="auto" w:fill="auto"/>
            <w:noWrap/>
            <w:vAlign w:val="bottom"/>
            <w:hideMark/>
          </w:tcPr>
          <w:p w14:paraId="36C11FE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530" w:type="dxa"/>
            <w:tcBorders>
              <w:top w:val="single" w:sz="4" w:space="0" w:color="000000"/>
              <w:left w:val="nil"/>
              <w:bottom w:val="nil"/>
              <w:right w:val="nil"/>
            </w:tcBorders>
            <w:shd w:val="clear" w:color="auto" w:fill="auto"/>
            <w:noWrap/>
            <w:vAlign w:val="bottom"/>
            <w:hideMark/>
          </w:tcPr>
          <w:p w14:paraId="29F0B3C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0" w:type="dxa"/>
            <w:tcBorders>
              <w:top w:val="single" w:sz="4" w:space="0" w:color="000000"/>
              <w:left w:val="nil"/>
              <w:bottom w:val="nil"/>
              <w:right w:val="nil"/>
            </w:tcBorders>
            <w:shd w:val="clear" w:color="auto" w:fill="auto"/>
            <w:noWrap/>
            <w:vAlign w:val="bottom"/>
            <w:hideMark/>
          </w:tcPr>
          <w:p w14:paraId="122CFC1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340" w:type="dxa"/>
            <w:tcBorders>
              <w:top w:val="single" w:sz="4" w:space="0" w:color="000000"/>
              <w:left w:val="nil"/>
              <w:bottom w:val="nil"/>
              <w:right w:val="nil"/>
            </w:tcBorders>
            <w:shd w:val="clear" w:color="auto" w:fill="auto"/>
            <w:noWrap/>
            <w:vAlign w:val="bottom"/>
            <w:hideMark/>
          </w:tcPr>
          <w:p w14:paraId="62CF8CF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26602A0E" w14:textId="77777777" w:rsidTr="00735871">
        <w:trPr>
          <w:gridAfter w:val="1"/>
          <w:wAfter w:w="1446" w:type="dxa"/>
          <w:trHeight w:val="270"/>
          <w:jc w:val="center"/>
        </w:trPr>
        <w:tc>
          <w:tcPr>
            <w:tcW w:w="1890" w:type="dxa"/>
            <w:tcBorders>
              <w:top w:val="nil"/>
              <w:left w:val="nil"/>
              <w:bottom w:val="nil"/>
              <w:right w:val="nil"/>
            </w:tcBorders>
            <w:shd w:val="clear" w:color="auto" w:fill="auto"/>
            <w:noWrap/>
            <w:vAlign w:val="bottom"/>
            <w:hideMark/>
          </w:tcPr>
          <w:p w14:paraId="28C8EBE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SO</w:t>
            </w:r>
            <w:r w:rsidRPr="007F37A0">
              <w:rPr>
                <w:rFonts w:ascii="Times New Roman" w:hAnsi="Times New Roman" w:cs="Times New Roman"/>
                <w:vertAlign w:val="subscript"/>
              </w:rPr>
              <w:t>2</w:t>
            </w:r>
            <w:r w:rsidRPr="007F37A0">
              <w:rPr>
                <w:rFonts w:ascii="Times New Roman" w:hAnsi="Times New Roman" w:cs="Times New Roman"/>
              </w:rPr>
              <w:t xml:space="preserve"> Treatment</w:t>
            </w:r>
          </w:p>
        </w:tc>
        <w:tc>
          <w:tcPr>
            <w:tcW w:w="1530" w:type="dxa"/>
            <w:tcBorders>
              <w:top w:val="nil"/>
              <w:left w:val="nil"/>
              <w:bottom w:val="nil"/>
              <w:right w:val="nil"/>
            </w:tcBorders>
            <w:shd w:val="clear" w:color="auto" w:fill="auto"/>
            <w:noWrap/>
            <w:vAlign w:val="bottom"/>
            <w:hideMark/>
          </w:tcPr>
          <w:p w14:paraId="3F0EF900"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0.019**</w:t>
            </w:r>
          </w:p>
        </w:tc>
        <w:tc>
          <w:tcPr>
            <w:tcW w:w="2250" w:type="dxa"/>
            <w:tcBorders>
              <w:top w:val="nil"/>
              <w:left w:val="nil"/>
              <w:bottom w:val="nil"/>
              <w:right w:val="nil"/>
            </w:tcBorders>
            <w:shd w:val="clear" w:color="auto" w:fill="auto"/>
            <w:noWrap/>
            <w:vAlign w:val="bottom"/>
            <w:hideMark/>
          </w:tcPr>
          <w:p w14:paraId="3C73470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2340" w:type="dxa"/>
            <w:tcBorders>
              <w:top w:val="nil"/>
              <w:left w:val="nil"/>
              <w:bottom w:val="nil"/>
              <w:right w:val="nil"/>
            </w:tcBorders>
            <w:shd w:val="clear" w:color="auto" w:fill="auto"/>
            <w:noWrap/>
            <w:vAlign w:val="bottom"/>
            <w:hideMark/>
          </w:tcPr>
          <w:p w14:paraId="2D796D3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40DBBE0A" w14:textId="77777777" w:rsidTr="00735871">
        <w:trPr>
          <w:gridAfter w:val="1"/>
          <w:wAfter w:w="1446" w:type="dxa"/>
          <w:trHeight w:val="270"/>
          <w:jc w:val="center"/>
        </w:trPr>
        <w:tc>
          <w:tcPr>
            <w:tcW w:w="1890" w:type="dxa"/>
            <w:tcBorders>
              <w:top w:val="nil"/>
              <w:left w:val="nil"/>
              <w:bottom w:val="nil"/>
              <w:right w:val="nil"/>
            </w:tcBorders>
            <w:shd w:val="clear" w:color="auto" w:fill="auto"/>
            <w:noWrap/>
            <w:vAlign w:val="bottom"/>
            <w:hideMark/>
          </w:tcPr>
          <w:p w14:paraId="523A28B6"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1C38AEDA"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(0.008)</w:t>
            </w:r>
          </w:p>
        </w:tc>
        <w:tc>
          <w:tcPr>
            <w:tcW w:w="2250" w:type="dxa"/>
            <w:tcBorders>
              <w:top w:val="nil"/>
              <w:left w:val="nil"/>
              <w:bottom w:val="nil"/>
              <w:right w:val="nil"/>
            </w:tcBorders>
            <w:shd w:val="clear" w:color="auto" w:fill="auto"/>
            <w:noWrap/>
            <w:vAlign w:val="bottom"/>
            <w:hideMark/>
          </w:tcPr>
          <w:p w14:paraId="4598A7C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2340" w:type="dxa"/>
            <w:tcBorders>
              <w:top w:val="nil"/>
              <w:left w:val="nil"/>
              <w:bottom w:val="nil"/>
              <w:right w:val="nil"/>
            </w:tcBorders>
            <w:shd w:val="clear" w:color="auto" w:fill="auto"/>
            <w:noWrap/>
            <w:vAlign w:val="bottom"/>
            <w:hideMark/>
          </w:tcPr>
          <w:p w14:paraId="0C695B2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4BF592C7" w14:textId="77777777" w:rsidTr="00735871">
        <w:trPr>
          <w:gridAfter w:val="1"/>
          <w:wAfter w:w="1446" w:type="dxa"/>
          <w:trHeight w:val="270"/>
          <w:jc w:val="center"/>
        </w:trPr>
        <w:tc>
          <w:tcPr>
            <w:tcW w:w="1890" w:type="dxa"/>
            <w:tcBorders>
              <w:top w:val="nil"/>
              <w:left w:val="nil"/>
              <w:bottom w:val="nil"/>
              <w:right w:val="nil"/>
            </w:tcBorders>
            <w:shd w:val="clear" w:color="auto" w:fill="auto"/>
            <w:noWrap/>
            <w:vAlign w:val="bottom"/>
            <w:hideMark/>
          </w:tcPr>
          <w:p w14:paraId="491666AA" w14:textId="77777777" w:rsidR="009478ED" w:rsidRPr="007F37A0" w:rsidRDefault="009478ED" w:rsidP="00735871">
            <w:pPr>
              <w:jc w:val="center"/>
              <w:rPr>
                <w:rFonts w:ascii="Times New Roman" w:hAnsi="Times New Roman" w:cs="Times New Roman"/>
              </w:rPr>
            </w:pPr>
          </w:p>
        </w:tc>
        <w:tc>
          <w:tcPr>
            <w:tcW w:w="1530" w:type="dxa"/>
            <w:tcBorders>
              <w:top w:val="nil"/>
              <w:left w:val="nil"/>
              <w:bottom w:val="nil"/>
              <w:right w:val="nil"/>
            </w:tcBorders>
            <w:shd w:val="clear" w:color="auto" w:fill="auto"/>
            <w:noWrap/>
            <w:vAlign w:val="bottom"/>
            <w:hideMark/>
          </w:tcPr>
          <w:p w14:paraId="7B6D6A36" w14:textId="77777777" w:rsidR="009478ED" w:rsidRPr="007F37A0" w:rsidRDefault="009478ED" w:rsidP="00735871">
            <w:pPr>
              <w:rPr>
                <w:rFonts w:ascii="Times New Roman" w:hAnsi="Times New Roman" w:cs="Times New Roman"/>
              </w:rPr>
            </w:pPr>
          </w:p>
        </w:tc>
        <w:tc>
          <w:tcPr>
            <w:tcW w:w="2250" w:type="dxa"/>
            <w:tcBorders>
              <w:top w:val="nil"/>
              <w:left w:val="nil"/>
              <w:bottom w:val="nil"/>
              <w:right w:val="nil"/>
            </w:tcBorders>
            <w:shd w:val="clear" w:color="auto" w:fill="auto"/>
            <w:noWrap/>
            <w:vAlign w:val="bottom"/>
            <w:hideMark/>
          </w:tcPr>
          <w:p w14:paraId="2F908D62" w14:textId="77777777" w:rsidR="009478ED" w:rsidRPr="007F37A0" w:rsidRDefault="009478ED" w:rsidP="00735871">
            <w:pPr>
              <w:jc w:val="center"/>
              <w:rPr>
                <w:rFonts w:ascii="Times New Roman" w:hAnsi="Times New Roman" w:cs="Times New Roman"/>
              </w:rPr>
            </w:pPr>
          </w:p>
        </w:tc>
        <w:tc>
          <w:tcPr>
            <w:tcW w:w="2340" w:type="dxa"/>
            <w:tcBorders>
              <w:top w:val="nil"/>
              <w:left w:val="nil"/>
              <w:bottom w:val="nil"/>
              <w:right w:val="nil"/>
            </w:tcBorders>
            <w:shd w:val="clear" w:color="auto" w:fill="auto"/>
            <w:noWrap/>
            <w:vAlign w:val="bottom"/>
            <w:hideMark/>
          </w:tcPr>
          <w:p w14:paraId="578CB481" w14:textId="77777777" w:rsidR="009478ED" w:rsidRPr="007F37A0" w:rsidRDefault="009478ED" w:rsidP="00735871">
            <w:pPr>
              <w:jc w:val="center"/>
              <w:rPr>
                <w:rFonts w:ascii="Times New Roman" w:hAnsi="Times New Roman" w:cs="Times New Roman"/>
              </w:rPr>
            </w:pPr>
          </w:p>
        </w:tc>
      </w:tr>
      <w:tr w:rsidR="009478ED" w:rsidRPr="007F37A0" w14:paraId="3A2F388D" w14:textId="77777777" w:rsidTr="00735871">
        <w:trPr>
          <w:gridAfter w:val="1"/>
          <w:wAfter w:w="1446" w:type="dxa"/>
          <w:trHeight w:val="270"/>
          <w:jc w:val="center"/>
        </w:trPr>
        <w:tc>
          <w:tcPr>
            <w:tcW w:w="1890" w:type="dxa"/>
            <w:tcBorders>
              <w:top w:val="nil"/>
              <w:left w:val="nil"/>
              <w:bottom w:val="nil"/>
              <w:right w:val="nil"/>
            </w:tcBorders>
            <w:shd w:val="clear" w:color="auto" w:fill="auto"/>
            <w:noWrap/>
            <w:vAlign w:val="bottom"/>
            <w:hideMark/>
          </w:tcPr>
          <w:p w14:paraId="270CB4E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530" w:type="dxa"/>
            <w:tcBorders>
              <w:top w:val="nil"/>
              <w:left w:val="nil"/>
              <w:bottom w:val="nil"/>
              <w:right w:val="nil"/>
            </w:tcBorders>
            <w:shd w:val="clear" w:color="auto" w:fill="auto"/>
            <w:noWrap/>
            <w:vAlign w:val="bottom"/>
            <w:hideMark/>
          </w:tcPr>
          <w:p w14:paraId="2D860A1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17,333</w:t>
            </w:r>
          </w:p>
        </w:tc>
        <w:tc>
          <w:tcPr>
            <w:tcW w:w="2250" w:type="dxa"/>
            <w:tcBorders>
              <w:top w:val="nil"/>
              <w:left w:val="nil"/>
              <w:bottom w:val="nil"/>
              <w:right w:val="nil"/>
            </w:tcBorders>
            <w:shd w:val="clear" w:color="auto" w:fill="auto"/>
            <w:noWrap/>
            <w:vAlign w:val="bottom"/>
            <w:hideMark/>
          </w:tcPr>
          <w:p w14:paraId="0A3E095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9,235</w:t>
            </w:r>
          </w:p>
        </w:tc>
        <w:tc>
          <w:tcPr>
            <w:tcW w:w="2340" w:type="dxa"/>
            <w:tcBorders>
              <w:top w:val="nil"/>
              <w:left w:val="nil"/>
              <w:bottom w:val="nil"/>
              <w:right w:val="nil"/>
            </w:tcBorders>
            <w:shd w:val="clear" w:color="auto" w:fill="auto"/>
            <w:noWrap/>
            <w:vAlign w:val="bottom"/>
            <w:hideMark/>
          </w:tcPr>
          <w:p w14:paraId="08F8570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18,236</w:t>
            </w:r>
          </w:p>
        </w:tc>
      </w:tr>
      <w:tr w:rsidR="009478ED" w:rsidRPr="007F37A0" w14:paraId="0CB0ABAD" w14:textId="77777777" w:rsidTr="00735871">
        <w:trPr>
          <w:gridAfter w:val="1"/>
          <w:wAfter w:w="1446" w:type="dxa"/>
          <w:trHeight w:val="270"/>
          <w:jc w:val="center"/>
        </w:trPr>
        <w:tc>
          <w:tcPr>
            <w:tcW w:w="1890" w:type="dxa"/>
            <w:tcBorders>
              <w:top w:val="nil"/>
              <w:left w:val="nil"/>
              <w:right w:val="nil"/>
            </w:tcBorders>
            <w:shd w:val="clear" w:color="auto" w:fill="auto"/>
            <w:noWrap/>
            <w:vAlign w:val="bottom"/>
            <w:hideMark/>
          </w:tcPr>
          <w:p w14:paraId="40995BF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530" w:type="dxa"/>
            <w:tcBorders>
              <w:top w:val="nil"/>
              <w:left w:val="nil"/>
              <w:right w:val="nil"/>
            </w:tcBorders>
            <w:shd w:val="clear" w:color="auto" w:fill="auto"/>
            <w:noWrap/>
            <w:vAlign w:val="bottom"/>
            <w:hideMark/>
          </w:tcPr>
          <w:p w14:paraId="566A6F1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0" w:type="dxa"/>
            <w:tcBorders>
              <w:top w:val="nil"/>
              <w:left w:val="nil"/>
              <w:right w:val="nil"/>
            </w:tcBorders>
            <w:shd w:val="clear" w:color="auto" w:fill="auto"/>
            <w:noWrap/>
            <w:vAlign w:val="bottom"/>
            <w:hideMark/>
          </w:tcPr>
          <w:p w14:paraId="4C34CD6D"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340" w:type="dxa"/>
            <w:tcBorders>
              <w:top w:val="nil"/>
              <w:left w:val="nil"/>
              <w:right w:val="nil"/>
            </w:tcBorders>
            <w:shd w:val="clear" w:color="auto" w:fill="auto"/>
            <w:noWrap/>
            <w:vAlign w:val="bottom"/>
            <w:hideMark/>
          </w:tcPr>
          <w:p w14:paraId="20B9A30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5B297036" w14:textId="77777777" w:rsidTr="00735871">
        <w:trPr>
          <w:gridAfter w:val="1"/>
          <w:wAfter w:w="1446" w:type="dxa"/>
          <w:trHeight w:val="270"/>
          <w:jc w:val="center"/>
        </w:trPr>
        <w:tc>
          <w:tcPr>
            <w:tcW w:w="1890" w:type="dxa"/>
            <w:tcBorders>
              <w:top w:val="nil"/>
              <w:left w:val="nil"/>
              <w:bottom w:val="single" w:sz="4" w:space="0" w:color="auto"/>
              <w:right w:val="nil"/>
            </w:tcBorders>
            <w:shd w:val="clear" w:color="auto" w:fill="auto"/>
            <w:noWrap/>
            <w:vAlign w:val="bottom"/>
            <w:hideMark/>
          </w:tcPr>
          <w:p w14:paraId="70B6B4A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530" w:type="dxa"/>
            <w:tcBorders>
              <w:top w:val="nil"/>
              <w:left w:val="nil"/>
              <w:bottom w:val="single" w:sz="4" w:space="0" w:color="auto"/>
              <w:right w:val="nil"/>
            </w:tcBorders>
            <w:shd w:val="clear" w:color="auto" w:fill="auto"/>
            <w:noWrap/>
            <w:vAlign w:val="bottom"/>
            <w:hideMark/>
          </w:tcPr>
          <w:p w14:paraId="2C3E773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0" w:type="dxa"/>
            <w:tcBorders>
              <w:top w:val="nil"/>
              <w:left w:val="nil"/>
              <w:bottom w:val="single" w:sz="4" w:space="0" w:color="auto"/>
              <w:right w:val="nil"/>
            </w:tcBorders>
            <w:shd w:val="clear" w:color="auto" w:fill="auto"/>
            <w:noWrap/>
            <w:vAlign w:val="bottom"/>
            <w:hideMark/>
          </w:tcPr>
          <w:p w14:paraId="736F4F9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340" w:type="dxa"/>
            <w:tcBorders>
              <w:top w:val="nil"/>
              <w:left w:val="nil"/>
              <w:bottom w:val="single" w:sz="4" w:space="0" w:color="auto"/>
              <w:right w:val="nil"/>
            </w:tcBorders>
            <w:shd w:val="clear" w:color="auto" w:fill="auto"/>
            <w:noWrap/>
            <w:vAlign w:val="bottom"/>
            <w:hideMark/>
          </w:tcPr>
          <w:p w14:paraId="104C536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CFC5713" w14:textId="77777777" w:rsidTr="00735871">
        <w:trPr>
          <w:trHeight w:val="270"/>
          <w:jc w:val="center"/>
        </w:trPr>
        <w:tc>
          <w:tcPr>
            <w:tcW w:w="8010" w:type="dxa"/>
            <w:gridSpan w:val="4"/>
            <w:tcBorders>
              <w:top w:val="single" w:sz="4" w:space="0" w:color="auto"/>
              <w:left w:val="nil"/>
              <w:bottom w:val="nil"/>
              <w:right w:val="nil"/>
            </w:tcBorders>
            <w:shd w:val="clear" w:color="auto" w:fill="auto"/>
            <w:noWrap/>
            <w:vAlign w:val="bottom"/>
            <w:hideMark/>
          </w:tcPr>
          <w:p w14:paraId="5FC2ABD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p w14:paraId="4A48653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Efficiency 100% load and efficiency 50% load control variables were dropped for convergence.</w:t>
            </w:r>
          </w:p>
        </w:tc>
        <w:tc>
          <w:tcPr>
            <w:tcW w:w="1446" w:type="dxa"/>
            <w:tcBorders>
              <w:top w:val="nil"/>
              <w:left w:val="nil"/>
              <w:bottom w:val="nil"/>
              <w:right w:val="nil"/>
            </w:tcBorders>
            <w:shd w:val="clear" w:color="auto" w:fill="auto"/>
            <w:noWrap/>
            <w:vAlign w:val="bottom"/>
            <w:hideMark/>
          </w:tcPr>
          <w:p w14:paraId="565F318A" w14:textId="77777777" w:rsidR="009478ED" w:rsidRPr="007F37A0" w:rsidRDefault="009478ED" w:rsidP="00735871">
            <w:pPr>
              <w:rPr>
                <w:rFonts w:ascii="Times New Roman" w:hAnsi="Times New Roman" w:cs="Times New Roman"/>
              </w:rPr>
            </w:pPr>
          </w:p>
        </w:tc>
      </w:tr>
      <w:tr w:rsidR="009478ED" w:rsidRPr="007F37A0" w14:paraId="3529AE51" w14:textId="77777777" w:rsidTr="00735871">
        <w:trPr>
          <w:gridAfter w:val="1"/>
          <w:wAfter w:w="1446" w:type="dxa"/>
          <w:trHeight w:val="270"/>
          <w:jc w:val="center"/>
        </w:trPr>
        <w:tc>
          <w:tcPr>
            <w:tcW w:w="8010" w:type="dxa"/>
            <w:gridSpan w:val="4"/>
            <w:tcBorders>
              <w:top w:val="nil"/>
              <w:left w:val="nil"/>
              <w:bottom w:val="nil"/>
              <w:right w:val="nil"/>
            </w:tcBorders>
            <w:shd w:val="clear" w:color="auto" w:fill="auto"/>
            <w:noWrap/>
            <w:vAlign w:val="bottom"/>
            <w:hideMark/>
          </w:tcPr>
          <w:p w14:paraId="17A52283"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boiler retirement at the annual level for 2009-2022. SO</w:t>
            </w:r>
            <w:r w:rsidRPr="007F37A0">
              <w:rPr>
                <w:rFonts w:ascii="Times New Roman" w:hAnsi="Times New Roman" w:cs="Times New Roman"/>
                <w:vertAlign w:val="subscript"/>
              </w:rPr>
              <w:t>2</w:t>
            </w:r>
            <w:r w:rsidRPr="007F37A0">
              <w:rPr>
                <w:rFonts w:ascii="Times New Roman" w:hAnsi="Times New Roman" w:cs="Times New Roman"/>
              </w:rPr>
              <w:t xml:space="preserve"> treatment is an indicator variable for treatment under either CAIR or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age of boiler, efficiency 100% load, efficiency 50% load, air flow 100% load, max steam flow, turndown ratio, waste heat input, CAA attainment status, and NERC regions. Technology controls refers to wet, dry, particulate, selective noncatalytic reduction, selective catalytic reduction, and other technology indicators previously described. Fuel controls include indicators for each fuel type listed by the EIA.</w:t>
            </w:r>
          </w:p>
        </w:tc>
      </w:tr>
    </w:tbl>
    <w:p w14:paraId="1B113225" w14:textId="77777777" w:rsidR="009478ED" w:rsidRPr="007F37A0" w:rsidRDefault="009478ED" w:rsidP="009478ED">
      <w:pPr>
        <w:rPr>
          <w:rFonts w:ascii="Times New Roman" w:hAnsi="Times New Roman" w:cs="Times New Roman"/>
        </w:rPr>
      </w:pPr>
    </w:p>
    <w:p w14:paraId="7DBD6B50" w14:textId="77777777" w:rsidR="009478ED" w:rsidRPr="007F37A0" w:rsidRDefault="009478ED" w:rsidP="009478ED">
      <w:pPr>
        <w:rPr>
          <w:rFonts w:ascii="Times New Roman" w:hAnsi="Times New Roman" w:cs="Times New Roman"/>
        </w:rPr>
      </w:pPr>
    </w:p>
    <w:p w14:paraId="66CACCE7" w14:textId="77777777" w:rsidR="009478ED" w:rsidRPr="007F37A0" w:rsidRDefault="009478ED" w:rsidP="009478ED">
      <w:pPr>
        <w:rPr>
          <w:rFonts w:ascii="Times New Roman" w:hAnsi="Times New Roman" w:cs="Times New Roman"/>
        </w:rPr>
      </w:pPr>
    </w:p>
    <w:p w14:paraId="0D23A90A" w14:textId="77777777" w:rsidR="009478ED" w:rsidRPr="007F37A0" w:rsidRDefault="009478ED" w:rsidP="009478ED">
      <w:pPr>
        <w:rPr>
          <w:rFonts w:ascii="Times New Roman" w:hAnsi="Times New Roman" w:cs="Times New Roman"/>
        </w:rPr>
      </w:pPr>
    </w:p>
    <w:p w14:paraId="2C18A66C" w14:textId="77777777" w:rsidR="009478ED" w:rsidRPr="007F37A0" w:rsidRDefault="009478ED" w:rsidP="009478ED">
      <w:pPr>
        <w:rPr>
          <w:rFonts w:ascii="Times New Roman" w:hAnsi="Times New Roman" w:cs="Times New Roman"/>
        </w:rPr>
      </w:pPr>
    </w:p>
    <w:p w14:paraId="48B54324" w14:textId="77777777" w:rsidR="009478ED" w:rsidRPr="007F37A0" w:rsidRDefault="009478ED" w:rsidP="009478ED">
      <w:pPr>
        <w:rPr>
          <w:rFonts w:ascii="Times New Roman" w:hAnsi="Times New Roman" w:cs="Times New Roman"/>
        </w:rPr>
      </w:pPr>
    </w:p>
    <w:p w14:paraId="6CDDA7F9" w14:textId="77777777" w:rsidR="009478ED" w:rsidRPr="007F37A0" w:rsidRDefault="009478ED" w:rsidP="009478ED">
      <w:pPr>
        <w:rPr>
          <w:rFonts w:ascii="Times New Roman" w:hAnsi="Times New Roman" w:cs="Times New Roman"/>
        </w:rPr>
      </w:pPr>
    </w:p>
    <w:p w14:paraId="0E81EAE1" w14:textId="77777777" w:rsidR="009478ED" w:rsidRPr="007F37A0" w:rsidRDefault="009478ED" w:rsidP="009478ED">
      <w:pPr>
        <w:rPr>
          <w:rFonts w:ascii="Times New Roman" w:hAnsi="Times New Roman" w:cs="Times New Roman"/>
        </w:rPr>
      </w:pPr>
    </w:p>
    <w:p w14:paraId="291C711D" w14:textId="77777777" w:rsidR="009478ED" w:rsidRPr="007F37A0" w:rsidRDefault="009478ED" w:rsidP="009478ED">
      <w:pPr>
        <w:rPr>
          <w:rFonts w:ascii="Times New Roman" w:hAnsi="Times New Roman" w:cs="Times New Roman"/>
        </w:rPr>
      </w:pPr>
    </w:p>
    <w:p w14:paraId="432C21ED" w14:textId="77777777" w:rsidR="009478ED" w:rsidRPr="007F37A0" w:rsidRDefault="009478ED" w:rsidP="009478ED">
      <w:pPr>
        <w:rPr>
          <w:rFonts w:ascii="Times New Roman" w:hAnsi="Times New Roman" w:cs="Times New Roman"/>
        </w:rPr>
      </w:pPr>
    </w:p>
    <w:p w14:paraId="0F1E6A60" w14:textId="5E72F4C5" w:rsidR="009478ED" w:rsidRPr="007F37A0" w:rsidRDefault="009478ED" w:rsidP="009478ED">
      <w:pPr>
        <w:rPr>
          <w:rFonts w:ascii="Times New Roman" w:hAnsi="Times New Roman" w:cs="Times New Roman"/>
        </w:rPr>
      </w:pPr>
      <w:bookmarkStart w:id="218" w:name="_Ref164533185"/>
      <w:bookmarkStart w:id="219" w:name="_Toc164862581"/>
      <w:r w:rsidRPr="007F37A0">
        <w:rPr>
          <w:rFonts w:ascii="Times New Roman" w:hAnsi="Times New Roman" w:cs="Times New Roman"/>
        </w:rPr>
        <w:lastRenderedPageBreak/>
        <w:t xml:space="preserve">Table </w:t>
      </w:r>
      <w:r w:rsidRPr="007F37A0">
        <w:rPr>
          <w:rFonts w:ascii="Times New Roman" w:hAnsi="Times New Roman" w:cs="Times New Roman"/>
        </w:rPr>
        <w:fldChar w:fldCharType="begin"/>
      </w:r>
      <w:r w:rsidRPr="007F37A0">
        <w:rPr>
          <w:rFonts w:ascii="Times New Roman" w:hAnsi="Times New Roman" w:cs="Times New Roman"/>
        </w:rPr>
        <w:instrText xml:space="preserve"> SEQ Table \* ARABIC </w:instrText>
      </w:r>
      <w:r w:rsidRPr="007F37A0">
        <w:rPr>
          <w:rFonts w:ascii="Times New Roman" w:hAnsi="Times New Roman" w:cs="Times New Roman"/>
        </w:rPr>
        <w:fldChar w:fldCharType="separate"/>
      </w:r>
      <w:r w:rsidR="00142A7E">
        <w:rPr>
          <w:rFonts w:ascii="Times New Roman" w:hAnsi="Times New Roman" w:cs="Times New Roman"/>
          <w:noProof/>
        </w:rPr>
        <w:t>46</w:t>
      </w:r>
      <w:r w:rsidRPr="007F37A0">
        <w:rPr>
          <w:rFonts w:ascii="Times New Roman" w:hAnsi="Times New Roman" w:cs="Times New Roman"/>
        </w:rPr>
        <w:fldChar w:fldCharType="end"/>
      </w:r>
      <w:bookmarkEnd w:id="218"/>
      <w:r w:rsidRPr="007F37A0">
        <w:rPr>
          <w:rFonts w:ascii="Times New Roman" w:hAnsi="Times New Roman" w:cs="Times New Roman"/>
        </w:rPr>
        <w:t>: Compliance Strategy by NO</w:t>
      </w:r>
      <w:r w:rsidRPr="007F37A0">
        <w:rPr>
          <w:rFonts w:ascii="Times New Roman" w:hAnsi="Times New Roman" w:cs="Times New Roman"/>
          <w:vertAlign w:val="subscript"/>
        </w:rPr>
        <w:t>x</w:t>
      </w:r>
      <w:r w:rsidRPr="007F37A0">
        <w:rPr>
          <w:rFonts w:ascii="Times New Roman" w:hAnsi="Times New Roman" w:cs="Times New Roman"/>
        </w:rPr>
        <w:t xml:space="preserve"> Treatment – Restricted Sample</w:t>
      </w:r>
      <w:bookmarkEnd w:id="219"/>
      <w:r w:rsidRPr="007F37A0">
        <w:rPr>
          <w:rFonts w:ascii="Times New Roman" w:hAnsi="Times New Roman" w:cs="Times New Roman"/>
        </w:rPr>
        <w:t xml:space="preserve"> </w:t>
      </w:r>
    </w:p>
    <w:tbl>
      <w:tblPr>
        <w:tblW w:w="9116" w:type="dxa"/>
        <w:jc w:val="center"/>
        <w:tblLook w:val="04A0" w:firstRow="1" w:lastRow="0" w:firstColumn="1" w:lastColumn="0" w:noHBand="0" w:noVBand="1"/>
      </w:tblPr>
      <w:tblGrid>
        <w:gridCol w:w="1890"/>
        <w:gridCol w:w="1190"/>
        <w:gridCol w:w="2250"/>
        <w:gridCol w:w="2320"/>
        <w:gridCol w:w="1466"/>
      </w:tblGrid>
      <w:tr w:rsidR="009478ED" w:rsidRPr="007F37A0" w14:paraId="28A83BEC" w14:textId="77777777" w:rsidTr="00735871">
        <w:trPr>
          <w:gridAfter w:val="1"/>
          <w:wAfter w:w="1466" w:type="dxa"/>
          <w:trHeight w:val="270"/>
          <w:jc w:val="center"/>
        </w:trPr>
        <w:tc>
          <w:tcPr>
            <w:tcW w:w="1890" w:type="dxa"/>
            <w:tcBorders>
              <w:top w:val="single" w:sz="4" w:space="0" w:color="000000"/>
              <w:left w:val="nil"/>
              <w:bottom w:val="nil"/>
              <w:right w:val="nil"/>
            </w:tcBorders>
            <w:shd w:val="clear" w:color="auto" w:fill="auto"/>
            <w:noWrap/>
            <w:vAlign w:val="bottom"/>
            <w:hideMark/>
          </w:tcPr>
          <w:p w14:paraId="1CE3A03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90" w:type="dxa"/>
            <w:tcBorders>
              <w:top w:val="single" w:sz="4" w:space="0" w:color="000000"/>
              <w:left w:val="nil"/>
              <w:bottom w:val="nil"/>
              <w:right w:val="nil"/>
            </w:tcBorders>
            <w:shd w:val="clear" w:color="auto" w:fill="auto"/>
            <w:noWrap/>
            <w:vAlign w:val="bottom"/>
            <w:hideMark/>
          </w:tcPr>
          <w:p w14:paraId="638658C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w:t>
            </w:r>
          </w:p>
        </w:tc>
        <w:tc>
          <w:tcPr>
            <w:tcW w:w="2250" w:type="dxa"/>
            <w:tcBorders>
              <w:top w:val="single" w:sz="4" w:space="0" w:color="000000"/>
              <w:left w:val="nil"/>
              <w:bottom w:val="nil"/>
              <w:right w:val="nil"/>
            </w:tcBorders>
            <w:shd w:val="clear" w:color="auto" w:fill="auto"/>
            <w:noWrap/>
            <w:vAlign w:val="bottom"/>
            <w:hideMark/>
          </w:tcPr>
          <w:p w14:paraId="34090C0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(2)</w:t>
            </w:r>
          </w:p>
        </w:tc>
        <w:tc>
          <w:tcPr>
            <w:tcW w:w="2320" w:type="dxa"/>
            <w:tcBorders>
              <w:top w:val="single" w:sz="4" w:space="0" w:color="000000"/>
              <w:left w:val="nil"/>
              <w:bottom w:val="nil"/>
              <w:right w:val="nil"/>
            </w:tcBorders>
            <w:shd w:val="clear" w:color="auto" w:fill="auto"/>
            <w:noWrap/>
            <w:vAlign w:val="bottom"/>
            <w:hideMark/>
          </w:tcPr>
          <w:p w14:paraId="5A206AA6"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(3)</w:t>
            </w:r>
          </w:p>
        </w:tc>
      </w:tr>
      <w:tr w:rsidR="009478ED" w:rsidRPr="007F37A0" w14:paraId="1F19B779" w14:textId="77777777" w:rsidTr="00735871">
        <w:trPr>
          <w:gridAfter w:val="1"/>
          <w:wAfter w:w="1466" w:type="dxa"/>
          <w:trHeight w:val="270"/>
          <w:jc w:val="center"/>
        </w:trPr>
        <w:tc>
          <w:tcPr>
            <w:tcW w:w="1890" w:type="dxa"/>
            <w:tcBorders>
              <w:top w:val="nil"/>
              <w:left w:val="nil"/>
              <w:bottom w:val="nil"/>
              <w:right w:val="nil"/>
            </w:tcBorders>
            <w:shd w:val="clear" w:color="auto" w:fill="auto"/>
            <w:noWrap/>
            <w:vAlign w:val="bottom"/>
            <w:hideMark/>
          </w:tcPr>
          <w:p w14:paraId="590F8980"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xml:space="preserve">Dependent Var: </w:t>
            </w:r>
          </w:p>
          <w:p w14:paraId="441AD941" w14:textId="77777777" w:rsidR="009478ED" w:rsidRPr="007F37A0" w:rsidRDefault="009478ED" w:rsidP="00735871">
            <w:pPr>
              <w:rPr>
                <w:rFonts w:ascii="Times New Roman" w:hAnsi="Times New Roman" w:cs="Times New Roman"/>
              </w:rPr>
            </w:pPr>
          </w:p>
        </w:tc>
        <w:tc>
          <w:tcPr>
            <w:tcW w:w="1190" w:type="dxa"/>
            <w:tcBorders>
              <w:top w:val="nil"/>
              <w:left w:val="nil"/>
              <w:bottom w:val="nil"/>
              <w:right w:val="nil"/>
            </w:tcBorders>
            <w:shd w:val="clear" w:color="auto" w:fill="auto"/>
            <w:noWrap/>
            <w:vAlign w:val="bottom"/>
            <w:hideMark/>
          </w:tcPr>
          <w:p w14:paraId="550D5FB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Fuel Switching</w:t>
            </w:r>
          </w:p>
        </w:tc>
        <w:tc>
          <w:tcPr>
            <w:tcW w:w="2250" w:type="dxa"/>
            <w:tcBorders>
              <w:top w:val="nil"/>
              <w:left w:val="nil"/>
              <w:bottom w:val="nil"/>
              <w:right w:val="nil"/>
            </w:tcBorders>
            <w:shd w:val="clear" w:color="auto" w:fill="auto"/>
            <w:noWrap/>
            <w:vAlign w:val="bottom"/>
            <w:hideMark/>
          </w:tcPr>
          <w:p w14:paraId="7D1DC5C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Install New Technology (any)</w:t>
            </w:r>
          </w:p>
        </w:tc>
        <w:tc>
          <w:tcPr>
            <w:tcW w:w="2320" w:type="dxa"/>
            <w:tcBorders>
              <w:top w:val="nil"/>
              <w:left w:val="nil"/>
              <w:bottom w:val="nil"/>
              <w:right w:val="nil"/>
            </w:tcBorders>
            <w:shd w:val="clear" w:color="auto" w:fill="auto"/>
            <w:noWrap/>
            <w:vAlign w:val="bottom"/>
            <w:hideMark/>
          </w:tcPr>
          <w:p w14:paraId="7A3A068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Retirement</w:t>
            </w:r>
          </w:p>
        </w:tc>
      </w:tr>
      <w:tr w:rsidR="009478ED" w:rsidRPr="007F37A0" w14:paraId="20AB39E5" w14:textId="77777777" w:rsidTr="00735871">
        <w:trPr>
          <w:gridAfter w:val="1"/>
          <w:wAfter w:w="1466" w:type="dxa"/>
          <w:trHeight w:val="270"/>
          <w:jc w:val="center"/>
        </w:trPr>
        <w:tc>
          <w:tcPr>
            <w:tcW w:w="1890" w:type="dxa"/>
            <w:tcBorders>
              <w:top w:val="single" w:sz="4" w:space="0" w:color="000000"/>
              <w:left w:val="nil"/>
              <w:bottom w:val="nil"/>
              <w:right w:val="nil"/>
            </w:tcBorders>
            <w:shd w:val="clear" w:color="auto" w:fill="auto"/>
            <w:noWrap/>
            <w:vAlign w:val="bottom"/>
            <w:hideMark/>
          </w:tcPr>
          <w:p w14:paraId="38A0609E"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w:t>
            </w:r>
          </w:p>
        </w:tc>
        <w:tc>
          <w:tcPr>
            <w:tcW w:w="1190" w:type="dxa"/>
            <w:tcBorders>
              <w:top w:val="single" w:sz="4" w:space="0" w:color="000000"/>
              <w:left w:val="nil"/>
              <w:bottom w:val="nil"/>
              <w:right w:val="nil"/>
            </w:tcBorders>
            <w:shd w:val="clear" w:color="auto" w:fill="auto"/>
            <w:noWrap/>
            <w:vAlign w:val="bottom"/>
            <w:hideMark/>
          </w:tcPr>
          <w:p w14:paraId="7BA7680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250" w:type="dxa"/>
            <w:tcBorders>
              <w:top w:val="single" w:sz="4" w:space="0" w:color="000000"/>
              <w:left w:val="nil"/>
              <w:bottom w:val="nil"/>
              <w:right w:val="nil"/>
            </w:tcBorders>
            <w:shd w:val="clear" w:color="auto" w:fill="auto"/>
            <w:noWrap/>
            <w:vAlign w:val="bottom"/>
            <w:hideMark/>
          </w:tcPr>
          <w:p w14:paraId="604FFF68"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c>
          <w:tcPr>
            <w:tcW w:w="2320" w:type="dxa"/>
            <w:tcBorders>
              <w:top w:val="single" w:sz="4" w:space="0" w:color="000000"/>
              <w:left w:val="nil"/>
              <w:bottom w:val="nil"/>
              <w:right w:val="nil"/>
            </w:tcBorders>
            <w:shd w:val="clear" w:color="auto" w:fill="auto"/>
            <w:noWrap/>
            <w:vAlign w:val="bottom"/>
            <w:hideMark/>
          </w:tcPr>
          <w:p w14:paraId="780631A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 </w:t>
            </w:r>
          </w:p>
        </w:tc>
      </w:tr>
      <w:tr w:rsidR="009478ED" w:rsidRPr="007F37A0" w14:paraId="3FB5C9B8" w14:textId="77777777" w:rsidTr="00735871">
        <w:trPr>
          <w:gridAfter w:val="1"/>
          <w:wAfter w:w="1466" w:type="dxa"/>
          <w:trHeight w:val="270"/>
          <w:jc w:val="center"/>
        </w:trPr>
        <w:tc>
          <w:tcPr>
            <w:tcW w:w="1890" w:type="dxa"/>
            <w:tcBorders>
              <w:top w:val="nil"/>
              <w:left w:val="nil"/>
              <w:bottom w:val="nil"/>
              <w:right w:val="nil"/>
            </w:tcBorders>
            <w:shd w:val="clear" w:color="auto" w:fill="auto"/>
            <w:noWrap/>
            <w:vAlign w:val="bottom"/>
            <w:hideMark/>
          </w:tcPr>
          <w:p w14:paraId="63D8CD72"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NO</w:t>
            </w:r>
            <w:r w:rsidRPr="007F37A0">
              <w:rPr>
                <w:rFonts w:ascii="Times New Roman" w:hAnsi="Times New Roman" w:cs="Times New Roman"/>
                <w:vertAlign w:val="subscript"/>
              </w:rPr>
              <w:t>x</w:t>
            </w:r>
            <w:r w:rsidRPr="007F37A0">
              <w:rPr>
                <w:rFonts w:ascii="Times New Roman" w:hAnsi="Times New Roman" w:cs="Times New Roman"/>
              </w:rPr>
              <w:t xml:space="preserve"> Treatment</w:t>
            </w:r>
          </w:p>
        </w:tc>
        <w:tc>
          <w:tcPr>
            <w:tcW w:w="1190" w:type="dxa"/>
            <w:tcBorders>
              <w:top w:val="nil"/>
              <w:left w:val="nil"/>
              <w:bottom w:val="nil"/>
              <w:right w:val="nil"/>
            </w:tcBorders>
            <w:shd w:val="clear" w:color="auto" w:fill="auto"/>
            <w:noWrap/>
            <w:vAlign w:val="bottom"/>
            <w:hideMark/>
          </w:tcPr>
          <w:p w14:paraId="0F4E84A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0.007</w:t>
            </w:r>
          </w:p>
        </w:tc>
        <w:tc>
          <w:tcPr>
            <w:tcW w:w="2250" w:type="dxa"/>
            <w:tcBorders>
              <w:top w:val="nil"/>
              <w:left w:val="nil"/>
              <w:bottom w:val="nil"/>
              <w:right w:val="nil"/>
            </w:tcBorders>
            <w:shd w:val="clear" w:color="auto" w:fill="auto"/>
            <w:noWrap/>
            <w:vAlign w:val="bottom"/>
            <w:hideMark/>
          </w:tcPr>
          <w:p w14:paraId="5243C645"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2320" w:type="dxa"/>
            <w:tcBorders>
              <w:top w:val="nil"/>
              <w:left w:val="nil"/>
              <w:bottom w:val="nil"/>
              <w:right w:val="nil"/>
            </w:tcBorders>
            <w:shd w:val="clear" w:color="auto" w:fill="auto"/>
            <w:noWrap/>
            <w:vAlign w:val="bottom"/>
            <w:hideMark/>
          </w:tcPr>
          <w:p w14:paraId="0D1A297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0.003*</w:t>
            </w:r>
          </w:p>
        </w:tc>
      </w:tr>
      <w:tr w:rsidR="009478ED" w:rsidRPr="007F37A0" w14:paraId="657262AE" w14:textId="77777777" w:rsidTr="00735871">
        <w:trPr>
          <w:gridAfter w:val="1"/>
          <w:wAfter w:w="1466" w:type="dxa"/>
          <w:trHeight w:val="270"/>
          <w:jc w:val="center"/>
        </w:trPr>
        <w:tc>
          <w:tcPr>
            <w:tcW w:w="1890" w:type="dxa"/>
            <w:tcBorders>
              <w:top w:val="nil"/>
              <w:left w:val="nil"/>
              <w:bottom w:val="nil"/>
              <w:right w:val="nil"/>
            </w:tcBorders>
            <w:shd w:val="clear" w:color="auto" w:fill="auto"/>
            <w:noWrap/>
            <w:vAlign w:val="bottom"/>
            <w:hideMark/>
          </w:tcPr>
          <w:p w14:paraId="3C086B9D" w14:textId="77777777" w:rsidR="009478ED" w:rsidRPr="007F37A0" w:rsidRDefault="009478ED" w:rsidP="00735871">
            <w:pPr>
              <w:jc w:val="center"/>
              <w:rPr>
                <w:rFonts w:ascii="Times New Roman" w:hAnsi="Times New Roman" w:cs="Times New Roman"/>
              </w:rPr>
            </w:pPr>
          </w:p>
        </w:tc>
        <w:tc>
          <w:tcPr>
            <w:tcW w:w="1190" w:type="dxa"/>
            <w:tcBorders>
              <w:top w:val="nil"/>
              <w:left w:val="nil"/>
              <w:bottom w:val="nil"/>
              <w:right w:val="nil"/>
            </w:tcBorders>
            <w:shd w:val="clear" w:color="auto" w:fill="auto"/>
            <w:noWrap/>
            <w:vAlign w:val="bottom"/>
            <w:hideMark/>
          </w:tcPr>
          <w:p w14:paraId="2A1542B9"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(0.008)</w:t>
            </w:r>
          </w:p>
        </w:tc>
        <w:tc>
          <w:tcPr>
            <w:tcW w:w="2250" w:type="dxa"/>
            <w:tcBorders>
              <w:top w:val="nil"/>
              <w:left w:val="nil"/>
              <w:bottom w:val="nil"/>
              <w:right w:val="nil"/>
            </w:tcBorders>
            <w:shd w:val="clear" w:color="auto" w:fill="auto"/>
            <w:noWrap/>
            <w:vAlign w:val="bottom"/>
            <w:hideMark/>
          </w:tcPr>
          <w:p w14:paraId="0CAD8123"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(0.000)</w:t>
            </w:r>
          </w:p>
        </w:tc>
        <w:tc>
          <w:tcPr>
            <w:tcW w:w="2320" w:type="dxa"/>
            <w:tcBorders>
              <w:top w:val="nil"/>
              <w:left w:val="nil"/>
              <w:bottom w:val="nil"/>
              <w:right w:val="nil"/>
            </w:tcBorders>
            <w:shd w:val="clear" w:color="auto" w:fill="auto"/>
            <w:noWrap/>
            <w:vAlign w:val="bottom"/>
            <w:hideMark/>
          </w:tcPr>
          <w:p w14:paraId="773FCB97"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(0.001)</w:t>
            </w:r>
          </w:p>
        </w:tc>
      </w:tr>
      <w:tr w:rsidR="009478ED" w:rsidRPr="007F37A0" w14:paraId="2FC86F02" w14:textId="77777777" w:rsidTr="00735871">
        <w:trPr>
          <w:gridAfter w:val="1"/>
          <w:wAfter w:w="1466" w:type="dxa"/>
          <w:trHeight w:val="270"/>
          <w:jc w:val="center"/>
        </w:trPr>
        <w:tc>
          <w:tcPr>
            <w:tcW w:w="1890" w:type="dxa"/>
            <w:tcBorders>
              <w:top w:val="nil"/>
              <w:left w:val="nil"/>
              <w:bottom w:val="nil"/>
              <w:right w:val="nil"/>
            </w:tcBorders>
            <w:shd w:val="clear" w:color="auto" w:fill="auto"/>
            <w:noWrap/>
            <w:vAlign w:val="bottom"/>
            <w:hideMark/>
          </w:tcPr>
          <w:p w14:paraId="70408CBE" w14:textId="77777777" w:rsidR="009478ED" w:rsidRPr="007F37A0" w:rsidRDefault="009478ED" w:rsidP="00735871">
            <w:pPr>
              <w:jc w:val="center"/>
              <w:rPr>
                <w:rFonts w:ascii="Times New Roman" w:hAnsi="Times New Roman" w:cs="Times New Roman"/>
              </w:rPr>
            </w:pPr>
          </w:p>
        </w:tc>
        <w:tc>
          <w:tcPr>
            <w:tcW w:w="1190" w:type="dxa"/>
            <w:tcBorders>
              <w:top w:val="nil"/>
              <w:left w:val="nil"/>
              <w:bottom w:val="nil"/>
              <w:right w:val="nil"/>
            </w:tcBorders>
            <w:shd w:val="clear" w:color="auto" w:fill="auto"/>
            <w:noWrap/>
            <w:vAlign w:val="bottom"/>
            <w:hideMark/>
          </w:tcPr>
          <w:p w14:paraId="77644590" w14:textId="77777777" w:rsidR="009478ED" w:rsidRPr="007F37A0" w:rsidRDefault="009478ED" w:rsidP="00735871">
            <w:pPr>
              <w:rPr>
                <w:rFonts w:ascii="Times New Roman" w:hAnsi="Times New Roman" w:cs="Times New Roman"/>
              </w:rPr>
            </w:pPr>
          </w:p>
        </w:tc>
        <w:tc>
          <w:tcPr>
            <w:tcW w:w="2250" w:type="dxa"/>
            <w:tcBorders>
              <w:top w:val="nil"/>
              <w:left w:val="nil"/>
              <w:bottom w:val="nil"/>
              <w:right w:val="nil"/>
            </w:tcBorders>
            <w:shd w:val="clear" w:color="auto" w:fill="auto"/>
            <w:noWrap/>
            <w:vAlign w:val="bottom"/>
            <w:hideMark/>
          </w:tcPr>
          <w:p w14:paraId="5CCD9EEB" w14:textId="77777777" w:rsidR="009478ED" w:rsidRPr="007F37A0" w:rsidRDefault="009478ED" w:rsidP="00735871">
            <w:pPr>
              <w:jc w:val="center"/>
              <w:rPr>
                <w:rFonts w:ascii="Times New Roman" w:hAnsi="Times New Roman" w:cs="Times New Roman"/>
              </w:rPr>
            </w:pPr>
          </w:p>
        </w:tc>
        <w:tc>
          <w:tcPr>
            <w:tcW w:w="2320" w:type="dxa"/>
            <w:tcBorders>
              <w:top w:val="nil"/>
              <w:left w:val="nil"/>
              <w:bottom w:val="nil"/>
              <w:right w:val="nil"/>
            </w:tcBorders>
            <w:shd w:val="clear" w:color="auto" w:fill="auto"/>
            <w:noWrap/>
            <w:vAlign w:val="bottom"/>
            <w:hideMark/>
          </w:tcPr>
          <w:p w14:paraId="57569614" w14:textId="77777777" w:rsidR="009478ED" w:rsidRPr="007F37A0" w:rsidRDefault="009478ED" w:rsidP="00735871">
            <w:pPr>
              <w:jc w:val="center"/>
              <w:rPr>
                <w:rFonts w:ascii="Times New Roman" w:hAnsi="Times New Roman" w:cs="Times New Roman"/>
              </w:rPr>
            </w:pPr>
          </w:p>
        </w:tc>
      </w:tr>
      <w:tr w:rsidR="009478ED" w:rsidRPr="007F37A0" w14:paraId="0093CC4F" w14:textId="77777777" w:rsidTr="00735871">
        <w:trPr>
          <w:gridAfter w:val="1"/>
          <w:wAfter w:w="1466" w:type="dxa"/>
          <w:trHeight w:val="270"/>
          <w:jc w:val="center"/>
        </w:trPr>
        <w:tc>
          <w:tcPr>
            <w:tcW w:w="1890" w:type="dxa"/>
            <w:tcBorders>
              <w:top w:val="nil"/>
              <w:left w:val="nil"/>
              <w:bottom w:val="nil"/>
              <w:right w:val="nil"/>
            </w:tcBorders>
            <w:shd w:val="clear" w:color="auto" w:fill="auto"/>
            <w:noWrap/>
            <w:vAlign w:val="bottom"/>
            <w:hideMark/>
          </w:tcPr>
          <w:p w14:paraId="37576F3A"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Observations</w:t>
            </w:r>
          </w:p>
        </w:tc>
        <w:tc>
          <w:tcPr>
            <w:tcW w:w="1190" w:type="dxa"/>
            <w:tcBorders>
              <w:top w:val="nil"/>
              <w:left w:val="nil"/>
              <w:bottom w:val="nil"/>
              <w:right w:val="nil"/>
            </w:tcBorders>
            <w:shd w:val="clear" w:color="auto" w:fill="auto"/>
            <w:noWrap/>
            <w:vAlign w:val="bottom"/>
            <w:hideMark/>
          </w:tcPr>
          <w:p w14:paraId="3052D33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14,204</w:t>
            </w:r>
          </w:p>
        </w:tc>
        <w:tc>
          <w:tcPr>
            <w:tcW w:w="2250" w:type="dxa"/>
            <w:tcBorders>
              <w:top w:val="nil"/>
              <w:left w:val="nil"/>
              <w:bottom w:val="nil"/>
              <w:right w:val="nil"/>
            </w:tcBorders>
            <w:shd w:val="clear" w:color="auto" w:fill="auto"/>
            <w:noWrap/>
            <w:vAlign w:val="bottom"/>
            <w:hideMark/>
          </w:tcPr>
          <w:p w14:paraId="747CF7CF"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11,121</w:t>
            </w:r>
          </w:p>
        </w:tc>
        <w:tc>
          <w:tcPr>
            <w:tcW w:w="2320" w:type="dxa"/>
            <w:tcBorders>
              <w:top w:val="nil"/>
              <w:left w:val="nil"/>
              <w:bottom w:val="nil"/>
              <w:right w:val="nil"/>
            </w:tcBorders>
            <w:shd w:val="clear" w:color="auto" w:fill="auto"/>
            <w:noWrap/>
            <w:vAlign w:val="bottom"/>
            <w:hideMark/>
          </w:tcPr>
          <w:p w14:paraId="793BA772"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14,970</w:t>
            </w:r>
          </w:p>
        </w:tc>
      </w:tr>
      <w:tr w:rsidR="009478ED" w:rsidRPr="007F37A0" w14:paraId="7E043552" w14:textId="77777777" w:rsidTr="00735871">
        <w:trPr>
          <w:gridAfter w:val="1"/>
          <w:wAfter w:w="1466" w:type="dxa"/>
          <w:trHeight w:val="270"/>
          <w:jc w:val="center"/>
        </w:trPr>
        <w:tc>
          <w:tcPr>
            <w:tcW w:w="1890" w:type="dxa"/>
            <w:tcBorders>
              <w:top w:val="nil"/>
              <w:left w:val="nil"/>
              <w:right w:val="nil"/>
            </w:tcBorders>
            <w:shd w:val="clear" w:color="auto" w:fill="auto"/>
            <w:noWrap/>
            <w:vAlign w:val="bottom"/>
            <w:hideMark/>
          </w:tcPr>
          <w:p w14:paraId="4111AAF8"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Year FE</w:t>
            </w:r>
          </w:p>
        </w:tc>
        <w:tc>
          <w:tcPr>
            <w:tcW w:w="1190" w:type="dxa"/>
            <w:tcBorders>
              <w:top w:val="nil"/>
              <w:left w:val="nil"/>
              <w:right w:val="nil"/>
            </w:tcBorders>
            <w:shd w:val="clear" w:color="auto" w:fill="auto"/>
            <w:noWrap/>
            <w:vAlign w:val="bottom"/>
            <w:hideMark/>
          </w:tcPr>
          <w:p w14:paraId="5DD8D5B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0" w:type="dxa"/>
            <w:tcBorders>
              <w:top w:val="nil"/>
              <w:left w:val="nil"/>
              <w:right w:val="nil"/>
            </w:tcBorders>
            <w:shd w:val="clear" w:color="auto" w:fill="auto"/>
            <w:noWrap/>
            <w:vAlign w:val="bottom"/>
            <w:hideMark/>
          </w:tcPr>
          <w:p w14:paraId="628CC3AC"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320" w:type="dxa"/>
            <w:tcBorders>
              <w:top w:val="nil"/>
              <w:left w:val="nil"/>
              <w:right w:val="nil"/>
            </w:tcBorders>
            <w:shd w:val="clear" w:color="auto" w:fill="auto"/>
            <w:noWrap/>
            <w:vAlign w:val="bottom"/>
            <w:hideMark/>
          </w:tcPr>
          <w:p w14:paraId="4D3B7BA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132670D0" w14:textId="77777777" w:rsidTr="00735871">
        <w:trPr>
          <w:gridAfter w:val="1"/>
          <w:wAfter w:w="1466" w:type="dxa"/>
          <w:trHeight w:val="270"/>
          <w:jc w:val="center"/>
        </w:trPr>
        <w:tc>
          <w:tcPr>
            <w:tcW w:w="1890" w:type="dxa"/>
            <w:tcBorders>
              <w:top w:val="nil"/>
              <w:left w:val="nil"/>
              <w:bottom w:val="single" w:sz="4" w:space="0" w:color="auto"/>
              <w:right w:val="nil"/>
            </w:tcBorders>
            <w:shd w:val="clear" w:color="auto" w:fill="auto"/>
            <w:noWrap/>
            <w:vAlign w:val="bottom"/>
            <w:hideMark/>
          </w:tcPr>
          <w:p w14:paraId="027E81B4"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All Controls</w:t>
            </w:r>
          </w:p>
        </w:tc>
        <w:tc>
          <w:tcPr>
            <w:tcW w:w="1190" w:type="dxa"/>
            <w:tcBorders>
              <w:top w:val="nil"/>
              <w:left w:val="nil"/>
              <w:bottom w:val="single" w:sz="4" w:space="0" w:color="auto"/>
              <w:right w:val="nil"/>
            </w:tcBorders>
            <w:shd w:val="clear" w:color="auto" w:fill="auto"/>
            <w:noWrap/>
            <w:vAlign w:val="bottom"/>
            <w:hideMark/>
          </w:tcPr>
          <w:p w14:paraId="4A42940E"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250" w:type="dxa"/>
            <w:tcBorders>
              <w:top w:val="nil"/>
              <w:left w:val="nil"/>
              <w:bottom w:val="single" w:sz="4" w:space="0" w:color="auto"/>
              <w:right w:val="nil"/>
            </w:tcBorders>
            <w:shd w:val="clear" w:color="auto" w:fill="auto"/>
            <w:noWrap/>
            <w:vAlign w:val="bottom"/>
            <w:hideMark/>
          </w:tcPr>
          <w:p w14:paraId="7736C9BB"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c>
          <w:tcPr>
            <w:tcW w:w="2320" w:type="dxa"/>
            <w:tcBorders>
              <w:top w:val="nil"/>
              <w:left w:val="nil"/>
              <w:bottom w:val="single" w:sz="4" w:space="0" w:color="auto"/>
              <w:right w:val="nil"/>
            </w:tcBorders>
            <w:shd w:val="clear" w:color="auto" w:fill="auto"/>
            <w:noWrap/>
            <w:vAlign w:val="bottom"/>
            <w:hideMark/>
          </w:tcPr>
          <w:p w14:paraId="0BE60A51" w14:textId="77777777" w:rsidR="009478ED" w:rsidRPr="007F37A0" w:rsidRDefault="009478ED" w:rsidP="00735871">
            <w:pPr>
              <w:jc w:val="center"/>
              <w:rPr>
                <w:rFonts w:ascii="Times New Roman" w:hAnsi="Times New Roman" w:cs="Times New Roman"/>
              </w:rPr>
            </w:pPr>
            <w:r w:rsidRPr="007F37A0">
              <w:rPr>
                <w:rFonts w:ascii="Times New Roman" w:hAnsi="Times New Roman" w:cs="Times New Roman"/>
              </w:rPr>
              <w:t>YES</w:t>
            </w:r>
          </w:p>
        </w:tc>
      </w:tr>
      <w:tr w:rsidR="009478ED" w:rsidRPr="007F37A0" w14:paraId="29E71870" w14:textId="77777777" w:rsidTr="00735871">
        <w:trPr>
          <w:trHeight w:val="270"/>
          <w:jc w:val="center"/>
        </w:trPr>
        <w:tc>
          <w:tcPr>
            <w:tcW w:w="7650" w:type="dxa"/>
            <w:gridSpan w:val="4"/>
            <w:tcBorders>
              <w:top w:val="single" w:sz="4" w:space="0" w:color="auto"/>
              <w:left w:val="nil"/>
              <w:bottom w:val="nil"/>
              <w:right w:val="nil"/>
            </w:tcBorders>
            <w:shd w:val="clear" w:color="auto" w:fill="auto"/>
            <w:noWrap/>
            <w:vAlign w:val="bottom"/>
            <w:hideMark/>
          </w:tcPr>
          <w:p w14:paraId="44C2958F"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Robust standard errors in parentheses, clustered at boiler and year level.</w:t>
            </w:r>
          </w:p>
          <w:p w14:paraId="77F0590D"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Efficiency 100% load and efficiency 50% load control variables were dropped for convergence.</w:t>
            </w:r>
          </w:p>
        </w:tc>
        <w:tc>
          <w:tcPr>
            <w:tcW w:w="1466" w:type="dxa"/>
            <w:tcBorders>
              <w:top w:val="nil"/>
              <w:left w:val="nil"/>
              <w:bottom w:val="nil"/>
              <w:right w:val="nil"/>
            </w:tcBorders>
            <w:shd w:val="clear" w:color="auto" w:fill="auto"/>
            <w:noWrap/>
            <w:vAlign w:val="bottom"/>
            <w:hideMark/>
          </w:tcPr>
          <w:p w14:paraId="5A953A36" w14:textId="77777777" w:rsidR="009478ED" w:rsidRPr="007F37A0" w:rsidRDefault="009478ED" w:rsidP="00735871">
            <w:pPr>
              <w:rPr>
                <w:rFonts w:ascii="Times New Roman" w:hAnsi="Times New Roman" w:cs="Times New Roman"/>
              </w:rPr>
            </w:pPr>
          </w:p>
        </w:tc>
      </w:tr>
      <w:tr w:rsidR="009478ED" w:rsidRPr="007F37A0" w14:paraId="4412761F" w14:textId="77777777" w:rsidTr="00735871">
        <w:trPr>
          <w:gridAfter w:val="1"/>
          <w:wAfter w:w="1466" w:type="dxa"/>
          <w:trHeight w:val="270"/>
          <w:jc w:val="center"/>
        </w:trPr>
        <w:tc>
          <w:tcPr>
            <w:tcW w:w="7650" w:type="dxa"/>
            <w:gridSpan w:val="4"/>
            <w:tcBorders>
              <w:top w:val="nil"/>
              <w:left w:val="nil"/>
              <w:bottom w:val="nil"/>
              <w:right w:val="nil"/>
            </w:tcBorders>
            <w:shd w:val="clear" w:color="auto" w:fill="auto"/>
            <w:noWrap/>
            <w:vAlign w:val="bottom"/>
            <w:hideMark/>
          </w:tcPr>
          <w:p w14:paraId="21A14CF7" w14:textId="77777777" w:rsidR="009478ED" w:rsidRPr="007F37A0" w:rsidRDefault="009478ED" w:rsidP="00735871">
            <w:pPr>
              <w:rPr>
                <w:rFonts w:ascii="Times New Roman" w:hAnsi="Times New Roman" w:cs="Times New Roman"/>
              </w:rPr>
            </w:pPr>
            <w:r w:rsidRPr="007F37A0">
              <w:rPr>
                <w:rFonts w:ascii="Times New Roman" w:hAnsi="Times New Roman" w:cs="Times New Roman"/>
              </w:rPr>
              <w:t>*** p&lt;0.01, ** p&lt;0.05, * p&lt;0.1</w:t>
            </w:r>
            <w:r w:rsidRPr="007F37A0">
              <w:rPr>
                <w:rFonts w:ascii="Times New Roman" w:hAnsi="Times New Roman" w:cs="Times New Roman"/>
              </w:rPr>
              <w:br/>
              <w:t>Notes: The dependent variable is boiler retirement at the annual level for 2009-2022. SO</w:t>
            </w:r>
            <w:r w:rsidRPr="007F37A0">
              <w:rPr>
                <w:rFonts w:ascii="Times New Roman" w:hAnsi="Times New Roman" w:cs="Times New Roman"/>
                <w:vertAlign w:val="subscript"/>
              </w:rPr>
              <w:t>2</w:t>
            </w:r>
            <w:r w:rsidRPr="007F37A0">
              <w:rPr>
                <w:rFonts w:ascii="Times New Roman" w:hAnsi="Times New Roman" w:cs="Times New Roman"/>
              </w:rPr>
              <w:t xml:space="preserve"> treatment is an indicator variable for treatment under either CAIR or CSAPR for SO</w:t>
            </w:r>
            <w:r w:rsidRPr="007F37A0">
              <w:rPr>
                <w:rFonts w:ascii="Times New Roman" w:hAnsi="Times New Roman" w:cs="Times New Roman"/>
                <w:vertAlign w:val="subscript"/>
              </w:rPr>
              <w:t>2</w:t>
            </w:r>
            <w:r w:rsidRPr="007F37A0">
              <w:rPr>
                <w:rFonts w:ascii="Times New Roman" w:hAnsi="Times New Roman" w:cs="Times New Roman"/>
              </w:rPr>
              <w:t xml:space="preserve"> emissions. Wet type technology is an indicator for jet bubbling reactor wet scrubber, mechanically aided type wet scrubber, packed type wet scrubber, spray type wet scrubber, tray type wet scrubber, and venturi type wet scrubber. Dry type technology is an indicator for circulating dry scrubber, spray dryer type/ dry FGD/ semi-dry FGD, dry sorbent powder injection type, or lime injection. Particulate technology is an indicator for baghouse filters, electrostatic precipitators, multiple and single cyclone technologies, and activated carbon injection system. Other technology is an indicator for all other technology types as indicated by the plant manager. Year fixed effects (Year FE) are included in each regression. Base controls include indicators for boiler firing type, fly ash reinjection, heat recovery steam generator, indicators for standards of performance, age of boiler, efficiency 100% load, efficiency 50% load, air flow 100% load, max steam flow, turndown ratio, waste heat input, CAA attainment status, and NERC regions. Technology controls refers to wet, dry, particulate, selective noncatalytic reduction, selective catalytic reduction, and other technology indicators previously described. Fuel controls include indicators for each fuel type listed by the EIA.</w:t>
            </w:r>
          </w:p>
        </w:tc>
      </w:tr>
    </w:tbl>
    <w:p w14:paraId="134A6DAA"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p>
    <w:p w14:paraId="295DC38A" w14:textId="77777777" w:rsidR="009478ED" w:rsidRPr="007F37A0" w:rsidRDefault="009478ED" w:rsidP="009478ED">
      <w:pPr>
        <w:rPr>
          <w:rFonts w:ascii="Times New Roman" w:hAnsi="Times New Roman" w:cs="Times New Roman"/>
        </w:rPr>
        <w:sectPr w:rsidR="009478ED" w:rsidRPr="007F37A0" w:rsidSect="00FE7549">
          <w:footerReference w:type="default" r:id="rId22"/>
          <w:pgSz w:w="12240" w:h="15840" w:code="1"/>
          <w:pgMar w:top="1440" w:right="1800" w:bottom="1872" w:left="1800" w:header="720" w:footer="1440" w:gutter="0"/>
          <w:cols w:space="720"/>
          <w:noEndnote/>
          <w:docGrid w:linePitch="360"/>
        </w:sectPr>
      </w:pPr>
    </w:p>
    <w:p w14:paraId="0D234221" w14:textId="77777777" w:rsidR="009478ED" w:rsidRPr="007F37A0" w:rsidRDefault="009478ED" w:rsidP="007F37A0">
      <w:pPr>
        <w:pStyle w:val="Caption"/>
        <w:rPr>
          <w:rFonts w:cs="Times New Roman"/>
        </w:rPr>
      </w:pPr>
      <w:r w:rsidRPr="007F37A0">
        <w:rPr>
          <w:rFonts w:cs="Times New Roman"/>
          <w:noProof/>
        </w:rPr>
        <w:lastRenderedPageBreak/>
        <w:drawing>
          <wp:anchor distT="0" distB="0" distL="114300" distR="114300" simplePos="0" relativeHeight="251659264" behindDoc="0" locked="0" layoutInCell="1" allowOverlap="1" wp14:anchorId="6E302979" wp14:editId="48B3FC5F">
            <wp:simplePos x="0" y="0"/>
            <wp:positionH relativeFrom="margin">
              <wp:align>center</wp:align>
            </wp:positionH>
            <wp:positionV relativeFrom="paragraph">
              <wp:posOffset>274320</wp:posOffset>
            </wp:positionV>
            <wp:extent cx="8211185" cy="3282315"/>
            <wp:effectExtent l="0" t="0" r="0" b="0"/>
            <wp:wrapTopAndBottom/>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8211185" cy="3282315"/>
                    </a:xfrm>
                    <a:prstGeom prst="rect">
                      <a:avLst/>
                    </a:prstGeom>
                  </pic:spPr>
                </pic:pic>
              </a:graphicData>
            </a:graphic>
            <wp14:sizeRelH relativeFrom="page">
              <wp14:pctWidth>0</wp14:pctWidth>
            </wp14:sizeRelH>
            <wp14:sizeRelV relativeFrom="page">
              <wp14:pctHeight>0</wp14:pctHeight>
            </wp14:sizeRelV>
          </wp:anchor>
        </w:drawing>
      </w:r>
    </w:p>
    <w:p w14:paraId="1CAC99EC" w14:textId="5ADEF040" w:rsidR="009478ED" w:rsidRPr="007F37A0" w:rsidRDefault="009478ED" w:rsidP="007F37A0">
      <w:pPr>
        <w:pStyle w:val="Caption"/>
        <w:rPr>
          <w:rFonts w:cs="Times New Roman"/>
          <w:b/>
        </w:rPr>
        <w:sectPr w:rsidR="009478ED" w:rsidRPr="007F37A0" w:rsidSect="00FE7549">
          <w:pgSz w:w="15840" w:h="12240" w:orient="landscape" w:code="1"/>
          <w:pgMar w:top="1800" w:right="1440" w:bottom="1800" w:left="1872" w:header="720" w:footer="1440" w:gutter="0"/>
          <w:cols w:space="720"/>
          <w:noEndnote/>
          <w:docGrid w:linePitch="360"/>
        </w:sectPr>
      </w:pPr>
      <w:bookmarkStart w:id="220" w:name="_Ref164504592"/>
      <w:bookmarkStart w:id="221" w:name="_Toc160879164"/>
      <w:bookmarkStart w:id="222" w:name="_Toc164862585"/>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4</w:t>
      </w:r>
      <w:r w:rsidRPr="007F37A0">
        <w:rPr>
          <w:rFonts w:cs="Times New Roman"/>
          <w:b/>
        </w:rPr>
        <w:fldChar w:fldCharType="end"/>
      </w:r>
      <w:bookmarkEnd w:id="220"/>
      <w:r w:rsidRPr="007F37A0">
        <w:rPr>
          <w:rFonts w:cs="Times New Roman"/>
        </w:rPr>
        <w:t>. Timeline of Transboundary Air Pollution Regulation</w:t>
      </w:r>
      <w:bookmarkEnd w:id="221"/>
      <w:bookmarkEnd w:id="222"/>
    </w:p>
    <w:p w14:paraId="2499B379" w14:textId="77777777" w:rsidR="009478ED" w:rsidRPr="007F37A0" w:rsidRDefault="009478ED" w:rsidP="009478ED">
      <w:pPr>
        <w:jc w:val="center"/>
        <w:rPr>
          <w:rFonts w:ascii="Times New Roman" w:hAnsi="Times New Roman" w:cs="Times New Roman"/>
        </w:rPr>
      </w:pPr>
      <w:r w:rsidRPr="007F37A0">
        <w:rPr>
          <w:rFonts w:ascii="Times New Roman" w:hAnsi="Times New Roman" w:cs="Times New Roman"/>
          <w:noProof/>
        </w:rPr>
        <w:lastRenderedPageBreak/>
        <w:drawing>
          <wp:inline distT="0" distB="0" distL="0" distR="0" wp14:anchorId="3BE59444" wp14:editId="7175C0AD">
            <wp:extent cx="5673931" cy="3954780"/>
            <wp:effectExtent l="0" t="0" r="3175" b="7620"/>
            <wp:docPr id="713827033" name="Picture 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27033" name="Picture 6" descr="A map of the united states&#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689947" cy="3965943"/>
                    </a:xfrm>
                    <a:prstGeom prst="rect">
                      <a:avLst/>
                    </a:prstGeom>
                  </pic:spPr>
                </pic:pic>
              </a:graphicData>
            </a:graphic>
          </wp:inline>
        </w:drawing>
      </w:r>
    </w:p>
    <w:p w14:paraId="37870066" w14:textId="2D2B71DD" w:rsidR="009478ED" w:rsidRPr="007F37A0" w:rsidRDefault="009478ED" w:rsidP="007F37A0">
      <w:pPr>
        <w:pStyle w:val="Caption"/>
        <w:rPr>
          <w:rFonts w:cs="Times New Roman"/>
          <w:b/>
        </w:rPr>
      </w:pPr>
      <w:bookmarkStart w:id="223" w:name="_Ref160785254"/>
      <w:bookmarkStart w:id="224" w:name="_Toc160879165"/>
      <w:bookmarkStart w:id="225" w:name="_Toc164862586"/>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5</w:t>
      </w:r>
      <w:r w:rsidRPr="007F37A0">
        <w:rPr>
          <w:rFonts w:cs="Times New Roman"/>
          <w:b/>
        </w:rPr>
        <w:fldChar w:fldCharType="end"/>
      </w:r>
      <w:bookmarkEnd w:id="223"/>
      <w:r w:rsidRPr="007F37A0">
        <w:rPr>
          <w:rFonts w:cs="Times New Roman"/>
        </w:rPr>
        <w:t>. State NO</w:t>
      </w:r>
      <w:r w:rsidRPr="007F37A0">
        <w:rPr>
          <w:rFonts w:cs="Times New Roman"/>
          <w:vertAlign w:val="subscript"/>
        </w:rPr>
        <w:t>x</w:t>
      </w:r>
      <w:r w:rsidRPr="007F37A0">
        <w:rPr>
          <w:rFonts w:cs="Times New Roman"/>
        </w:rPr>
        <w:t xml:space="preserve"> Treatment Status Under CAIR and CSAPR</w:t>
      </w:r>
      <w:bookmarkEnd w:id="224"/>
      <w:bookmarkEnd w:id="225"/>
      <w:r w:rsidRPr="007F37A0">
        <w:rPr>
          <w:rFonts w:cs="Times New Roman"/>
        </w:rPr>
        <w:t xml:space="preserve"> </w:t>
      </w:r>
    </w:p>
    <w:p w14:paraId="512721EB"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rPr>
        <w:br w:type="page"/>
      </w:r>
    </w:p>
    <w:p w14:paraId="654D1E8B" w14:textId="77777777" w:rsidR="009478ED" w:rsidRPr="007F37A0" w:rsidRDefault="009478ED" w:rsidP="009478ED">
      <w:pPr>
        <w:rPr>
          <w:rFonts w:ascii="Times New Roman" w:hAnsi="Times New Roman" w:cs="Times New Roman"/>
        </w:rPr>
      </w:pPr>
    </w:p>
    <w:p w14:paraId="5A99A318" w14:textId="77777777" w:rsidR="009478ED" w:rsidRPr="007F37A0" w:rsidRDefault="009478ED" w:rsidP="009478ED">
      <w:pPr>
        <w:spacing w:line="480" w:lineRule="auto"/>
        <w:jc w:val="center"/>
        <w:rPr>
          <w:rFonts w:ascii="Times New Roman" w:hAnsi="Times New Roman" w:cs="Times New Roman"/>
        </w:rPr>
      </w:pPr>
      <w:r w:rsidRPr="007F37A0">
        <w:rPr>
          <w:rFonts w:ascii="Times New Roman" w:hAnsi="Times New Roman" w:cs="Times New Roman"/>
          <w:noProof/>
        </w:rPr>
        <w:drawing>
          <wp:inline distT="0" distB="0" distL="0" distR="0" wp14:anchorId="4D6DB418" wp14:editId="04A2D151">
            <wp:extent cx="5760720" cy="4015273"/>
            <wp:effectExtent l="0" t="0" r="0" b="4445"/>
            <wp:docPr id="1984062724" name="Picture 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62724" name="Picture 5" descr="A map of the united state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787188" cy="4033722"/>
                    </a:xfrm>
                    <a:prstGeom prst="rect">
                      <a:avLst/>
                    </a:prstGeom>
                  </pic:spPr>
                </pic:pic>
              </a:graphicData>
            </a:graphic>
          </wp:inline>
        </w:drawing>
      </w:r>
    </w:p>
    <w:p w14:paraId="5312BF70" w14:textId="079BA6C8" w:rsidR="009478ED" w:rsidRPr="007F37A0" w:rsidRDefault="009478ED" w:rsidP="007F37A0">
      <w:pPr>
        <w:pStyle w:val="Caption"/>
        <w:rPr>
          <w:rFonts w:cs="Times New Roman"/>
          <w:b/>
        </w:rPr>
      </w:pPr>
      <w:bookmarkStart w:id="226" w:name="_Ref164504606"/>
      <w:bookmarkStart w:id="227" w:name="_Toc160879166"/>
      <w:bookmarkStart w:id="228" w:name="_Toc164862587"/>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6</w:t>
      </w:r>
      <w:r w:rsidRPr="007F37A0">
        <w:rPr>
          <w:rFonts w:cs="Times New Roman"/>
          <w:b/>
        </w:rPr>
        <w:fldChar w:fldCharType="end"/>
      </w:r>
      <w:bookmarkEnd w:id="226"/>
      <w:r w:rsidRPr="007F37A0">
        <w:rPr>
          <w:rFonts w:cs="Times New Roman"/>
        </w:rPr>
        <w:t>. State SO</w:t>
      </w:r>
      <w:r w:rsidRPr="007F37A0">
        <w:rPr>
          <w:rFonts w:cs="Times New Roman"/>
          <w:vertAlign w:val="subscript"/>
        </w:rPr>
        <w:t>2</w:t>
      </w:r>
      <w:r w:rsidRPr="007F37A0">
        <w:rPr>
          <w:rFonts w:cs="Times New Roman"/>
        </w:rPr>
        <w:t xml:space="preserve"> Treatment Status Under CAIR and CSAPR</w:t>
      </w:r>
      <w:bookmarkEnd w:id="227"/>
      <w:bookmarkEnd w:id="228"/>
    </w:p>
    <w:p w14:paraId="1146FEDC" w14:textId="77777777" w:rsidR="009478ED" w:rsidRPr="007F37A0" w:rsidRDefault="009478ED" w:rsidP="009478ED">
      <w:pPr>
        <w:rPr>
          <w:rFonts w:ascii="Times New Roman" w:hAnsi="Times New Roman" w:cs="Times New Roman"/>
          <w:b/>
          <w:bCs/>
        </w:rPr>
      </w:pPr>
    </w:p>
    <w:p w14:paraId="6BAC0939" w14:textId="77777777" w:rsidR="009478ED" w:rsidRPr="007F37A0" w:rsidRDefault="009478ED" w:rsidP="009478ED">
      <w:pPr>
        <w:rPr>
          <w:rFonts w:ascii="Times New Roman" w:hAnsi="Times New Roman" w:cs="Times New Roman"/>
        </w:rPr>
      </w:pPr>
      <w:r w:rsidRPr="007F37A0">
        <w:rPr>
          <w:rFonts w:ascii="Times New Roman" w:hAnsi="Times New Roman" w:cs="Times New Roman"/>
        </w:rPr>
        <w:br w:type="page"/>
      </w:r>
      <w:r w:rsidRPr="007F37A0">
        <w:rPr>
          <w:rFonts w:ascii="Times New Roman" w:eastAsiaTheme="minorEastAsia" w:hAnsi="Times New Roman" w:cs="Times New Roman"/>
          <w:noProof/>
        </w:rPr>
        <w:lastRenderedPageBreak/>
        <w:drawing>
          <wp:inline distT="0" distB="0" distL="0" distR="0" wp14:anchorId="7544C6AC" wp14:editId="6A86A1CD">
            <wp:extent cx="5029636" cy="3642676"/>
            <wp:effectExtent l="0" t="0" r="0" b="0"/>
            <wp:docPr id="1729765420" name="Picture 10" descr="A map of the united states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65420" name="Picture 10" descr="A map of the united states with different colored square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029636" cy="3642676"/>
                    </a:xfrm>
                    <a:prstGeom prst="rect">
                      <a:avLst/>
                    </a:prstGeom>
                  </pic:spPr>
                </pic:pic>
              </a:graphicData>
            </a:graphic>
          </wp:inline>
        </w:drawing>
      </w:r>
    </w:p>
    <w:p w14:paraId="41EABE9A" w14:textId="7FD28C24" w:rsidR="009478ED" w:rsidRPr="007F37A0" w:rsidRDefault="009478ED" w:rsidP="007F37A0">
      <w:pPr>
        <w:pStyle w:val="Caption"/>
        <w:rPr>
          <w:rFonts w:cs="Times New Roman"/>
          <w:b/>
        </w:rPr>
      </w:pPr>
      <w:bookmarkStart w:id="229" w:name="_Ref160875285"/>
      <w:bookmarkStart w:id="230" w:name="_Toc160879167"/>
      <w:bookmarkStart w:id="231" w:name="_Toc164862588"/>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7</w:t>
      </w:r>
      <w:r w:rsidRPr="007F37A0">
        <w:rPr>
          <w:rFonts w:cs="Times New Roman"/>
          <w:b/>
        </w:rPr>
        <w:fldChar w:fldCharType="end"/>
      </w:r>
      <w:bookmarkEnd w:id="229"/>
      <w:r w:rsidRPr="007F37A0">
        <w:rPr>
          <w:rFonts w:cs="Times New Roman"/>
        </w:rPr>
        <w:t>. Boiler Level SO</w:t>
      </w:r>
      <w:r w:rsidRPr="007F37A0">
        <w:rPr>
          <w:rFonts w:cs="Times New Roman"/>
          <w:vertAlign w:val="subscript"/>
        </w:rPr>
        <w:t>2</w:t>
      </w:r>
      <w:r w:rsidRPr="007F37A0">
        <w:rPr>
          <w:rFonts w:cs="Times New Roman"/>
        </w:rPr>
        <w:t xml:space="preserve"> Treatment Status Under CAIR and CSAPR</w:t>
      </w:r>
      <w:bookmarkEnd w:id="230"/>
      <w:bookmarkEnd w:id="231"/>
    </w:p>
    <w:p w14:paraId="659EED30"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rPr>
        <w:br w:type="page"/>
      </w:r>
    </w:p>
    <w:p w14:paraId="1CFE4313" w14:textId="77777777" w:rsidR="009478ED" w:rsidRPr="007F37A0" w:rsidRDefault="009478ED" w:rsidP="009478ED">
      <w:pPr>
        <w:spacing w:line="480" w:lineRule="auto"/>
        <w:jc w:val="center"/>
        <w:rPr>
          <w:rFonts w:ascii="Times New Roman" w:hAnsi="Times New Roman" w:cs="Times New Roman"/>
        </w:rPr>
      </w:pPr>
      <w:r w:rsidRPr="007F37A0">
        <w:rPr>
          <w:rFonts w:ascii="Times New Roman" w:eastAsiaTheme="minorEastAsia" w:hAnsi="Times New Roman" w:cs="Times New Roman"/>
          <w:noProof/>
        </w:rPr>
        <w:lastRenderedPageBreak/>
        <w:drawing>
          <wp:inline distT="0" distB="0" distL="0" distR="0" wp14:anchorId="49FA3646" wp14:editId="1F00FE7D">
            <wp:extent cx="5029636" cy="3642676"/>
            <wp:effectExtent l="0" t="0" r="0" b="0"/>
            <wp:docPr id="842016086" name="Picture 7" descr="A map of the united states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20123" name="Picture 7" descr="A map of the united states with different colored squares&#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029636" cy="3642676"/>
                    </a:xfrm>
                    <a:prstGeom prst="rect">
                      <a:avLst/>
                    </a:prstGeom>
                  </pic:spPr>
                </pic:pic>
              </a:graphicData>
            </a:graphic>
          </wp:inline>
        </w:drawing>
      </w:r>
    </w:p>
    <w:p w14:paraId="615FF44F" w14:textId="6574DEE3" w:rsidR="009478ED" w:rsidRPr="007F37A0" w:rsidRDefault="009478ED" w:rsidP="007F37A0">
      <w:pPr>
        <w:pStyle w:val="Caption"/>
        <w:rPr>
          <w:rFonts w:cs="Times New Roman"/>
          <w:b/>
        </w:rPr>
      </w:pPr>
      <w:bookmarkStart w:id="232" w:name="_Ref160875276"/>
      <w:bookmarkStart w:id="233" w:name="_Toc160879168"/>
      <w:bookmarkStart w:id="234" w:name="_Toc164862589"/>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8</w:t>
      </w:r>
      <w:r w:rsidRPr="007F37A0">
        <w:rPr>
          <w:rFonts w:cs="Times New Roman"/>
          <w:b/>
        </w:rPr>
        <w:fldChar w:fldCharType="end"/>
      </w:r>
      <w:bookmarkEnd w:id="232"/>
      <w:r w:rsidRPr="007F37A0">
        <w:rPr>
          <w:rFonts w:cs="Times New Roman"/>
        </w:rPr>
        <w:t>. Boiler Level NO</w:t>
      </w:r>
      <w:r w:rsidRPr="007F37A0">
        <w:rPr>
          <w:rFonts w:cs="Times New Roman"/>
          <w:vertAlign w:val="subscript"/>
        </w:rPr>
        <w:t>x</w:t>
      </w:r>
      <w:r w:rsidRPr="007F37A0">
        <w:rPr>
          <w:rFonts w:cs="Times New Roman"/>
        </w:rPr>
        <w:t xml:space="preserve"> Treatment Status Under CAIR and CSAPR</w:t>
      </w:r>
      <w:bookmarkEnd w:id="233"/>
      <w:bookmarkEnd w:id="234"/>
    </w:p>
    <w:p w14:paraId="392C74AF" w14:textId="77777777" w:rsidR="009478ED" w:rsidRPr="007F37A0" w:rsidRDefault="009478ED" w:rsidP="009478ED">
      <w:pPr>
        <w:rPr>
          <w:rFonts w:ascii="Times New Roman" w:hAnsi="Times New Roman" w:cs="Times New Roman"/>
          <w:b/>
          <w:bCs/>
        </w:rPr>
      </w:pPr>
      <w:r w:rsidRPr="007F37A0">
        <w:rPr>
          <w:rFonts w:ascii="Times New Roman" w:hAnsi="Times New Roman" w:cs="Times New Roman"/>
          <w:b/>
          <w:bCs/>
        </w:rPr>
        <w:br w:type="page"/>
      </w:r>
    </w:p>
    <w:p w14:paraId="79852C52" w14:textId="77777777" w:rsidR="009478ED" w:rsidRPr="007F37A0" w:rsidRDefault="009478ED" w:rsidP="009478ED">
      <w:pPr>
        <w:spacing w:line="480" w:lineRule="auto"/>
        <w:jc w:val="center"/>
        <w:rPr>
          <w:rFonts w:ascii="Times New Roman" w:hAnsi="Times New Roman" w:cs="Times New Roman"/>
        </w:rPr>
      </w:pPr>
      <w:r w:rsidRPr="007F37A0">
        <w:rPr>
          <w:rFonts w:ascii="Times New Roman" w:hAnsi="Times New Roman" w:cs="Times New Roman"/>
          <w:noProof/>
        </w:rPr>
        <w:lastRenderedPageBreak/>
        <w:drawing>
          <wp:inline distT="0" distB="0" distL="0" distR="0" wp14:anchorId="042FB9D6" wp14:editId="35F8F19A">
            <wp:extent cx="4547379" cy="3169920"/>
            <wp:effectExtent l="0" t="0" r="5715" b="0"/>
            <wp:docPr id="947350295" name="Picture 1" descr="A graph of a retirement by trea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50295" name="Picture 1" descr="A graph of a retirement by treatmen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557363" cy="3176880"/>
                    </a:xfrm>
                    <a:prstGeom prst="rect">
                      <a:avLst/>
                    </a:prstGeom>
                  </pic:spPr>
                </pic:pic>
              </a:graphicData>
            </a:graphic>
          </wp:inline>
        </w:drawing>
      </w:r>
    </w:p>
    <w:p w14:paraId="05024253" w14:textId="7801E87E" w:rsidR="009478ED" w:rsidRPr="007F37A0" w:rsidRDefault="009478ED" w:rsidP="007F37A0">
      <w:pPr>
        <w:pStyle w:val="Caption"/>
        <w:rPr>
          <w:rFonts w:cs="Times New Roman"/>
          <w:b/>
        </w:rPr>
      </w:pPr>
      <w:bookmarkStart w:id="235" w:name="_Ref160875236"/>
      <w:bookmarkStart w:id="236" w:name="_Toc160879169"/>
      <w:bookmarkStart w:id="237" w:name="_Toc164862590"/>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9</w:t>
      </w:r>
      <w:r w:rsidRPr="007F37A0">
        <w:rPr>
          <w:rFonts w:cs="Times New Roman"/>
          <w:b/>
        </w:rPr>
        <w:fldChar w:fldCharType="end"/>
      </w:r>
      <w:bookmarkEnd w:id="235"/>
      <w:r w:rsidRPr="007F37A0">
        <w:rPr>
          <w:rFonts w:cs="Times New Roman"/>
        </w:rPr>
        <w:t>. Boiler Retirement by SO</w:t>
      </w:r>
      <w:r w:rsidRPr="007F37A0">
        <w:rPr>
          <w:rFonts w:cs="Times New Roman"/>
          <w:vertAlign w:val="subscript"/>
        </w:rPr>
        <w:t>2</w:t>
      </w:r>
      <w:r w:rsidRPr="007F37A0">
        <w:rPr>
          <w:rFonts w:cs="Times New Roman"/>
        </w:rPr>
        <w:t xml:space="preserve"> Regulation</w:t>
      </w:r>
      <w:bookmarkEnd w:id="236"/>
      <w:bookmarkEnd w:id="237"/>
    </w:p>
    <w:p w14:paraId="42B7196F" w14:textId="77777777" w:rsidR="009478ED" w:rsidRPr="007F37A0" w:rsidRDefault="009478ED" w:rsidP="009478ED">
      <w:pPr>
        <w:rPr>
          <w:rFonts w:ascii="Times New Roman" w:hAnsi="Times New Roman" w:cs="Times New Roman"/>
        </w:rPr>
      </w:pPr>
    </w:p>
    <w:p w14:paraId="05578268" w14:textId="77777777" w:rsidR="009478ED" w:rsidRPr="007F37A0" w:rsidRDefault="009478ED" w:rsidP="009478ED">
      <w:pPr>
        <w:spacing w:line="480" w:lineRule="auto"/>
        <w:jc w:val="center"/>
        <w:rPr>
          <w:rFonts w:ascii="Times New Roman" w:hAnsi="Times New Roman" w:cs="Times New Roman"/>
        </w:rPr>
      </w:pPr>
      <w:r w:rsidRPr="007F37A0">
        <w:rPr>
          <w:rFonts w:ascii="Times New Roman" w:hAnsi="Times New Roman" w:cs="Times New Roman"/>
          <w:noProof/>
        </w:rPr>
        <w:drawing>
          <wp:inline distT="0" distB="0" distL="0" distR="0" wp14:anchorId="2A5976E4" wp14:editId="4532C96B">
            <wp:extent cx="4611053" cy="3223260"/>
            <wp:effectExtent l="0" t="0" r="0" b="0"/>
            <wp:docPr id="1675355504" name="Picture 1" descr="A graph of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55504" name="Picture 1" descr="A graph of a number of bars&#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619105" cy="3228888"/>
                    </a:xfrm>
                    <a:prstGeom prst="rect">
                      <a:avLst/>
                    </a:prstGeom>
                  </pic:spPr>
                </pic:pic>
              </a:graphicData>
            </a:graphic>
          </wp:inline>
        </w:drawing>
      </w:r>
    </w:p>
    <w:p w14:paraId="09328369" w14:textId="16FE5832" w:rsidR="009478ED" w:rsidRPr="007F37A0" w:rsidRDefault="009478ED" w:rsidP="007F37A0">
      <w:pPr>
        <w:pStyle w:val="Caption"/>
        <w:rPr>
          <w:rFonts w:cs="Times New Roman"/>
          <w:b/>
        </w:rPr>
      </w:pPr>
      <w:bookmarkStart w:id="238" w:name="_Ref160875248"/>
      <w:bookmarkStart w:id="239" w:name="_Toc160879170"/>
      <w:bookmarkStart w:id="240" w:name="_Toc164862591"/>
      <w:r w:rsidRPr="007F37A0">
        <w:rPr>
          <w:rFonts w:cs="Times New Roman"/>
        </w:rPr>
        <w:t xml:space="preserve">Figure </w:t>
      </w:r>
      <w:r w:rsidRPr="007F37A0">
        <w:rPr>
          <w:rFonts w:cs="Times New Roman"/>
          <w:b/>
        </w:rPr>
        <w:fldChar w:fldCharType="begin"/>
      </w:r>
      <w:r w:rsidRPr="007F37A0">
        <w:rPr>
          <w:rFonts w:cs="Times New Roman"/>
        </w:rPr>
        <w:instrText xml:space="preserve"> SEQ Figure \* ARABIC </w:instrText>
      </w:r>
      <w:r w:rsidRPr="007F37A0">
        <w:rPr>
          <w:rFonts w:cs="Times New Roman"/>
          <w:b/>
        </w:rPr>
        <w:fldChar w:fldCharType="separate"/>
      </w:r>
      <w:r w:rsidR="00142A7E">
        <w:rPr>
          <w:rFonts w:cs="Times New Roman"/>
          <w:noProof/>
        </w:rPr>
        <w:t>10</w:t>
      </w:r>
      <w:r w:rsidRPr="007F37A0">
        <w:rPr>
          <w:rFonts w:cs="Times New Roman"/>
          <w:b/>
        </w:rPr>
        <w:fldChar w:fldCharType="end"/>
      </w:r>
      <w:bookmarkEnd w:id="238"/>
      <w:r w:rsidRPr="007F37A0">
        <w:rPr>
          <w:rFonts w:cs="Times New Roman"/>
        </w:rPr>
        <w:t>. Boiler Retirement by NO</w:t>
      </w:r>
      <w:r w:rsidRPr="007F37A0">
        <w:rPr>
          <w:rFonts w:cs="Times New Roman"/>
          <w:vertAlign w:val="subscript"/>
        </w:rPr>
        <w:t>x</w:t>
      </w:r>
      <w:r w:rsidRPr="007F37A0">
        <w:rPr>
          <w:rFonts w:cs="Times New Roman"/>
        </w:rPr>
        <w:t xml:space="preserve"> Regulation</w:t>
      </w:r>
      <w:bookmarkEnd w:id="239"/>
      <w:bookmarkEnd w:id="240"/>
    </w:p>
    <w:p w14:paraId="6B0C9FA1" w14:textId="5E54D96D" w:rsidR="009478ED" w:rsidRPr="007F37A0" w:rsidRDefault="009478ED">
      <w:pPr>
        <w:rPr>
          <w:rFonts w:ascii="Times New Roman" w:hAnsi="Times New Roman" w:cs="Times New Roman"/>
        </w:rPr>
      </w:pPr>
      <w:r w:rsidRPr="007F37A0">
        <w:rPr>
          <w:rFonts w:ascii="Times New Roman" w:hAnsi="Times New Roman" w:cs="Times New Roman"/>
        </w:rPr>
        <w:br w:type="page"/>
      </w:r>
    </w:p>
    <w:p w14:paraId="2C7EDBDD" w14:textId="77777777" w:rsidR="007A644D" w:rsidRPr="007F37A0" w:rsidRDefault="007A644D" w:rsidP="007A644D">
      <w:pPr>
        <w:pStyle w:val="Heading1"/>
        <w:rPr>
          <w:rFonts w:ascii="Times New Roman" w:hAnsi="Times New Roman" w:cs="Times New Roman"/>
          <w:szCs w:val="28"/>
        </w:rPr>
      </w:pPr>
      <w:bookmarkStart w:id="241" w:name="_Toc289175845"/>
      <w:bookmarkStart w:id="242" w:name="_Toc159335742"/>
      <w:bookmarkStart w:id="243" w:name="_Toc164862535"/>
      <w:r w:rsidRPr="007F37A0">
        <w:rPr>
          <w:rFonts w:ascii="Times New Roman" w:hAnsi="Times New Roman" w:cs="Times New Roman"/>
          <w:szCs w:val="28"/>
        </w:rPr>
        <w:lastRenderedPageBreak/>
        <w:t>VITA</w:t>
      </w:r>
      <w:bookmarkEnd w:id="241"/>
      <w:bookmarkEnd w:id="242"/>
      <w:bookmarkEnd w:id="243"/>
    </w:p>
    <w:p w14:paraId="19C5754B" w14:textId="77777777" w:rsidR="007A644D" w:rsidRPr="007F37A0" w:rsidRDefault="007A644D" w:rsidP="007A644D">
      <w:pPr>
        <w:rPr>
          <w:rFonts w:ascii="Times New Roman" w:hAnsi="Times New Roman" w:cs="Times New Roman"/>
        </w:rPr>
      </w:pPr>
    </w:p>
    <w:p w14:paraId="47318714" w14:textId="77777777" w:rsidR="007A644D" w:rsidRPr="007F37A0" w:rsidRDefault="007A644D" w:rsidP="007A644D">
      <w:pPr>
        <w:rPr>
          <w:rFonts w:ascii="Times New Roman" w:hAnsi="Times New Roman" w:cs="Times New Roman"/>
        </w:rPr>
      </w:pPr>
      <w:r w:rsidRPr="007F37A0">
        <w:rPr>
          <w:rFonts w:ascii="Times New Roman" w:hAnsi="Times New Roman" w:cs="Times New Roman"/>
        </w:rPr>
        <w:t xml:space="preserve">Ryan Swartzentruber earned a Bachelor of Science degree from Eastern Mennonite University in 2016 majoring in Mathematics and Economics. He earned a Masters of Science in Natural Resource Economics at Colorado State University in 2019. He spent the following year working for the United States Forest Service as a research assistant and coordinator for the Denver Urban Field Station. In 2020 he moved to Knoxville to begin his doctoral degree in Economics. </w:t>
      </w:r>
    </w:p>
    <w:p w14:paraId="782600D6" w14:textId="77777777" w:rsidR="009478ED" w:rsidRPr="007F37A0" w:rsidRDefault="009478ED" w:rsidP="0003672C">
      <w:pPr>
        <w:rPr>
          <w:rFonts w:ascii="Times New Roman" w:hAnsi="Times New Roman" w:cs="Times New Roman"/>
        </w:rPr>
      </w:pPr>
    </w:p>
    <w:sectPr w:rsidR="009478ED" w:rsidRPr="007F37A0" w:rsidSect="00FE7549">
      <w:footerReference w:type="default" r:id="rId30"/>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ABA0FB" w14:textId="77777777" w:rsidR="00FE7549" w:rsidRDefault="00FE7549" w:rsidP="005E54E2">
      <w:r>
        <w:separator/>
      </w:r>
    </w:p>
    <w:p w14:paraId="684B77ED" w14:textId="77777777" w:rsidR="00FE7549" w:rsidRDefault="00FE7549" w:rsidP="005E54E2"/>
    <w:p w14:paraId="3244A886" w14:textId="77777777" w:rsidR="00FE7549" w:rsidRDefault="00FE7549" w:rsidP="005E54E2"/>
    <w:p w14:paraId="0F01E5F6" w14:textId="77777777" w:rsidR="00FE7549" w:rsidRDefault="00FE7549" w:rsidP="005E54E2"/>
  </w:endnote>
  <w:endnote w:type="continuationSeparator" w:id="0">
    <w:p w14:paraId="64D0E276" w14:textId="77777777" w:rsidR="00FE7549" w:rsidRDefault="00FE7549" w:rsidP="005E54E2">
      <w:r>
        <w:continuationSeparator/>
      </w:r>
    </w:p>
    <w:p w14:paraId="3C8CB763" w14:textId="77777777" w:rsidR="00FE7549" w:rsidRDefault="00FE7549" w:rsidP="005E54E2"/>
    <w:p w14:paraId="7D6427BA" w14:textId="77777777" w:rsidR="00FE7549" w:rsidRDefault="00FE7549" w:rsidP="005E54E2"/>
    <w:p w14:paraId="065517D0" w14:textId="77777777" w:rsidR="00FE7549" w:rsidRDefault="00FE7549" w:rsidP="005E54E2"/>
  </w:endnote>
  <w:endnote w:type="continuationNotice" w:id="1">
    <w:p w14:paraId="7327092E" w14:textId="77777777" w:rsidR="00FE7549" w:rsidRDefault="00FE7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CC49E" w14:textId="77777777" w:rsidR="00387656" w:rsidRPr="000E3772" w:rsidRDefault="00387656">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sidR="000E3772">
      <w:rPr>
        <w:rFonts w:ascii="Times New Roman" w:hAnsi="Times New Roman" w:cs="Times New Roman"/>
        <w:noProof/>
      </w:rPr>
      <w:t>13</w:t>
    </w:r>
    <w:r w:rsidRPr="000E3772">
      <w:rPr>
        <w:rFonts w:ascii="Times New Roman" w:hAnsi="Times New Roman" w:cs="Times New Roman"/>
        <w:noProof/>
      </w:rPr>
      <w:fldChar w:fldCharType="end"/>
    </w:r>
  </w:p>
  <w:p w14:paraId="73DFB038" w14:textId="77777777" w:rsidR="008F60C3" w:rsidRDefault="008F60C3"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E2100" w14:textId="77777777" w:rsidR="00D526E7" w:rsidRPr="000E3772" w:rsidRDefault="00D526E7">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Pr>
        <w:rFonts w:ascii="Times New Roman" w:hAnsi="Times New Roman" w:cs="Times New Roman"/>
        <w:noProof/>
      </w:rPr>
      <w:t>13</w:t>
    </w:r>
    <w:r w:rsidRPr="000E3772">
      <w:rPr>
        <w:rFonts w:ascii="Times New Roman" w:hAnsi="Times New Roman" w:cs="Times New Roman"/>
        <w:noProof/>
      </w:rPr>
      <w:fldChar w:fldCharType="end"/>
    </w:r>
  </w:p>
  <w:p w14:paraId="7DD4A68B" w14:textId="77777777" w:rsidR="00D526E7" w:rsidRDefault="00D526E7" w:rsidP="005E54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3D8E8" w14:textId="77777777" w:rsidR="00C565FD" w:rsidRPr="000E3772" w:rsidRDefault="00C565FD">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Pr>
        <w:rFonts w:ascii="Times New Roman" w:hAnsi="Times New Roman" w:cs="Times New Roman"/>
        <w:noProof/>
      </w:rPr>
      <w:t>13</w:t>
    </w:r>
    <w:r w:rsidRPr="000E3772">
      <w:rPr>
        <w:rFonts w:ascii="Times New Roman" w:hAnsi="Times New Roman" w:cs="Times New Roman"/>
        <w:noProof/>
      </w:rPr>
      <w:fldChar w:fldCharType="end"/>
    </w:r>
  </w:p>
  <w:p w14:paraId="290535AB" w14:textId="77777777" w:rsidR="00C565FD" w:rsidRDefault="00C565FD" w:rsidP="005E54E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9BB48" w14:textId="77777777" w:rsidR="009478ED" w:rsidRPr="000E3772" w:rsidRDefault="009478ED">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Pr>
        <w:rFonts w:ascii="Times New Roman" w:hAnsi="Times New Roman" w:cs="Times New Roman"/>
        <w:noProof/>
      </w:rPr>
      <w:t>13</w:t>
    </w:r>
    <w:r w:rsidRPr="000E3772">
      <w:rPr>
        <w:rFonts w:ascii="Times New Roman" w:hAnsi="Times New Roman" w:cs="Times New Roman"/>
        <w:noProof/>
      </w:rPr>
      <w:fldChar w:fldCharType="end"/>
    </w:r>
  </w:p>
  <w:p w14:paraId="5912783F" w14:textId="77777777" w:rsidR="009478ED" w:rsidRDefault="009478ED" w:rsidP="005E54E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782B9" w14:textId="77777777" w:rsidR="00CC044F" w:rsidRPr="000E3772" w:rsidRDefault="00CC044F">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Pr>
        <w:rFonts w:ascii="Times New Roman" w:hAnsi="Times New Roman" w:cs="Times New Roman"/>
        <w:noProof/>
      </w:rPr>
      <w:t>13</w:t>
    </w:r>
    <w:r w:rsidRPr="000E3772">
      <w:rPr>
        <w:rFonts w:ascii="Times New Roman" w:hAnsi="Times New Roman" w:cs="Times New Roman"/>
        <w:noProof/>
      </w:rPr>
      <w:fldChar w:fldCharType="end"/>
    </w:r>
  </w:p>
  <w:p w14:paraId="2DFED883" w14:textId="77777777" w:rsidR="00CC044F" w:rsidRDefault="00CC044F"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556882" w14:textId="77777777" w:rsidR="00FE7549" w:rsidRDefault="00FE7549" w:rsidP="005E54E2">
      <w:r>
        <w:separator/>
      </w:r>
    </w:p>
    <w:p w14:paraId="4B9720A9" w14:textId="77777777" w:rsidR="00FE7549" w:rsidRDefault="00FE7549" w:rsidP="005E54E2"/>
    <w:p w14:paraId="7FCCE0A3" w14:textId="77777777" w:rsidR="00FE7549" w:rsidRDefault="00FE7549" w:rsidP="005E54E2"/>
    <w:p w14:paraId="71D2C6F8" w14:textId="77777777" w:rsidR="00FE7549" w:rsidRDefault="00FE7549" w:rsidP="005E54E2"/>
  </w:footnote>
  <w:footnote w:type="continuationSeparator" w:id="0">
    <w:p w14:paraId="2430223C" w14:textId="77777777" w:rsidR="00FE7549" w:rsidRDefault="00FE7549" w:rsidP="005E54E2">
      <w:r>
        <w:continuationSeparator/>
      </w:r>
    </w:p>
    <w:p w14:paraId="659E2F03" w14:textId="77777777" w:rsidR="00FE7549" w:rsidRDefault="00FE7549" w:rsidP="005E54E2"/>
    <w:p w14:paraId="007E706B" w14:textId="77777777" w:rsidR="00FE7549" w:rsidRDefault="00FE7549" w:rsidP="005E54E2"/>
    <w:p w14:paraId="0DAB62AF" w14:textId="77777777" w:rsidR="00FE7549" w:rsidRDefault="00FE7549" w:rsidP="005E54E2"/>
  </w:footnote>
  <w:footnote w:type="continuationNotice" w:id="1">
    <w:p w14:paraId="2256035C" w14:textId="77777777" w:rsidR="00FE7549" w:rsidRDefault="00FE7549"/>
  </w:footnote>
  <w:footnote w:id="2">
    <w:p w14:paraId="23982FAB" w14:textId="77777777" w:rsidR="00D526E7" w:rsidRPr="00A5663C" w:rsidRDefault="00D526E7" w:rsidP="00D526E7">
      <w:pPr>
        <w:pStyle w:val="FootnoteText"/>
        <w:rPr>
          <w:rFonts w:ascii="Times New Roman" w:hAnsi="Times New Roman" w:cs="Times New Roman"/>
          <w:sz w:val="24"/>
          <w:szCs w:val="24"/>
        </w:rPr>
      </w:pPr>
      <w:r w:rsidRPr="00A5663C">
        <w:rPr>
          <w:rStyle w:val="FootnoteReference"/>
          <w:rFonts w:ascii="Times New Roman" w:hAnsi="Times New Roman" w:cs="Times New Roman"/>
          <w:sz w:val="24"/>
          <w:szCs w:val="24"/>
        </w:rPr>
        <w:footnoteRef/>
      </w:r>
      <w:r w:rsidRPr="00A5663C">
        <w:rPr>
          <w:rFonts w:ascii="Times New Roman" w:hAnsi="Times New Roman" w:cs="Times New Roman"/>
          <w:sz w:val="24"/>
          <w:szCs w:val="24"/>
        </w:rPr>
        <w:t xml:space="preserve"> All figures and tables can be found at the end of the chapter.</w:t>
      </w:r>
    </w:p>
  </w:footnote>
  <w:footnote w:id="3">
    <w:p w14:paraId="2069858C" w14:textId="77777777" w:rsidR="00D526E7" w:rsidRPr="00A5663C" w:rsidRDefault="00D526E7" w:rsidP="00D526E7">
      <w:pPr>
        <w:pStyle w:val="FootnoteText"/>
        <w:rPr>
          <w:rFonts w:ascii="Times New Roman" w:hAnsi="Times New Roman" w:cs="Times New Roman"/>
          <w:sz w:val="24"/>
          <w:szCs w:val="24"/>
        </w:rPr>
      </w:pPr>
      <w:r w:rsidRPr="00A5663C">
        <w:rPr>
          <w:rStyle w:val="FootnoteReference"/>
          <w:rFonts w:ascii="Times New Roman" w:hAnsi="Times New Roman" w:cs="Times New Roman"/>
          <w:sz w:val="24"/>
          <w:szCs w:val="24"/>
        </w:rPr>
        <w:footnoteRef/>
      </w:r>
      <w:r w:rsidRPr="00A5663C">
        <w:rPr>
          <w:rFonts w:ascii="Times New Roman" w:hAnsi="Times New Roman" w:cs="Times New Roman"/>
          <w:sz w:val="24"/>
          <w:szCs w:val="24"/>
        </w:rPr>
        <w:t xml:space="preserve"> It may also be the case that the does not know whether it will be subject to a carrot or stick policy at the next instant in time (i.e., </w:t>
      </w:r>
      <m:oMath>
        <m:r>
          <w:rPr>
            <w:rFonts w:ascii="Cambria Math" w:hAnsi="Cambria Math" w:cs="Times New Roman"/>
            <w:sz w:val="24"/>
            <w:szCs w:val="24"/>
          </w:rPr>
          <m:t>β</m:t>
        </m:r>
      </m:oMath>
      <w:r w:rsidRPr="00A5663C">
        <w:rPr>
          <w:rFonts w:ascii="Times New Roman" w:hAnsi="Times New Roman" w:cs="Times New Roman"/>
          <w:sz w:val="24"/>
          <w:szCs w:val="24"/>
        </w:rPr>
        <w:t xml:space="preserve"> is also uncertain). I argue that such shifts between carrots and sticks occur less frequently than changes in policy activity and are thus a less impactful form of uncertainty. Nevertheless, I acknowledge the possibility that </w:t>
      </w:r>
      <m:oMath>
        <m:r>
          <w:rPr>
            <w:rFonts w:ascii="Cambria Math" w:hAnsi="Cambria Math" w:cs="Times New Roman"/>
            <w:sz w:val="24"/>
            <w:szCs w:val="24"/>
          </w:rPr>
          <m:t>β</m:t>
        </m:r>
      </m:oMath>
      <w:r w:rsidRPr="00A5663C">
        <w:rPr>
          <w:rFonts w:ascii="Times New Roman" w:hAnsi="Times New Roman" w:cs="Times New Roman"/>
          <w:sz w:val="24"/>
          <w:szCs w:val="24"/>
        </w:rPr>
        <w:t xml:space="preserve"> may also be uncertain and leave this for future work. </w:t>
      </w:r>
    </w:p>
  </w:footnote>
  <w:footnote w:id="4">
    <w:p w14:paraId="0B350359" w14:textId="77777777" w:rsidR="00D526E7" w:rsidRDefault="00D526E7" w:rsidP="00D526E7">
      <w:pPr>
        <w:pStyle w:val="FootnoteText"/>
      </w:pPr>
      <w:r>
        <w:rPr>
          <w:rStyle w:val="FootnoteReference"/>
        </w:rPr>
        <w:footnoteRef/>
      </w:r>
      <w:r>
        <w:t xml:space="preserve"> </w:t>
      </w:r>
      <w:r w:rsidRPr="00A5663C">
        <w:rPr>
          <w:rFonts w:ascii="Times New Roman" w:hAnsi="Times New Roman" w:cs="Times New Roman"/>
          <w:sz w:val="24"/>
          <w:szCs w:val="24"/>
        </w:rPr>
        <w:t>https://georgewbush-whitehouse.archives.gov/news/releases/2001/06/energyinit.html</w:t>
      </w:r>
    </w:p>
  </w:footnote>
  <w:footnote w:id="5">
    <w:p w14:paraId="2FB99708" w14:textId="77777777" w:rsidR="00C565FD" w:rsidRDefault="00C565FD" w:rsidP="00C565FD">
      <w:pPr>
        <w:pStyle w:val="FootnoteText"/>
      </w:pPr>
      <w:r>
        <w:rPr>
          <w:rStyle w:val="FootnoteReference"/>
        </w:rPr>
        <w:footnoteRef/>
      </w:r>
      <w:r>
        <w:t xml:space="preserve"> </w:t>
      </w:r>
      <w:r w:rsidRPr="0039005B">
        <w:rPr>
          <w:rFonts w:ascii="Times New Roman" w:hAnsi="Times New Roman" w:cs="Times New Roman"/>
          <w:sz w:val="24"/>
          <w:szCs w:val="24"/>
        </w:rPr>
        <w:t>4 treatment variables with 2, 3, 2, and 2 outcomes respectively.</w:t>
      </w:r>
    </w:p>
  </w:footnote>
  <w:footnote w:id="6">
    <w:p w14:paraId="4865D760" w14:textId="77777777" w:rsidR="009478ED" w:rsidRPr="00DD4052" w:rsidRDefault="009478ED" w:rsidP="009478ED">
      <w:pPr>
        <w:pStyle w:val="FootnoteText"/>
        <w:rPr>
          <w:rFonts w:ascii="Times New Roman" w:hAnsi="Times New Roman" w:cs="Times New Roman"/>
          <w:sz w:val="24"/>
          <w:szCs w:val="24"/>
        </w:rPr>
      </w:pPr>
      <w:r w:rsidRPr="00DD4052">
        <w:rPr>
          <w:rStyle w:val="FootnoteReference"/>
          <w:rFonts w:ascii="Times New Roman" w:hAnsi="Times New Roman" w:cs="Times New Roman"/>
          <w:sz w:val="24"/>
          <w:szCs w:val="24"/>
        </w:rPr>
        <w:footnoteRef/>
      </w:r>
      <w:r w:rsidRPr="00DD4052">
        <w:rPr>
          <w:rFonts w:ascii="Times New Roman" w:hAnsi="Times New Roman" w:cs="Times New Roman"/>
          <w:sz w:val="24"/>
          <w:szCs w:val="24"/>
        </w:rPr>
        <w:t xml:space="preserve"> In this paper, I use boilers as the unit of analysis, but I refer to the plant manager as the decision maker. Energy generation in a power plant occurs through a complex system of boilers and generators. Many boilers might be connected to a single generator, and power plants might utilize many generators and boilers. For this reason, I avoid using power plant as the decision making entity, as is common, to prevent confusion in the relationship between multiple boilers and a single power plant.</w:t>
      </w:r>
    </w:p>
  </w:footnote>
  <w:footnote w:id="7">
    <w:p w14:paraId="06045EFC" w14:textId="77777777" w:rsidR="009478ED" w:rsidRPr="00DD4052" w:rsidRDefault="009478ED" w:rsidP="009478ED">
      <w:pPr>
        <w:pStyle w:val="FootnoteText"/>
        <w:rPr>
          <w:rFonts w:ascii="Times New Roman" w:hAnsi="Times New Roman" w:cs="Times New Roman"/>
          <w:sz w:val="24"/>
          <w:szCs w:val="24"/>
        </w:rPr>
      </w:pPr>
      <w:r w:rsidRPr="00DD4052">
        <w:rPr>
          <w:rStyle w:val="FootnoteReference"/>
          <w:rFonts w:ascii="Times New Roman" w:hAnsi="Times New Roman" w:cs="Times New Roman"/>
          <w:sz w:val="24"/>
          <w:szCs w:val="24"/>
        </w:rPr>
        <w:footnoteRef/>
      </w:r>
      <w:r w:rsidRPr="00DD4052">
        <w:rPr>
          <w:rFonts w:ascii="Times New Roman" w:hAnsi="Times New Roman" w:cs="Times New Roman"/>
          <w:sz w:val="24"/>
          <w:szCs w:val="24"/>
        </w:rPr>
        <w:t xml:space="preserve"> For an overview, see Aldy, et al. (2022) or Currie and Walker (2019).</w:t>
      </w:r>
    </w:p>
  </w:footnote>
  <w:footnote w:id="8">
    <w:p w14:paraId="70BCAC9B" w14:textId="77777777" w:rsidR="009478ED" w:rsidRPr="00DD4052" w:rsidRDefault="009478ED" w:rsidP="009478ED">
      <w:pPr>
        <w:pStyle w:val="FootnoteText"/>
        <w:rPr>
          <w:rFonts w:ascii="Times New Roman" w:hAnsi="Times New Roman" w:cs="Times New Roman"/>
          <w:sz w:val="24"/>
          <w:szCs w:val="24"/>
        </w:rPr>
      </w:pPr>
      <w:r w:rsidRPr="00DD4052">
        <w:rPr>
          <w:rStyle w:val="FootnoteReference"/>
          <w:rFonts w:ascii="Times New Roman" w:hAnsi="Times New Roman" w:cs="Times New Roman"/>
          <w:sz w:val="24"/>
          <w:szCs w:val="24"/>
        </w:rPr>
        <w:footnoteRef/>
      </w:r>
      <w:r w:rsidRPr="00DD4052">
        <w:rPr>
          <w:rFonts w:ascii="Times New Roman" w:hAnsi="Times New Roman" w:cs="Times New Roman"/>
          <w:sz w:val="24"/>
          <w:szCs w:val="24"/>
        </w:rPr>
        <w:t xml:space="preserve"> In addition to individual fines and penalties, the CAA allows for withholding federal infrastructure spending to states or local governments not in compliance. </w:t>
      </w:r>
    </w:p>
  </w:footnote>
  <w:footnote w:id="9">
    <w:p w14:paraId="1136A5F4" w14:textId="77777777" w:rsidR="009478ED" w:rsidRPr="00DD4052" w:rsidRDefault="009478ED" w:rsidP="009478ED">
      <w:pPr>
        <w:pStyle w:val="FootnoteText"/>
        <w:rPr>
          <w:rFonts w:ascii="Times New Roman" w:hAnsi="Times New Roman" w:cs="Times New Roman"/>
          <w:sz w:val="24"/>
          <w:szCs w:val="24"/>
        </w:rPr>
      </w:pPr>
      <w:r w:rsidRPr="00DD4052">
        <w:rPr>
          <w:rStyle w:val="FootnoteReference"/>
          <w:rFonts w:ascii="Times New Roman" w:hAnsi="Times New Roman" w:cs="Times New Roman"/>
          <w:sz w:val="24"/>
          <w:szCs w:val="24"/>
        </w:rPr>
        <w:footnoteRef/>
      </w:r>
      <w:r w:rsidRPr="00DD4052">
        <w:rPr>
          <w:rFonts w:ascii="Times New Roman" w:hAnsi="Times New Roman" w:cs="Times New Roman"/>
          <w:sz w:val="24"/>
          <w:szCs w:val="24"/>
        </w:rPr>
        <w:t xml:space="preserve"> See Fraas and Richardson (2010) for a discussion of the EPA’s response to permit rollovers in cap-and-trade market transitions.</w:t>
      </w:r>
    </w:p>
  </w:footnote>
  <w:footnote w:id="10">
    <w:p w14:paraId="78894DFD" w14:textId="77777777" w:rsidR="009478ED" w:rsidRPr="00DD4052" w:rsidRDefault="009478ED" w:rsidP="009478ED">
      <w:pPr>
        <w:pStyle w:val="FootnoteText"/>
        <w:rPr>
          <w:rFonts w:ascii="Times New Roman" w:hAnsi="Times New Roman" w:cs="Times New Roman"/>
          <w:sz w:val="24"/>
          <w:szCs w:val="24"/>
        </w:rPr>
      </w:pPr>
      <w:r w:rsidRPr="00DD4052">
        <w:rPr>
          <w:rStyle w:val="FootnoteReference"/>
          <w:rFonts w:ascii="Times New Roman" w:hAnsi="Times New Roman" w:cs="Times New Roman"/>
          <w:sz w:val="24"/>
          <w:szCs w:val="24"/>
        </w:rPr>
        <w:footnoteRef/>
      </w:r>
      <w:r w:rsidRPr="00DD4052">
        <w:rPr>
          <w:rFonts w:ascii="Times New Roman" w:hAnsi="Times New Roman" w:cs="Times New Roman"/>
          <w:sz w:val="24"/>
          <w:szCs w:val="24"/>
        </w:rPr>
        <w:t xml:space="preserve"> Other responses on the intensive margin could include lobbying against the regulation, switching fuel types, or decreasing generation output.</w:t>
      </w:r>
    </w:p>
  </w:footnote>
  <w:footnote w:id="11">
    <w:p w14:paraId="4681E6A2" w14:textId="77777777" w:rsidR="009478ED" w:rsidRPr="00DD4052" w:rsidRDefault="009478ED" w:rsidP="009478ED">
      <w:pPr>
        <w:pStyle w:val="FootnoteText"/>
        <w:rPr>
          <w:rFonts w:ascii="Times New Roman" w:hAnsi="Times New Roman" w:cs="Times New Roman"/>
          <w:sz w:val="24"/>
          <w:szCs w:val="24"/>
        </w:rPr>
      </w:pPr>
      <w:r w:rsidRPr="00DD4052">
        <w:rPr>
          <w:rStyle w:val="FootnoteReference"/>
          <w:rFonts w:ascii="Times New Roman" w:hAnsi="Times New Roman" w:cs="Times New Roman"/>
          <w:sz w:val="24"/>
          <w:szCs w:val="24"/>
        </w:rPr>
        <w:footnoteRef/>
      </w:r>
      <w:r w:rsidRPr="00DD4052">
        <w:rPr>
          <w:rFonts w:ascii="Times New Roman" w:hAnsi="Times New Roman" w:cs="Times New Roman"/>
          <w:sz w:val="24"/>
          <w:szCs w:val="24"/>
        </w:rPr>
        <w:t xml:space="preserve"> CAIR and CSAPR collectively regulated all but 21 and 17 of the contiguous states for SO</w:t>
      </w:r>
      <w:r w:rsidRPr="00DD4052">
        <w:rPr>
          <w:rFonts w:ascii="Times New Roman" w:hAnsi="Times New Roman" w:cs="Times New Roman"/>
          <w:sz w:val="24"/>
          <w:szCs w:val="24"/>
          <w:vertAlign w:val="subscript"/>
        </w:rPr>
        <w:t>2</w:t>
      </w:r>
      <w:r w:rsidRPr="00DD4052">
        <w:rPr>
          <w:rFonts w:ascii="Times New Roman" w:hAnsi="Times New Roman" w:cs="Times New Roman"/>
          <w:sz w:val="24"/>
          <w:szCs w:val="24"/>
        </w:rPr>
        <w:t xml:space="preserve"> and NO</w:t>
      </w:r>
      <w:r w:rsidRPr="00DD4052">
        <w:rPr>
          <w:rFonts w:ascii="Times New Roman" w:hAnsi="Times New Roman" w:cs="Times New Roman"/>
          <w:sz w:val="24"/>
          <w:szCs w:val="24"/>
          <w:vertAlign w:val="subscript"/>
        </w:rPr>
        <w:t>x</w:t>
      </w:r>
      <w:r w:rsidRPr="00DD4052">
        <w:rPr>
          <w:rFonts w:ascii="Times New Roman" w:hAnsi="Times New Roman" w:cs="Times New Roman"/>
          <w:sz w:val="24"/>
          <w:szCs w:val="24"/>
        </w:rPr>
        <w:t xml:space="preserve"> respectively. Although the percentage regulated might seem high, most unregulated states are relatively sparsely populated western states.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76C2C"/>
    <w:multiLevelType w:val="hybridMultilevel"/>
    <w:tmpl w:val="53382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32E11"/>
    <w:multiLevelType w:val="hybridMultilevel"/>
    <w:tmpl w:val="20E2E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8B7187"/>
    <w:multiLevelType w:val="hybridMultilevel"/>
    <w:tmpl w:val="4D32F37A"/>
    <w:lvl w:ilvl="0" w:tplc="95F0BF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F055CB"/>
    <w:multiLevelType w:val="hybridMultilevel"/>
    <w:tmpl w:val="5944F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B7C57"/>
    <w:multiLevelType w:val="hybridMultilevel"/>
    <w:tmpl w:val="13B800DE"/>
    <w:lvl w:ilvl="0" w:tplc="F1C819E0">
      <w:numFmt w:val="bullet"/>
      <w:lvlText w:val=""/>
      <w:lvlJc w:val="left"/>
      <w:pPr>
        <w:ind w:left="1800" w:hanging="360"/>
      </w:pPr>
      <w:rPr>
        <w:rFonts w:ascii="Wingdings" w:eastAsiaTheme="minorEastAsia" w:hAnsi="Wingding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1C76EA8"/>
    <w:multiLevelType w:val="hybridMultilevel"/>
    <w:tmpl w:val="D9DAFC44"/>
    <w:lvl w:ilvl="0" w:tplc="334AE7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CD1552"/>
    <w:multiLevelType w:val="hybridMultilevel"/>
    <w:tmpl w:val="6FC699F4"/>
    <w:lvl w:ilvl="0" w:tplc="006477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6F6A6D"/>
    <w:multiLevelType w:val="hybridMultilevel"/>
    <w:tmpl w:val="45B0EB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E607FE"/>
    <w:multiLevelType w:val="hybridMultilevel"/>
    <w:tmpl w:val="F2A08076"/>
    <w:lvl w:ilvl="0" w:tplc="949819E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96385A"/>
    <w:multiLevelType w:val="hybridMultilevel"/>
    <w:tmpl w:val="AE9C335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4C45169"/>
    <w:multiLevelType w:val="hybridMultilevel"/>
    <w:tmpl w:val="4E882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C67042"/>
    <w:multiLevelType w:val="hybridMultilevel"/>
    <w:tmpl w:val="12BC2694"/>
    <w:lvl w:ilvl="0" w:tplc="17545D2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562840"/>
    <w:multiLevelType w:val="hybridMultilevel"/>
    <w:tmpl w:val="BF04915A"/>
    <w:lvl w:ilvl="0" w:tplc="A718F58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BA3FE3"/>
    <w:multiLevelType w:val="hybridMultilevel"/>
    <w:tmpl w:val="A4421AD8"/>
    <w:lvl w:ilvl="0" w:tplc="3A4007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BF3ACF"/>
    <w:multiLevelType w:val="hybridMultilevel"/>
    <w:tmpl w:val="AE9C33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AB7CC6"/>
    <w:multiLevelType w:val="hybridMultilevel"/>
    <w:tmpl w:val="BB1827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914BE6"/>
    <w:multiLevelType w:val="hybridMultilevel"/>
    <w:tmpl w:val="C30A1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96492E"/>
    <w:multiLevelType w:val="hybridMultilevel"/>
    <w:tmpl w:val="AE9C335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6A640A"/>
    <w:multiLevelType w:val="hybridMultilevel"/>
    <w:tmpl w:val="9070BE62"/>
    <w:lvl w:ilvl="0" w:tplc="E9AE43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D6112F"/>
    <w:multiLevelType w:val="hybridMultilevel"/>
    <w:tmpl w:val="AE9C335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845580"/>
    <w:multiLevelType w:val="hybridMultilevel"/>
    <w:tmpl w:val="69D459B8"/>
    <w:lvl w:ilvl="0" w:tplc="321E010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1059E6"/>
    <w:multiLevelType w:val="hybridMultilevel"/>
    <w:tmpl w:val="4B58FE3E"/>
    <w:lvl w:ilvl="0" w:tplc="31227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0B6825"/>
    <w:multiLevelType w:val="hybridMultilevel"/>
    <w:tmpl w:val="AFE80C44"/>
    <w:lvl w:ilvl="0" w:tplc="FD88FA5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007F24"/>
    <w:multiLevelType w:val="hybridMultilevel"/>
    <w:tmpl w:val="950EA86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3F4554"/>
    <w:multiLevelType w:val="hybridMultilevel"/>
    <w:tmpl w:val="293434BA"/>
    <w:lvl w:ilvl="0" w:tplc="1E7AAA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BD60A1A"/>
    <w:multiLevelType w:val="hybridMultilevel"/>
    <w:tmpl w:val="797AD3EC"/>
    <w:lvl w:ilvl="0" w:tplc="9750410E">
      <w:start w:val="1"/>
      <w:numFmt w:val="decimal"/>
      <w:lvlText w:val="%1."/>
      <w:lvlJc w:val="left"/>
      <w:pPr>
        <w:ind w:left="1440" w:hanging="360"/>
      </w:pPr>
    </w:lvl>
    <w:lvl w:ilvl="1" w:tplc="1B18DB20">
      <w:start w:val="1"/>
      <w:numFmt w:val="decimal"/>
      <w:lvlText w:val="%2."/>
      <w:lvlJc w:val="left"/>
      <w:pPr>
        <w:ind w:left="1440" w:hanging="360"/>
      </w:pPr>
    </w:lvl>
    <w:lvl w:ilvl="2" w:tplc="D2884AC8">
      <w:start w:val="1"/>
      <w:numFmt w:val="decimal"/>
      <w:lvlText w:val="%3."/>
      <w:lvlJc w:val="left"/>
      <w:pPr>
        <w:ind w:left="1440" w:hanging="360"/>
      </w:pPr>
    </w:lvl>
    <w:lvl w:ilvl="3" w:tplc="323C9D06">
      <w:start w:val="1"/>
      <w:numFmt w:val="decimal"/>
      <w:lvlText w:val="%4."/>
      <w:lvlJc w:val="left"/>
      <w:pPr>
        <w:ind w:left="1440" w:hanging="360"/>
      </w:pPr>
    </w:lvl>
    <w:lvl w:ilvl="4" w:tplc="59489A5E">
      <w:start w:val="1"/>
      <w:numFmt w:val="decimal"/>
      <w:lvlText w:val="%5."/>
      <w:lvlJc w:val="left"/>
      <w:pPr>
        <w:ind w:left="1440" w:hanging="360"/>
      </w:pPr>
    </w:lvl>
    <w:lvl w:ilvl="5" w:tplc="87C4F132">
      <w:start w:val="1"/>
      <w:numFmt w:val="decimal"/>
      <w:lvlText w:val="%6."/>
      <w:lvlJc w:val="left"/>
      <w:pPr>
        <w:ind w:left="1440" w:hanging="360"/>
      </w:pPr>
    </w:lvl>
    <w:lvl w:ilvl="6" w:tplc="91FCE732">
      <w:start w:val="1"/>
      <w:numFmt w:val="decimal"/>
      <w:lvlText w:val="%7."/>
      <w:lvlJc w:val="left"/>
      <w:pPr>
        <w:ind w:left="1440" w:hanging="360"/>
      </w:pPr>
    </w:lvl>
    <w:lvl w:ilvl="7" w:tplc="2990EEF6">
      <w:start w:val="1"/>
      <w:numFmt w:val="decimal"/>
      <w:lvlText w:val="%8."/>
      <w:lvlJc w:val="left"/>
      <w:pPr>
        <w:ind w:left="1440" w:hanging="360"/>
      </w:pPr>
    </w:lvl>
    <w:lvl w:ilvl="8" w:tplc="0EF05F40">
      <w:start w:val="1"/>
      <w:numFmt w:val="decimal"/>
      <w:lvlText w:val="%9."/>
      <w:lvlJc w:val="left"/>
      <w:pPr>
        <w:ind w:left="1440" w:hanging="360"/>
      </w:pPr>
    </w:lvl>
  </w:abstractNum>
  <w:num w:numId="1" w16cid:durableId="475268916">
    <w:abstractNumId w:val="11"/>
  </w:num>
  <w:num w:numId="2" w16cid:durableId="1054081665">
    <w:abstractNumId w:val="8"/>
  </w:num>
  <w:num w:numId="3" w16cid:durableId="29766346">
    <w:abstractNumId w:val="20"/>
  </w:num>
  <w:num w:numId="4" w16cid:durableId="1128737484">
    <w:abstractNumId w:val="2"/>
  </w:num>
  <w:num w:numId="5" w16cid:durableId="1886914398">
    <w:abstractNumId w:val="22"/>
  </w:num>
  <w:num w:numId="6" w16cid:durableId="1445925199">
    <w:abstractNumId w:val="6"/>
  </w:num>
  <w:num w:numId="7" w16cid:durableId="1011952394">
    <w:abstractNumId w:val="16"/>
  </w:num>
  <w:num w:numId="8" w16cid:durableId="1874342700">
    <w:abstractNumId w:val="10"/>
  </w:num>
  <w:num w:numId="9" w16cid:durableId="1395667554">
    <w:abstractNumId w:val="4"/>
  </w:num>
  <w:num w:numId="10" w16cid:durableId="1387492029">
    <w:abstractNumId w:val="23"/>
  </w:num>
  <w:num w:numId="11" w16cid:durableId="1462116633">
    <w:abstractNumId w:val="24"/>
  </w:num>
  <w:num w:numId="12" w16cid:durableId="1821383783">
    <w:abstractNumId w:val="3"/>
  </w:num>
  <w:num w:numId="13" w16cid:durableId="878082320">
    <w:abstractNumId w:val="15"/>
  </w:num>
  <w:num w:numId="14" w16cid:durableId="2037122565">
    <w:abstractNumId w:val="1"/>
  </w:num>
  <w:num w:numId="15" w16cid:durableId="1126299">
    <w:abstractNumId w:val="14"/>
  </w:num>
  <w:num w:numId="16" w16cid:durableId="572278547">
    <w:abstractNumId w:val="9"/>
  </w:num>
  <w:num w:numId="17" w16cid:durableId="1441341300">
    <w:abstractNumId w:val="19"/>
  </w:num>
  <w:num w:numId="18" w16cid:durableId="953246872">
    <w:abstractNumId w:val="17"/>
  </w:num>
  <w:num w:numId="19" w16cid:durableId="965352788">
    <w:abstractNumId w:val="12"/>
  </w:num>
  <w:num w:numId="20" w16cid:durableId="1159152604">
    <w:abstractNumId w:val="18"/>
  </w:num>
  <w:num w:numId="21" w16cid:durableId="1024668690">
    <w:abstractNumId w:val="21"/>
  </w:num>
  <w:num w:numId="22" w16cid:durableId="766076576">
    <w:abstractNumId w:val="5"/>
  </w:num>
  <w:num w:numId="23" w16cid:durableId="698048603">
    <w:abstractNumId w:val="13"/>
  </w:num>
  <w:num w:numId="24" w16cid:durableId="1586262627">
    <w:abstractNumId w:val="7"/>
  </w:num>
  <w:num w:numId="25" w16cid:durableId="1952281510">
    <w:abstractNumId w:val="0"/>
  </w:num>
  <w:num w:numId="26" w16cid:durableId="11280069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ytjQ3tjQzNzUyMDdR0lEKTi0uzszPAykwNKkFANMnmJEtAAAA"/>
  </w:docVars>
  <w:rsids>
    <w:rsidRoot w:val="00DF7C87"/>
    <w:rsid w:val="000033A9"/>
    <w:rsid w:val="00003F6A"/>
    <w:rsid w:val="00004A45"/>
    <w:rsid w:val="00014A3E"/>
    <w:rsid w:val="000156E9"/>
    <w:rsid w:val="000166A9"/>
    <w:rsid w:val="00024777"/>
    <w:rsid w:val="0003672C"/>
    <w:rsid w:val="00047926"/>
    <w:rsid w:val="00057004"/>
    <w:rsid w:val="00060A6A"/>
    <w:rsid w:val="00071FB8"/>
    <w:rsid w:val="00072E4E"/>
    <w:rsid w:val="00073252"/>
    <w:rsid w:val="00076A95"/>
    <w:rsid w:val="0009024A"/>
    <w:rsid w:val="000A2739"/>
    <w:rsid w:val="000A380A"/>
    <w:rsid w:val="000A508B"/>
    <w:rsid w:val="000B5C42"/>
    <w:rsid w:val="000C6627"/>
    <w:rsid w:val="000D0B9C"/>
    <w:rsid w:val="000D27F9"/>
    <w:rsid w:val="000E3772"/>
    <w:rsid w:val="000F3EEC"/>
    <w:rsid w:val="000F6BA2"/>
    <w:rsid w:val="0010217F"/>
    <w:rsid w:val="001056D7"/>
    <w:rsid w:val="00106F04"/>
    <w:rsid w:val="00107D46"/>
    <w:rsid w:val="00107E07"/>
    <w:rsid w:val="00110874"/>
    <w:rsid w:val="00110CCA"/>
    <w:rsid w:val="001124C8"/>
    <w:rsid w:val="0011567F"/>
    <w:rsid w:val="00117345"/>
    <w:rsid w:val="00117B66"/>
    <w:rsid w:val="00127B60"/>
    <w:rsid w:val="00142A7E"/>
    <w:rsid w:val="00160114"/>
    <w:rsid w:val="00164240"/>
    <w:rsid w:val="00174291"/>
    <w:rsid w:val="00174529"/>
    <w:rsid w:val="001839DC"/>
    <w:rsid w:val="00184EEF"/>
    <w:rsid w:val="00184FE8"/>
    <w:rsid w:val="001854FB"/>
    <w:rsid w:val="001915EE"/>
    <w:rsid w:val="00193642"/>
    <w:rsid w:val="001A57AE"/>
    <w:rsid w:val="001B1034"/>
    <w:rsid w:val="001B1692"/>
    <w:rsid w:val="001B18D1"/>
    <w:rsid w:val="001C1BC2"/>
    <w:rsid w:val="001C39F6"/>
    <w:rsid w:val="001C66FE"/>
    <w:rsid w:val="001D4908"/>
    <w:rsid w:val="001D6904"/>
    <w:rsid w:val="001E0133"/>
    <w:rsid w:val="001F43C1"/>
    <w:rsid w:val="001F522F"/>
    <w:rsid w:val="00215C1D"/>
    <w:rsid w:val="0021619C"/>
    <w:rsid w:val="002168A2"/>
    <w:rsid w:val="0022210F"/>
    <w:rsid w:val="0022228F"/>
    <w:rsid w:val="00231799"/>
    <w:rsid w:val="00236E6D"/>
    <w:rsid w:val="002429E5"/>
    <w:rsid w:val="0024507C"/>
    <w:rsid w:val="00246AF3"/>
    <w:rsid w:val="00253C2C"/>
    <w:rsid w:val="00254D1A"/>
    <w:rsid w:val="00254FB0"/>
    <w:rsid w:val="00261B12"/>
    <w:rsid w:val="00267E2A"/>
    <w:rsid w:val="00280CEF"/>
    <w:rsid w:val="0028757A"/>
    <w:rsid w:val="002A12F0"/>
    <w:rsid w:val="002A3264"/>
    <w:rsid w:val="002A3561"/>
    <w:rsid w:val="002A4CBC"/>
    <w:rsid w:val="002B774E"/>
    <w:rsid w:val="002C3972"/>
    <w:rsid w:val="002D5038"/>
    <w:rsid w:val="002E0C33"/>
    <w:rsid w:val="002E2492"/>
    <w:rsid w:val="002E264F"/>
    <w:rsid w:val="002E2998"/>
    <w:rsid w:val="002E2FCF"/>
    <w:rsid w:val="002E5F14"/>
    <w:rsid w:val="002F1E38"/>
    <w:rsid w:val="002F6C76"/>
    <w:rsid w:val="00304BD0"/>
    <w:rsid w:val="003050D2"/>
    <w:rsid w:val="00307D77"/>
    <w:rsid w:val="00313E9E"/>
    <w:rsid w:val="003150D5"/>
    <w:rsid w:val="003206F1"/>
    <w:rsid w:val="00320F78"/>
    <w:rsid w:val="0032257F"/>
    <w:rsid w:val="00322CF9"/>
    <w:rsid w:val="00323B07"/>
    <w:rsid w:val="003244B8"/>
    <w:rsid w:val="00327E4A"/>
    <w:rsid w:val="00333D08"/>
    <w:rsid w:val="00334400"/>
    <w:rsid w:val="003348A6"/>
    <w:rsid w:val="003355F0"/>
    <w:rsid w:val="003456FB"/>
    <w:rsid w:val="0035768F"/>
    <w:rsid w:val="00360B3C"/>
    <w:rsid w:val="00361857"/>
    <w:rsid w:val="0036251E"/>
    <w:rsid w:val="00373919"/>
    <w:rsid w:val="0037595F"/>
    <w:rsid w:val="0038177C"/>
    <w:rsid w:val="003836EB"/>
    <w:rsid w:val="00387024"/>
    <w:rsid w:val="003871B4"/>
    <w:rsid w:val="00387656"/>
    <w:rsid w:val="003903A0"/>
    <w:rsid w:val="00394427"/>
    <w:rsid w:val="00394464"/>
    <w:rsid w:val="003B4522"/>
    <w:rsid w:val="003C070F"/>
    <w:rsid w:val="003C1575"/>
    <w:rsid w:val="003C7FC5"/>
    <w:rsid w:val="003D07F7"/>
    <w:rsid w:val="003D146C"/>
    <w:rsid w:val="003D2A12"/>
    <w:rsid w:val="003D5275"/>
    <w:rsid w:val="003D63DF"/>
    <w:rsid w:val="003D737F"/>
    <w:rsid w:val="003F18EB"/>
    <w:rsid w:val="003F2F2B"/>
    <w:rsid w:val="003F4394"/>
    <w:rsid w:val="003F7474"/>
    <w:rsid w:val="00404616"/>
    <w:rsid w:val="00406F6E"/>
    <w:rsid w:val="00407B6A"/>
    <w:rsid w:val="004107C1"/>
    <w:rsid w:val="00413B91"/>
    <w:rsid w:val="00414400"/>
    <w:rsid w:val="0042114B"/>
    <w:rsid w:val="00421CD4"/>
    <w:rsid w:val="00422932"/>
    <w:rsid w:val="00423EA7"/>
    <w:rsid w:val="00427833"/>
    <w:rsid w:val="00431263"/>
    <w:rsid w:val="00432520"/>
    <w:rsid w:val="004335E8"/>
    <w:rsid w:val="00433A82"/>
    <w:rsid w:val="00436E14"/>
    <w:rsid w:val="0044196E"/>
    <w:rsid w:val="004441A8"/>
    <w:rsid w:val="004443D1"/>
    <w:rsid w:val="004452FE"/>
    <w:rsid w:val="00450DB3"/>
    <w:rsid w:val="004524C5"/>
    <w:rsid w:val="00474210"/>
    <w:rsid w:val="00480B96"/>
    <w:rsid w:val="0048303E"/>
    <w:rsid w:val="0049004B"/>
    <w:rsid w:val="004920F6"/>
    <w:rsid w:val="00497636"/>
    <w:rsid w:val="004A67E8"/>
    <w:rsid w:val="004A7A14"/>
    <w:rsid w:val="004A7EC2"/>
    <w:rsid w:val="004C07B6"/>
    <w:rsid w:val="004C1118"/>
    <w:rsid w:val="004C2071"/>
    <w:rsid w:val="004C24CA"/>
    <w:rsid w:val="004C3D65"/>
    <w:rsid w:val="004C4F1D"/>
    <w:rsid w:val="004C5C13"/>
    <w:rsid w:val="004D6472"/>
    <w:rsid w:val="004E0ED7"/>
    <w:rsid w:val="004E19A9"/>
    <w:rsid w:val="004E72EF"/>
    <w:rsid w:val="004F0699"/>
    <w:rsid w:val="004F207D"/>
    <w:rsid w:val="005049EE"/>
    <w:rsid w:val="005065AE"/>
    <w:rsid w:val="00511374"/>
    <w:rsid w:val="00526151"/>
    <w:rsid w:val="00526CAD"/>
    <w:rsid w:val="00527135"/>
    <w:rsid w:val="005342C0"/>
    <w:rsid w:val="00536DC9"/>
    <w:rsid w:val="0054141F"/>
    <w:rsid w:val="005470AC"/>
    <w:rsid w:val="0056334B"/>
    <w:rsid w:val="005636AC"/>
    <w:rsid w:val="005639A9"/>
    <w:rsid w:val="005726AD"/>
    <w:rsid w:val="00577628"/>
    <w:rsid w:val="00583A04"/>
    <w:rsid w:val="00593131"/>
    <w:rsid w:val="00595674"/>
    <w:rsid w:val="00597AA2"/>
    <w:rsid w:val="00597AD2"/>
    <w:rsid w:val="00597D3F"/>
    <w:rsid w:val="005A537A"/>
    <w:rsid w:val="005B14BF"/>
    <w:rsid w:val="005B56E8"/>
    <w:rsid w:val="005B79E9"/>
    <w:rsid w:val="005D12B7"/>
    <w:rsid w:val="005D4504"/>
    <w:rsid w:val="005E07C7"/>
    <w:rsid w:val="005E4912"/>
    <w:rsid w:val="005E54E2"/>
    <w:rsid w:val="005E6705"/>
    <w:rsid w:val="005E6F1F"/>
    <w:rsid w:val="005F3031"/>
    <w:rsid w:val="005F44D1"/>
    <w:rsid w:val="005F6BF6"/>
    <w:rsid w:val="00603DE7"/>
    <w:rsid w:val="00611B90"/>
    <w:rsid w:val="00621129"/>
    <w:rsid w:val="006220D4"/>
    <w:rsid w:val="00627AC4"/>
    <w:rsid w:val="00630FD2"/>
    <w:rsid w:val="006316C9"/>
    <w:rsid w:val="00633916"/>
    <w:rsid w:val="00641D2B"/>
    <w:rsid w:val="00652687"/>
    <w:rsid w:val="00652E1E"/>
    <w:rsid w:val="00662D3E"/>
    <w:rsid w:val="00663834"/>
    <w:rsid w:val="00665983"/>
    <w:rsid w:val="00665C7E"/>
    <w:rsid w:val="00672DDD"/>
    <w:rsid w:val="00676C91"/>
    <w:rsid w:val="006803C0"/>
    <w:rsid w:val="006844DE"/>
    <w:rsid w:val="0068627C"/>
    <w:rsid w:val="00687DD5"/>
    <w:rsid w:val="00690B77"/>
    <w:rsid w:val="006A5B52"/>
    <w:rsid w:val="006A753D"/>
    <w:rsid w:val="006B2DE2"/>
    <w:rsid w:val="006B410B"/>
    <w:rsid w:val="006C4000"/>
    <w:rsid w:val="006C621F"/>
    <w:rsid w:val="006C651A"/>
    <w:rsid w:val="006D5EE8"/>
    <w:rsid w:val="006E56E8"/>
    <w:rsid w:val="006E5B01"/>
    <w:rsid w:val="006E7177"/>
    <w:rsid w:val="006F5AA4"/>
    <w:rsid w:val="006F7663"/>
    <w:rsid w:val="00701953"/>
    <w:rsid w:val="00711200"/>
    <w:rsid w:val="0072397F"/>
    <w:rsid w:val="00726A69"/>
    <w:rsid w:val="00727250"/>
    <w:rsid w:val="007276EA"/>
    <w:rsid w:val="00731922"/>
    <w:rsid w:val="00731ACB"/>
    <w:rsid w:val="007367FE"/>
    <w:rsid w:val="007368AD"/>
    <w:rsid w:val="0074133D"/>
    <w:rsid w:val="00741F19"/>
    <w:rsid w:val="00745DF6"/>
    <w:rsid w:val="007511CE"/>
    <w:rsid w:val="0075183C"/>
    <w:rsid w:val="0075196D"/>
    <w:rsid w:val="00752F51"/>
    <w:rsid w:val="0075558C"/>
    <w:rsid w:val="007606EA"/>
    <w:rsid w:val="00761EFA"/>
    <w:rsid w:val="00764873"/>
    <w:rsid w:val="00765DC8"/>
    <w:rsid w:val="007733CA"/>
    <w:rsid w:val="007778DD"/>
    <w:rsid w:val="00781055"/>
    <w:rsid w:val="00787617"/>
    <w:rsid w:val="00796693"/>
    <w:rsid w:val="00796824"/>
    <w:rsid w:val="007A0C12"/>
    <w:rsid w:val="007A0F41"/>
    <w:rsid w:val="007A0F8D"/>
    <w:rsid w:val="007A644D"/>
    <w:rsid w:val="007C5ACC"/>
    <w:rsid w:val="007C7591"/>
    <w:rsid w:val="007D1C7E"/>
    <w:rsid w:val="007D5CD5"/>
    <w:rsid w:val="007E1E7B"/>
    <w:rsid w:val="007F37A0"/>
    <w:rsid w:val="007F4CA7"/>
    <w:rsid w:val="007F5238"/>
    <w:rsid w:val="007F6AE9"/>
    <w:rsid w:val="008008ED"/>
    <w:rsid w:val="00803281"/>
    <w:rsid w:val="00825933"/>
    <w:rsid w:val="00826D54"/>
    <w:rsid w:val="00827A11"/>
    <w:rsid w:val="00834CBF"/>
    <w:rsid w:val="00836F89"/>
    <w:rsid w:val="008412DC"/>
    <w:rsid w:val="00846459"/>
    <w:rsid w:val="0085757D"/>
    <w:rsid w:val="00862950"/>
    <w:rsid w:val="00863435"/>
    <w:rsid w:val="00864954"/>
    <w:rsid w:val="00872827"/>
    <w:rsid w:val="0087349A"/>
    <w:rsid w:val="0087532D"/>
    <w:rsid w:val="0087717D"/>
    <w:rsid w:val="008807FD"/>
    <w:rsid w:val="00883F99"/>
    <w:rsid w:val="008865B6"/>
    <w:rsid w:val="00890A4B"/>
    <w:rsid w:val="008949E3"/>
    <w:rsid w:val="00895DF4"/>
    <w:rsid w:val="008A0595"/>
    <w:rsid w:val="008A7971"/>
    <w:rsid w:val="008B0A19"/>
    <w:rsid w:val="008B1A4D"/>
    <w:rsid w:val="008B242B"/>
    <w:rsid w:val="008B2B7A"/>
    <w:rsid w:val="008C3F6B"/>
    <w:rsid w:val="008C78C8"/>
    <w:rsid w:val="008D0A54"/>
    <w:rsid w:val="008D468D"/>
    <w:rsid w:val="008D589C"/>
    <w:rsid w:val="008E7085"/>
    <w:rsid w:val="008F2C12"/>
    <w:rsid w:val="008F60C3"/>
    <w:rsid w:val="00900DB5"/>
    <w:rsid w:val="009041A5"/>
    <w:rsid w:val="00904231"/>
    <w:rsid w:val="00904365"/>
    <w:rsid w:val="00904969"/>
    <w:rsid w:val="009133E7"/>
    <w:rsid w:val="00914C24"/>
    <w:rsid w:val="00915ED6"/>
    <w:rsid w:val="00920F80"/>
    <w:rsid w:val="00924FE6"/>
    <w:rsid w:val="009254D6"/>
    <w:rsid w:val="0092669B"/>
    <w:rsid w:val="0092677A"/>
    <w:rsid w:val="00930E88"/>
    <w:rsid w:val="0093163E"/>
    <w:rsid w:val="00936436"/>
    <w:rsid w:val="009478ED"/>
    <w:rsid w:val="00950285"/>
    <w:rsid w:val="00965C10"/>
    <w:rsid w:val="00966BAC"/>
    <w:rsid w:val="00975E37"/>
    <w:rsid w:val="00980CED"/>
    <w:rsid w:val="009943F9"/>
    <w:rsid w:val="00994C60"/>
    <w:rsid w:val="009A2ABE"/>
    <w:rsid w:val="009A6A2F"/>
    <w:rsid w:val="009B2182"/>
    <w:rsid w:val="009C755C"/>
    <w:rsid w:val="009C780F"/>
    <w:rsid w:val="009D794C"/>
    <w:rsid w:val="009E59AE"/>
    <w:rsid w:val="00A07407"/>
    <w:rsid w:val="00A11220"/>
    <w:rsid w:val="00A24419"/>
    <w:rsid w:val="00A25353"/>
    <w:rsid w:val="00A33BA5"/>
    <w:rsid w:val="00A34F5F"/>
    <w:rsid w:val="00A46A68"/>
    <w:rsid w:val="00A50530"/>
    <w:rsid w:val="00A50EE9"/>
    <w:rsid w:val="00A50F5A"/>
    <w:rsid w:val="00A61353"/>
    <w:rsid w:val="00A746DE"/>
    <w:rsid w:val="00A847CB"/>
    <w:rsid w:val="00A85364"/>
    <w:rsid w:val="00A86F48"/>
    <w:rsid w:val="00A93387"/>
    <w:rsid w:val="00A97460"/>
    <w:rsid w:val="00AA3E0C"/>
    <w:rsid w:val="00AB04D0"/>
    <w:rsid w:val="00AB6429"/>
    <w:rsid w:val="00AC2419"/>
    <w:rsid w:val="00AC62AC"/>
    <w:rsid w:val="00AD0A33"/>
    <w:rsid w:val="00AD31BE"/>
    <w:rsid w:val="00AE0982"/>
    <w:rsid w:val="00AE192C"/>
    <w:rsid w:val="00AF19D4"/>
    <w:rsid w:val="00AF3AE1"/>
    <w:rsid w:val="00B03AEE"/>
    <w:rsid w:val="00B07524"/>
    <w:rsid w:val="00B10BCC"/>
    <w:rsid w:val="00B113E7"/>
    <w:rsid w:val="00B21FB4"/>
    <w:rsid w:val="00B316F3"/>
    <w:rsid w:val="00B3499E"/>
    <w:rsid w:val="00B35B7C"/>
    <w:rsid w:val="00B36790"/>
    <w:rsid w:val="00B36A23"/>
    <w:rsid w:val="00B45A7D"/>
    <w:rsid w:val="00B473AE"/>
    <w:rsid w:val="00B53C15"/>
    <w:rsid w:val="00B56270"/>
    <w:rsid w:val="00B61274"/>
    <w:rsid w:val="00B75F29"/>
    <w:rsid w:val="00B7746D"/>
    <w:rsid w:val="00B82046"/>
    <w:rsid w:val="00B848F8"/>
    <w:rsid w:val="00B90095"/>
    <w:rsid w:val="00BA6B1F"/>
    <w:rsid w:val="00BB1AA8"/>
    <w:rsid w:val="00BB45F4"/>
    <w:rsid w:val="00BB7C7D"/>
    <w:rsid w:val="00BB7D4D"/>
    <w:rsid w:val="00BC1950"/>
    <w:rsid w:val="00BC71EF"/>
    <w:rsid w:val="00BD0237"/>
    <w:rsid w:val="00BD0F55"/>
    <w:rsid w:val="00BD2603"/>
    <w:rsid w:val="00BD3522"/>
    <w:rsid w:val="00BD43E6"/>
    <w:rsid w:val="00C04FDC"/>
    <w:rsid w:val="00C05388"/>
    <w:rsid w:val="00C0799A"/>
    <w:rsid w:val="00C07BE1"/>
    <w:rsid w:val="00C11979"/>
    <w:rsid w:val="00C11D0D"/>
    <w:rsid w:val="00C173C9"/>
    <w:rsid w:val="00C216FB"/>
    <w:rsid w:val="00C21A35"/>
    <w:rsid w:val="00C26544"/>
    <w:rsid w:val="00C3068D"/>
    <w:rsid w:val="00C30D60"/>
    <w:rsid w:val="00C36784"/>
    <w:rsid w:val="00C43F03"/>
    <w:rsid w:val="00C509C3"/>
    <w:rsid w:val="00C50A17"/>
    <w:rsid w:val="00C54E2F"/>
    <w:rsid w:val="00C56067"/>
    <w:rsid w:val="00C565FD"/>
    <w:rsid w:val="00C6439C"/>
    <w:rsid w:val="00C70EAE"/>
    <w:rsid w:val="00C751BD"/>
    <w:rsid w:val="00C83B65"/>
    <w:rsid w:val="00C8444D"/>
    <w:rsid w:val="00C958EC"/>
    <w:rsid w:val="00C974DD"/>
    <w:rsid w:val="00CA0632"/>
    <w:rsid w:val="00CB76B7"/>
    <w:rsid w:val="00CC044F"/>
    <w:rsid w:val="00CD057B"/>
    <w:rsid w:val="00CD18BC"/>
    <w:rsid w:val="00CD50B5"/>
    <w:rsid w:val="00CD73A9"/>
    <w:rsid w:val="00CE3A3E"/>
    <w:rsid w:val="00CE4D4B"/>
    <w:rsid w:val="00CE58B6"/>
    <w:rsid w:val="00CF7966"/>
    <w:rsid w:val="00D04044"/>
    <w:rsid w:val="00D054A3"/>
    <w:rsid w:val="00D06F12"/>
    <w:rsid w:val="00D10045"/>
    <w:rsid w:val="00D21EF3"/>
    <w:rsid w:val="00D41205"/>
    <w:rsid w:val="00D46790"/>
    <w:rsid w:val="00D526E7"/>
    <w:rsid w:val="00D6140A"/>
    <w:rsid w:val="00D6504C"/>
    <w:rsid w:val="00D66391"/>
    <w:rsid w:val="00D677AA"/>
    <w:rsid w:val="00D70045"/>
    <w:rsid w:val="00D73F4D"/>
    <w:rsid w:val="00D82E57"/>
    <w:rsid w:val="00D90BF4"/>
    <w:rsid w:val="00D91C27"/>
    <w:rsid w:val="00D939C9"/>
    <w:rsid w:val="00DA2232"/>
    <w:rsid w:val="00DA509D"/>
    <w:rsid w:val="00DA54C9"/>
    <w:rsid w:val="00DB06D8"/>
    <w:rsid w:val="00DB7B3E"/>
    <w:rsid w:val="00DC50EC"/>
    <w:rsid w:val="00DC5925"/>
    <w:rsid w:val="00DC60FA"/>
    <w:rsid w:val="00DD00DE"/>
    <w:rsid w:val="00DD2648"/>
    <w:rsid w:val="00DE13CE"/>
    <w:rsid w:val="00DE23AF"/>
    <w:rsid w:val="00DE335B"/>
    <w:rsid w:val="00DE48E9"/>
    <w:rsid w:val="00DF21FD"/>
    <w:rsid w:val="00DF2A37"/>
    <w:rsid w:val="00DF3B9A"/>
    <w:rsid w:val="00DF461C"/>
    <w:rsid w:val="00DF7C87"/>
    <w:rsid w:val="00E07618"/>
    <w:rsid w:val="00E07CC9"/>
    <w:rsid w:val="00E12568"/>
    <w:rsid w:val="00E17598"/>
    <w:rsid w:val="00E23143"/>
    <w:rsid w:val="00E33797"/>
    <w:rsid w:val="00E41BDE"/>
    <w:rsid w:val="00E459DC"/>
    <w:rsid w:val="00E52E83"/>
    <w:rsid w:val="00E53518"/>
    <w:rsid w:val="00E579B9"/>
    <w:rsid w:val="00E62452"/>
    <w:rsid w:val="00E62FAC"/>
    <w:rsid w:val="00E633BE"/>
    <w:rsid w:val="00E72867"/>
    <w:rsid w:val="00E748A3"/>
    <w:rsid w:val="00E76619"/>
    <w:rsid w:val="00E82768"/>
    <w:rsid w:val="00E844C0"/>
    <w:rsid w:val="00E87971"/>
    <w:rsid w:val="00E91D7A"/>
    <w:rsid w:val="00EA464C"/>
    <w:rsid w:val="00EA5199"/>
    <w:rsid w:val="00EA5BAB"/>
    <w:rsid w:val="00EB0EB1"/>
    <w:rsid w:val="00EC1F46"/>
    <w:rsid w:val="00ED6607"/>
    <w:rsid w:val="00ED7A05"/>
    <w:rsid w:val="00EE334C"/>
    <w:rsid w:val="00EE4214"/>
    <w:rsid w:val="00F02153"/>
    <w:rsid w:val="00F058DF"/>
    <w:rsid w:val="00F063AE"/>
    <w:rsid w:val="00F068C2"/>
    <w:rsid w:val="00F1113A"/>
    <w:rsid w:val="00F15675"/>
    <w:rsid w:val="00F206AF"/>
    <w:rsid w:val="00F21250"/>
    <w:rsid w:val="00F224DD"/>
    <w:rsid w:val="00F2398D"/>
    <w:rsid w:val="00F2408D"/>
    <w:rsid w:val="00F26C23"/>
    <w:rsid w:val="00F30590"/>
    <w:rsid w:val="00F31CA9"/>
    <w:rsid w:val="00F366FA"/>
    <w:rsid w:val="00F43898"/>
    <w:rsid w:val="00F627DC"/>
    <w:rsid w:val="00F634A3"/>
    <w:rsid w:val="00F65E62"/>
    <w:rsid w:val="00F70716"/>
    <w:rsid w:val="00F710F9"/>
    <w:rsid w:val="00F71ADC"/>
    <w:rsid w:val="00F74991"/>
    <w:rsid w:val="00F7620F"/>
    <w:rsid w:val="00F7666A"/>
    <w:rsid w:val="00F87F40"/>
    <w:rsid w:val="00F9249D"/>
    <w:rsid w:val="00FA046C"/>
    <w:rsid w:val="00FA0AE4"/>
    <w:rsid w:val="00FA25CF"/>
    <w:rsid w:val="00FA2FBF"/>
    <w:rsid w:val="00FA6EE0"/>
    <w:rsid w:val="00FA7305"/>
    <w:rsid w:val="00FA75A5"/>
    <w:rsid w:val="00FB0F8B"/>
    <w:rsid w:val="00FB1315"/>
    <w:rsid w:val="00FB4DBA"/>
    <w:rsid w:val="00FB667E"/>
    <w:rsid w:val="00FC0E0C"/>
    <w:rsid w:val="00FC5A1B"/>
    <w:rsid w:val="00FC710E"/>
    <w:rsid w:val="00FE552D"/>
    <w:rsid w:val="00FE7549"/>
    <w:rsid w:val="00FF0C96"/>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5C7526"/>
  <w15:docId w15:val="{C22A2755-665B-48D6-8DFF-DC4DBCFF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431263"/>
    <w:pPr>
      <w:keepNext/>
      <w:keepLines/>
      <w:spacing w:before="240" w:after="40" w:line="259" w:lineRule="auto"/>
      <w:outlineLvl w:val="3"/>
    </w:pPr>
    <w:rPr>
      <w:rFonts w:ascii="Calibri" w:eastAsia="Calibri" w:hAnsi="Calibri" w:cs="Calibri"/>
      <w:b/>
    </w:rPr>
  </w:style>
  <w:style w:type="paragraph" w:styleId="Heading5">
    <w:name w:val="heading 5"/>
    <w:basedOn w:val="Normal"/>
    <w:next w:val="Normal"/>
    <w:link w:val="Heading5Char"/>
    <w:uiPriority w:val="9"/>
    <w:semiHidden/>
    <w:unhideWhenUsed/>
    <w:qFormat/>
    <w:rsid w:val="00431263"/>
    <w:pPr>
      <w:keepNext/>
      <w:keepLines/>
      <w:spacing w:before="220" w:after="40" w:line="259" w:lineRule="auto"/>
      <w:outlineLvl w:val="4"/>
    </w:pPr>
    <w:rPr>
      <w:rFonts w:ascii="Calibri" w:eastAsia="Calibri" w:hAnsi="Calibri" w:cs="Calibri"/>
      <w:b/>
      <w:sz w:val="22"/>
      <w:szCs w:val="22"/>
    </w:rPr>
  </w:style>
  <w:style w:type="paragraph" w:styleId="Heading6">
    <w:name w:val="heading 6"/>
    <w:basedOn w:val="Normal"/>
    <w:next w:val="Normal"/>
    <w:link w:val="Heading6Char"/>
    <w:uiPriority w:val="9"/>
    <w:semiHidden/>
    <w:unhideWhenUsed/>
    <w:qFormat/>
    <w:rsid w:val="00431263"/>
    <w:pPr>
      <w:keepNext/>
      <w:keepLines/>
      <w:spacing w:before="200" w:after="40" w:line="259" w:lineRule="auto"/>
      <w:outlineLvl w:val="5"/>
    </w:pPr>
    <w:rPr>
      <w:rFonts w:ascii="Calibri" w:eastAsia="Calibri" w:hAnsi="Calibri" w:cs="Calibri"/>
      <w:b/>
      <w:sz w:val="20"/>
      <w:szCs w:val="20"/>
    </w:rPr>
  </w:style>
  <w:style w:type="paragraph" w:styleId="Heading7">
    <w:name w:val="heading 7"/>
    <w:basedOn w:val="Normal"/>
    <w:next w:val="Normal"/>
    <w:link w:val="Heading7Char"/>
    <w:uiPriority w:val="9"/>
    <w:semiHidden/>
    <w:unhideWhenUsed/>
    <w:qFormat/>
    <w:rsid w:val="00C565F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565F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565F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autoRedefine/>
    <w:uiPriority w:val="35"/>
    <w:qFormat/>
    <w:rsid w:val="007F37A0"/>
    <w:pPr>
      <w:keepNext/>
      <w:spacing w:line="480" w:lineRule="auto"/>
    </w:pPr>
    <w:rPr>
      <w:rFonts w:ascii="Times New Roman" w:hAnsi="Times New Roman"/>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A5B52"/>
    <w:rPr>
      <w:sz w:val="20"/>
      <w:szCs w:val="20"/>
    </w:rPr>
  </w:style>
  <w:style w:type="character" w:customStyle="1" w:styleId="FootnoteTextChar">
    <w:name w:val="Footnote Text Char"/>
    <w:basedOn w:val="DefaultParagraphFont"/>
    <w:link w:val="FootnoteText"/>
    <w:uiPriority w:val="99"/>
    <w:semiHidden/>
    <w:rsid w:val="006A5B52"/>
    <w:rPr>
      <w:rFonts w:ascii="Arial" w:hAnsi="Arial" w:cs="Arial"/>
    </w:rPr>
  </w:style>
  <w:style w:type="character" w:styleId="FootnoteReference">
    <w:name w:val="footnote reference"/>
    <w:basedOn w:val="DefaultParagraphFont"/>
    <w:uiPriority w:val="99"/>
    <w:semiHidden/>
    <w:unhideWhenUsed/>
    <w:rsid w:val="006A5B52"/>
    <w:rPr>
      <w:vertAlign w:val="superscript"/>
    </w:rPr>
  </w:style>
  <w:style w:type="character" w:styleId="CommentReference">
    <w:name w:val="annotation reference"/>
    <w:basedOn w:val="DefaultParagraphFont"/>
    <w:uiPriority w:val="99"/>
    <w:semiHidden/>
    <w:unhideWhenUsed/>
    <w:rsid w:val="008807FD"/>
    <w:rPr>
      <w:sz w:val="16"/>
      <w:szCs w:val="16"/>
    </w:rPr>
  </w:style>
  <w:style w:type="paragraph" w:styleId="CommentText">
    <w:name w:val="annotation text"/>
    <w:basedOn w:val="Normal"/>
    <w:link w:val="CommentTextChar"/>
    <w:uiPriority w:val="99"/>
    <w:unhideWhenUsed/>
    <w:rsid w:val="008807FD"/>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807FD"/>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7A0F8D"/>
    <w:rPr>
      <w:color w:val="605E5C"/>
      <w:shd w:val="clear" w:color="auto" w:fill="E1DFDD"/>
    </w:rPr>
  </w:style>
  <w:style w:type="character" w:customStyle="1" w:styleId="Heading4Char">
    <w:name w:val="Heading 4 Char"/>
    <w:basedOn w:val="DefaultParagraphFont"/>
    <w:link w:val="Heading4"/>
    <w:uiPriority w:val="9"/>
    <w:semiHidden/>
    <w:rsid w:val="00431263"/>
    <w:rPr>
      <w:rFonts w:ascii="Calibri" w:eastAsia="Calibri" w:hAnsi="Calibri" w:cs="Calibri"/>
      <w:b/>
      <w:sz w:val="24"/>
      <w:szCs w:val="24"/>
    </w:rPr>
  </w:style>
  <w:style w:type="character" w:customStyle="1" w:styleId="Heading5Char">
    <w:name w:val="Heading 5 Char"/>
    <w:basedOn w:val="DefaultParagraphFont"/>
    <w:link w:val="Heading5"/>
    <w:uiPriority w:val="9"/>
    <w:semiHidden/>
    <w:rsid w:val="00431263"/>
    <w:rPr>
      <w:rFonts w:ascii="Calibri" w:eastAsia="Calibri" w:hAnsi="Calibri" w:cs="Calibri"/>
      <w:b/>
      <w:sz w:val="22"/>
      <w:szCs w:val="22"/>
    </w:rPr>
  </w:style>
  <w:style w:type="character" w:customStyle="1" w:styleId="Heading6Char">
    <w:name w:val="Heading 6 Char"/>
    <w:basedOn w:val="DefaultParagraphFont"/>
    <w:link w:val="Heading6"/>
    <w:uiPriority w:val="9"/>
    <w:semiHidden/>
    <w:rsid w:val="00431263"/>
    <w:rPr>
      <w:rFonts w:ascii="Calibri" w:eastAsia="Calibri" w:hAnsi="Calibri" w:cs="Calibri"/>
      <w:b/>
    </w:rPr>
  </w:style>
  <w:style w:type="paragraph" w:styleId="ListParagraph">
    <w:name w:val="List Paragraph"/>
    <w:basedOn w:val="Normal"/>
    <w:uiPriority w:val="34"/>
    <w:qFormat/>
    <w:rsid w:val="00431263"/>
    <w:pPr>
      <w:spacing w:after="160" w:line="259" w:lineRule="auto"/>
      <w:ind w:left="720"/>
      <w:contextualSpacing/>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431263"/>
    <w:rPr>
      <w:color w:val="808080"/>
    </w:rPr>
  </w:style>
  <w:style w:type="paragraph" w:styleId="CommentSubject">
    <w:name w:val="annotation subject"/>
    <w:basedOn w:val="CommentText"/>
    <w:next w:val="CommentText"/>
    <w:link w:val="CommentSubjectChar"/>
    <w:uiPriority w:val="99"/>
    <w:semiHidden/>
    <w:unhideWhenUsed/>
    <w:rsid w:val="00431263"/>
    <w:rPr>
      <w:b/>
      <w:bCs/>
    </w:rPr>
  </w:style>
  <w:style w:type="character" w:customStyle="1" w:styleId="CommentSubjectChar">
    <w:name w:val="Comment Subject Char"/>
    <w:basedOn w:val="CommentTextChar"/>
    <w:link w:val="CommentSubject"/>
    <w:uiPriority w:val="99"/>
    <w:semiHidden/>
    <w:rsid w:val="00431263"/>
    <w:rPr>
      <w:rFonts w:asciiTheme="minorHAnsi" w:eastAsiaTheme="minorHAnsi" w:hAnsiTheme="minorHAnsi" w:cstheme="minorBidi"/>
      <w:b/>
      <w:bCs/>
    </w:rPr>
  </w:style>
  <w:style w:type="paragraph" w:styleId="HTMLPreformatted">
    <w:name w:val="HTML Preformatted"/>
    <w:basedOn w:val="Normal"/>
    <w:link w:val="HTMLPreformattedChar"/>
    <w:uiPriority w:val="99"/>
    <w:semiHidden/>
    <w:unhideWhenUsed/>
    <w:rsid w:val="00431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31263"/>
    <w:rPr>
      <w:rFonts w:ascii="Courier New" w:hAnsi="Courier New" w:cs="Courier New"/>
    </w:rPr>
  </w:style>
  <w:style w:type="character" w:customStyle="1" w:styleId="ggboefpdpvb">
    <w:name w:val="ggboefpdpvb"/>
    <w:basedOn w:val="DefaultParagraphFont"/>
    <w:rsid w:val="00431263"/>
  </w:style>
  <w:style w:type="character" w:customStyle="1" w:styleId="ggboefpdfwb">
    <w:name w:val="ggboefpdfwb"/>
    <w:basedOn w:val="DefaultParagraphFont"/>
    <w:rsid w:val="00431263"/>
  </w:style>
  <w:style w:type="character" w:customStyle="1" w:styleId="ggboefpdfvb">
    <w:name w:val="ggboefpdfvb"/>
    <w:basedOn w:val="DefaultParagraphFont"/>
    <w:rsid w:val="00431263"/>
  </w:style>
  <w:style w:type="character" w:customStyle="1" w:styleId="ggboefpdjvb">
    <w:name w:val="ggboefpdjvb"/>
    <w:basedOn w:val="DefaultParagraphFont"/>
    <w:rsid w:val="00431263"/>
  </w:style>
  <w:style w:type="character" w:customStyle="1" w:styleId="HeaderChar">
    <w:name w:val="Header Char"/>
    <w:basedOn w:val="DefaultParagraphFont"/>
    <w:link w:val="Header"/>
    <w:uiPriority w:val="99"/>
    <w:rsid w:val="00431263"/>
    <w:rPr>
      <w:rFonts w:ascii="Arial" w:hAnsi="Arial" w:cs="Arial"/>
      <w:sz w:val="24"/>
      <w:szCs w:val="24"/>
    </w:rPr>
  </w:style>
  <w:style w:type="paragraph" w:styleId="Revision">
    <w:name w:val="Revision"/>
    <w:hidden/>
    <w:uiPriority w:val="99"/>
    <w:semiHidden/>
    <w:rsid w:val="00431263"/>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31263"/>
    <w:rPr>
      <w:rFonts w:ascii="Arial" w:hAnsi="Arial" w:cs="Arial"/>
      <w:b/>
      <w:bCs/>
      <w:iCs/>
      <w:sz w:val="28"/>
      <w:szCs w:val="28"/>
    </w:rPr>
  </w:style>
  <w:style w:type="paragraph" w:styleId="Subtitle">
    <w:name w:val="Subtitle"/>
    <w:basedOn w:val="Normal"/>
    <w:next w:val="Normal"/>
    <w:link w:val="SubtitleChar"/>
    <w:uiPriority w:val="11"/>
    <w:qFormat/>
    <w:rsid w:val="00431263"/>
    <w:pPr>
      <w:keepNext/>
      <w:keepLines/>
      <w:spacing w:before="360" w:after="80" w:line="259"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431263"/>
    <w:rPr>
      <w:rFonts w:ascii="Georgia" w:eastAsia="Georgia" w:hAnsi="Georgia" w:cs="Georgia"/>
      <w:i/>
      <w:color w:val="666666"/>
      <w:sz w:val="48"/>
      <w:szCs w:val="48"/>
    </w:rPr>
  </w:style>
  <w:style w:type="paragraph" w:styleId="NormalWeb">
    <w:name w:val="Normal (Web)"/>
    <w:basedOn w:val="Normal"/>
    <w:uiPriority w:val="99"/>
    <w:unhideWhenUsed/>
    <w:rsid w:val="00431263"/>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431263"/>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431263"/>
    <w:rPr>
      <w:rFonts w:ascii="Segoe UI" w:eastAsiaTheme="minorHAnsi" w:hAnsi="Segoe UI" w:cs="Segoe UI"/>
      <w:sz w:val="18"/>
      <w:szCs w:val="18"/>
    </w:rPr>
  </w:style>
  <w:style w:type="character" w:styleId="FollowedHyperlink">
    <w:name w:val="FollowedHyperlink"/>
    <w:basedOn w:val="DefaultParagraphFont"/>
    <w:uiPriority w:val="99"/>
    <w:semiHidden/>
    <w:unhideWhenUsed/>
    <w:rsid w:val="00CC044F"/>
    <w:rPr>
      <w:color w:val="800080" w:themeColor="followedHyperlink"/>
      <w:u w:val="single"/>
    </w:rPr>
  </w:style>
  <w:style w:type="character" w:styleId="Emphasis">
    <w:name w:val="Emphasis"/>
    <w:basedOn w:val="DefaultParagraphFont"/>
    <w:uiPriority w:val="20"/>
    <w:qFormat/>
    <w:rsid w:val="00CC044F"/>
    <w:rPr>
      <w:i/>
      <w:iCs/>
    </w:rPr>
  </w:style>
  <w:style w:type="character" w:customStyle="1" w:styleId="Heading7Char">
    <w:name w:val="Heading 7 Char"/>
    <w:basedOn w:val="DefaultParagraphFont"/>
    <w:link w:val="Heading7"/>
    <w:uiPriority w:val="9"/>
    <w:semiHidden/>
    <w:rsid w:val="00C565FD"/>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C565FD"/>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C565FD"/>
    <w:rPr>
      <w:rFonts w:asciiTheme="minorHAnsi" w:eastAsiaTheme="majorEastAsia" w:hAnsiTheme="minorHAnsi" w:cstheme="majorBidi"/>
      <w:color w:val="272727" w:themeColor="text1" w:themeTint="D8"/>
      <w:kern w:val="2"/>
      <w:sz w:val="24"/>
      <w:szCs w:val="24"/>
      <w14:ligatures w14:val="standardContextual"/>
    </w:rPr>
  </w:style>
  <w:style w:type="paragraph" w:styleId="Quote">
    <w:name w:val="Quote"/>
    <w:basedOn w:val="Normal"/>
    <w:next w:val="Normal"/>
    <w:link w:val="QuoteChar"/>
    <w:uiPriority w:val="29"/>
    <w:qFormat/>
    <w:rsid w:val="00C565F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565FD"/>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C565FD"/>
    <w:rPr>
      <w:i/>
      <w:iCs/>
      <w:color w:val="365F91" w:themeColor="accent1" w:themeShade="BF"/>
    </w:rPr>
  </w:style>
  <w:style w:type="paragraph" w:styleId="IntenseQuote">
    <w:name w:val="Intense Quote"/>
    <w:basedOn w:val="Normal"/>
    <w:next w:val="Normal"/>
    <w:link w:val="IntenseQuoteChar"/>
    <w:uiPriority w:val="30"/>
    <w:qFormat/>
    <w:rsid w:val="00C565F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C565FD"/>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C565FD"/>
    <w:rPr>
      <w:b/>
      <w:bCs/>
      <w:smallCaps/>
      <w:color w:val="365F91" w:themeColor="accent1" w:themeShade="BF"/>
      <w:spacing w:val="5"/>
    </w:rPr>
  </w:style>
  <w:style w:type="numbering" w:customStyle="1" w:styleId="NoList1">
    <w:name w:val="No List1"/>
    <w:next w:val="NoList"/>
    <w:uiPriority w:val="99"/>
    <w:semiHidden/>
    <w:unhideWhenUsed/>
    <w:rsid w:val="00C565FD"/>
  </w:style>
  <w:style w:type="character" w:customStyle="1" w:styleId="TitleChar1">
    <w:name w:val="Title Char1"/>
    <w:basedOn w:val="DefaultParagraphFont"/>
    <w:uiPriority w:val="10"/>
    <w:rsid w:val="00C565FD"/>
    <w:rPr>
      <w:rFonts w:ascii="Cambria" w:eastAsia="Times New Roman" w:hAnsi="Cambria" w:cs="Times New Roman"/>
      <w:spacing w:val="-10"/>
      <w:kern w:val="28"/>
      <w:sz w:val="56"/>
      <w:szCs w:val="56"/>
    </w:rPr>
  </w:style>
  <w:style w:type="paragraph" w:customStyle="1" w:styleId="CommentText1">
    <w:name w:val="Comment Text1"/>
    <w:basedOn w:val="Normal"/>
    <w:next w:val="CommentText"/>
    <w:uiPriority w:val="99"/>
    <w:unhideWhenUsed/>
    <w:rsid w:val="00C565FD"/>
    <w:pPr>
      <w:spacing w:after="160"/>
    </w:pPr>
    <w:rPr>
      <w:rFonts w:ascii="Calibri" w:eastAsia="Calibri" w:hAnsi="Calibri" w:cs="Times New Roman"/>
      <w:kern w:val="2"/>
      <w14:ligatures w14:val="standardContextual"/>
    </w:rPr>
  </w:style>
  <w:style w:type="paragraph" w:customStyle="1" w:styleId="CommentSubject1">
    <w:name w:val="Comment Subject1"/>
    <w:basedOn w:val="CommentText"/>
    <w:next w:val="CommentText"/>
    <w:uiPriority w:val="99"/>
    <w:semiHidden/>
    <w:unhideWhenUsed/>
    <w:rsid w:val="00C565FD"/>
    <w:rPr>
      <w:b/>
      <w:bCs/>
    </w:rPr>
  </w:style>
  <w:style w:type="paragraph" w:customStyle="1" w:styleId="Revision1">
    <w:name w:val="Revision1"/>
    <w:next w:val="Revision"/>
    <w:hidden/>
    <w:uiPriority w:val="99"/>
    <w:semiHidden/>
    <w:rsid w:val="00C565FD"/>
    <w:rPr>
      <w:rFonts w:asciiTheme="minorHAnsi" w:eastAsiaTheme="minorHAnsi" w:hAnsiTheme="minorHAnsi" w:cstheme="minorBidi"/>
      <w:sz w:val="22"/>
      <w:szCs w:val="22"/>
    </w:rPr>
  </w:style>
  <w:style w:type="paragraph" w:customStyle="1" w:styleId="BalloonText1">
    <w:name w:val="Balloon Text1"/>
    <w:basedOn w:val="Normal"/>
    <w:next w:val="BalloonText"/>
    <w:uiPriority w:val="99"/>
    <w:semiHidden/>
    <w:unhideWhenUsed/>
    <w:rsid w:val="00C565FD"/>
    <w:rPr>
      <w:rFonts w:ascii="Segoe UI" w:eastAsia="Calibri" w:hAnsi="Segoe UI" w:cs="Segoe UI"/>
      <w:kern w:val="2"/>
      <w:sz w:val="18"/>
      <w:szCs w:val="18"/>
      <w14:ligatures w14:val="standardContextual"/>
    </w:rPr>
  </w:style>
  <w:style w:type="character" w:customStyle="1" w:styleId="FollowedHyperlink1">
    <w:name w:val="FollowedHyperlink1"/>
    <w:basedOn w:val="DefaultParagraphFont"/>
    <w:semiHidden/>
    <w:unhideWhenUsed/>
    <w:rsid w:val="00C565FD"/>
    <w:rPr>
      <w:color w:val="800080"/>
      <w:u w:val="single"/>
    </w:rPr>
  </w:style>
  <w:style w:type="character" w:customStyle="1" w:styleId="CommentTextChar1">
    <w:name w:val="Comment Text Char1"/>
    <w:basedOn w:val="DefaultParagraphFont"/>
    <w:uiPriority w:val="99"/>
    <w:semiHidden/>
    <w:rsid w:val="00C565FD"/>
    <w:rPr>
      <w:sz w:val="20"/>
      <w:szCs w:val="20"/>
    </w:rPr>
  </w:style>
  <w:style w:type="character" w:customStyle="1" w:styleId="CommentSubjectChar1">
    <w:name w:val="Comment Subject Char1"/>
    <w:basedOn w:val="CommentTextChar1"/>
    <w:uiPriority w:val="99"/>
    <w:semiHidden/>
    <w:rsid w:val="00C565FD"/>
    <w:rPr>
      <w:b/>
      <w:bCs/>
      <w:sz w:val="20"/>
      <w:szCs w:val="20"/>
    </w:rPr>
  </w:style>
  <w:style w:type="character" w:customStyle="1" w:styleId="BalloonTextChar1">
    <w:name w:val="Balloon Text Char1"/>
    <w:basedOn w:val="DefaultParagraphFont"/>
    <w:uiPriority w:val="99"/>
    <w:semiHidden/>
    <w:rsid w:val="00C565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8637/jss.v100.i12" TargetMode="External"/><Relationship Id="rId18" Type="http://schemas.openxmlformats.org/officeDocument/2006/relationships/footer" Target="footer3.xm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eia.gov/electricity/data/eia860/" TargetMode="External"/><Relationship Id="rId7" Type="http://schemas.openxmlformats.org/officeDocument/2006/relationships/settings" Target="settings.xml"/><Relationship Id="rId12" Type="http://schemas.openxmlformats.org/officeDocument/2006/relationships/hyperlink" Target="https://doi.org/10.17016/IFDP.2020.1294" TargetMode="External"/><Relationship Id="rId17" Type="http://schemas.openxmlformats.org/officeDocument/2006/relationships/image" Target="media/image3.png"/><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doi.org/10.5281/zenodo.7682482"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image" Target="media/image9.png"/><Relationship Id="rId30"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988CFEAF609844A4D1C5E25A395817" ma:contentTypeVersion="5" ma:contentTypeDescription="Create a new document." ma:contentTypeScope="" ma:versionID="1636e3f54f29be89532a2ecf9b36f6f4">
  <xsd:schema xmlns:xsd="http://www.w3.org/2001/XMLSchema" xmlns:xs="http://www.w3.org/2001/XMLSchema" xmlns:p="http://schemas.microsoft.com/office/2006/metadata/properties" xmlns:ns3="dc14f3c8-5432-421f-b309-8384799dcafa" targetNamespace="http://schemas.microsoft.com/office/2006/metadata/properties" ma:root="true" ma:fieldsID="a8c026dcd5b2f0b8e4eb0de1968ef724" ns3:_="">
    <xsd:import namespace="dc14f3c8-5432-421f-b309-8384799dcaf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4f3c8-5432-421f-b309-8384799d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dc14f3c8-5432-421f-b309-8384799dcaf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2870E-E704-41CF-BB76-EEEB70BA3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14f3c8-5432-421f-b309-8384799dc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customXml/itemProps3.xml><?xml version="1.0" encoding="utf-8"?>
<ds:datastoreItem xmlns:ds="http://schemas.openxmlformats.org/officeDocument/2006/customXml" ds:itemID="{06F0D832-1065-448E-810E-CE335A5937DE}">
  <ds:schemaRefs>
    <ds:schemaRef ds:uri="http://schemas.microsoft.com/office/2006/metadata/properties"/>
    <ds:schemaRef ds:uri="http://schemas.microsoft.com/office/infopath/2007/PartnerControls"/>
    <ds:schemaRef ds:uri="dc14f3c8-5432-421f-b309-8384799dcafa"/>
  </ds:schemaRefs>
</ds:datastoreItem>
</file>

<file path=customXml/itemProps4.xml><?xml version="1.0" encoding="utf-8"?>
<ds:datastoreItem xmlns:ds="http://schemas.openxmlformats.org/officeDocument/2006/customXml" ds:itemID="{2BD3ED10-2DC4-42D8-884D-07D75E55E7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multipart-te.dotx</Template>
  <TotalTime>93</TotalTime>
  <Pages>206</Pages>
  <Words>48723</Words>
  <Characters>277727</Characters>
  <Application>Microsoft Office Word</Application>
  <DocSecurity>0</DocSecurity>
  <Lines>2314</Lines>
  <Paragraphs>651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325799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Swartzentruber, Ryan David</dc:creator>
  <cp:lastModifiedBy>Swartzentruber, Ryan David</cp:lastModifiedBy>
  <cp:revision>11</cp:revision>
  <dcterms:created xsi:type="dcterms:W3CDTF">2024-04-22T14:24:00Z</dcterms:created>
  <dcterms:modified xsi:type="dcterms:W3CDTF">2024-04-24T18:50:00Z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0x0101005E988CFEAF609844A4D1C5E25A395817</vt:lpwstr>
  </property>
</Properties>
</file>