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C56123" w14:textId="70214BD9" w:rsidR="00526151" w:rsidRPr="00037ACB" w:rsidRDefault="003D13F2" w:rsidP="00776576">
      <w:pPr>
        <w:pStyle w:val="Title"/>
        <w:spacing w:line="480" w:lineRule="auto"/>
        <w:rPr>
          <w:rFonts w:cs="Times New Roman"/>
          <w:b w:val="0"/>
          <w:bCs/>
          <w:sz w:val="24"/>
          <w:lang w:val="en-US"/>
        </w:rPr>
      </w:pPr>
      <w:r w:rsidRPr="003D13F2">
        <w:rPr>
          <w:rFonts w:cs="Times New Roman"/>
          <w:b w:val="0"/>
          <w:bCs/>
          <w:sz w:val="24"/>
          <w:lang w:val="en-US"/>
        </w:rPr>
        <w:t xml:space="preserve">Use of Plant Growing Promoting </w:t>
      </w:r>
      <w:r>
        <w:rPr>
          <w:rFonts w:cs="Times New Roman"/>
          <w:b w:val="0"/>
          <w:bCs/>
          <w:sz w:val="24"/>
          <w:lang w:val="en-US"/>
        </w:rPr>
        <w:t>B</w:t>
      </w:r>
      <w:r w:rsidRPr="003D13F2">
        <w:rPr>
          <w:rFonts w:cs="Times New Roman"/>
          <w:b w:val="0"/>
          <w:bCs/>
          <w:sz w:val="24"/>
          <w:lang w:val="en-US"/>
        </w:rPr>
        <w:t xml:space="preserve">acteria as an </w:t>
      </w:r>
      <w:r w:rsidR="00143261">
        <w:rPr>
          <w:rFonts w:cs="Times New Roman"/>
          <w:b w:val="0"/>
          <w:bCs/>
          <w:sz w:val="24"/>
          <w:lang w:val="en-US"/>
        </w:rPr>
        <w:t>A</w:t>
      </w:r>
      <w:r w:rsidR="00143261" w:rsidRPr="003D13F2">
        <w:rPr>
          <w:rFonts w:cs="Times New Roman"/>
          <w:b w:val="0"/>
          <w:bCs/>
          <w:sz w:val="24"/>
          <w:lang w:val="en-US"/>
        </w:rPr>
        <w:t xml:space="preserve">lternative </w:t>
      </w:r>
      <w:r w:rsidR="00143261">
        <w:rPr>
          <w:rFonts w:cs="Times New Roman"/>
          <w:b w:val="0"/>
          <w:bCs/>
          <w:sz w:val="24"/>
          <w:lang w:val="en-US"/>
        </w:rPr>
        <w:t>F</w:t>
      </w:r>
      <w:r w:rsidR="00143261" w:rsidRPr="003D13F2">
        <w:rPr>
          <w:rFonts w:cs="Times New Roman"/>
          <w:b w:val="0"/>
          <w:bCs/>
          <w:sz w:val="24"/>
          <w:lang w:val="en-US"/>
        </w:rPr>
        <w:t xml:space="preserve">ertilizer </w:t>
      </w:r>
      <w:r w:rsidRPr="003D13F2">
        <w:rPr>
          <w:rFonts w:cs="Times New Roman"/>
          <w:b w:val="0"/>
          <w:bCs/>
          <w:sz w:val="24"/>
          <w:lang w:val="en-US"/>
        </w:rPr>
        <w:t>for Bermudagrass</w:t>
      </w:r>
    </w:p>
    <w:p w14:paraId="0EC56124" w14:textId="77777777" w:rsidR="003D07F7" w:rsidRPr="00037ACB" w:rsidRDefault="00DD00DE" w:rsidP="00776576">
      <w:pPr>
        <w:pStyle w:val="Title"/>
        <w:spacing w:line="480" w:lineRule="auto"/>
        <w:rPr>
          <w:rFonts w:cs="Times New Roman"/>
          <w:b w:val="0"/>
          <w:bCs/>
          <w:sz w:val="24"/>
          <w:lang w:val="en-US"/>
        </w:rPr>
      </w:pPr>
      <w:r w:rsidRPr="00037ACB">
        <w:rPr>
          <w:rFonts w:cs="Times New Roman"/>
          <w:b w:val="0"/>
          <w:bCs/>
          <w:sz w:val="24"/>
          <w:lang w:val="en-US"/>
        </w:rPr>
        <w:tab/>
      </w:r>
    </w:p>
    <w:p w14:paraId="0EC56125" w14:textId="77777777" w:rsidR="00236E6D" w:rsidRPr="00037ACB" w:rsidRDefault="00236E6D" w:rsidP="00776576">
      <w:pPr>
        <w:pStyle w:val="Title"/>
        <w:spacing w:line="480" w:lineRule="auto"/>
        <w:rPr>
          <w:rFonts w:cs="Times New Roman"/>
          <w:b w:val="0"/>
          <w:bCs/>
          <w:sz w:val="24"/>
          <w:lang w:val="en-US"/>
        </w:rPr>
      </w:pPr>
    </w:p>
    <w:p w14:paraId="0EC56126" w14:textId="77777777" w:rsidR="00236E6D" w:rsidRPr="00037ACB" w:rsidRDefault="00236E6D" w:rsidP="00776576">
      <w:pPr>
        <w:pStyle w:val="Title"/>
        <w:spacing w:line="480" w:lineRule="auto"/>
        <w:rPr>
          <w:rFonts w:cs="Times New Roman"/>
          <w:b w:val="0"/>
          <w:bCs/>
          <w:sz w:val="24"/>
          <w:lang w:val="en-US"/>
        </w:rPr>
      </w:pPr>
    </w:p>
    <w:p w14:paraId="0EC56127" w14:textId="77777777" w:rsidR="00236E6D" w:rsidRPr="00037ACB" w:rsidRDefault="00236E6D" w:rsidP="00776576">
      <w:pPr>
        <w:pStyle w:val="Title"/>
        <w:spacing w:line="480" w:lineRule="auto"/>
        <w:rPr>
          <w:rFonts w:cs="Times New Roman"/>
          <w:b w:val="0"/>
          <w:bCs/>
          <w:sz w:val="24"/>
          <w:lang w:val="en-US"/>
        </w:rPr>
      </w:pPr>
    </w:p>
    <w:p w14:paraId="0EC56130" w14:textId="77777777" w:rsidR="00236E6D" w:rsidRPr="00037ACB" w:rsidRDefault="00236E6D" w:rsidP="00776576">
      <w:pPr>
        <w:pStyle w:val="Title"/>
        <w:spacing w:line="480" w:lineRule="auto"/>
        <w:jc w:val="left"/>
        <w:rPr>
          <w:rFonts w:cs="Times New Roman"/>
          <w:b w:val="0"/>
          <w:bCs/>
          <w:sz w:val="24"/>
          <w:lang w:val="en-US"/>
        </w:rPr>
      </w:pPr>
    </w:p>
    <w:p w14:paraId="0EC56131" w14:textId="77777777" w:rsidR="00236E6D" w:rsidRPr="00037ACB" w:rsidRDefault="00236E6D" w:rsidP="00776576">
      <w:pPr>
        <w:pStyle w:val="Title"/>
        <w:spacing w:line="480" w:lineRule="auto"/>
        <w:jc w:val="left"/>
        <w:rPr>
          <w:rFonts w:cs="Times New Roman"/>
          <w:b w:val="0"/>
          <w:bCs/>
          <w:sz w:val="24"/>
          <w:lang w:val="en-US"/>
        </w:rPr>
      </w:pPr>
    </w:p>
    <w:p w14:paraId="0EC56132" w14:textId="77777777" w:rsidR="00236E6D" w:rsidRPr="00037ACB" w:rsidRDefault="009C755C" w:rsidP="00776576">
      <w:pPr>
        <w:pStyle w:val="Title"/>
        <w:spacing w:line="480" w:lineRule="auto"/>
        <w:rPr>
          <w:rFonts w:cs="Times New Roman"/>
          <w:b w:val="0"/>
          <w:bCs/>
          <w:sz w:val="24"/>
          <w:lang w:val="en-US"/>
        </w:rPr>
      </w:pPr>
      <w:r w:rsidRPr="00037ACB">
        <w:rPr>
          <w:rFonts w:cs="Times New Roman"/>
          <w:b w:val="0"/>
          <w:bCs/>
          <w:sz w:val="24"/>
          <w:lang w:val="en-US"/>
        </w:rPr>
        <w:t>A Thesis Presented for</w:t>
      </w:r>
      <w:r w:rsidR="008865B6" w:rsidRPr="00037ACB">
        <w:rPr>
          <w:rFonts w:cs="Times New Roman"/>
          <w:b w:val="0"/>
          <w:bCs/>
          <w:sz w:val="24"/>
          <w:lang w:val="en-US"/>
        </w:rPr>
        <w:t xml:space="preserve"> the</w:t>
      </w:r>
    </w:p>
    <w:p w14:paraId="0EC56133" w14:textId="77777777" w:rsidR="009C755C" w:rsidRPr="00037ACB" w:rsidRDefault="009C755C" w:rsidP="00776576">
      <w:pPr>
        <w:pStyle w:val="Title"/>
        <w:spacing w:line="480" w:lineRule="auto"/>
        <w:rPr>
          <w:rFonts w:cs="Times New Roman"/>
          <w:b w:val="0"/>
          <w:bCs/>
          <w:sz w:val="24"/>
          <w:lang w:val="en-US"/>
        </w:rPr>
      </w:pPr>
      <w:r w:rsidRPr="00037ACB">
        <w:rPr>
          <w:rFonts w:cs="Times New Roman"/>
          <w:b w:val="0"/>
          <w:bCs/>
          <w:sz w:val="24"/>
          <w:lang w:val="en-US"/>
        </w:rPr>
        <w:t>Master of Science</w:t>
      </w:r>
    </w:p>
    <w:p w14:paraId="0EC56134" w14:textId="77777777" w:rsidR="009C755C" w:rsidRPr="00037ACB" w:rsidRDefault="009C755C" w:rsidP="00776576">
      <w:pPr>
        <w:pStyle w:val="Title"/>
        <w:spacing w:line="480" w:lineRule="auto"/>
        <w:rPr>
          <w:rFonts w:cs="Times New Roman"/>
          <w:b w:val="0"/>
          <w:bCs/>
          <w:sz w:val="24"/>
          <w:lang w:val="en-US"/>
        </w:rPr>
      </w:pPr>
      <w:r w:rsidRPr="00037ACB">
        <w:rPr>
          <w:rFonts w:cs="Times New Roman"/>
          <w:b w:val="0"/>
          <w:bCs/>
          <w:sz w:val="24"/>
          <w:lang w:val="en-US"/>
        </w:rPr>
        <w:t>Degree</w:t>
      </w:r>
    </w:p>
    <w:p w14:paraId="0EC56135" w14:textId="77777777" w:rsidR="009C755C" w:rsidRPr="00037ACB" w:rsidRDefault="009C755C" w:rsidP="00776576">
      <w:pPr>
        <w:pStyle w:val="Title"/>
        <w:spacing w:line="480" w:lineRule="auto"/>
        <w:rPr>
          <w:rFonts w:cs="Times New Roman"/>
          <w:b w:val="0"/>
          <w:bCs/>
          <w:sz w:val="24"/>
          <w:lang w:val="en-US"/>
        </w:rPr>
      </w:pPr>
      <w:r w:rsidRPr="00037ACB">
        <w:rPr>
          <w:rFonts w:cs="Times New Roman"/>
          <w:b w:val="0"/>
          <w:bCs/>
          <w:sz w:val="24"/>
          <w:lang w:val="en-US"/>
        </w:rPr>
        <w:t>The University of Tennessee, Knoxville</w:t>
      </w:r>
    </w:p>
    <w:p w14:paraId="0EC56136" w14:textId="77777777" w:rsidR="00387656" w:rsidRPr="00037ACB" w:rsidRDefault="00387656" w:rsidP="00776576">
      <w:pPr>
        <w:pStyle w:val="Title"/>
        <w:spacing w:line="480" w:lineRule="auto"/>
        <w:rPr>
          <w:rFonts w:cs="Times New Roman"/>
          <w:b w:val="0"/>
          <w:bCs/>
          <w:sz w:val="24"/>
          <w:lang w:val="en-US"/>
        </w:rPr>
      </w:pPr>
    </w:p>
    <w:p w14:paraId="0EC5613A" w14:textId="77777777" w:rsidR="00236E6D" w:rsidRDefault="00236E6D" w:rsidP="00776576">
      <w:pPr>
        <w:pStyle w:val="Title"/>
        <w:spacing w:line="480" w:lineRule="auto"/>
        <w:jc w:val="left"/>
        <w:rPr>
          <w:rFonts w:cs="Times New Roman"/>
          <w:b w:val="0"/>
          <w:bCs/>
          <w:sz w:val="24"/>
          <w:lang w:val="en-US"/>
        </w:rPr>
      </w:pPr>
    </w:p>
    <w:p w14:paraId="0EC5613B" w14:textId="77777777" w:rsidR="00236E6D" w:rsidRPr="00037ACB" w:rsidRDefault="00236E6D" w:rsidP="00776576">
      <w:pPr>
        <w:pStyle w:val="Title"/>
        <w:spacing w:line="480" w:lineRule="auto"/>
        <w:rPr>
          <w:rFonts w:cs="Times New Roman"/>
          <w:b w:val="0"/>
          <w:bCs/>
          <w:sz w:val="24"/>
          <w:lang w:val="en-US"/>
        </w:rPr>
      </w:pPr>
    </w:p>
    <w:p w14:paraId="0EC5613C" w14:textId="77777777" w:rsidR="00236E6D" w:rsidRPr="00037ACB" w:rsidRDefault="00236E6D" w:rsidP="00776576">
      <w:pPr>
        <w:pStyle w:val="Title"/>
        <w:spacing w:line="480" w:lineRule="auto"/>
        <w:rPr>
          <w:rFonts w:cs="Times New Roman"/>
          <w:b w:val="0"/>
          <w:bCs/>
          <w:sz w:val="24"/>
          <w:lang w:val="en-US"/>
        </w:rPr>
      </w:pPr>
    </w:p>
    <w:p w14:paraId="0EC5613D" w14:textId="77777777" w:rsidR="00236E6D" w:rsidRPr="00037ACB" w:rsidRDefault="00236E6D" w:rsidP="00776576">
      <w:pPr>
        <w:pStyle w:val="Title"/>
        <w:spacing w:line="480" w:lineRule="auto"/>
        <w:rPr>
          <w:rFonts w:cs="Times New Roman"/>
          <w:b w:val="0"/>
          <w:bCs/>
          <w:sz w:val="24"/>
          <w:lang w:val="en-US"/>
        </w:rPr>
      </w:pPr>
    </w:p>
    <w:p w14:paraId="0EC5613E" w14:textId="77777777" w:rsidR="00236E6D" w:rsidRPr="00037ACB" w:rsidRDefault="00236E6D" w:rsidP="00776576">
      <w:pPr>
        <w:pStyle w:val="Title"/>
        <w:spacing w:line="480" w:lineRule="auto"/>
        <w:rPr>
          <w:rFonts w:cs="Times New Roman"/>
          <w:b w:val="0"/>
          <w:bCs/>
          <w:sz w:val="24"/>
          <w:lang w:val="en-US"/>
        </w:rPr>
      </w:pPr>
    </w:p>
    <w:p w14:paraId="0EC5613F" w14:textId="77777777" w:rsidR="00236E6D" w:rsidRPr="00037ACB" w:rsidRDefault="00236E6D" w:rsidP="00776576">
      <w:pPr>
        <w:pStyle w:val="Title"/>
        <w:spacing w:line="480" w:lineRule="auto"/>
        <w:rPr>
          <w:rFonts w:cs="Times New Roman"/>
          <w:b w:val="0"/>
          <w:bCs/>
          <w:sz w:val="24"/>
          <w:lang w:val="en-US"/>
        </w:rPr>
      </w:pPr>
    </w:p>
    <w:p w14:paraId="0EC56140" w14:textId="77777777" w:rsidR="00236E6D" w:rsidRPr="00037ACB" w:rsidRDefault="00236E6D" w:rsidP="00776576">
      <w:pPr>
        <w:pStyle w:val="Title"/>
        <w:spacing w:line="480" w:lineRule="auto"/>
        <w:rPr>
          <w:rFonts w:cs="Times New Roman"/>
          <w:b w:val="0"/>
          <w:bCs/>
          <w:sz w:val="24"/>
          <w:lang w:val="en-US"/>
        </w:rPr>
      </w:pPr>
    </w:p>
    <w:p w14:paraId="0EC56141" w14:textId="77777777" w:rsidR="00236E6D" w:rsidRPr="00037ACB" w:rsidRDefault="00236E6D" w:rsidP="00776576">
      <w:pPr>
        <w:pStyle w:val="Title"/>
        <w:spacing w:line="480" w:lineRule="auto"/>
        <w:rPr>
          <w:rFonts w:cs="Times New Roman"/>
          <w:b w:val="0"/>
          <w:bCs/>
          <w:sz w:val="24"/>
          <w:lang w:val="en-US"/>
        </w:rPr>
      </w:pPr>
    </w:p>
    <w:p w14:paraId="0EC56142" w14:textId="77777777" w:rsidR="00236E6D" w:rsidRPr="00037ACB" w:rsidRDefault="00236E6D" w:rsidP="00776576">
      <w:pPr>
        <w:pStyle w:val="Title"/>
        <w:spacing w:line="480" w:lineRule="auto"/>
        <w:rPr>
          <w:rFonts w:cs="Times New Roman"/>
          <w:b w:val="0"/>
          <w:bCs/>
          <w:sz w:val="24"/>
          <w:lang w:val="en-US"/>
        </w:rPr>
      </w:pPr>
    </w:p>
    <w:p w14:paraId="0EC56143" w14:textId="514077CE" w:rsidR="00236E6D" w:rsidRPr="00037ACB" w:rsidRDefault="00E25E35" w:rsidP="00776576">
      <w:pPr>
        <w:pStyle w:val="Title"/>
        <w:spacing w:line="480" w:lineRule="auto"/>
        <w:rPr>
          <w:rFonts w:cs="Times New Roman"/>
          <w:b w:val="0"/>
          <w:bCs/>
          <w:sz w:val="24"/>
          <w:lang w:val="en-US"/>
        </w:rPr>
      </w:pPr>
      <w:r w:rsidRPr="00037ACB">
        <w:rPr>
          <w:rFonts w:cs="Times New Roman"/>
          <w:b w:val="0"/>
          <w:bCs/>
          <w:sz w:val="24"/>
          <w:lang w:val="en-US"/>
        </w:rPr>
        <w:t>Felipe</w:t>
      </w:r>
      <w:r w:rsidR="003D07F7" w:rsidRPr="00037ACB">
        <w:rPr>
          <w:rFonts w:cs="Times New Roman"/>
          <w:b w:val="0"/>
          <w:bCs/>
          <w:sz w:val="24"/>
          <w:lang w:val="en-US"/>
        </w:rPr>
        <w:t xml:space="preserve"> </w:t>
      </w:r>
      <w:r w:rsidRPr="00037ACB">
        <w:rPr>
          <w:rFonts w:cs="Times New Roman"/>
          <w:b w:val="0"/>
          <w:bCs/>
          <w:sz w:val="24"/>
          <w:lang w:val="en-US"/>
        </w:rPr>
        <w:t>F</w:t>
      </w:r>
      <w:r w:rsidR="003D07F7" w:rsidRPr="00037ACB">
        <w:rPr>
          <w:rFonts w:cs="Times New Roman"/>
          <w:b w:val="0"/>
          <w:bCs/>
          <w:sz w:val="24"/>
          <w:lang w:val="en-US"/>
        </w:rPr>
        <w:t>.</w:t>
      </w:r>
      <w:r w:rsidRPr="00037ACB">
        <w:rPr>
          <w:rFonts w:cs="Times New Roman"/>
          <w:b w:val="0"/>
          <w:bCs/>
          <w:sz w:val="24"/>
          <w:lang w:val="en-US"/>
        </w:rPr>
        <w:t xml:space="preserve"> Nassar</w:t>
      </w:r>
    </w:p>
    <w:p w14:paraId="0EC56144" w14:textId="26E71D04" w:rsidR="009C755C" w:rsidRPr="00037ACB" w:rsidRDefault="006E1FCC" w:rsidP="00776576">
      <w:pPr>
        <w:pStyle w:val="Title"/>
        <w:spacing w:line="480" w:lineRule="auto"/>
        <w:rPr>
          <w:rFonts w:cs="Times New Roman"/>
          <w:b w:val="0"/>
          <w:bCs/>
          <w:sz w:val="24"/>
          <w:lang w:val="en-US"/>
        </w:rPr>
      </w:pPr>
      <w:r>
        <w:rPr>
          <w:rFonts w:cs="Times New Roman"/>
          <w:b w:val="0"/>
          <w:bCs/>
          <w:sz w:val="24"/>
          <w:lang w:val="en-US"/>
        </w:rPr>
        <w:t>May</w:t>
      </w:r>
      <w:r w:rsidR="009A2EAB" w:rsidRPr="00037ACB">
        <w:rPr>
          <w:rFonts w:cs="Times New Roman"/>
          <w:b w:val="0"/>
          <w:bCs/>
          <w:sz w:val="24"/>
          <w:lang w:val="en-US"/>
        </w:rPr>
        <w:t xml:space="preserve"> </w:t>
      </w:r>
      <w:r w:rsidR="003D07F7" w:rsidRPr="00037ACB">
        <w:rPr>
          <w:rFonts w:cs="Times New Roman"/>
          <w:b w:val="0"/>
          <w:bCs/>
          <w:sz w:val="24"/>
          <w:lang w:val="en-US"/>
        </w:rPr>
        <w:t>2</w:t>
      </w:r>
      <w:r w:rsidR="00DF7C87" w:rsidRPr="00037ACB">
        <w:rPr>
          <w:rFonts w:cs="Times New Roman"/>
          <w:b w:val="0"/>
          <w:bCs/>
          <w:sz w:val="24"/>
          <w:lang w:val="en-US"/>
        </w:rPr>
        <w:t>02</w:t>
      </w:r>
      <w:r w:rsidR="009A2EAB" w:rsidRPr="00037ACB">
        <w:rPr>
          <w:rFonts w:cs="Times New Roman"/>
          <w:b w:val="0"/>
          <w:bCs/>
          <w:sz w:val="24"/>
          <w:lang w:val="en-US"/>
        </w:rPr>
        <w:t>5</w:t>
      </w:r>
    </w:p>
    <w:p w14:paraId="0EC56149" w14:textId="2678FF2A" w:rsidR="00236E6D" w:rsidRPr="00037ACB" w:rsidRDefault="00DF7C87" w:rsidP="00CA7011">
      <w:pPr>
        <w:spacing w:line="480" w:lineRule="auto"/>
        <w:rPr>
          <w:rFonts w:cs="Times New Roman"/>
        </w:rPr>
      </w:pPr>
      <w:r w:rsidRPr="00037ACB">
        <w:rPr>
          <w:rFonts w:cs="Times New Roman"/>
        </w:rPr>
        <w:lastRenderedPageBreak/>
        <w:t>Copyright © 202</w:t>
      </w:r>
      <w:r w:rsidR="006E1FCC">
        <w:rPr>
          <w:rFonts w:cs="Times New Roman"/>
        </w:rPr>
        <w:t>5</w:t>
      </w:r>
      <w:r w:rsidR="00236E6D" w:rsidRPr="00037ACB">
        <w:rPr>
          <w:rFonts w:cs="Times New Roman"/>
        </w:rPr>
        <w:t xml:space="preserve"> by </w:t>
      </w:r>
      <w:r w:rsidR="00E25E35" w:rsidRPr="00037ACB">
        <w:rPr>
          <w:rFonts w:cs="Times New Roman"/>
        </w:rPr>
        <w:t>Felipe F</w:t>
      </w:r>
      <w:r w:rsidR="008865B6" w:rsidRPr="00037ACB">
        <w:rPr>
          <w:rFonts w:cs="Times New Roman"/>
        </w:rPr>
        <w:t xml:space="preserve">. </w:t>
      </w:r>
      <w:r w:rsidR="00E25E35" w:rsidRPr="00037ACB">
        <w:rPr>
          <w:rFonts w:cs="Times New Roman"/>
        </w:rPr>
        <w:t>Nassar</w:t>
      </w:r>
    </w:p>
    <w:p w14:paraId="0EC5614A" w14:textId="77777777" w:rsidR="00236E6D" w:rsidRPr="00037ACB" w:rsidRDefault="00236E6D" w:rsidP="00CA7011">
      <w:pPr>
        <w:spacing w:line="480" w:lineRule="auto"/>
        <w:rPr>
          <w:rFonts w:cs="Times New Roman"/>
        </w:rPr>
      </w:pPr>
      <w:r w:rsidRPr="00037ACB">
        <w:rPr>
          <w:rFonts w:cs="Times New Roman"/>
        </w:rPr>
        <w:t>All rights reserved.</w:t>
      </w:r>
    </w:p>
    <w:p w14:paraId="0EC5614B" w14:textId="77777777" w:rsidR="00236E6D" w:rsidRPr="00037ACB" w:rsidRDefault="00236E6D" w:rsidP="005E54E2">
      <w:pPr>
        <w:rPr>
          <w:rFonts w:cs="Times New Roman"/>
        </w:rPr>
      </w:pPr>
    </w:p>
    <w:p w14:paraId="0EC5614C" w14:textId="77777777" w:rsidR="00236E6D" w:rsidRPr="00037ACB" w:rsidRDefault="00236E6D" w:rsidP="005E54E2">
      <w:pPr>
        <w:rPr>
          <w:rFonts w:cs="Times New Roman"/>
        </w:rPr>
      </w:pPr>
    </w:p>
    <w:p w14:paraId="0EC5614D" w14:textId="77777777" w:rsidR="00236E6D" w:rsidRPr="00037ACB" w:rsidRDefault="00236E6D" w:rsidP="005E54E2">
      <w:pPr>
        <w:rPr>
          <w:rFonts w:cs="Times New Roman"/>
        </w:rPr>
      </w:pPr>
    </w:p>
    <w:p w14:paraId="0EC5614E" w14:textId="77777777" w:rsidR="00236E6D" w:rsidRPr="00037ACB" w:rsidRDefault="00236E6D" w:rsidP="005E54E2">
      <w:pPr>
        <w:rPr>
          <w:rFonts w:cs="Times New Roman"/>
        </w:rPr>
      </w:pPr>
    </w:p>
    <w:p w14:paraId="0EC5614F" w14:textId="77777777" w:rsidR="00236E6D" w:rsidRPr="00037ACB" w:rsidRDefault="00236E6D" w:rsidP="005E54E2">
      <w:pPr>
        <w:rPr>
          <w:rFonts w:cs="Times New Roman"/>
        </w:rPr>
      </w:pPr>
    </w:p>
    <w:p w14:paraId="0EC56150" w14:textId="77777777" w:rsidR="00236E6D" w:rsidRPr="00037ACB" w:rsidRDefault="00236E6D" w:rsidP="005E54E2">
      <w:pPr>
        <w:rPr>
          <w:rFonts w:cs="Times New Roman"/>
        </w:rPr>
      </w:pPr>
    </w:p>
    <w:p w14:paraId="0EC56151" w14:textId="77777777" w:rsidR="00236E6D" w:rsidRPr="00037ACB" w:rsidRDefault="00236E6D" w:rsidP="005E54E2">
      <w:pPr>
        <w:rPr>
          <w:rFonts w:cs="Times New Roman"/>
        </w:rPr>
      </w:pPr>
    </w:p>
    <w:p w14:paraId="0EC56152" w14:textId="77777777" w:rsidR="00236E6D" w:rsidRPr="00037ACB" w:rsidRDefault="00236E6D" w:rsidP="005E54E2">
      <w:pPr>
        <w:rPr>
          <w:rFonts w:cs="Times New Roman"/>
        </w:rPr>
      </w:pPr>
    </w:p>
    <w:p w14:paraId="0EC56153" w14:textId="77777777" w:rsidR="00236E6D" w:rsidRPr="00037ACB" w:rsidRDefault="00236E6D" w:rsidP="005E54E2">
      <w:pPr>
        <w:rPr>
          <w:rFonts w:cs="Times New Roman"/>
        </w:rPr>
      </w:pPr>
    </w:p>
    <w:p w14:paraId="0EC56154" w14:textId="77777777" w:rsidR="00236E6D" w:rsidRPr="00037ACB" w:rsidRDefault="00236E6D" w:rsidP="005E54E2">
      <w:pPr>
        <w:rPr>
          <w:rFonts w:cs="Times New Roman"/>
        </w:rPr>
      </w:pPr>
    </w:p>
    <w:p w14:paraId="0EC56155" w14:textId="77777777" w:rsidR="00236E6D" w:rsidRPr="00037ACB" w:rsidRDefault="00236E6D" w:rsidP="005E54E2">
      <w:pPr>
        <w:rPr>
          <w:rFonts w:cs="Times New Roman"/>
        </w:rPr>
      </w:pPr>
    </w:p>
    <w:p w14:paraId="0EC56156" w14:textId="77777777" w:rsidR="00236E6D" w:rsidRPr="00037ACB" w:rsidRDefault="00236E6D" w:rsidP="005E54E2">
      <w:pPr>
        <w:rPr>
          <w:rFonts w:cs="Times New Roman"/>
        </w:rPr>
      </w:pPr>
    </w:p>
    <w:p w14:paraId="0EC56157" w14:textId="77777777" w:rsidR="00236E6D" w:rsidRDefault="00236E6D" w:rsidP="005E54E2">
      <w:pPr>
        <w:rPr>
          <w:rFonts w:cs="Times New Roman"/>
        </w:rPr>
      </w:pPr>
    </w:p>
    <w:p w14:paraId="7CC59AD3" w14:textId="77777777" w:rsidR="00CA7011" w:rsidRDefault="00CA7011" w:rsidP="005E54E2">
      <w:pPr>
        <w:rPr>
          <w:rFonts w:cs="Times New Roman"/>
        </w:rPr>
      </w:pPr>
    </w:p>
    <w:p w14:paraId="5B4A00E3" w14:textId="77777777" w:rsidR="00CA7011" w:rsidRDefault="00CA7011" w:rsidP="005E54E2">
      <w:pPr>
        <w:rPr>
          <w:rFonts w:cs="Times New Roman"/>
        </w:rPr>
      </w:pPr>
    </w:p>
    <w:p w14:paraId="3F1EC8A8" w14:textId="77777777" w:rsidR="00CA7011" w:rsidRDefault="00CA7011" w:rsidP="005E54E2">
      <w:pPr>
        <w:rPr>
          <w:rFonts w:cs="Times New Roman"/>
        </w:rPr>
      </w:pPr>
    </w:p>
    <w:p w14:paraId="1AFAF21D" w14:textId="77777777" w:rsidR="00CA7011" w:rsidRDefault="00CA7011" w:rsidP="005E54E2">
      <w:pPr>
        <w:rPr>
          <w:rFonts w:cs="Times New Roman"/>
        </w:rPr>
      </w:pPr>
    </w:p>
    <w:p w14:paraId="7A3FBCAE" w14:textId="77777777" w:rsidR="00CA7011" w:rsidRDefault="00CA7011" w:rsidP="005E54E2">
      <w:pPr>
        <w:rPr>
          <w:rFonts w:cs="Times New Roman"/>
        </w:rPr>
      </w:pPr>
    </w:p>
    <w:p w14:paraId="129E1B31" w14:textId="77777777" w:rsidR="00CA7011" w:rsidRDefault="00CA7011" w:rsidP="005E54E2">
      <w:pPr>
        <w:rPr>
          <w:rFonts w:cs="Times New Roman"/>
        </w:rPr>
      </w:pPr>
    </w:p>
    <w:p w14:paraId="69EB1241" w14:textId="77777777" w:rsidR="00CA7011" w:rsidRDefault="00CA7011" w:rsidP="005E54E2">
      <w:pPr>
        <w:rPr>
          <w:rFonts w:cs="Times New Roman"/>
        </w:rPr>
      </w:pPr>
    </w:p>
    <w:p w14:paraId="72BA583D" w14:textId="77777777" w:rsidR="00CA7011" w:rsidRDefault="00CA7011" w:rsidP="005E54E2">
      <w:pPr>
        <w:rPr>
          <w:rFonts w:cs="Times New Roman"/>
        </w:rPr>
      </w:pPr>
    </w:p>
    <w:p w14:paraId="08580978" w14:textId="77777777" w:rsidR="00CA7011" w:rsidRDefault="00CA7011" w:rsidP="005E54E2">
      <w:pPr>
        <w:rPr>
          <w:rFonts w:cs="Times New Roman"/>
        </w:rPr>
      </w:pPr>
    </w:p>
    <w:p w14:paraId="481B0F61" w14:textId="77777777" w:rsidR="00CA7011" w:rsidRPr="00037ACB" w:rsidRDefault="00CA7011" w:rsidP="005E54E2">
      <w:pPr>
        <w:rPr>
          <w:rFonts w:cs="Times New Roman"/>
        </w:rPr>
      </w:pPr>
    </w:p>
    <w:p w14:paraId="0EC56158" w14:textId="77777777" w:rsidR="00236E6D" w:rsidRPr="00037ACB" w:rsidRDefault="00236E6D" w:rsidP="005E54E2">
      <w:pPr>
        <w:rPr>
          <w:rFonts w:cs="Times New Roman"/>
        </w:rPr>
      </w:pPr>
    </w:p>
    <w:p w14:paraId="7152143B" w14:textId="77777777" w:rsidR="0092712C" w:rsidRDefault="0092712C">
      <w:pPr>
        <w:spacing w:line="240" w:lineRule="auto"/>
        <w:rPr>
          <w:rFonts w:cs="Times New Roman"/>
          <w:b/>
        </w:rPr>
      </w:pPr>
      <w:r>
        <w:rPr>
          <w:rFonts w:cs="Times New Roman"/>
        </w:rPr>
        <w:br w:type="page"/>
      </w:r>
    </w:p>
    <w:p w14:paraId="0EC561A4" w14:textId="466D7C9B" w:rsidR="00387656" w:rsidRDefault="00CA7011" w:rsidP="00776576">
      <w:pPr>
        <w:pStyle w:val="Title"/>
        <w:spacing w:line="480" w:lineRule="auto"/>
        <w:rPr>
          <w:rFonts w:cs="Times New Roman"/>
          <w:sz w:val="24"/>
          <w:lang w:val="en-US"/>
        </w:rPr>
      </w:pPr>
      <w:r>
        <w:rPr>
          <w:rFonts w:cs="Times New Roman"/>
          <w:sz w:val="24"/>
          <w:lang w:val="en-US"/>
        </w:rPr>
        <w:lastRenderedPageBreak/>
        <w:t>DEDICATION</w:t>
      </w:r>
    </w:p>
    <w:p w14:paraId="014F97AB" w14:textId="605D21AB" w:rsidR="00CA7011" w:rsidRPr="0092712C" w:rsidRDefault="00CA7011" w:rsidP="00776576">
      <w:pPr>
        <w:spacing w:line="480" w:lineRule="auto"/>
        <w:jc w:val="center"/>
        <w:rPr>
          <w:rFonts w:cs="Times New Roman"/>
        </w:rPr>
      </w:pPr>
      <w:r w:rsidRPr="0092712C">
        <w:rPr>
          <w:rFonts w:cs="Times New Roman"/>
        </w:rPr>
        <w:t>I would like to dedicate this work to my parents, Romeu Antonio Nassar Neto and Andréa Fonseca Nassar, and my brother, Gabriel Fonseca Nassar, for their love and support along this journey.</w:t>
      </w:r>
    </w:p>
    <w:p w14:paraId="57AAB162" w14:textId="77777777" w:rsidR="00CA7011" w:rsidRPr="00037ACB" w:rsidRDefault="00CA7011" w:rsidP="00433FF5">
      <w:pPr>
        <w:pStyle w:val="Title"/>
        <w:rPr>
          <w:rFonts w:cs="Times New Roman"/>
          <w:sz w:val="24"/>
          <w:lang w:val="en-US"/>
        </w:rPr>
      </w:pPr>
    </w:p>
    <w:p w14:paraId="0EC561A5" w14:textId="77777777" w:rsidR="003C1575" w:rsidRPr="00037ACB" w:rsidRDefault="003C1575" w:rsidP="005E54E2">
      <w:pPr>
        <w:rPr>
          <w:rFonts w:cs="Times New Roman"/>
        </w:rPr>
      </w:pPr>
    </w:p>
    <w:p w14:paraId="0EC561A6" w14:textId="77777777" w:rsidR="0085757D" w:rsidRDefault="0085757D" w:rsidP="005E54E2">
      <w:pPr>
        <w:rPr>
          <w:rFonts w:cs="Times New Roman"/>
        </w:rPr>
      </w:pPr>
    </w:p>
    <w:p w14:paraId="6CCB8D0D" w14:textId="77777777" w:rsidR="00CA7011" w:rsidRDefault="00CA7011" w:rsidP="005E54E2">
      <w:pPr>
        <w:rPr>
          <w:rFonts w:cs="Times New Roman"/>
        </w:rPr>
      </w:pPr>
    </w:p>
    <w:p w14:paraId="0C2D4397" w14:textId="77777777" w:rsidR="00CA7011" w:rsidRDefault="00CA7011" w:rsidP="005E54E2">
      <w:pPr>
        <w:rPr>
          <w:rFonts w:cs="Times New Roman"/>
        </w:rPr>
      </w:pPr>
    </w:p>
    <w:p w14:paraId="2ECBF201" w14:textId="77777777" w:rsidR="00CA7011" w:rsidRDefault="00CA7011" w:rsidP="005E54E2">
      <w:pPr>
        <w:rPr>
          <w:rFonts w:cs="Times New Roman"/>
        </w:rPr>
      </w:pPr>
    </w:p>
    <w:p w14:paraId="3B36B773" w14:textId="77777777" w:rsidR="00CA7011" w:rsidRDefault="00CA7011" w:rsidP="005E54E2">
      <w:pPr>
        <w:rPr>
          <w:rFonts w:cs="Times New Roman"/>
        </w:rPr>
      </w:pPr>
    </w:p>
    <w:p w14:paraId="58B6A9C4" w14:textId="77777777" w:rsidR="00CA7011" w:rsidRDefault="00CA7011" w:rsidP="005E54E2">
      <w:pPr>
        <w:rPr>
          <w:rFonts w:cs="Times New Roman"/>
        </w:rPr>
      </w:pPr>
    </w:p>
    <w:p w14:paraId="5A665700" w14:textId="77777777" w:rsidR="00CA7011" w:rsidRDefault="00CA7011" w:rsidP="005E54E2">
      <w:pPr>
        <w:rPr>
          <w:rFonts w:cs="Times New Roman"/>
        </w:rPr>
      </w:pPr>
    </w:p>
    <w:p w14:paraId="47E57650" w14:textId="77777777" w:rsidR="00CA7011" w:rsidRDefault="00CA7011" w:rsidP="005E54E2">
      <w:pPr>
        <w:rPr>
          <w:rFonts w:cs="Times New Roman"/>
        </w:rPr>
      </w:pPr>
    </w:p>
    <w:p w14:paraId="08B3CE6C" w14:textId="77777777" w:rsidR="00CA7011" w:rsidRDefault="00CA7011" w:rsidP="005E54E2">
      <w:pPr>
        <w:rPr>
          <w:rFonts w:cs="Times New Roman"/>
        </w:rPr>
      </w:pPr>
    </w:p>
    <w:p w14:paraId="02AEC43A" w14:textId="77777777" w:rsidR="00CA7011" w:rsidRDefault="00CA7011" w:rsidP="005E54E2">
      <w:pPr>
        <w:rPr>
          <w:rFonts w:cs="Times New Roman"/>
        </w:rPr>
      </w:pPr>
    </w:p>
    <w:p w14:paraId="7C71871E" w14:textId="77777777" w:rsidR="00CA7011" w:rsidRDefault="00CA7011" w:rsidP="005E54E2">
      <w:pPr>
        <w:rPr>
          <w:rFonts w:cs="Times New Roman"/>
        </w:rPr>
      </w:pPr>
    </w:p>
    <w:p w14:paraId="468F6EB7" w14:textId="77777777" w:rsidR="00CA7011" w:rsidRDefault="00CA7011" w:rsidP="005E54E2">
      <w:pPr>
        <w:rPr>
          <w:rFonts w:cs="Times New Roman"/>
        </w:rPr>
      </w:pPr>
    </w:p>
    <w:p w14:paraId="4EC9D4C8" w14:textId="77777777" w:rsidR="00CA7011" w:rsidRDefault="00CA7011" w:rsidP="005E54E2">
      <w:pPr>
        <w:rPr>
          <w:rFonts w:cs="Times New Roman"/>
        </w:rPr>
      </w:pPr>
    </w:p>
    <w:p w14:paraId="5F233451" w14:textId="77777777" w:rsidR="00CA7011" w:rsidRDefault="00CA7011" w:rsidP="005E54E2">
      <w:pPr>
        <w:rPr>
          <w:rFonts w:cs="Times New Roman"/>
        </w:rPr>
      </w:pPr>
    </w:p>
    <w:p w14:paraId="2542198F" w14:textId="77777777" w:rsidR="00CA7011" w:rsidRDefault="00CA7011" w:rsidP="005E54E2">
      <w:pPr>
        <w:rPr>
          <w:rFonts w:cs="Times New Roman"/>
        </w:rPr>
      </w:pPr>
    </w:p>
    <w:p w14:paraId="3CA6DB0E" w14:textId="77777777" w:rsidR="00CA7011" w:rsidRDefault="00CA7011" w:rsidP="005E54E2">
      <w:pPr>
        <w:rPr>
          <w:rFonts w:cs="Times New Roman"/>
        </w:rPr>
      </w:pPr>
    </w:p>
    <w:p w14:paraId="3A638D19" w14:textId="77777777" w:rsidR="00CA7011" w:rsidRDefault="00CA7011" w:rsidP="005E54E2">
      <w:pPr>
        <w:rPr>
          <w:rFonts w:cs="Times New Roman"/>
        </w:rPr>
      </w:pPr>
    </w:p>
    <w:p w14:paraId="5861139E" w14:textId="77777777" w:rsidR="00CA7011" w:rsidRDefault="00CA7011" w:rsidP="005E54E2">
      <w:pPr>
        <w:rPr>
          <w:rFonts w:cs="Times New Roman"/>
        </w:rPr>
      </w:pPr>
    </w:p>
    <w:p w14:paraId="213659BB" w14:textId="77777777" w:rsidR="00CA7011" w:rsidRDefault="00CA7011" w:rsidP="005E54E2">
      <w:pPr>
        <w:rPr>
          <w:rFonts w:cs="Times New Roman"/>
        </w:rPr>
      </w:pPr>
    </w:p>
    <w:p w14:paraId="1E73E72E" w14:textId="77777777" w:rsidR="00CA7011" w:rsidRDefault="00CA7011" w:rsidP="005E54E2">
      <w:pPr>
        <w:rPr>
          <w:rFonts w:cs="Times New Roman"/>
        </w:rPr>
      </w:pPr>
    </w:p>
    <w:p w14:paraId="31CB6661" w14:textId="77777777" w:rsidR="00CA7011" w:rsidRDefault="00CA7011" w:rsidP="005E54E2">
      <w:pPr>
        <w:rPr>
          <w:rFonts w:cs="Times New Roman"/>
        </w:rPr>
      </w:pPr>
    </w:p>
    <w:p w14:paraId="3AAD3305" w14:textId="77777777" w:rsidR="00CA7011" w:rsidRDefault="00CA7011" w:rsidP="005E54E2">
      <w:pPr>
        <w:rPr>
          <w:rFonts w:cs="Times New Roman"/>
        </w:rPr>
      </w:pPr>
    </w:p>
    <w:p w14:paraId="32A94814" w14:textId="74DF1809" w:rsidR="00CA7011" w:rsidRPr="0092712C" w:rsidRDefault="00CA7011" w:rsidP="00776576">
      <w:pPr>
        <w:pStyle w:val="Title"/>
        <w:spacing w:line="480" w:lineRule="auto"/>
        <w:rPr>
          <w:rFonts w:cs="Times New Roman"/>
          <w:sz w:val="24"/>
        </w:rPr>
      </w:pPr>
      <w:r w:rsidRPr="0092712C">
        <w:rPr>
          <w:rFonts w:cs="Times New Roman"/>
          <w:sz w:val="24"/>
        </w:rPr>
        <w:lastRenderedPageBreak/>
        <w:t>ACKNOWLEDGEMENTS</w:t>
      </w:r>
    </w:p>
    <w:p w14:paraId="7CD49866" w14:textId="77777777" w:rsidR="007C172D" w:rsidRPr="0092712C" w:rsidRDefault="00E6662C" w:rsidP="00776576">
      <w:pPr>
        <w:spacing w:line="480" w:lineRule="auto"/>
        <w:ind w:firstLine="720"/>
      </w:pPr>
      <w:r w:rsidRPr="0092712C">
        <w:t xml:space="preserve">I would like to express my gratitude to my graduate advisor and mentor, Dr. Renata Nave Oakes, for her guidance and support as I worked through my master's degree. In addition, I would like to thank my graduate committee members, Dr. </w:t>
      </w:r>
      <w:r w:rsidR="007C172D" w:rsidRPr="0092712C">
        <w:t>Bruno Pedreira, Dr. David Butler</w:t>
      </w:r>
      <w:r w:rsidRPr="0092712C">
        <w:t xml:space="preserve">, and Dr. </w:t>
      </w:r>
      <w:r w:rsidR="007C172D" w:rsidRPr="0092712C">
        <w:t>Leanne Dillard</w:t>
      </w:r>
      <w:r w:rsidRPr="0092712C">
        <w:t xml:space="preserve"> for their advice, critiques, and support along the way. I also want to thank the University of Tennessee’s Plant Sciences Department for their help and support, including the Plant Graduate Student Association. </w:t>
      </w:r>
    </w:p>
    <w:p w14:paraId="78F13DBE" w14:textId="77777777" w:rsidR="007C172D" w:rsidRPr="0092712C" w:rsidRDefault="007C172D" w:rsidP="007C172D">
      <w:pPr>
        <w:spacing w:line="480" w:lineRule="auto"/>
        <w:ind w:firstLine="720"/>
      </w:pPr>
      <w:r w:rsidRPr="0092712C">
        <w:t xml:space="preserve"> I would like to thank my lab mates, Maria Antonia Malheiros, Otavio Goulart de Almeida, Renan Cleto da Silva, Vanessa Martinez, and Yannick Roberts for their help and support as well as friendship during my time working on this project. I also would like to thank those who, even though not being part of this lab, added significantly to the completion of this thesis.</w:t>
      </w:r>
    </w:p>
    <w:p w14:paraId="026E3FD6" w14:textId="3AE84C2C" w:rsidR="00407DA4" w:rsidRPr="0092712C" w:rsidRDefault="007C172D" w:rsidP="007C172D">
      <w:pPr>
        <w:spacing w:line="480" w:lineRule="auto"/>
        <w:ind w:firstLine="720"/>
      </w:pPr>
      <w:r w:rsidRPr="0092712C">
        <w:t xml:space="preserve">Gratitude is given to the Staff of the Plateau </w:t>
      </w:r>
      <w:proofErr w:type="spellStart"/>
      <w:r w:rsidRPr="0092712C">
        <w:t>AgResearch</w:t>
      </w:r>
      <w:proofErr w:type="spellEnd"/>
      <w:r w:rsidRPr="0092712C">
        <w:t xml:space="preserve"> and Educational Center, </w:t>
      </w:r>
      <w:r w:rsidR="00407DA4" w:rsidRPr="0092712C">
        <w:t>especially</w:t>
      </w:r>
      <w:r w:rsidRPr="0092712C">
        <w:t xml:space="preserve"> to Dereck Corbin, </w:t>
      </w:r>
      <w:r w:rsidR="00407DA4" w:rsidRPr="0092712C">
        <w:t xml:space="preserve">who contributed significantly to this trial. Also, </w:t>
      </w:r>
      <w:proofErr w:type="gramStart"/>
      <w:r w:rsidR="00407DA4" w:rsidRPr="0092712C">
        <w:t>would</w:t>
      </w:r>
      <w:proofErr w:type="gramEnd"/>
      <w:r w:rsidR="00407DA4" w:rsidRPr="0092712C">
        <w:t xml:space="preserve"> like to mention Jennifer Crabtree, who contributed a lot to this project. Along with that, I would like to mention colleagues from my past degree who, directly or not, contributed to this work.</w:t>
      </w:r>
    </w:p>
    <w:p w14:paraId="79D1CA7C" w14:textId="41E56D33" w:rsidR="00407DA4" w:rsidRPr="0092712C" w:rsidRDefault="00407DA4" w:rsidP="007C172D">
      <w:pPr>
        <w:spacing w:line="480" w:lineRule="auto"/>
        <w:ind w:firstLine="720"/>
      </w:pPr>
      <w:r w:rsidRPr="0092712C">
        <w:t xml:space="preserve">I also would like to thank my parents, Romeu Antonio Nassar Neto and Andréa Fonseca Nassar, as well as my brother, Gabriel Fonseca Nassar, for being the support I needed through Good and Bad moments. Finally, I thank </w:t>
      </w:r>
      <w:r w:rsidR="006B295B" w:rsidRPr="0092712C">
        <w:t>God</w:t>
      </w:r>
      <w:r w:rsidRPr="0092712C">
        <w:t xml:space="preserve"> for being my strength that sustained me along this journey.</w:t>
      </w:r>
    </w:p>
    <w:p w14:paraId="22B7B517" w14:textId="78D4E471" w:rsidR="00685AE0" w:rsidRDefault="00685AE0" w:rsidP="00E378A0">
      <w:pPr>
        <w:spacing w:line="480" w:lineRule="auto"/>
      </w:pPr>
    </w:p>
    <w:p w14:paraId="7F3BE6A9" w14:textId="40C8C464" w:rsidR="00685AE0" w:rsidRPr="0092712C" w:rsidRDefault="00685AE0" w:rsidP="00776576">
      <w:pPr>
        <w:pStyle w:val="Heading1"/>
        <w:spacing w:line="480" w:lineRule="auto"/>
      </w:pPr>
      <w:bookmarkStart w:id="0" w:name="_Toc196315219"/>
      <w:r w:rsidRPr="0092712C">
        <w:lastRenderedPageBreak/>
        <w:t>ABSTRACT</w:t>
      </w:r>
      <w:bookmarkEnd w:id="0"/>
    </w:p>
    <w:p w14:paraId="53EFC23A" w14:textId="26D712BA" w:rsidR="00685AE0" w:rsidRPr="0092712C" w:rsidRDefault="00F726E6" w:rsidP="00776576">
      <w:pPr>
        <w:spacing w:line="480" w:lineRule="auto"/>
        <w:ind w:firstLine="720"/>
      </w:pPr>
      <w:r w:rsidRPr="0092712C">
        <w:t xml:space="preserve">Greater demands for beef </w:t>
      </w:r>
      <w:proofErr w:type="gramStart"/>
      <w:r w:rsidR="00143261" w:rsidRPr="0092712C">
        <w:t>has</w:t>
      </w:r>
      <w:proofErr w:type="gramEnd"/>
      <w:r w:rsidR="00143261" w:rsidRPr="0092712C">
        <w:t xml:space="preserve"> </w:t>
      </w:r>
      <w:r w:rsidRPr="0092712C">
        <w:t xml:space="preserve">been </w:t>
      </w:r>
      <w:r w:rsidR="00143261" w:rsidRPr="0092712C">
        <w:t xml:space="preserve">observed </w:t>
      </w:r>
      <w:r w:rsidRPr="0092712C">
        <w:t xml:space="preserve">over the years; however, concerns related to its production efficiency and sustainability have been raised. To achieve desired production levels with less harm to the environment, newer technologies have been studied and adopted around the world. For the southeastern United States, </w:t>
      </w:r>
      <w:r w:rsidR="009A57A5" w:rsidRPr="0092712C">
        <w:t>b</w:t>
      </w:r>
      <w:r w:rsidRPr="0092712C">
        <w:t>ermudagrass (</w:t>
      </w:r>
      <w:proofErr w:type="spellStart"/>
      <w:r w:rsidR="00D669BE" w:rsidRPr="0092712C">
        <w:rPr>
          <w:i/>
          <w:iCs/>
        </w:rPr>
        <w:t>Cynodon</w:t>
      </w:r>
      <w:proofErr w:type="spellEnd"/>
      <w:r w:rsidR="00D669BE" w:rsidRPr="0092712C">
        <w:rPr>
          <w:i/>
          <w:iCs/>
        </w:rPr>
        <w:t xml:space="preserve"> </w:t>
      </w:r>
      <w:proofErr w:type="spellStart"/>
      <w:r w:rsidR="00D669BE" w:rsidRPr="0092712C">
        <w:rPr>
          <w:i/>
          <w:iCs/>
        </w:rPr>
        <w:t>dactylon</w:t>
      </w:r>
      <w:proofErr w:type="spellEnd"/>
      <w:r w:rsidR="00D669BE" w:rsidRPr="0092712C">
        <w:rPr>
          <w:i/>
          <w:iCs/>
        </w:rPr>
        <w:t xml:space="preserve"> </w:t>
      </w:r>
      <w:r w:rsidR="00D669BE" w:rsidRPr="0092712C">
        <w:t>(L.) Pers</w:t>
      </w:r>
      <w:r w:rsidRPr="0092712C">
        <w:t xml:space="preserve">) is an important and predominant warm-season forage, highly responsive to nitrogen (N) fertilization. Nevertheless, </w:t>
      </w:r>
      <w:r w:rsidR="00575173" w:rsidRPr="0092712C">
        <w:t>higher</w:t>
      </w:r>
      <w:r w:rsidRPr="0092712C">
        <w:t xml:space="preserve"> N use has raised concerns regarding </w:t>
      </w:r>
      <w:r w:rsidR="00575173" w:rsidRPr="0092712C">
        <w:t>N</w:t>
      </w:r>
      <w:r w:rsidRPr="0092712C">
        <w:t xml:space="preserve"> leaching and greenhouse gas emissions, contaminating groundwater and damaging the atmosphere. Alternative strategies to enhance plant growth have been developed, such as </w:t>
      </w:r>
      <w:r w:rsidR="00143261" w:rsidRPr="0092712C">
        <w:t xml:space="preserve">various </w:t>
      </w:r>
      <w:r w:rsidR="009A57A5" w:rsidRPr="0092712C">
        <w:t>p</w:t>
      </w:r>
      <w:r w:rsidRPr="0092712C">
        <w:t xml:space="preserve">lant </w:t>
      </w:r>
      <w:r w:rsidR="009A57A5" w:rsidRPr="0092712C">
        <w:t>g</w:t>
      </w:r>
      <w:r w:rsidRPr="0092712C">
        <w:t>rowth-</w:t>
      </w:r>
      <w:r w:rsidR="009A57A5" w:rsidRPr="0092712C">
        <w:t>p</w:t>
      </w:r>
      <w:r w:rsidRPr="0092712C">
        <w:t xml:space="preserve">romoting </w:t>
      </w:r>
      <w:r w:rsidR="009A57A5" w:rsidRPr="0092712C">
        <w:t>b</w:t>
      </w:r>
      <w:r w:rsidRPr="0092712C">
        <w:t xml:space="preserve">acteria (PGPB), which have been adopted due to their beneficial characteristics </w:t>
      </w:r>
      <w:r w:rsidR="00787075" w:rsidRPr="0092712C">
        <w:t>associated</w:t>
      </w:r>
      <w:r w:rsidRPr="0092712C">
        <w:t xml:space="preserve"> with forage</w:t>
      </w:r>
      <w:r w:rsidR="00143261" w:rsidRPr="0092712C">
        <w:t xml:space="preserve"> plants</w:t>
      </w:r>
      <w:r w:rsidRPr="0092712C">
        <w:t xml:space="preserve">. Among PGPBs, </w:t>
      </w:r>
      <w:proofErr w:type="spellStart"/>
      <w:r w:rsidRPr="0092712C">
        <w:rPr>
          <w:i/>
          <w:iCs/>
        </w:rPr>
        <w:t>Azospirillum</w:t>
      </w:r>
      <w:proofErr w:type="spellEnd"/>
      <w:r w:rsidRPr="0092712C">
        <w:t xml:space="preserve"> spp., </w:t>
      </w:r>
      <w:r w:rsidRPr="0092712C">
        <w:rPr>
          <w:i/>
          <w:iCs/>
        </w:rPr>
        <w:t>Bacillus</w:t>
      </w:r>
      <w:r w:rsidRPr="0092712C">
        <w:t xml:space="preserve"> </w:t>
      </w:r>
      <w:r w:rsidRPr="0092712C">
        <w:rPr>
          <w:i/>
          <w:iCs/>
        </w:rPr>
        <w:t>spp</w:t>
      </w:r>
      <w:r w:rsidRPr="0092712C">
        <w:t xml:space="preserve">., and </w:t>
      </w:r>
      <w:proofErr w:type="spellStart"/>
      <w:r w:rsidRPr="0092712C">
        <w:rPr>
          <w:i/>
          <w:iCs/>
        </w:rPr>
        <w:t>Paenibacillus</w:t>
      </w:r>
      <w:proofErr w:type="spellEnd"/>
      <w:r w:rsidRPr="0092712C">
        <w:t xml:space="preserve"> </w:t>
      </w:r>
      <w:r w:rsidRPr="0092712C">
        <w:rPr>
          <w:i/>
          <w:iCs/>
        </w:rPr>
        <w:t>spp</w:t>
      </w:r>
      <w:r w:rsidRPr="0092712C">
        <w:t xml:space="preserve">., have demonstrated beneficial interaction modulating phytohormones, fixing N, and solubilizing nutrients in the soil with the </w:t>
      </w:r>
      <w:proofErr w:type="spellStart"/>
      <w:r w:rsidRPr="0092712C">
        <w:rPr>
          <w:i/>
          <w:iCs/>
        </w:rPr>
        <w:t>Poaceae</w:t>
      </w:r>
      <w:proofErr w:type="spellEnd"/>
      <w:r w:rsidRPr="0092712C">
        <w:t xml:space="preserve"> family. Thus, this </w:t>
      </w:r>
      <w:r w:rsidR="00787075" w:rsidRPr="0092712C">
        <w:t xml:space="preserve">study </w:t>
      </w:r>
      <w:r w:rsidRPr="0092712C">
        <w:t xml:space="preserve">aimed to evaluate the inclusion of </w:t>
      </w:r>
      <w:proofErr w:type="spellStart"/>
      <w:r w:rsidRPr="0092712C">
        <w:rPr>
          <w:i/>
          <w:iCs/>
        </w:rPr>
        <w:t>Az</w:t>
      </w:r>
      <w:r w:rsidR="00C021BA" w:rsidRPr="0092712C">
        <w:rPr>
          <w:i/>
          <w:iCs/>
        </w:rPr>
        <w:t>o</w:t>
      </w:r>
      <w:r w:rsidRPr="0092712C">
        <w:rPr>
          <w:i/>
          <w:iCs/>
        </w:rPr>
        <w:t>spirillum</w:t>
      </w:r>
      <w:proofErr w:type="spellEnd"/>
      <w:r w:rsidRPr="0092712C">
        <w:rPr>
          <w:i/>
          <w:iCs/>
        </w:rPr>
        <w:t xml:space="preserve"> </w:t>
      </w:r>
      <w:r w:rsidRPr="0092712C">
        <w:t xml:space="preserve">Ab-V5 and Ab-V6, </w:t>
      </w:r>
      <w:r w:rsidRPr="0092712C">
        <w:rPr>
          <w:i/>
          <w:iCs/>
        </w:rPr>
        <w:t>Bacillus subtilis</w:t>
      </w:r>
      <w:r w:rsidRPr="0092712C">
        <w:t xml:space="preserve">, </w:t>
      </w:r>
      <w:proofErr w:type="spellStart"/>
      <w:r w:rsidRPr="0092712C">
        <w:rPr>
          <w:i/>
          <w:iCs/>
        </w:rPr>
        <w:t>Paenibacillus</w:t>
      </w:r>
      <w:proofErr w:type="spellEnd"/>
      <w:r w:rsidRPr="0092712C">
        <w:rPr>
          <w:i/>
          <w:iCs/>
        </w:rPr>
        <w:t xml:space="preserve"> </w:t>
      </w:r>
      <w:proofErr w:type="spellStart"/>
      <w:r w:rsidR="001732D0" w:rsidRPr="0092712C">
        <w:rPr>
          <w:i/>
          <w:iCs/>
        </w:rPr>
        <w:t>riograndensis</w:t>
      </w:r>
      <w:proofErr w:type="spellEnd"/>
      <w:r w:rsidRPr="0092712C">
        <w:t xml:space="preserve">, and </w:t>
      </w:r>
      <w:proofErr w:type="spellStart"/>
      <w:r w:rsidRPr="0092712C">
        <w:rPr>
          <w:i/>
          <w:iCs/>
        </w:rPr>
        <w:t>Methylobacterium</w:t>
      </w:r>
      <w:proofErr w:type="spellEnd"/>
      <w:r w:rsidRPr="0092712C">
        <w:rPr>
          <w:i/>
          <w:iCs/>
        </w:rPr>
        <w:t xml:space="preserve"> </w:t>
      </w:r>
      <w:proofErr w:type="spellStart"/>
      <w:r w:rsidRPr="0092712C">
        <w:rPr>
          <w:i/>
          <w:iCs/>
        </w:rPr>
        <w:t>symbioticum</w:t>
      </w:r>
      <w:proofErr w:type="spellEnd"/>
      <w:r w:rsidRPr="0092712C">
        <w:t xml:space="preserve"> either in field or greenhouse conditions with or without varying </w:t>
      </w:r>
      <w:r w:rsidR="006471A3" w:rsidRPr="0092712C">
        <w:t xml:space="preserve">N </w:t>
      </w:r>
      <w:r w:rsidR="00143261" w:rsidRPr="0092712C">
        <w:t xml:space="preserve">management </w:t>
      </w:r>
      <w:r w:rsidR="006471A3" w:rsidRPr="0092712C">
        <w:t>strategie</w:t>
      </w:r>
      <w:r w:rsidRPr="0092712C">
        <w:t xml:space="preserve">s. Findings from this research may contribute to climate-smart agricultural practices, improving forage systems’ sustainability while mitigating environmental impacts. The integration of PGPB in </w:t>
      </w:r>
      <w:proofErr w:type="gramStart"/>
      <w:r w:rsidR="009A57A5" w:rsidRPr="0092712C">
        <w:t>b</w:t>
      </w:r>
      <w:r w:rsidRPr="0092712C">
        <w:t>ermudagrass</w:t>
      </w:r>
      <w:proofErr w:type="gramEnd"/>
      <w:r w:rsidRPr="0092712C">
        <w:t xml:space="preserve"> forage systems could serve as an alternative approach to increasing </w:t>
      </w:r>
      <w:r w:rsidR="00143261" w:rsidRPr="0092712C">
        <w:t xml:space="preserve">the </w:t>
      </w:r>
      <w:r w:rsidRPr="0092712C">
        <w:t>system</w:t>
      </w:r>
      <w:r w:rsidR="00143261" w:rsidRPr="0092712C">
        <w:t>’s</w:t>
      </w:r>
      <w:r w:rsidRPr="0092712C">
        <w:t xml:space="preserve"> efficiency, reducing inputs, and supporting long-term productivity in forage-based livestock systems.</w:t>
      </w:r>
    </w:p>
    <w:sdt>
      <w:sdtPr>
        <w:rPr>
          <w:rFonts w:ascii="Times New Roman" w:eastAsia="Times New Roman" w:hAnsi="Times New Roman" w:cs="Arial"/>
          <w:b w:val="0"/>
          <w:bCs w:val="0"/>
          <w:color w:val="auto"/>
          <w:szCs w:val="24"/>
          <w:lang w:eastAsia="en-US"/>
        </w:rPr>
        <w:id w:val="8271063"/>
        <w:docPartObj>
          <w:docPartGallery w:val="Table of Contents"/>
          <w:docPartUnique/>
        </w:docPartObj>
      </w:sdtPr>
      <w:sdtEndPr>
        <w:rPr>
          <w:noProof/>
        </w:rPr>
      </w:sdtEndPr>
      <w:sdtContent>
        <w:p w14:paraId="46604E75" w14:textId="53730286" w:rsidR="0092712C" w:rsidRPr="00013026" w:rsidRDefault="0092712C" w:rsidP="00776576">
          <w:pPr>
            <w:pStyle w:val="TOCHeading"/>
            <w:spacing w:before="0" w:line="480" w:lineRule="auto"/>
            <w:jc w:val="center"/>
            <w:rPr>
              <w:rFonts w:ascii="Times New Roman" w:hAnsi="Times New Roman"/>
              <w:noProof/>
              <w:color w:val="auto"/>
            </w:rPr>
          </w:pPr>
          <w:r>
            <w:rPr>
              <w:rFonts w:ascii="Times New Roman" w:hAnsi="Times New Roman"/>
              <w:color w:val="auto"/>
            </w:rPr>
            <w:t>TABLE OF CONTENTS</w:t>
          </w:r>
          <w:r w:rsidR="00685AE0">
            <w:rPr>
              <w:b w:val="0"/>
              <w:bCs w:val="0"/>
            </w:rPr>
            <w:fldChar w:fldCharType="begin"/>
          </w:r>
          <w:r w:rsidR="00685AE0">
            <w:instrText xml:space="preserve"> TOC \o "1-3" \h \z \u </w:instrText>
          </w:r>
          <w:r w:rsidR="00685AE0">
            <w:rPr>
              <w:b w:val="0"/>
              <w:bCs w:val="0"/>
            </w:rPr>
            <w:fldChar w:fldCharType="separate"/>
          </w:r>
        </w:p>
        <w:p w14:paraId="6C76342D" w14:textId="715ED870" w:rsidR="0092712C" w:rsidRDefault="0092712C" w:rsidP="00776576">
          <w:pPr>
            <w:pStyle w:val="TOC1"/>
            <w:tabs>
              <w:tab w:val="right" w:leader="dot" w:pos="8630"/>
            </w:tabs>
            <w:spacing w:line="480" w:lineRule="auto"/>
            <w:rPr>
              <w:rFonts w:asciiTheme="minorHAnsi" w:eastAsiaTheme="minorEastAsia" w:hAnsiTheme="minorHAnsi" w:cstheme="minorBidi"/>
              <w:noProof/>
              <w:kern w:val="2"/>
              <w:lang w:val="pt-BR" w:eastAsia="pt-BR"/>
              <w14:ligatures w14:val="standardContextual"/>
            </w:rPr>
          </w:pPr>
          <w:hyperlink w:anchor="_Toc196315222" w:history="1">
            <w:r w:rsidRPr="00EF02FF">
              <w:rPr>
                <w:rStyle w:val="Hyperlink"/>
                <w:noProof/>
              </w:rPr>
              <w:t>I</w:t>
            </w:r>
            <w:r w:rsidR="00013026">
              <w:rPr>
                <w:rStyle w:val="Hyperlink"/>
                <w:noProof/>
              </w:rPr>
              <w:t>ntroduction</w:t>
            </w:r>
            <w:r>
              <w:rPr>
                <w:noProof/>
                <w:webHidden/>
              </w:rPr>
              <w:tab/>
            </w:r>
            <w:r>
              <w:rPr>
                <w:noProof/>
                <w:webHidden/>
              </w:rPr>
              <w:fldChar w:fldCharType="begin"/>
            </w:r>
            <w:r>
              <w:rPr>
                <w:noProof/>
                <w:webHidden/>
              </w:rPr>
              <w:instrText xml:space="preserve"> PAGEREF _Toc196315222 \h </w:instrText>
            </w:r>
            <w:r>
              <w:rPr>
                <w:noProof/>
                <w:webHidden/>
              </w:rPr>
            </w:r>
            <w:r>
              <w:rPr>
                <w:noProof/>
                <w:webHidden/>
              </w:rPr>
              <w:fldChar w:fldCharType="separate"/>
            </w:r>
            <w:r w:rsidR="009D14DE">
              <w:rPr>
                <w:noProof/>
                <w:webHidden/>
              </w:rPr>
              <w:t>1</w:t>
            </w:r>
            <w:r>
              <w:rPr>
                <w:noProof/>
                <w:webHidden/>
              </w:rPr>
              <w:fldChar w:fldCharType="end"/>
            </w:r>
          </w:hyperlink>
        </w:p>
        <w:p w14:paraId="0DBC8269" w14:textId="0D8CCB73" w:rsidR="0092712C" w:rsidRDefault="0092712C" w:rsidP="00776576">
          <w:pPr>
            <w:pStyle w:val="TOC2"/>
            <w:tabs>
              <w:tab w:val="right" w:leader="dot" w:pos="8630"/>
            </w:tabs>
            <w:spacing w:line="480" w:lineRule="auto"/>
            <w:rPr>
              <w:rFonts w:asciiTheme="minorHAnsi" w:eastAsiaTheme="minorEastAsia" w:hAnsiTheme="minorHAnsi" w:cstheme="minorBidi"/>
              <w:noProof/>
              <w:kern w:val="2"/>
              <w:lang w:val="pt-BR" w:eastAsia="pt-BR"/>
              <w14:ligatures w14:val="standardContextual"/>
            </w:rPr>
          </w:pPr>
          <w:hyperlink w:anchor="_Toc196315223" w:history="1">
            <w:r w:rsidRPr="00EF02FF">
              <w:rPr>
                <w:rStyle w:val="Hyperlink"/>
                <w:rFonts w:cs="Times New Roman"/>
                <w:noProof/>
              </w:rPr>
              <w:t>Bermudagrass</w:t>
            </w:r>
            <w:r>
              <w:rPr>
                <w:noProof/>
                <w:webHidden/>
              </w:rPr>
              <w:tab/>
            </w:r>
            <w:r>
              <w:rPr>
                <w:noProof/>
                <w:webHidden/>
              </w:rPr>
              <w:fldChar w:fldCharType="begin"/>
            </w:r>
            <w:r>
              <w:rPr>
                <w:noProof/>
                <w:webHidden/>
              </w:rPr>
              <w:instrText xml:space="preserve"> PAGEREF _Toc196315223 \h </w:instrText>
            </w:r>
            <w:r>
              <w:rPr>
                <w:noProof/>
                <w:webHidden/>
              </w:rPr>
            </w:r>
            <w:r>
              <w:rPr>
                <w:noProof/>
                <w:webHidden/>
              </w:rPr>
              <w:fldChar w:fldCharType="separate"/>
            </w:r>
            <w:r w:rsidR="009D14DE">
              <w:rPr>
                <w:noProof/>
                <w:webHidden/>
              </w:rPr>
              <w:t>3</w:t>
            </w:r>
            <w:r>
              <w:rPr>
                <w:noProof/>
                <w:webHidden/>
              </w:rPr>
              <w:fldChar w:fldCharType="end"/>
            </w:r>
          </w:hyperlink>
        </w:p>
        <w:p w14:paraId="13E3A487" w14:textId="70C0E672" w:rsidR="0092712C" w:rsidRDefault="0092712C" w:rsidP="00776576">
          <w:pPr>
            <w:pStyle w:val="TOC2"/>
            <w:tabs>
              <w:tab w:val="right" w:leader="dot" w:pos="8630"/>
            </w:tabs>
            <w:spacing w:line="480" w:lineRule="auto"/>
            <w:rPr>
              <w:rFonts w:asciiTheme="minorHAnsi" w:eastAsiaTheme="minorEastAsia" w:hAnsiTheme="minorHAnsi" w:cstheme="minorBidi"/>
              <w:noProof/>
              <w:kern w:val="2"/>
              <w:lang w:val="pt-BR" w:eastAsia="pt-BR"/>
              <w14:ligatures w14:val="standardContextual"/>
            </w:rPr>
          </w:pPr>
          <w:hyperlink w:anchor="_Toc196315224" w:history="1">
            <w:r w:rsidRPr="00EF02FF">
              <w:rPr>
                <w:rStyle w:val="Hyperlink"/>
                <w:rFonts w:cs="Times New Roman"/>
                <w:noProof/>
              </w:rPr>
              <w:t>Plant growth promoting bacteria (PGPB)</w:t>
            </w:r>
            <w:r>
              <w:rPr>
                <w:noProof/>
                <w:webHidden/>
              </w:rPr>
              <w:tab/>
            </w:r>
            <w:r>
              <w:rPr>
                <w:noProof/>
                <w:webHidden/>
              </w:rPr>
              <w:fldChar w:fldCharType="begin"/>
            </w:r>
            <w:r>
              <w:rPr>
                <w:noProof/>
                <w:webHidden/>
              </w:rPr>
              <w:instrText xml:space="preserve"> PAGEREF _Toc196315224 \h </w:instrText>
            </w:r>
            <w:r>
              <w:rPr>
                <w:noProof/>
                <w:webHidden/>
              </w:rPr>
            </w:r>
            <w:r>
              <w:rPr>
                <w:noProof/>
                <w:webHidden/>
              </w:rPr>
              <w:fldChar w:fldCharType="separate"/>
            </w:r>
            <w:r w:rsidR="009D14DE">
              <w:rPr>
                <w:noProof/>
                <w:webHidden/>
              </w:rPr>
              <w:t>4</w:t>
            </w:r>
            <w:r>
              <w:rPr>
                <w:noProof/>
                <w:webHidden/>
              </w:rPr>
              <w:fldChar w:fldCharType="end"/>
            </w:r>
          </w:hyperlink>
        </w:p>
        <w:p w14:paraId="1F2B933B" w14:textId="773378FD" w:rsidR="0092712C" w:rsidRDefault="0092712C" w:rsidP="00776576">
          <w:pPr>
            <w:pStyle w:val="TOC1"/>
            <w:tabs>
              <w:tab w:val="right" w:leader="dot" w:pos="8630"/>
            </w:tabs>
            <w:spacing w:line="480" w:lineRule="auto"/>
            <w:rPr>
              <w:rFonts w:asciiTheme="minorHAnsi" w:eastAsiaTheme="minorEastAsia" w:hAnsiTheme="minorHAnsi" w:cstheme="minorBidi"/>
              <w:noProof/>
              <w:kern w:val="2"/>
              <w:lang w:val="pt-BR" w:eastAsia="pt-BR"/>
              <w14:ligatures w14:val="standardContextual"/>
            </w:rPr>
          </w:pPr>
          <w:hyperlink w:anchor="_Toc196315225" w:history="1">
            <w:r w:rsidRPr="00EF02FF">
              <w:rPr>
                <w:rStyle w:val="Hyperlink"/>
                <w:noProof/>
              </w:rPr>
              <w:t>C</w:t>
            </w:r>
            <w:r w:rsidR="00013026">
              <w:rPr>
                <w:rStyle w:val="Hyperlink"/>
                <w:noProof/>
              </w:rPr>
              <w:t>hapter</w:t>
            </w:r>
            <w:r w:rsidRPr="00EF02FF">
              <w:rPr>
                <w:rStyle w:val="Hyperlink"/>
                <w:noProof/>
              </w:rPr>
              <w:t xml:space="preserve"> 1 </w:t>
            </w:r>
            <w:r w:rsidRPr="00013026">
              <w:rPr>
                <w:rStyle w:val="Hyperlink"/>
                <w:noProof/>
              </w:rPr>
              <w:t>Azospirillum</w:t>
            </w:r>
            <w:r w:rsidRPr="00EF02FF">
              <w:rPr>
                <w:rStyle w:val="Hyperlink"/>
                <w:noProof/>
              </w:rPr>
              <w:t xml:space="preserve"> inoculation in bermudagrass under greenhouse conditions.</w:t>
            </w:r>
            <w:r>
              <w:rPr>
                <w:noProof/>
                <w:webHidden/>
              </w:rPr>
              <w:tab/>
            </w:r>
            <w:r>
              <w:rPr>
                <w:noProof/>
                <w:webHidden/>
              </w:rPr>
              <w:fldChar w:fldCharType="begin"/>
            </w:r>
            <w:r>
              <w:rPr>
                <w:noProof/>
                <w:webHidden/>
              </w:rPr>
              <w:instrText xml:space="preserve"> PAGEREF _Toc196315225 \h </w:instrText>
            </w:r>
            <w:r>
              <w:rPr>
                <w:noProof/>
                <w:webHidden/>
              </w:rPr>
            </w:r>
            <w:r>
              <w:rPr>
                <w:noProof/>
                <w:webHidden/>
              </w:rPr>
              <w:fldChar w:fldCharType="separate"/>
            </w:r>
            <w:r w:rsidR="009D14DE">
              <w:rPr>
                <w:noProof/>
                <w:webHidden/>
              </w:rPr>
              <w:t>8</w:t>
            </w:r>
            <w:r>
              <w:rPr>
                <w:noProof/>
                <w:webHidden/>
              </w:rPr>
              <w:fldChar w:fldCharType="end"/>
            </w:r>
          </w:hyperlink>
        </w:p>
        <w:p w14:paraId="65BBFD26" w14:textId="279E631E" w:rsidR="0092712C" w:rsidRDefault="0092712C" w:rsidP="00776576">
          <w:pPr>
            <w:pStyle w:val="TOC2"/>
            <w:tabs>
              <w:tab w:val="right" w:leader="dot" w:pos="8630"/>
            </w:tabs>
            <w:spacing w:line="480" w:lineRule="auto"/>
            <w:rPr>
              <w:rFonts w:asciiTheme="minorHAnsi" w:eastAsiaTheme="minorEastAsia" w:hAnsiTheme="minorHAnsi" w:cstheme="minorBidi"/>
              <w:noProof/>
              <w:kern w:val="2"/>
              <w:lang w:val="pt-BR" w:eastAsia="pt-BR"/>
              <w14:ligatures w14:val="standardContextual"/>
            </w:rPr>
          </w:pPr>
          <w:hyperlink w:anchor="_Toc196315226" w:history="1">
            <w:r w:rsidRPr="00EF02FF">
              <w:rPr>
                <w:rStyle w:val="Hyperlink"/>
                <w:rFonts w:cs="Times New Roman"/>
                <w:noProof/>
              </w:rPr>
              <w:t>Abstract</w:t>
            </w:r>
            <w:r>
              <w:rPr>
                <w:noProof/>
                <w:webHidden/>
              </w:rPr>
              <w:tab/>
            </w:r>
            <w:r>
              <w:rPr>
                <w:noProof/>
                <w:webHidden/>
              </w:rPr>
              <w:fldChar w:fldCharType="begin"/>
            </w:r>
            <w:r>
              <w:rPr>
                <w:noProof/>
                <w:webHidden/>
              </w:rPr>
              <w:instrText xml:space="preserve"> PAGEREF _Toc196315226 \h </w:instrText>
            </w:r>
            <w:r>
              <w:rPr>
                <w:noProof/>
                <w:webHidden/>
              </w:rPr>
            </w:r>
            <w:r>
              <w:rPr>
                <w:noProof/>
                <w:webHidden/>
              </w:rPr>
              <w:fldChar w:fldCharType="separate"/>
            </w:r>
            <w:r w:rsidR="009D14DE">
              <w:rPr>
                <w:noProof/>
                <w:webHidden/>
              </w:rPr>
              <w:t>9</w:t>
            </w:r>
            <w:r>
              <w:rPr>
                <w:noProof/>
                <w:webHidden/>
              </w:rPr>
              <w:fldChar w:fldCharType="end"/>
            </w:r>
          </w:hyperlink>
        </w:p>
        <w:p w14:paraId="77EB75EA" w14:textId="69078DB4" w:rsidR="0092712C" w:rsidRDefault="0092712C" w:rsidP="00776576">
          <w:pPr>
            <w:pStyle w:val="TOC2"/>
            <w:tabs>
              <w:tab w:val="right" w:leader="dot" w:pos="8630"/>
            </w:tabs>
            <w:spacing w:line="480" w:lineRule="auto"/>
            <w:rPr>
              <w:rFonts w:asciiTheme="minorHAnsi" w:eastAsiaTheme="minorEastAsia" w:hAnsiTheme="minorHAnsi" w:cstheme="minorBidi"/>
              <w:noProof/>
              <w:kern w:val="2"/>
              <w:lang w:val="pt-BR" w:eastAsia="pt-BR"/>
              <w14:ligatures w14:val="standardContextual"/>
            </w:rPr>
          </w:pPr>
          <w:hyperlink w:anchor="_Toc196315227" w:history="1">
            <w:r w:rsidRPr="00EF02FF">
              <w:rPr>
                <w:rStyle w:val="Hyperlink"/>
                <w:rFonts w:cs="Times New Roman"/>
                <w:noProof/>
              </w:rPr>
              <w:t>Introduction</w:t>
            </w:r>
            <w:r>
              <w:rPr>
                <w:noProof/>
                <w:webHidden/>
              </w:rPr>
              <w:tab/>
            </w:r>
            <w:r>
              <w:rPr>
                <w:noProof/>
                <w:webHidden/>
              </w:rPr>
              <w:fldChar w:fldCharType="begin"/>
            </w:r>
            <w:r>
              <w:rPr>
                <w:noProof/>
                <w:webHidden/>
              </w:rPr>
              <w:instrText xml:space="preserve"> PAGEREF _Toc196315227 \h </w:instrText>
            </w:r>
            <w:r>
              <w:rPr>
                <w:noProof/>
                <w:webHidden/>
              </w:rPr>
            </w:r>
            <w:r>
              <w:rPr>
                <w:noProof/>
                <w:webHidden/>
              </w:rPr>
              <w:fldChar w:fldCharType="separate"/>
            </w:r>
            <w:r w:rsidR="009D14DE">
              <w:rPr>
                <w:noProof/>
                <w:webHidden/>
              </w:rPr>
              <w:t>10</w:t>
            </w:r>
            <w:r>
              <w:rPr>
                <w:noProof/>
                <w:webHidden/>
              </w:rPr>
              <w:fldChar w:fldCharType="end"/>
            </w:r>
          </w:hyperlink>
        </w:p>
        <w:p w14:paraId="1F178D6B" w14:textId="22305638" w:rsidR="0092712C" w:rsidRDefault="0092712C" w:rsidP="00776576">
          <w:pPr>
            <w:pStyle w:val="TOC2"/>
            <w:tabs>
              <w:tab w:val="right" w:leader="dot" w:pos="8630"/>
            </w:tabs>
            <w:spacing w:line="480" w:lineRule="auto"/>
            <w:rPr>
              <w:rFonts w:asciiTheme="minorHAnsi" w:eastAsiaTheme="minorEastAsia" w:hAnsiTheme="minorHAnsi" w:cstheme="minorBidi"/>
              <w:noProof/>
              <w:kern w:val="2"/>
              <w:lang w:val="pt-BR" w:eastAsia="pt-BR"/>
              <w14:ligatures w14:val="standardContextual"/>
            </w:rPr>
          </w:pPr>
          <w:hyperlink w:anchor="_Toc196315228" w:history="1">
            <w:r w:rsidRPr="00EF02FF">
              <w:rPr>
                <w:rStyle w:val="Hyperlink"/>
                <w:noProof/>
              </w:rPr>
              <w:t>Materials and Methods</w:t>
            </w:r>
            <w:r>
              <w:rPr>
                <w:noProof/>
                <w:webHidden/>
              </w:rPr>
              <w:tab/>
            </w:r>
            <w:r>
              <w:rPr>
                <w:noProof/>
                <w:webHidden/>
              </w:rPr>
              <w:fldChar w:fldCharType="begin"/>
            </w:r>
            <w:r>
              <w:rPr>
                <w:noProof/>
                <w:webHidden/>
              </w:rPr>
              <w:instrText xml:space="preserve"> PAGEREF _Toc196315228 \h </w:instrText>
            </w:r>
            <w:r>
              <w:rPr>
                <w:noProof/>
                <w:webHidden/>
              </w:rPr>
            </w:r>
            <w:r>
              <w:rPr>
                <w:noProof/>
                <w:webHidden/>
              </w:rPr>
              <w:fldChar w:fldCharType="separate"/>
            </w:r>
            <w:r w:rsidR="009D14DE">
              <w:rPr>
                <w:noProof/>
                <w:webHidden/>
              </w:rPr>
              <w:t>11</w:t>
            </w:r>
            <w:r>
              <w:rPr>
                <w:noProof/>
                <w:webHidden/>
              </w:rPr>
              <w:fldChar w:fldCharType="end"/>
            </w:r>
          </w:hyperlink>
        </w:p>
        <w:p w14:paraId="6598FBA4" w14:textId="46495899" w:rsidR="0092712C" w:rsidRDefault="0092712C" w:rsidP="00776576">
          <w:pPr>
            <w:pStyle w:val="TOC3"/>
            <w:rPr>
              <w:rFonts w:asciiTheme="minorHAnsi" w:eastAsiaTheme="minorEastAsia" w:hAnsiTheme="minorHAnsi" w:cstheme="minorBidi"/>
              <w:b w:val="0"/>
              <w:bCs w:val="0"/>
              <w:i w:val="0"/>
              <w:kern w:val="2"/>
              <w:lang w:val="pt-BR" w:eastAsia="pt-BR"/>
              <w14:ligatures w14:val="standardContextual"/>
            </w:rPr>
          </w:pPr>
          <w:hyperlink w:anchor="_Toc196315229" w:history="1">
            <w:r w:rsidRPr="00EF02FF">
              <w:rPr>
                <w:rStyle w:val="Hyperlink"/>
              </w:rPr>
              <w:t>Experiment 1</w:t>
            </w:r>
            <w:r w:rsidRPr="00776576">
              <w:rPr>
                <w:b w:val="0"/>
                <w:bCs w:val="0"/>
                <w:i w:val="0"/>
                <w:iCs/>
                <w:webHidden/>
              </w:rPr>
              <w:tab/>
            </w:r>
            <w:r w:rsidRPr="00776576">
              <w:rPr>
                <w:b w:val="0"/>
                <w:bCs w:val="0"/>
                <w:i w:val="0"/>
                <w:iCs/>
                <w:webHidden/>
              </w:rPr>
              <w:fldChar w:fldCharType="begin"/>
            </w:r>
            <w:r w:rsidRPr="00776576">
              <w:rPr>
                <w:b w:val="0"/>
                <w:bCs w:val="0"/>
                <w:i w:val="0"/>
                <w:iCs/>
                <w:webHidden/>
              </w:rPr>
              <w:instrText xml:space="preserve"> PAGEREF _Toc196315229 \h </w:instrText>
            </w:r>
            <w:r w:rsidRPr="00776576">
              <w:rPr>
                <w:b w:val="0"/>
                <w:bCs w:val="0"/>
                <w:i w:val="0"/>
                <w:iCs/>
                <w:webHidden/>
              </w:rPr>
            </w:r>
            <w:r w:rsidRPr="00776576">
              <w:rPr>
                <w:b w:val="0"/>
                <w:bCs w:val="0"/>
                <w:i w:val="0"/>
                <w:iCs/>
                <w:webHidden/>
              </w:rPr>
              <w:fldChar w:fldCharType="separate"/>
            </w:r>
            <w:r w:rsidR="009D14DE" w:rsidRPr="00776576">
              <w:rPr>
                <w:b w:val="0"/>
                <w:bCs w:val="0"/>
                <w:i w:val="0"/>
                <w:iCs/>
                <w:webHidden/>
              </w:rPr>
              <w:t>11</w:t>
            </w:r>
            <w:r w:rsidRPr="00776576">
              <w:rPr>
                <w:b w:val="0"/>
                <w:bCs w:val="0"/>
                <w:i w:val="0"/>
                <w:iCs/>
                <w:webHidden/>
              </w:rPr>
              <w:fldChar w:fldCharType="end"/>
            </w:r>
          </w:hyperlink>
        </w:p>
        <w:p w14:paraId="38FA9E24" w14:textId="42AD757F" w:rsidR="0092712C" w:rsidRDefault="0092712C" w:rsidP="00776576">
          <w:pPr>
            <w:pStyle w:val="TOC3"/>
            <w:rPr>
              <w:rFonts w:asciiTheme="minorHAnsi" w:eastAsiaTheme="minorEastAsia" w:hAnsiTheme="minorHAnsi" w:cstheme="minorBidi"/>
              <w:b w:val="0"/>
              <w:bCs w:val="0"/>
              <w:i w:val="0"/>
              <w:kern w:val="2"/>
              <w:lang w:val="pt-BR" w:eastAsia="pt-BR"/>
              <w14:ligatures w14:val="standardContextual"/>
            </w:rPr>
          </w:pPr>
          <w:hyperlink w:anchor="_Toc196315230" w:history="1">
            <w:r w:rsidRPr="00EF02FF">
              <w:rPr>
                <w:rStyle w:val="Hyperlink"/>
              </w:rPr>
              <w:t>Experiment 2</w:t>
            </w:r>
            <w:r w:rsidRPr="00776576">
              <w:rPr>
                <w:b w:val="0"/>
                <w:bCs w:val="0"/>
                <w:i w:val="0"/>
                <w:iCs/>
                <w:webHidden/>
              </w:rPr>
              <w:tab/>
            </w:r>
            <w:r w:rsidRPr="00776576">
              <w:rPr>
                <w:b w:val="0"/>
                <w:bCs w:val="0"/>
                <w:i w:val="0"/>
                <w:iCs/>
                <w:webHidden/>
              </w:rPr>
              <w:fldChar w:fldCharType="begin"/>
            </w:r>
            <w:r w:rsidRPr="00776576">
              <w:rPr>
                <w:b w:val="0"/>
                <w:bCs w:val="0"/>
                <w:i w:val="0"/>
                <w:iCs/>
                <w:webHidden/>
              </w:rPr>
              <w:instrText xml:space="preserve"> PAGEREF _Toc196315230 \h </w:instrText>
            </w:r>
            <w:r w:rsidRPr="00776576">
              <w:rPr>
                <w:b w:val="0"/>
                <w:bCs w:val="0"/>
                <w:i w:val="0"/>
                <w:iCs/>
                <w:webHidden/>
              </w:rPr>
            </w:r>
            <w:r w:rsidRPr="00776576">
              <w:rPr>
                <w:b w:val="0"/>
                <w:bCs w:val="0"/>
                <w:i w:val="0"/>
                <w:iCs/>
                <w:webHidden/>
              </w:rPr>
              <w:fldChar w:fldCharType="separate"/>
            </w:r>
            <w:r w:rsidR="009D14DE" w:rsidRPr="00776576">
              <w:rPr>
                <w:b w:val="0"/>
                <w:bCs w:val="0"/>
                <w:i w:val="0"/>
                <w:iCs/>
                <w:webHidden/>
              </w:rPr>
              <w:t>12</w:t>
            </w:r>
            <w:r w:rsidRPr="00776576">
              <w:rPr>
                <w:b w:val="0"/>
                <w:bCs w:val="0"/>
                <w:i w:val="0"/>
                <w:iCs/>
                <w:webHidden/>
              </w:rPr>
              <w:fldChar w:fldCharType="end"/>
            </w:r>
          </w:hyperlink>
        </w:p>
        <w:p w14:paraId="0191A393" w14:textId="636EBD22" w:rsidR="0092712C" w:rsidRDefault="0092712C" w:rsidP="00776576">
          <w:pPr>
            <w:pStyle w:val="TOC3"/>
            <w:rPr>
              <w:rFonts w:asciiTheme="minorHAnsi" w:eastAsiaTheme="minorEastAsia" w:hAnsiTheme="minorHAnsi" w:cstheme="minorBidi"/>
              <w:b w:val="0"/>
              <w:bCs w:val="0"/>
              <w:i w:val="0"/>
              <w:kern w:val="2"/>
              <w:lang w:val="pt-BR" w:eastAsia="pt-BR"/>
              <w14:ligatures w14:val="standardContextual"/>
            </w:rPr>
          </w:pPr>
          <w:hyperlink w:anchor="_Toc196315231" w:history="1">
            <w:r w:rsidRPr="00EF02FF">
              <w:rPr>
                <w:rStyle w:val="Hyperlink"/>
              </w:rPr>
              <w:t>Statistical Analysis</w:t>
            </w:r>
            <w:r w:rsidRPr="00776576">
              <w:rPr>
                <w:b w:val="0"/>
                <w:bCs w:val="0"/>
                <w:i w:val="0"/>
                <w:iCs/>
                <w:webHidden/>
              </w:rPr>
              <w:tab/>
            </w:r>
            <w:r w:rsidRPr="00776576">
              <w:rPr>
                <w:b w:val="0"/>
                <w:bCs w:val="0"/>
                <w:i w:val="0"/>
                <w:iCs/>
                <w:webHidden/>
              </w:rPr>
              <w:fldChar w:fldCharType="begin"/>
            </w:r>
            <w:r w:rsidRPr="00776576">
              <w:rPr>
                <w:b w:val="0"/>
                <w:bCs w:val="0"/>
                <w:i w:val="0"/>
                <w:iCs/>
                <w:webHidden/>
              </w:rPr>
              <w:instrText xml:space="preserve"> PAGEREF _Toc196315231 \h </w:instrText>
            </w:r>
            <w:r w:rsidRPr="00776576">
              <w:rPr>
                <w:b w:val="0"/>
                <w:bCs w:val="0"/>
                <w:i w:val="0"/>
                <w:iCs/>
                <w:webHidden/>
              </w:rPr>
            </w:r>
            <w:r w:rsidRPr="00776576">
              <w:rPr>
                <w:b w:val="0"/>
                <w:bCs w:val="0"/>
                <w:i w:val="0"/>
                <w:iCs/>
                <w:webHidden/>
              </w:rPr>
              <w:fldChar w:fldCharType="separate"/>
            </w:r>
            <w:r w:rsidR="009D14DE" w:rsidRPr="00776576">
              <w:rPr>
                <w:b w:val="0"/>
                <w:bCs w:val="0"/>
                <w:i w:val="0"/>
                <w:iCs/>
                <w:webHidden/>
              </w:rPr>
              <w:t>13</w:t>
            </w:r>
            <w:r w:rsidRPr="00776576">
              <w:rPr>
                <w:b w:val="0"/>
                <w:bCs w:val="0"/>
                <w:i w:val="0"/>
                <w:iCs/>
                <w:webHidden/>
              </w:rPr>
              <w:fldChar w:fldCharType="end"/>
            </w:r>
          </w:hyperlink>
        </w:p>
        <w:p w14:paraId="4B3CDF5F" w14:textId="71ACF0B6" w:rsidR="0092712C" w:rsidRDefault="0092712C" w:rsidP="00776576">
          <w:pPr>
            <w:pStyle w:val="TOC2"/>
            <w:tabs>
              <w:tab w:val="right" w:leader="dot" w:pos="8630"/>
            </w:tabs>
            <w:spacing w:line="480" w:lineRule="auto"/>
            <w:rPr>
              <w:rFonts w:asciiTheme="minorHAnsi" w:eastAsiaTheme="minorEastAsia" w:hAnsiTheme="minorHAnsi" w:cstheme="minorBidi"/>
              <w:noProof/>
              <w:kern w:val="2"/>
              <w:lang w:val="pt-BR" w:eastAsia="pt-BR"/>
              <w14:ligatures w14:val="standardContextual"/>
            </w:rPr>
          </w:pPr>
          <w:hyperlink w:anchor="_Toc196315232" w:history="1">
            <w:r w:rsidRPr="00EF02FF">
              <w:rPr>
                <w:rStyle w:val="Hyperlink"/>
                <w:noProof/>
              </w:rPr>
              <w:t>Results</w:t>
            </w:r>
            <w:r>
              <w:rPr>
                <w:noProof/>
                <w:webHidden/>
              </w:rPr>
              <w:tab/>
            </w:r>
            <w:r>
              <w:rPr>
                <w:noProof/>
                <w:webHidden/>
              </w:rPr>
              <w:fldChar w:fldCharType="begin"/>
            </w:r>
            <w:r>
              <w:rPr>
                <w:noProof/>
                <w:webHidden/>
              </w:rPr>
              <w:instrText xml:space="preserve"> PAGEREF _Toc196315232 \h </w:instrText>
            </w:r>
            <w:r>
              <w:rPr>
                <w:noProof/>
                <w:webHidden/>
              </w:rPr>
            </w:r>
            <w:r>
              <w:rPr>
                <w:noProof/>
                <w:webHidden/>
              </w:rPr>
              <w:fldChar w:fldCharType="separate"/>
            </w:r>
            <w:r w:rsidR="009D14DE">
              <w:rPr>
                <w:noProof/>
                <w:webHidden/>
              </w:rPr>
              <w:t>14</w:t>
            </w:r>
            <w:r>
              <w:rPr>
                <w:noProof/>
                <w:webHidden/>
              </w:rPr>
              <w:fldChar w:fldCharType="end"/>
            </w:r>
          </w:hyperlink>
        </w:p>
        <w:p w14:paraId="7952165A" w14:textId="6E7657CC" w:rsidR="0092712C" w:rsidRDefault="0092712C" w:rsidP="00776576">
          <w:pPr>
            <w:pStyle w:val="TOC3"/>
            <w:rPr>
              <w:rFonts w:asciiTheme="minorHAnsi" w:eastAsiaTheme="minorEastAsia" w:hAnsiTheme="minorHAnsi" w:cstheme="minorBidi"/>
              <w:b w:val="0"/>
              <w:bCs w:val="0"/>
              <w:i w:val="0"/>
              <w:kern w:val="2"/>
              <w:lang w:val="pt-BR" w:eastAsia="pt-BR"/>
              <w14:ligatures w14:val="standardContextual"/>
            </w:rPr>
          </w:pPr>
          <w:hyperlink w:anchor="_Toc196315233" w:history="1">
            <w:r w:rsidRPr="00EF02FF">
              <w:rPr>
                <w:rStyle w:val="Hyperlink"/>
              </w:rPr>
              <w:t>Experiment 1</w:t>
            </w:r>
            <w:r w:rsidRPr="00776576">
              <w:rPr>
                <w:b w:val="0"/>
                <w:bCs w:val="0"/>
                <w:i w:val="0"/>
                <w:iCs/>
                <w:webHidden/>
              </w:rPr>
              <w:tab/>
            </w:r>
            <w:r w:rsidRPr="00776576">
              <w:rPr>
                <w:b w:val="0"/>
                <w:bCs w:val="0"/>
                <w:i w:val="0"/>
                <w:iCs/>
                <w:webHidden/>
              </w:rPr>
              <w:fldChar w:fldCharType="begin"/>
            </w:r>
            <w:r w:rsidRPr="00776576">
              <w:rPr>
                <w:b w:val="0"/>
                <w:bCs w:val="0"/>
                <w:i w:val="0"/>
                <w:iCs/>
                <w:webHidden/>
              </w:rPr>
              <w:instrText xml:space="preserve"> PAGEREF _Toc196315233 \h </w:instrText>
            </w:r>
            <w:r w:rsidRPr="00776576">
              <w:rPr>
                <w:b w:val="0"/>
                <w:bCs w:val="0"/>
                <w:i w:val="0"/>
                <w:iCs/>
                <w:webHidden/>
              </w:rPr>
            </w:r>
            <w:r w:rsidRPr="00776576">
              <w:rPr>
                <w:b w:val="0"/>
                <w:bCs w:val="0"/>
                <w:i w:val="0"/>
                <w:iCs/>
                <w:webHidden/>
              </w:rPr>
              <w:fldChar w:fldCharType="separate"/>
            </w:r>
            <w:r w:rsidR="009D14DE" w:rsidRPr="00776576">
              <w:rPr>
                <w:b w:val="0"/>
                <w:bCs w:val="0"/>
                <w:i w:val="0"/>
                <w:iCs/>
                <w:webHidden/>
              </w:rPr>
              <w:t>14</w:t>
            </w:r>
            <w:r w:rsidRPr="00776576">
              <w:rPr>
                <w:b w:val="0"/>
                <w:bCs w:val="0"/>
                <w:i w:val="0"/>
                <w:iCs/>
                <w:webHidden/>
              </w:rPr>
              <w:fldChar w:fldCharType="end"/>
            </w:r>
          </w:hyperlink>
        </w:p>
        <w:p w14:paraId="5D307401" w14:textId="6FC1B5A4" w:rsidR="0092712C" w:rsidRDefault="0092712C" w:rsidP="00776576">
          <w:pPr>
            <w:pStyle w:val="TOC3"/>
            <w:rPr>
              <w:rFonts w:asciiTheme="minorHAnsi" w:eastAsiaTheme="minorEastAsia" w:hAnsiTheme="minorHAnsi" w:cstheme="minorBidi"/>
              <w:b w:val="0"/>
              <w:bCs w:val="0"/>
              <w:i w:val="0"/>
              <w:kern w:val="2"/>
              <w:lang w:val="pt-BR" w:eastAsia="pt-BR"/>
              <w14:ligatures w14:val="standardContextual"/>
            </w:rPr>
          </w:pPr>
          <w:hyperlink w:anchor="_Toc196315234" w:history="1">
            <w:r w:rsidRPr="00EF02FF">
              <w:rPr>
                <w:rStyle w:val="Hyperlink"/>
              </w:rPr>
              <w:t>Shoot weight</w:t>
            </w:r>
            <w:r w:rsidRPr="00776576">
              <w:rPr>
                <w:b w:val="0"/>
                <w:bCs w:val="0"/>
                <w:i w:val="0"/>
                <w:iCs/>
                <w:webHidden/>
              </w:rPr>
              <w:tab/>
            </w:r>
            <w:r w:rsidRPr="00776576">
              <w:rPr>
                <w:b w:val="0"/>
                <w:bCs w:val="0"/>
                <w:i w:val="0"/>
                <w:iCs/>
                <w:webHidden/>
              </w:rPr>
              <w:fldChar w:fldCharType="begin"/>
            </w:r>
            <w:r w:rsidRPr="00776576">
              <w:rPr>
                <w:b w:val="0"/>
                <w:bCs w:val="0"/>
                <w:i w:val="0"/>
                <w:iCs/>
                <w:webHidden/>
              </w:rPr>
              <w:instrText xml:space="preserve"> PAGEREF _Toc196315234 \h </w:instrText>
            </w:r>
            <w:r w:rsidRPr="00776576">
              <w:rPr>
                <w:b w:val="0"/>
                <w:bCs w:val="0"/>
                <w:i w:val="0"/>
                <w:iCs/>
                <w:webHidden/>
              </w:rPr>
            </w:r>
            <w:r w:rsidRPr="00776576">
              <w:rPr>
                <w:b w:val="0"/>
                <w:bCs w:val="0"/>
                <w:i w:val="0"/>
                <w:iCs/>
                <w:webHidden/>
              </w:rPr>
              <w:fldChar w:fldCharType="separate"/>
            </w:r>
            <w:r w:rsidR="009D14DE" w:rsidRPr="00776576">
              <w:rPr>
                <w:b w:val="0"/>
                <w:bCs w:val="0"/>
                <w:i w:val="0"/>
                <w:iCs/>
                <w:webHidden/>
              </w:rPr>
              <w:t>14</w:t>
            </w:r>
            <w:r w:rsidRPr="00776576">
              <w:rPr>
                <w:b w:val="0"/>
                <w:bCs w:val="0"/>
                <w:i w:val="0"/>
                <w:iCs/>
                <w:webHidden/>
              </w:rPr>
              <w:fldChar w:fldCharType="end"/>
            </w:r>
          </w:hyperlink>
        </w:p>
        <w:p w14:paraId="26DF2734" w14:textId="59106654" w:rsidR="0092712C" w:rsidRDefault="0092712C" w:rsidP="00776576">
          <w:pPr>
            <w:pStyle w:val="TOC3"/>
            <w:rPr>
              <w:rFonts w:asciiTheme="minorHAnsi" w:eastAsiaTheme="minorEastAsia" w:hAnsiTheme="minorHAnsi" w:cstheme="minorBidi"/>
              <w:b w:val="0"/>
              <w:bCs w:val="0"/>
              <w:i w:val="0"/>
              <w:kern w:val="2"/>
              <w:lang w:val="pt-BR" w:eastAsia="pt-BR"/>
              <w14:ligatures w14:val="standardContextual"/>
            </w:rPr>
          </w:pPr>
          <w:hyperlink w:anchor="_Toc196315235" w:history="1">
            <w:r w:rsidRPr="00EF02FF">
              <w:rPr>
                <w:rStyle w:val="Hyperlink"/>
              </w:rPr>
              <w:t>Root weight</w:t>
            </w:r>
            <w:r w:rsidRPr="00776576">
              <w:rPr>
                <w:b w:val="0"/>
                <w:bCs w:val="0"/>
                <w:i w:val="0"/>
                <w:iCs/>
                <w:webHidden/>
              </w:rPr>
              <w:tab/>
            </w:r>
            <w:r w:rsidRPr="00776576">
              <w:rPr>
                <w:b w:val="0"/>
                <w:bCs w:val="0"/>
                <w:i w:val="0"/>
                <w:iCs/>
                <w:webHidden/>
              </w:rPr>
              <w:fldChar w:fldCharType="begin"/>
            </w:r>
            <w:r w:rsidRPr="00776576">
              <w:rPr>
                <w:b w:val="0"/>
                <w:bCs w:val="0"/>
                <w:i w:val="0"/>
                <w:iCs/>
                <w:webHidden/>
              </w:rPr>
              <w:instrText xml:space="preserve"> PAGEREF _Toc196315235 \h </w:instrText>
            </w:r>
            <w:r w:rsidRPr="00776576">
              <w:rPr>
                <w:b w:val="0"/>
                <w:bCs w:val="0"/>
                <w:i w:val="0"/>
                <w:iCs/>
                <w:webHidden/>
              </w:rPr>
            </w:r>
            <w:r w:rsidRPr="00776576">
              <w:rPr>
                <w:b w:val="0"/>
                <w:bCs w:val="0"/>
                <w:i w:val="0"/>
                <w:iCs/>
                <w:webHidden/>
              </w:rPr>
              <w:fldChar w:fldCharType="separate"/>
            </w:r>
            <w:r w:rsidR="009D14DE" w:rsidRPr="00776576">
              <w:rPr>
                <w:b w:val="0"/>
                <w:bCs w:val="0"/>
                <w:i w:val="0"/>
                <w:iCs/>
                <w:webHidden/>
              </w:rPr>
              <w:t>14</w:t>
            </w:r>
            <w:r w:rsidRPr="00776576">
              <w:rPr>
                <w:b w:val="0"/>
                <w:bCs w:val="0"/>
                <w:i w:val="0"/>
                <w:iCs/>
                <w:webHidden/>
              </w:rPr>
              <w:fldChar w:fldCharType="end"/>
            </w:r>
          </w:hyperlink>
        </w:p>
        <w:p w14:paraId="59EFAB63" w14:textId="608493EE" w:rsidR="0092712C" w:rsidRDefault="0092712C" w:rsidP="00776576">
          <w:pPr>
            <w:pStyle w:val="TOC3"/>
            <w:rPr>
              <w:rFonts w:asciiTheme="minorHAnsi" w:eastAsiaTheme="minorEastAsia" w:hAnsiTheme="minorHAnsi" w:cstheme="minorBidi"/>
              <w:b w:val="0"/>
              <w:bCs w:val="0"/>
              <w:i w:val="0"/>
              <w:kern w:val="2"/>
              <w:lang w:val="pt-BR" w:eastAsia="pt-BR"/>
              <w14:ligatures w14:val="standardContextual"/>
            </w:rPr>
          </w:pPr>
          <w:hyperlink w:anchor="_Toc196315236" w:history="1">
            <w:r w:rsidRPr="00EF02FF">
              <w:rPr>
                <w:rStyle w:val="Hyperlink"/>
              </w:rPr>
              <w:t>Shoot length</w:t>
            </w:r>
            <w:r w:rsidRPr="00776576">
              <w:rPr>
                <w:b w:val="0"/>
                <w:bCs w:val="0"/>
                <w:i w:val="0"/>
                <w:iCs/>
                <w:webHidden/>
              </w:rPr>
              <w:tab/>
            </w:r>
            <w:r w:rsidRPr="00776576">
              <w:rPr>
                <w:b w:val="0"/>
                <w:bCs w:val="0"/>
                <w:i w:val="0"/>
                <w:iCs/>
                <w:webHidden/>
              </w:rPr>
              <w:fldChar w:fldCharType="begin"/>
            </w:r>
            <w:r w:rsidRPr="00776576">
              <w:rPr>
                <w:b w:val="0"/>
                <w:bCs w:val="0"/>
                <w:i w:val="0"/>
                <w:iCs/>
                <w:webHidden/>
              </w:rPr>
              <w:instrText xml:space="preserve"> PAGEREF _Toc196315236 \h </w:instrText>
            </w:r>
            <w:r w:rsidRPr="00776576">
              <w:rPr>
                <w:b w:val="0"/>
                <w:bCs w:val="0"/>
                <w:i w:val="0"/>
                <w:iCs/>
                <w:webHidden/>
              </w:rPr>
            </w:r>
            <w:r w:rsidRPr="00776576">
              <w:rPr>
                <w:b w:val="0"/>
                <w:bCs w:val="0"/>
                <w:i w:val="0"/>
                <w:iCs/>
                <w:webHidden/>
              </w:rPr>
              <w:fldChar w:fldCharType="separate"/>
            </w:r>
            <w:r w:rsidR="009D14DE" w:rsidRPr="00776576">
              <w:rPr>
                <w:b w:val="0"/>
                <w:bCs w:val="0"/>
                <w:i w:val="0"/>
                <w:iCs/>
                <w:webHidden/>
              </w:rPr>
              <w:t>14</w:t>
            </w:r>
            <w:r w:rsidRPr="00776576">
              <w:rPr>
                <w:b w:val="0"/>
                <w:bCs w:val="0"/>
                <w:i w:val="0"/>
                <w:iCs/>
                <w:webHidden/>
              </w:rPr>
              <w:fldChar w:fldCharType="end"/>
            </w:r>
          </w:hyperlink>
        </w:p>
        <w:p w14:paraId="5A8EE954" w14:textId="094FC836" w:rsidR="0092712C" w:rsidRDefault="0092712C" w:rsidP="00776576">
          <w:pPr>
            <w:pStyle w:val="TOC3"/>
            <w:rPr>
              <w:rFonts w:asciiTheme="minorHAnsi" w:eastAsiaTheme="minorEastAsia" w:hAnsiTheme="minorHAnsi" w:cstheme="minorBidi"/>
              <w:b w:val="0"/>
              <w:bCs w:val="0"/>
              <w:i w:val="0"/>
              <w:kern w:val="2"/>
              <w:lang w:val="pt-BR" w:eastAsia="pt-BR"/>
              <w14:ligatures w14:val="standardContextual"/>
            </w:rPr>
          </w:pPr>
          <w:hyperlink w:anchor="_Toc196315237" w:history="1">
            <w:r w:rsidRPr="00EF02FF">
              <w:rPr>
                <w:rStyle w:val="Hyperlink"/>
              </w:rPr>
              <w:t>Number of tillers</w:t>
            </w:r>
            <w:r w:rsidRPr="00776576">
              <w:rPr>
                <w:b w:val="0"/>
                <w:bCs w:val="0"/>
                <w:i w:val="0"/>
                <w:iCs/>
                <w:webHidden/>
              </w:rPr>
              <w:tab/>
            </w:r>
            <w:r w:rsidRPr="00776576">
              <w:rPr>
                <w:b w:val="0"/>
                <w:bCs w:val="0"/>
                <w:i w:val="0"/>
                <w:iCs/>
                <w:webHidden/>
              </w:rPr>
              <w:fldChar w:fldCharType="begin"/>
            </w:r>
            <w:r w:rsidRPr="00776576">
              <w:rPr>
                <w:b w:val="0"/>
                <w:bCs w:val="0"/>
                <w:i w:val="0"/>
                <w:iCs/>
                <w:webHidden/>
              </w:rPr>
              <w:instrText xml:space="preserve"> PAGEREF _Toc196315237 \h </w:instrText>
            </w:r>
            <w:r w:rsidRPr="00776576">
              <w:rPr>
                <w:b w:val="0"/>
                <w:bCs w:val="0"/>
                <w:i w:val="0"/>
                <w:iCs/>
                <w:webHidden/>
              </w:rPr>
            </w:r>
            <w:r w:rsidRPr="00776576">
              <w:rPr>
                <w:b w:val="0"/>
                <w:bCs w:val="0"/>
                <w:i w:val="0"/>
                <w:iCs/>
                <w:webHidden/>
              </w:rPr>
              <w:fldChar w:fldCharType="separate"/>
            </w:r>
            <w:r w:rsidR="009D14DE" w:rsidRPr="00776576">
              <w:rPr>
                <w:b w:val="0"/>
                <w:bCs w:val="0"/>
                <w:i w:val="0"/>
                <w:iCs/>
                <w:webHidden/>
              </w:rPr>
              <w:t>14</w:t>
            </w:r>
            <w:r w:rsidRPr="00776576">
              <w:rPr>
                <w:b w:val="0"/>
                <w:bCs w:val="0"/>
                <w:i w:val="0"/>
                <w:iCs/>
                <w:webHidden/>
              </w:rPr>
              <w:fldChar w:fldCharType="end"/>
            </w:r>
          </w:hyperlink>
        </w:p>
        <w:p w14:paraId="379A18BA" w14:textId="76962B2E" w:rsidR="0092712C" w:rsidRDefault="0092712C" w:rsidP="00776576">
          <w:pPr>
            <w:pStyle w:val="TOC3"/>
            <w:rPr>
              <w:rFonts w:asciiTheme="minorHAnsi" w:eastAsiaTheme="minorEastAsia" w:hAnsiTheme="minorHAnsi" w:cstheme="minorBidi"/>
              <w:b w:val="0"/>
              <w:bCs w:val="0"/>
              <w:i w:val="0"/>
              <w:kern w:val="2"/>
              <w:lang w:val="pt-BR" w:eastAsia="pt-BR"/>
              <w14:ligatures w14:val="standardContextual"/>
            </w:rPr>
          </w:pPr>
          <w:hyperlink w:anchor="_Toc196315238" w:history="1">
            <w:r w:rsidRPr="00EF02FF">
              <w:rPr>
                <w:rStyle w:val="Hyperlink"/>
              </w:rPr>
              <w:t>Experiment 2</w:t>
            </w:r>
            <w:r w:rsidRPr="00776576">
              <w:rPr>
                <w:b w:val="0"/>
                <w:bCs w:val="0"/>
                <w:i w:val="0"/>
                <w:iCs/>
                <w:webHidden/>
              </w:rPr>
              <w:tab/>
            </w:r>
            <w:r w:rsidRPr="00776576">
              <w:rPr>
                <w:b w:val="0"/>
                <w:bCs w:val="0"/>
                <w:i w:val="0"/>
                <w:iCs/>
                <w:webHidden/>
              </w:rPr>
              <w:fldChar w:fldCharType="begin"/>
            </w:r>
            <w:r w:rsidRPr="00776576">
              <w:rPr>
                <w:b w:val="0"/>
                <w:bCs w:val="0"/>
                <w:i w:val="0"/>
                <w:iCs/>
                <w:webHidden/>
              </w:rPr>
              <w:instrText xml:space="preserve"> PAGEREF _Toc196315238 \h </w:instrText>
            </w:r>
            <w:r w:rsidRPr="00776576">
              <w:rPr>
                <w:b w:val="0"/>
                <w:bCs w:val="0"/>
                <w:i w:val="0"/>
                <w:iCs/>
                <w:webHidden/>
              </w:rPr>
            </w:r>
            <w:r w:rsidRPr="00776576">
              <w:rPr>
                <w:b w:val="0"/>
                <w:bCs w:val="0"/>
                <w:i w:val="0"/>
                <w:iCs/>
                <w:webHidden/>
              </w:rPr>
              <w:fldChar w:fldCharType="separate"/>
            </w:r>
            <w:r w:rsidR="009D14DE" w:rsidRPr="00776576">
              <w:rPr>
                <w:b w:val="0"/>
                <w:bCs w:val="0"/>
                <w:i w:val="0"/>
                <w:iCs/>
                <w:webHidden/>
              </w:rPr>
              <w:t>16</w:t>
            </w:r>
            <w:r w:rsidRPr="00776576">
              <w:rPr>
                <w:b w:val="0"/>
                <w:bCs w:val="0"/>
                <w:i w:val="0"/>
                <w:iCs/>
                <w:webHidden/>
              </w:rPr>
              <w:fldChar w:fldCharType="end"/>
            </w:r>
          </w:hyperlink>
        </w:p>
        <w:p w14:paraId="2DB36FEA" w14:textId="72F144E0" w:rsidR="0092712C" w:rsidRDefault="0092712C" w:rsidP="00776576">
          <w:pPr>
            <w:pStyle w:val="TOC3"/>
            <w:rPr>
              <w:rFonts w:asciiTheme="minorHAnsi" w:eastAsiaTheme="minorEastAsia" w:hAnsiTheme="minorHAnsi" w:cstheme="minorBidi"/>
              <w:b w:val="0"/>
              <w:bCs w:val="0"/>
              <w:i w:val="0"/>
              <w:kern w:val="2"/>
              <w:lang w:val="pt-BR" w:eastAsia="pt-BR"/>
              <w14:ligatures w14:val="standardContextual"/>
            </w:rPr>
          </w:pPr>
          <w:hyperlink w:anchor="_Toc196315239" w:history="1">
            <w:r w:rsidRPr="00EF02FF">
              <w:rPr>
                <w:rStyle w:val="Hyperlink"/>
              </w:rPr>
              <w:t>Shoot weight</w:t>
            </w:r>
            <w:r w:rsidRPr="00776576">
              <w:rPr>
                <w:b w:val="0"/>
                <w:bCs w:val="0"/>
                <w:i w:val="0"/>
                <w:iCs/>
                <w:webHidden/>
              </w:rPr>
              <w:tab/>
            </w:r>
            <w:r w:rsidRPr="00776576">
              <w:rPr>
                <w:b w:val="0"/>
                <w:bCs w:val="0"/>
                <w:i w:val="0"/>
                <w:iCs/>
                <w:webHidden/>
              </w:rPr>
              <w:fldChar w:fldCharType="begin"/>
            </w:r>
            <w:r w:rsidRPr="00776576">
              <w:rPr>
                <w:b w:val="0"/>
                <w:bCs w:val="0"/>
                <w:i w:val="0"/>
                <w:iCs/>
                <w:webHidden/>
              </w:rPr>
              <w:instrText xml:space="preserve"> PAGEREF _Toc196315239 \h </w:instrText>
            </w:r>
            <w:r w:rsidRPr="00776576">
              <w:rPr>
                <w:b w:val="0"/>
                <w:bCs w:val="0"/>
                <w:i w:val="0"/>
                <w:iCs/>
                <w:webHidden/>
              </w:rPr>
            </w:r>
            <w:r w:rsidRPr="00776576">
              <w:rPr>
                <w:b w:val="0"/>
                <w:bCs w:val="0"/>
                <w:i w:val="0"/>
                <w:iCs/>
                <w:webHidden/>
              </w:rPr>
              <w:fldChar w:fldCharType="separate"/>
            </w:r>
            <w:r w:rsidR="009D14DE" w:rsidRPr="00776576">
              <w:rPr>
                <w:b w:val="0"/>
                <w:bCs w:val="0"/>
                <w:i w:val="0"/>
                <w:iCs/>
                <w:webHidden/>
              </w:rPr>
              <w:t>16</w:t>
            </w:r>
            <w:r w:rsidRPr="00776576">
              <w:rPr>
                <w:b w:val="0"/>
                <w:bCs w:val="0"/>
                <w:i w:val="0"/>
                <w:iCs/>
                <w:webHidden/>
              </w:rPr>
              <w:fldChar w:fldCharType="end"/>
            </w:r>
          </w:hyperlink>
        </w:p>
        <w:p w14:paraId="57D91D67" w14:textId="7BD1F791" w:rsidR="0092712C" w:rsidRDefault="0092712C" w:rsidP="00776576">
          <w:pPr>
            <w:pStyle w:val="TOC3"/>
            <w:rPr>
              <w:rFonts w:asciiTheme="minorHAnsi" w:eastAsiaTheme="minorEastAsia" w:hAnsiTheme="minorHAnsi" w:cstheme="minorBidi"/>
              <w:b w:val="0"/>
              <w:bCs w:val="0"/>
              <w:i w:val="0"/>
              <w:kern w:val="2"/>
              <w:lang w:val="pt-BR" w:eastAsia="pt-BR"/>
              <w14:ligatures w14:val="standardContextual"/>
            </w:rPr>
          </w:pPr>
          <w:hyperlink w:anchor="_Toc196315240" w:history="1">
            <w:r w:rsidRPr="00EF02FF">
              <w:rPr>
                <w:rStyle w:val="Hyperlink"/>
              </w:rPr>
              <w:t>Root weight</w:t>
            </w:r>
            <w:r w:rsidRPr="00776576">
              <w:rPr>
                <w:b w:val="0"/>
                <w:bCs w:val="0"/>
                <w:i w:val="0"/>
                <w:iCs/>
                <w:webHidden/>
              </w:rPr>
              <w:tab/>
            </w:r>
            <w:r w:rsidRPr="00776576">
              <w:rPr>
                <w:b w:val="0"/>
                <w:bCs w:val="0"/>
                <w:i w:val="0"/>
                <w:iCs/>
                <w:webHidden/>
              </w:rPr>
              <w:fldChar w:fldCharType="begin"/>
            </w:r>
            <w:r w:rsidRPr="00776576">
              <w:rPr>
                <w:b w:val="0"/>
                <w:bCs w:val="0"/>
                <w:i w:val="0"/>
                <w:iCs/>
                <w:webHidden/>
              </w:rPr>
              <w:instrText xml:space="preserve"> PAGEREF _Toc196315240 \h </w:instrText>
            </w:r>
            <w:r w:rsidRPr="00776576">
              <w:rPr>
                <w:b w:val="0"/>
                <w:bCs w:val="0"/>
                <w:i w:val="0"/>
                <w:iCs/>
                <w:webHidden/>
              </w:rPr>
            </w:r>
            <w:r w:rsidRPr="00776576">
              <w:rPr>
                <w:b w:val="0"/>
                <w:bCs w:val="0"/>
                <w:i w:val="0"/>
                <w:iCs/>
                <w:webHidden/>
              </w:rPr>
              <w:fldChar w:fldCharType="separate"/>
            </w:r>
            <w:r w:rsidR="009D14DE" w:rsidRPr="00776576">
              <w:rPr>
                <w:b w:val="0"/>
                <w:bCs w:val="0"/>
                <w:i w:val="0"/>
                <w:iCs/>
                <w:webHidden/>
              </w:rPr>
              <w:t>16</w:t>
            </w:r>
            <w:r w:rsidRPr="00776576">
              <w:rPr>
                <w:b w:val="0"/>
                <w:bCs w:val="0"/>
                <w:i w:val="0"/>
                <w:iCs/>
                <w:webHidden/>
              </w:rPr>
              <w:fldChar w:fldCharType="end"/>
            </w:r>
          </w:hyperlink>
        </w:p>
        <w:p w14:paraId="3F49D781" w14:textId="20620426" w:rsidR="0092712C" w:rsidRDefault="0092712C" w:rsidP="00776576">
          <w:pPr>
            <w:pStyle w:val="TOC3"/>
            <w:rPr>
              <w:rFonts w:asciiTheme="minorHAnsi" w:eastAsiaTheme="minorEastAsia" w:hAnsiTheme="minorHAnsi" w:cstheme="minorBidi"/>
              <w:b w:val="0"/>
              <w:bCs w:val="0"/>
              <w:i w:val="0"/>
              <w:kern w:val="2"/>
              <w:lang w:val="pt-BR" w:eastAsia="pt-BR"/>
              <w14:ligatures w14:val="standardContextual"/>
            </w:rPr>
          </w:pPr>
          <w:hyperlink w:anchor="_Toc196315241" w:history="1">
            <w:r w:rsidRPr="00EF02FF">
              <w:rPr>
                <w:rStyle w:val="Hyperlink"/>
              </w:rPr>
              <w:t>Shoot length</w:t>
            </w:r>
            <w:r w:rsidRPr="00776576">
              <w:rPr>
                <w:b w:val="0"/>
                <w:bCs w:val="0"/>
                <w:i w:val="0"/>
                <w:iCs/>
                <w:webHidden/>
              </w:rPr>
              <w:tab/>
            </w:r>
            <w:r w:rsidRPr="00776576">
              <w:rPr>
                <w:b w:val="0"/>
                <w:bCs w:val="0"/>
                <w:i w:val="0"/>
                <w:iCs/>
                <w:webHidden/>
              </w:rPr>
              <w:fldChar w:fldCharType="begin"/>
            </w:r>
            <w:r w:rsidRPr="00776576">
              <w:rPr>
                <w:b w:val="0"/>
                <w:bCs w:val="0"/>
                <w:i w:val="0"/>
                <w:iCs/>
                <w:webHidden/>
              </w:rPr>
              <w:instrText xml:space="preserve"> PAGEREF _Toc196315241 \h </w:instrText>
            </w:r>
            <w:r w:rsidRPr="00776576">
              <w:rPr>
                <w:b w:val="0"/>
                <w:bCs w:val="0"/>
                <w:i w:val="0"/>
                <w:iCs/>
                <w:webHidden/>
              </w:rPr>
            </w:r>
            <w:r w:rsidRPr="00776576">
              <w:rPr>
                <w:b w:val="0"/>
                <w:bCs w:val="0"/>
                <w:i w:val="0"/>
                <w:iCs/>
                <w:webHidden/>
              </w:rPr>
              <w:fldChar w:fldCharType="separate"/>
            </w:r>
            <w:r w:rsidR="009D14DE" w:rsidRPr="00776576">
              <w:rPr>
                <w:b w:val="0"/>
                <w:bCs w:val="0"/>
                <w:i w:val="0"/>
                <w:iCs/>
                <w:webHidden/>
              </w:rPr>
              <w:t>16</w:t>
            </w:r>
            <w:r w:rsidRPr="00776576">
              <w:rPr>
                <w:b w:val="0"/>
                <w:bCs w:val="0"/>
                <w:i w:val="0"/>
                <w:iCs/>
                <w:webHidden/>
              </w:rPr>
              <w:fldChar w:fldCharType="end"/>
            </w:r>
          </w:hyperlink>
        </w:p>
        <w:p w14:paraId="0EDD3699" w14:textId="73C6F8A4" w:rsidR="0092712C" w:rsidRDefault="0092712C" w:rsidP="00776576">
          <w:pPr>
            <w:pStyle w:val="TOC3"/>
            <w:rPr>
              <w:rFonts w:asciiTheme="minorHAnsi" w:eastAsiaTheme="minorEastAsia" w:hAnsiTheme="minorHAnsi" w:cstheme="minorBidi"/>
              <w:b w:val="0"/>
              <w:bCs w:val="0"/>
              <w:i w:val="0"/>
              <w:kern w:val="2"/>
              <w:lang w:val="pt-BR" w:eastAsia="pt-BR"/>
              <w14:ligatures w14:val="standardContextual"/>
            </w:rPr>
          </w:pPr>
          <w:hyperlink w:anchor="_Toc196315242" w:history="1">
            <w:r w:rsidRPr="00EF02FF">
              <w:rPr>
                <w:rStyle w:val="Hyperlink"/>
              </w:rPr>
              <w:t>Root length</w:t>
            </w:r>
            <w:r w:rsidRPr="00776576">
              <w:rPr>
                <w:b w:val="0"/>
                <w:bCs w:val="0"/>
                <w:i w:val="0"/>
                <w:iCs/>
                <w:webHidden/>
              </w:rPr>
              <w:tab/>
            </w:r>
            <w:r w:rsidRPr="00776576">
              <w:rPr>
                <w:b w:val="0"/>
                <w:bCs w:val="0"/>
                <w:i w:val="0"/>
                <w:iCs/>
                <w:webHidden/>
              </w:rPr>
              <w:fldChar w:fldCharType="begin"/>
            </w:r>
            <w:r w:rsidRPr="00776576">
              <w:rPr>
                <w:b w:val="0"/>
                <w:bCs w:val="0"/>
                <w:i w:val="0"/>
                <w:iCs/>
                <w:webHidden/>
              </w:rPr>
              <w:instrText xml:space="preserve"> PAGEREF _Toc196315242 \h </w:instrText>
            </w:r>
            <w:r w:rsidRPr="00776576">
              <w:rPr>
                <w:b w:val="0"/>
                <w:bCs w:val="0"/>
                <w:i w:val="0"/>
                <w:iCs/>
                <w:webHidden/>
              </w:rPr>
            </w:r>
            <w:r w:rsidRPr="00776576">
              <w:rPr>
                <w:b w:val="0"/>
                <w:bCs w:val="0"/>
                <w:i w:val="0"/>
                <w:iCs/>
                <w:webHidden/>
              </w:rPr>
              <w:fldChar w:fldCharType="separate"/>
            </w:r>
            <w:r w:rsidR="009D14DE" w:rsidRPr="00776576">
              <w:rPr>
                <w:b w:val="0"/>
                <w:bCs w:val="0"/>
                <w:i w:val="0"/>
                <w:iCs/>
                <w:webHidden/>
              </w:rPr>
              <w:t>16</w:t>
            </w:r>
            <w:r w:rsidRPr="00776576">
              <w:rPr>
                <w:b w:val="0"/>
                <w:bCs w:val="0"/>
                <w:i w:val="0"/>
                <w:iCs/>
                <w:webHidden/>
              </w:rPr>
              <w:fldChar w:fldCharType="end"/>
            </w:r>
          </w:hyperlink>
        </w:p>
        <w:p w14:paraId="5784510A" w14:textId="5F642FDE" w:rsidR="0092712C" w:rsidRDefault="0092712C" w:rsidP="00776576">
          <w:pPr>
            <w:pStyle w:val="TOC3"/>
            <w:rPr>
              <w:rFonts w:asciiTheme="minorHAnsi" w:eastAsiaTheme="minorEastAsia" w:hAnsiTheme="minorHAnsi" w:cstheme="minorBidi"/>
              <w:b w:val="0"/>
              <w:bCs w:val="0"/>
              <w:i w:val="0"/>
              <w:kern w:val="2"/>
              <w:lang w:val="pt-BR" w:eastAsia="pt-BR"/>
              <w14:ligatures w14:val="standardContextual"/>
            </w:rPr>
          </w:pPr>
          <w:hyperlink w:anchor="_Toc196315243" w:history="1">
            <w:r w:rsidRPr="00EF02FF">
              <w:rPr>
                <w:rStyle w:val="Hyperlink"/>
              </w:rPr>
              <w:t>Number of tillers</w:t>
            </w:r>
            <w:r w:rsidRPr="00776576">
              <w:rPr>
                <w:b w:val="0"/>
                <w:bCs w:val="0"/>
                <w:i w:val="0"/>
                <w:iCs/>
                <w:webHidden/>
              </w:rPr>
              <w:tab/>
            </w:r>
            <w:r w:rsidRPr="00776576">
              <w:rPr>
                <w:b w:val="0"/>
                <w:bCs w:val="0"/>
                <w:i w:val="0"/>
                <w:iCs/>
                <w:webHidden/>
              </w:rPr>
              <w:fldChar w:fldCharType="begin"/>
            </w:r>
            <w:r w:rsidRPr="00776576">
              <w:rPr>
                <w:b w:val="0"/>
                <w:bCs w:val="0"/>
                <w:i w:val="0"/>
                <w:iCs/>
                <w:webHidden/>
              </w:rPr>
              <w:instrText xml:space="preserve"> PAGEREF _Toc196315243 \h </w:instrText>
            </w:r>
            <w:r w:rsidRPr="00776576">
              <w:rPr>
                <w:b w:val="0"/>
                <w:bCs w:val="0"/>
                <w:i w:val="0"/>
                <w:iCs/>
                <w:webHidden/>
              </w:rPr>
            </w:r>
            <w:r w:rsidRPr="00776576">
              <w:rPr>
                <w:b w:val="0"/>
                <w:bCs w:val="0"/>
                <w:i w:val="0"/>
                <w:iCs/>
                <w:webHidden/>
              </w:rPr>
              <w:fldChar w:fldCharType="separate"/>
            </w:r>
            <w:r w:rsidR="009D14DE" w:rsidRPr="00776576">
              <w:rPr>
                <w:b w:val="0"/>
                <w:bCs w:val="0"/>
                <w:i w:val="0"/>
                <w:iCs/>
                <w:webHidden/>
              </w:rPr>
              <w:t>16</w:t>
            </w:r>
            <w:r w:rsidRPr="00776576">
              <w:rPr>
                <w:b w:val="0"/>
                <w:bCs w:val="0"/>
                <w:i w:val="0"/>
                <w:iCs/>
                <w:webHidden/>
              </w:rPr>
              <w:fldChar w:fldCharType="end"/>
            </w:r>
          </w:hyperlink>
        </w:p>
        <w:p w14:paraId="0A25D516" w14:textId="43CC9642" w:rsidR="0092712C" w:rsidRDefault="0092712C" w:rsidP="00776576">
          <w:pPr>
            <w:pStyle w:val="TOC2"/>
            <w:tabs>
              <w:tab w:val="right" w:leader="dot" w:pos="8630"/>
            </w:tabs>
            <w:spacing w:line="480" w:lineRule="auto"/>
            <w:rPr>
              <w:rFonts w:asciiTheme="minorHAnsi" w:eastAsiaTheme="minorEastAsia" w:hAnsiTheme="minorHAnsi" w:cstheme="minorBidi"/>
              <w:noProof/>
              <w:kern w:val="2"/>
              <w:lang w:val="pt-BR" w:eastAsia="pt-BR"/>
              <w14:ligatures w14:val="standardContextual"/>
            </w:rPr>
          </w:pPr>
          <w:hyperlink w:anchor="_Toc196315244" w:history="1">
            <w:r w:rsidRPr="00EF02FF">
              <w:rPr>
                <w:rStyle w:val="Hyperlink"/>
                <w:noProof/>
              </w:rPr>
              <w:t>Discussion</w:t>
            </w:r>
            <w:r>
              <w:rPr>
                <w:noProof/>
                <w:webHidden/>
              </w:rPr>
              <w:tab/>
            </w:r>
            <w:r>
              <w:rPr>
                <w:noProof/>
                <w:webHidden/>
              </w:rPr>
              <w:fldChar w:fldCharType="begin"/>
            </w:r>
            <w:r>
              <w:rPr>
                <w:noProof/>
                <w:webHidden/>
              </w:rPr>
              <w:instrText xml:space="preserve"> PAGEREF _Toc196315244 \h </w:instrText>
            </w:r>
            <w:r>
              <w:rPr>
                <w:noProof/>
                <w:webHidden/>
              </w:rPr>
            </w:r>
            <w:r>
              <w:rPr>
                <w:noProof/>
                <w:webHidden/>
              </w:rPr>
              <w:fldChar w:fldCharType="separate"/>
            </w:r>
            <w:r w:rsidR="009D14DE">
              <w:rPr>
                <w:noProof/>
                <w:webHidden/>
              </w:rPr>
              <w:t>17</w:t>
            </w:r>
            <w:r>
              <w:rPr>
                <w:noProof/>
                <w:webHidden/>
              </w:rPr>
              <w:fldChar w:fldCharType="end"/>
            </w:r>
          </w:hyperlink>
        </w:p>
        <w:p w14:paraId="686C6868" w14:textId="0432A336" w:rsidR="0092712C" w:rsidRDefault="0092712C" w:rsidP="00776576">
          <w:pPr>
            <w:pStyle w:val="TOC3"/>
            <w:rPr>
              <w:rFonts w:asciiTheme="minorHAnsi" w:eastAsiaTheme="minorEastAsia" w:hAnsiTheme="minorHAnsi" w:cstheme="minorBidi"/>
              <w:b w:val="0"/>
              <w:bCs w:val="0"/>
              <w:i w:val="0"/>
              <w:kern w:val="2"/>
              <w:lang w:val="pt-BR" w:eastAsia="pt-BR"/>
              <w14:ligatures w14:val="standardContextual"/>
            </w:rPr>
          </w:pPr>
          <w:hyperlink w:anchor="_Toc196315245" w:history="1">
            <w:r w:rsidRPr="00EF02FF">
              <w:rPr>
                <w:rStyle w:val="Hyperlink"/>
              </w:rPr>
              <w:t>Experiment 1</w:t>
            </w:r>
            <w:r w:rsidRPr="00776576">
              <w:rPr>
                <w:b w:val="0"/>
                <w:bCs w:val="0"/>
                <w:i w:val="0"/>
                <w:iCs/>
                <w:webHidden/>
              </w:rPr>
              <w:tab/>
            </w:r>
            <w:r w:rsidRPr="00776576">
              <w:rPr>
                <w:b w:val="0"/>
                <w:bCs w:val="0"/>
                <w:i w:val="0"/>
                <w:iCs/>
                <w:webHidden/>
              </w:rPr>
              <w:fldChar w:fldCharType="begin"/>
            </w:r>
            <w:r w:rsidRPr="00776576">
              <w:rPr>
                <w:b w:val="0"/>
                <w:bCs w:val="0"/>
                <w:i w:val="0"/>
                <w:iCs/>
                <w:webHidden/>
              </w:rPr>
              <w:instrText xml:space="preserve"> PAGEREF _Toc196315245 \h </w:instrText>
            </w:r>
            <w:r w:rsidRPr="00776576">
              <w:rPr>
                <w:b w:val="0"/>
                <w:bCs w:val="0"/>
                <w:i w:val="0"/>
                <w:iCs/>
                <w:webHidden/>
              </w:rPr>
            </w:r>
            <w:r w:rsidRPr="00776576">
              <w:rPr>
                <w:b w:val="0"/>
                <w:bCs w:val="0"/>
                <w:i w:val="0"/>
                <w:iCs/>
                <w:webHidden/>
              </w:rPr>
              <w:fldChar w:fldCharType="separate"/>
            </w:r>
            <w:r w:rsidR="009D14DE" w:rsidRPr="00776576">
              <w:rPr>
                <w:b w:val="0"/>
                <w:bCs w:val="0"/>
                <w:i w:val="0"/>
                <w:iCs/>
                <w:webHidden/>
              </w:rPr>
              <w:t>18</w:t>
            </w:r>
            <w:r w:rsidRPr="00776576">
              <w:rPr>
                <w:b w:val="0"/>
                <w:bCs w:val="0"/>
                <w:i w:val="0"/>
                <w:iCs/>
                <w:webHidden/>
              </w:rPr>
              <w:fldChar w:fldCharType="end"/>
            </w:r>
          </w:hyperlink>
        </w:p>
        <w:p w14:paraId="21EE5F8F" w14:textId="5406F6CF" w:rsidR="0092712C" w:rsidRDefault="0092712C" w:rsidP="00776576">
          <w:pPr>
            <w:pStyle w:val="TOC3"/>
            <w:rPr>
              <w:rFonts w:asciiTheme="minorHAnsi" w:eastAsiaTheme="minorEastAsia" w:hAnsiTheme="minorHAnsi" w:cstheme="minorBidi"/>
              <w:b w:val="0"/>
              <w:bCs w:val="0"/>
              <w:i w:val="0"/>
              <w:kern w:val="2"/>
              <w:lang w:val="pt-BR" w:eastAsia="pt-BR"/>
              <w14:ligatures w14:val="standardContextual"/>
            </w:rPr>
          </w:pPr>
          <w:hyperlink w:anchor="_Toc196315246" w:history="1">
            <w:r w:rsidRPr="00EF02FF">
              <w:rPr>
                <w:rStyle w:val="Hyperlink"/>
              </w:rPr>
              <w:t>Experiment 2</w:t>
            </w:r>
            <w:r w:rsidRPr="00776576">
              <w:rPr>
                <w:b w:val="0"/>
                <w:bCs w:val="0"/>
                <w:i w:val="0"/>
                <w:iCs/>
                <w:webHidden/>
              </w:rPr>
              <w:tab/>
            </w:r>
            <w:r w:rsidRPr="00776576">
              <w:rPr>
                <w:b w:val="0"/>
                <w:bCs w:val="0"/>
                <w:i w:val="0"/>
                <w:iCs/>
                <w:webHidden/>
              </w:rPr>
              <w:fldChar w:fldCharType="begin"/>
            </w:r>
            <w:r w:rsidRPr="00776576">
              <w:rPr>
                <w:b w:val="0"/>
                <w:bCs w:val="0"/>
                <w:i w:val="0"/>
                <w:iCs/>
                <w:webHidden/>
              </w:rPr>
              <w:instrText xml:space="preserve"> PAGEREF _Toc196315246 \h </w:instrText>
            </w:r>
            <w:r w:rsidRPr="00776576">
              <w:rPr>
                <w:b w:val="0"/>
                <w:bCs w:val="0"/>
                <w:i w:val="0"/>
                <w:iCs/>
                <w:webHidden/>
              </w:rPr>
            </w:r>
            <w:r w:rsidRPr="00776576">
              <w:rPr>
                <w:b w:val="0"/>
                <w:bCs w:val="0"/>
                <w:i w:val="0"/>
                <w:iCs/>
                <w:webHidden/>
              </w:rPr>
              <w:fldChar w:fldCharType="separate"/>
            </w:r>
            <w:r w:rsidR="009D14DE" w:rsidRPr="00776576">
              <w:rPr>
                <w:b w:val="0"/>
                <w:bCs w:val="0"/>
                <w:i w:val="0"/>
                <w:iCs/>
                <w:webHidden/>
              </w:rPr>
              <w:t>19</w:t>
            </w:r>
            <w:r w:rsidRPr="00776576">
              <w:rPr>
                <w:b w:val="0"/>
                <w:bCs w:val="0"/>
                <w:i w:val="0"/>
                <w:iCs/>
                <w:webHidden/>
              </w:rPr>
              <w:fldChar w:fldCharType="end"/>
            </w:r>
          </w:hyperlink>
        </w:p>
        <w:p w14:paraId="50D4BB81" w14:textId="2840EB5C" w:rsidR="0092712C" w:rsidRDefault="0092712C" w:rsidP="00776576">
          <w:pPr>
            <w:pStyle w:val="TOC2"/>
            <w:tabs>
              <w:tab w:val="right" w:leader="dot" w:pos="8630"/>
            </w:tabs>
            <w:spacing w:line="480" w:lineRule="auto"/>
            <w:rPr>
              <w:rFonts w:asciiTheme="minorHAnsi" w:eastAsiaTheme="minorEastAsia" w:hAnsiTheme="minorHAnsi" w:cstheme="minorBidi"/>
              <w:noProof/>
              <w:kern w:val="2"/>
              <w:lang w:val="pt-BR" w:eastAsia="pt-BR"/>
              <w14:ligatures w14:val="standardContextual"/>
            </w:rPr>
          </w:pPr>
          <w:hyperlink w:anchor="_Toc196315247" w:history="1">
            <w:r w:rsidRPr="00EF02FF">
              <w:rPr>
                <w:rStyle w:val="Hyperlink"/>
                <w:noProof/>
              </w:rPr>
              <w:t>Conclusion</w:t>
            </w:r>
            <w:r>
              <w:rPr>
                <w:noProof/>
                <w:webHidden/>
              </w:rPr>
              <w:tab/>
            </w:r>
            <w:r>
              <w:rPr>
                <w:noProof/>
                <w:webHidden/>
              </w:rPr>
              <w:fldChar w:fldCharType="begin"/>
            </w:r>
            <w:r>
              <w:rPr>
                <w:noProof/>
                <w:webHidden/>
              </w:rPr>
              <w:instrText xml:space="preserve"> PAGEREF _Toc196315247 \h </w:instrText>
            </w:r>
            <w:r>
              <w:rPr>
                <w:noProof/>
                <w:webHidden/>
              </w:rPr>
            </w:r>
            <w:r>
              <w:rPr>
                <w:noProof/>
                <w:webHidden/>
              </w:rPr>
              <w:fldChar w:fldCharType="separate"/>
            </w:r>
            <w:r w:rsidR="009D14DE">
              <w:rPr>
                <w:noProof/>
                <w:webHidden/>
              </w:rPr>
              <w:t>19</w:t>
            </w:r>
            <w:r>
              <w:rPr>
                <w:noProof/>
                <w:webHidden/>
              </w:rPr>
              <w:fldChar w:fldCharType="end"/>
            </w:r>
          </w:hyperlink>
        </w:p>
        <w:p w14:paraId="0C2A1371" w14:textId="4564F666" w:rsidR="0092712C" w:rsidRDefault="0092712C" w:rsidP="00776576">
          <w:pPr>
            <w:pStyle w:val="TOC1"/>
            <w:tabs>
              <w:tab w:val="right" w:leader="dot" w:pos="8630"/>
            </w:tabs>
            <w:spacing w:line="480" w:lineRule="auto"/>
            <w:rPr>
              <w:rFonts w:asciiTheme="minorHAnsi" w:eastAsiaTheme="minorEastAsia" w:hAnsiTheme="minorHAnsi" w:cstheme="minorBidi"/>
              <w:noProof/>
              <w:kern w:val="2"/>
              <w:lang w:val="pt-BR" w:eastAsia="pt-BR"/>
              <w14:ligatures w14:val="standardContextual"/>
            </w:rPr>
          </w:pPr>
          <w:hyperlink w:anchor="_Toc196315248" w:history="1">
            <w:r w:rsidRPr="00EF02FF">
              <w:rPr>
                <w:rStyle w:val="Hyperlink"/>
                <w:noProof/>
              </w:rPr>
              <w:t>C</w:t>
            </w:r>
            <w:r w:rsidR="00013026">
              <w:rPr>
                <w:rStyle w:val="Hyperlink"/>
                <w:noProof/>
              </w:rPr>
              <w:t>hapter</w:t>
            </w:r>
            <w:r w:rsidRPr="00EF02FF">
              <w:rPr>
                <w:rStyle w:val="Hyperlink"/>
                <w:noProof/>
              </w:rPr>
              <w:t xml:space="preserve"> 2 I</w:t>
            </w:r>
            <w:r>
              <w:rPr>
                <w:rStyle w:val="Hyperlink"/>
                <w:noProof/>
              </w:rPr>
              <w:t>nclusion of pl</w:t>
            </w:r>
            <w:r w:rsidRPr="00EF02FF">
              <w:rPr>
                <w:rStyle w:val="Hyperlink"/>
                <w:noProof/>
              </w:rPr>
              <w:t xml:space="preserve">ant growth-promoting bacteria (PGPB) </w:t>
            </w:r>
            <w:r>
              <w:rPr>
                <w:rStyle w:val="Hyperlink"/>
                <w:noProof/>
              </w:rPr>
              <w:t>in bermudagrass fertility programs</w:t>
            </w:r>
            <w:r w:rsidRPr="00EF02FF">
              <w:rPr>
                <w:rStyle w:val="Hyperlink"/>
                <w:noProof/>
              </w:rPr>
              <w:t>.</w:t>
            </w:r>
            <w:r>
              <w:rPr>
                <w:noProof/>
                <w:webHidden/>
              </w:rPr>
              <w:tab/>
            </w:r>
            <w:r>
              <w:rPr>
                <w:noProof/>
                <w:webHidden/>
              </w:rPr>
              <w:fldChar w:fldCharType="begin"/>
            </w:r>
            <w:r>
              <w:rPr>
                <w:noProof/>
                <w:webHidden/>
              </w:rPr>
              <w:instrText xml:space="preserve"> PAGEREF _Toc196315248 \h </w:instrText>
            </w:r>
            <w:r>
              <w:rPr>
                <w:noProof/>
                <w:webHidden/>
              </w:rPr>
            </w:r>
            <w:r>
              <w:rPr>
                <w:noProof/>
                <w:webHidden/>
              </w:rPr>
              <w:fldChar w:fldCharType="separate"/>
            </w:r>
            <w:r w:rsidR="009D14DE">
              <w:rPr>
                <w:noProof/>
                <w:webHidden/>
              </w:rPr>
              <w:t>21</w:t>
            </w:r>
            <w:r>
              <w:rPr>
                <w:noProof/>
                <w:webHidden/>
              </w:rPr>
              <w:fldChar w:fldCharType="end"/>
            </w:r>
          </w:hyperlink>
        </w:p>
        <w:p w14:paraId="453885C8" w14:textId="331FAE4D" w:rsidR="0092712C" w:rsidRDefault="0092712C" w:rsidP="00776576">
          <w:pPr>
            <w:pStyle w:val="TOC2"/>
            <w:tabs>
              <w:tab w:val="right" w:leader="dot" w:pos="8630"/>
            </w:tabs>
            <w:spacing w:line="480" w:lineRule="auto"/>
            <w:rPr>
              <w:rFonts w:asciiTheme="minorHAnsi" w:eastAsiaTheme="minorEastAsia" w:hAnsiTheme="minorHAnsi" w:cstheme="minorBidi"/>
              <w:noProof/>
              <w:kern w:val="2"/>
              <w:lang w:val="pt-BR" w:eastAsia="pt-BR"/>
              <w14:ligatures w14:val="standardContextual"/>
            </w:rPr>
          </w:pPr>
          <w:hyperlink w:anchor="_Toc196315249" w:history="1">
            <w:r w:rsidRPr="00EF02FF">
              <w:rPr>
                <w:rStyle w:val="Hyperlink"/>
                <w:noProof/>
              </w:rPr>
              <w:t>Abstract</w:t>
            </w:r>
            <w:r>
              <w:rPr>
                <w:noProof/>
                <w:webHidden/>
              </w:rPr>
              <w:tab/>
            </w:r>
            <w:r>
              <w:rPr>
                <w:noProof/>
                <w:webHidden/>
              </w:rPr>
              <w:fldChar w:fldCharType="begin"/>
            </w:r>
            <w:r>
              <w:rPr>
                <w:noProof/>
                <w:webHidden/>
              </w:rPr>
              <w:instrText xml:space="preserve"> PAGEREF _Toc196315249 \h </w:instrText>
            </w:r>
            <w:r>
              <w:rPr>
                <w:noProof/>
                <w:webHidden/>
              </w:rPr>
            </w:r>
            <w:r>
              <w:rPr>
                <w:noProof/>
                <w:webHidden/>
              </w:rPr>
              <w:fldChar w:fldCharType="separate"/>
            </w:r>
            <w:r w:rsidR="009D14DE">
              <w:rPr>
                <w:noProof/>
                <w:webHidden/>
              </w:rPr>
              <w:t>22</w:t>
            </w:r>
            <w:r>
              <w:rPr>
                <w:noProof/>
                <w:webHidden/>
              </w:rPr>
              <w:fldChar w:fldCharType="end"/>
            </w:r>
          </w:hyperlink>
        </w:p>
        <w:p w14:paraId="2471182F" w14:textId="6A88784F" w:rsidR="0092712C" w:rsidRDefault="0092712C" w:rsidP="00776576">
          <w:pPr>
            <w:pStyle w:val="TOC2"/>
            <w:tabs>
              <w:tab w:val="right" w:leader="dot" w:pos="8630"/>
            </w:tabs>
            <w:spacing w:line="480" w:lineRule="auto"/>
            <w:rPr>
              <w:rFonts w:asciiTheme="minorHAnsi" w:eastAsiaTheme="minorEastAsia" w:hAnsiTheme="minorHAnsi" w:cstheme="minorBidi"/>
              <w:noProof/>
              <w:kern w:val="2"/>
              <w:lang w:val="pt-BR" w:eastAsia="pt-BR"/>
              <w14:ligatures w14:val="standardContextual"/>
            </w:rPr>
          </w:pPr>
          <w:hyperlink w:anchor="_Toc196315250" w:history="1">
            <w:r w:rsidRPr="00EF02FF">
              <w:rPr>
                <w:rStyle w:val="Hyperlink"/>
                <w:noProof/>
              </w:rPr>
              <w:t>Introduction</w:t>
            </w:r>
            <w:r>
              <w:rPr>
                <w:noProof/>
                <w:webHidden/>
              </w:rPr>
              <w:tab/>
            </w:r>
            <w:r>
              <w:rPr>
                <w:noProof/>
                <w:webHidden/>
              </w:rPr>
              <w:fldChar w:fldCharType="begin"/>
            </w:r>
            <w:r>
              <w:rPr>
                <w:noProof/>
                <w:webHidden/>
              </w:rPr>
              <w:instrText xml:space="preserve"> PAGEREF _Toc196315250 \h </w:instrText>
            </w:r>
            <w:r>
              <w:rPr>
                <w:noProof/>
                <w:webHidden/>
              </w:rPr>
            </w:r>
            <w:r>
              <w:rPr>
                <w:noProof/>
                <w:webHidden/>
              </w:rPr>
              <w:fldChar w:fldCharType="separate"/>
            </w:r>
            <w:r w:rsidR="009D14DE">
              <w:rPr>
                <w:noProof/>
                <w:webHidden/>
              </w:rPr>
              <w:t>23</w:t>
            </w:r>
            <w:r>
              <w:rPr>
                <w:noProof/>
                <w:webHidden/>
              </w:rPr>
              <w:fldChar w:fldCharType="end"/>
            </w:r>
          </w:hyperlink>
        </w:p>
        <w:p w14:paraId="21B98457" w14:textId="10EE0323" w:rsidR="0092712C" w:rsidRDefault="0092712C" w:rsidP="00776576">
          <w:pPr>
            <w:pStyle w:val="TOC2"/>
            <w:tabs>
              <w:tab w:val="right" w:leader="dot" w:pos="8630"/>
            </w:tabs>
            <w:spacing w:line="480" w:lineRule="auto"/>
            <w:rPr>
              <w:rFonts w:asciiTheme="minorHAnsi" w:eastAsiaTheme="minorEastAsia" w:hAnsiTheme="minorHAnsi" w:cstheme="minorBidi"/>
              <w:noProof/>
              <w:kern w:val="2"/>
              <w:lang w:val="pt-BR" w:eastAsia="pt-BR"/>
              <w14:ligatures w14:val="standardContextual"/>
            </w:rPr>
          </w:pPr>
          <w:hyperlink w:anchor="_Toc196315251" w:history="1">
            <w:r w:rsidRPr="00EF02FF">
              <w:rPr>
                <w:rStyle w:val="Hyperlink"/>
                <w:noProof/>
              </w:rPr>
              <w:t>Materials and Methods</w:t>
            </w:r>
            <w:r>
              <w:rPr>
                <w:noProof/>
                <w:webHidden/>
              </w:rPr>
              <w:tab/>
            </w:r>
            <w:r>
              <w:rPr>
                <w:noProof/>
                <w:webHidden/>
              </w:rPr>
              <w:fldChar w:fldCharType="begin"/>
            </w:r>
            <w:r>
              <w:rPr>
                <w:noProof/>
                <w:webHidden/>
              </w:rPr>
              <w:instrText xml:space="preserve"> PAGEREF _Toc196315251 \h </w:instrText>
            </w:r>
            <w:r>
              <w:rPr>
                <w:noProof/>
                <w:webHidden/>
              </w:rPr>
            </w:r>
            <w:r>
              <w:rPr>
                <w:noProof/>
                <w:webHidden/>
              </w:rPr>
              <w:fldChar w:fldCharType="separate"/>
            </w:r>
            <w:r w:rsidR="009D14DE">
              <w:rPr>
                <w:noProof/>
                <w:webHidden/>
              </w:rPr>
              <w:t>24</w:t>
            </w:r>
            <w:r>
              <w:rPr>
                <w:noProof/>
                <w:webHidden/>
              </w:rPr>
              <w:fldChar w:fldCharType="end"/>
            </w:r>
          </w:hyperlink>
        </w:p>
        <w:p w14:paraId="6516B919" w14:textId="5A4ED1F7" w:rsidR="0092712C" w:rsidRDefault="0092712C" w:rsidP="00776576">
          <w:pPr>
            <w:pStyle w:val="TOC3"/>
            <w:rPr>
              <w:rFonts w:asciiTheme="minorHAnsi" w:eastAsiaTheme="minorEastAsia" w:hAnsiTheme="minorHAnsi" w:cstheme="minorBidi"/>
              <w:b w:val="0"/>
              <w:bCs w:val="0"/>
              <w:i w:val="0"/>
              <w:kern w:val="2"/>
              <w:lang w:val="pt-BR" w:eastAsia="pt-BR"/>
              <w14:ligatures w14:val="standardContextual"/>
            </w:rPr>
          </w:pPr>
          <w:hyperlink w:anchor="_Toc196315252" w:history="1">
            <w:r w:rsidRPr="00EF02FF">
              <w:rPr>
                <w:rStyle w:val="Hyperlink"/>
              </w:rPr>
              <w:t>Site description</w:t>
            </w:r>
            <w:r w:rsidRPr="00776576">
              <w:rPr>
                <w:b w:val="0"/>
                <w:bCs w:val="0"/>
                <w:i w:val="0"/>
                <w:iCs/>
                <w:webHidden/>
              </w:rPr>
              <w:tab/>
            </w:r>
            <w:r w:rsidRPr="00776576">
              <w:rPr>
                <w:b w:val="0"/>
                <w:bCs w:val="0"/>
                <w:i w:val="0"/>
                <w:iCs/>
                <w:webHidden/>
              </w:rPr>
              <w:fldChar w:fldCharType="begin"/>
            </w:r>
            <w:r w:rsidRPr="00776576">
              <w:rPr>
                <w:b w:val="0"/>
                <w:bCs w:val="0"/>
                <w:i w:val="0"/>
                <w:iCs/>
                <w:webHidden/>
              </w:rPr>
              <w:instrText xml:space="preserve"> PAGEREF _Toc196315252 \h </w:instrText>
            </w:r>
            <w:r w:rsidRPr="00776576">
              <w:rPr>
                <w:b w:val="0"/>
                <w:bCs w:val="0"/>
                <w:i w:val="0"/>
                <w:iCs/>
                <w:webHidden/>
              </w:rPr>
            </w:r>
            <w:r w:rsidRPr="00776576">
              <w:rPr>
                <w:b w:val="0"/>
                <w:bCs w:val="0"/>
                <w:i w:val="0"/>
                <w:iCs/>
                <w:webHidden/>
              </w:rPr>
              <w:fldChar w:fldCharType="separate"/>
            </w:r>
            <w:r w:rsidR="009D14DE" w:rsidRPr="00776576">
              <w:rPr>
                <w:b w:val="0"/>
                <w:bCs w:val="0"/>
                <w:i w:val="0"/>
                <w:iCs/>
                <w:webHidden/>
              </w:rPr>
              <w:t>24</w:t>
            </w:r>
            <w:r w:rsidRPr="00776576">
              <w:rPr>
                <w:b w:val="0"/>
                <w:bCs w:val="0"/>
                <w:i w:val="0"/>
                <w:iCs/>
                <w:webHidden/>
              </w:rPr>
              <w:fldChar w:fldCharType="end"/>
            </w:r>
          </w:hyperlink>
        </w:p>
        <w:p w14:paraId="33C7D677" w14:textId="69993C15" w:rsidR="0092712C" w:rsidRDefault="0092712C" w:rsidP="00776576">
          <w:pPr>
            <w:pStyle w:val="TOC3"/>
            <w:rPr>
              <w:rFonts w:asciiTheme="minorHAnsi" w:eastAsiaTheme="minorEastAsia" w:hAnsiTheme="minorHAnsi" w:cstheme="minorBidi"/>
              <w:b w:val="0"/>
              <w:bCs w:val="0"/>
              <w:i w:val="0"/>
              <w:kern w:val="2"/>
              <w:lang w:val="pt-BR" w:eastAsia="pt-BR"/>
              <w14:ligatures w14:val="standardContextual"/>
            </w:rPr>
          </w:pPr>
          <w:hyperlink w:anchor="_Toc196315253" w:history="1">
            <w:r w:rsidRPr="00EF02FF">
              <w:rPr>
                <w:rStyle w:val="Hyperlink"/>
              </w:rPr>
              <w:t>Response variables</w:t>
            </w:r>
            <w:r w:rsidRPr="00776576">
              <w:rPr>
                <w:b w:val="0"/>
                <w:bCs w:val="0"/>
                <w:i w:val="0"/>
                <w:iCs/>
                <w:webHidden/>
              </w:rPr>
              <w:tab/>
            </w:r>
            <w:r w:rsidRPr="00776576">
              <w:rPr>
                <w:b w:val="0"/>
                <w:bCs w:val="0"/>
                <w:i w:val="0"/>
                <w:iCs/>
                <w:webHidden/>
              </w:rPr>
              <w:fldChar w:fldCharType="begin"/>
            </w:r>
            <w:r w:rsidRPr="00776576">
              <w:rPr>
                <w:b w:val="0"/>
                <w:bCs w:val="0"/>
                <w:i w:val="0"/>
                <w:iCs/>
                <w:webHidden/>
              </w:rPr>
              <w:instrText xml:space="preserve"> PAGEREF _Toc196315253 \h </w:instrText>
            </w:r>
            <w:r w:rsidRPr="00776576">
              <w:rPr>
                <w:b w:val="0"/>
                <w:bCs w:val="0"/>
                <w:i w:val="0"/>
                <w:iCs/>
                <w:webHidden/>
              </w:rPr>
            </w:r>
            <w:r w:rsidRPr="00776576">
              <w:rPr>
                <w:b w:val="0"/>
                <w:bCs w:val="0"/>
                <w:i w:val="0"/>
                <w:iCs/>
                <w:webHidden/>
              </w:rPr>
              <w:fldChar w:fldCharType="separate"/>
            </w:r>
            <w:r w:rsidR="009D14DE" w:rsidRPr="00776576">
              <w:rPr>
                <w:b w:val="0"/>
                <w:bCs w:val="0"/>
                <w:i w:val="0"/>
                <w:iCs/>
                <w:webHidden/>
              </w:rPr>
              <w:t>26</w:t>
            </w:r>
            <w:r w:rsidRPr="00776576">
              <w:rPr>
                <w:b w:val="0"/>
                <w:bCs w:val="0"/>
                <w:i w:val="0"/>
                <w:iCs/>
                <w:webHidden/>
              </w:rPr>
              <w:fldChar w:fldCharType="end"/>
            </w:r>
          </w:hyperlink>
        </w:p>
        <w:p w14:paraId="147B59AB" w14:textId="1F0864E5" w:rsidR="0092712C" w:rsidRDefault="0092712C" w:rsidP="00776576">
          <w:pPr>
            <w:pStyle w:val="TOC3"/>
            <w:rPr>
              <w:rFonts w:asciiTheme="minorHAnsi" w:eastAsiaTheme="minorEastAsia" w:hAnsiTheme="minorHAnsi" w:cstheme="minorBidi"/>
              <w:b w:val="0"/>
              <w:bCs w:val="0"/>
              <w:i w:val="0"/>
              <w:kern w:val="2"/>
              <w:lang w:val="pt-BR" w:eastAsia="pt-BR"/>
              <w14:ligatures w14:val="standardContextual"/>
            </w:rPr>
          </w:pPr>
          <w:hyperlink w:anchor="_Toc196315254" w:history="1">
            <w:r w:rsidRPr="00EF02FF">
              <w:rPr>
                <w:rStyle w:val="Hyperlink"/>
              </w:rPr>
              <w:t>Statistical Analysis</w:t>
            </w:r>
            <w:r w:rsidRPr="00776576">
              <w:rPr>
                <w:b w:val="0"/>
                <w:bCs w:val="0"/>
                <w:i w:val="0"/>
                <w:iCs/>
                <w:webHidden/>
              </w:rPr>
              <w:tab/>
            </w:r>
            <w:r w:rsidRPr="00776576">
              <w:rPr>
                <w:b w:val="0"/>
                <w:bCs w:val="0"/>
                <w:i w:val="0"/>
                <w:iCs/>
                <w:webHidden/>
              </w:rPr>
              <w:fldChar w:fldCharType="begin"/>
            </w:r>
            <w:r w:rsidRPr="00776576">
              <w:rPr>
                <w:b w:val="0"/>
                <w:bCs w:val="0"/>
                <w:i w:val="0"/>
                <w:iCs/>
                <w:webHidden/>
              </w:rPr>
              <w:instrText xml:space="preserve"> PAGEREF _Toc196315254 \h </w:instrText>
            </w:r>
            <w:r w:rsidRPr="00776576">
              <w:rPr>
                <w:b w:val="0"/>
                <w:bCs w:val="0"/>
                <w:i w:val="0"/>
                <w:iCs/>
                <w:webHidden/>
              </w:rPr>
            </w:r>
            <w:r w:rsidRPr="00776576">
              <w:rPr>
                <w:b w:val="0"/>
                <w:bCs w:val="0"/>
                <w:i w:val="0"/>
                <w:iCs/>
                <w:webHidden/>
              </w:rPr>
              <w:fldChar w:fldCharType="separate"/>
            </w:r>
            <w:r w:rsidR="009D14DE" w:rsidRPr="00776576">
              <w:rPr>
                <w:b w:val="0"/>
                <w:bCs w:val="0"/>
                <w:i w:val="0"/>
                <w:iCs/>
                <w:webHidden/>
              </w:rPr>
              <w:t>28</w:t>
            </w:r>
            <w:r w:rsidRPr="00776576">
              <w:rPr>
                <w:b w:val="0"/>
                <w:bCs w:val="0"/>
                <w:i w:val="0"/>
                <w:iCs/>
                <w:webHidden/>
              </w:rPr>
              <w:fldChar w:fldCharType="end"/>
            </w:r>
          </w:hyperlink>
        </w:p>
        <w:p w14:paraId="5B2B9EB4" w14:textId="2636D081" w:rsidR="0092712C" w:rsidRDefault="0092712C" w:rsidP="00776576">
          <w:pPr>
            <w:pStyle w:val="TOC2"/>
            <w:tabs>
              <w:tab w:val="right" w:leader="dot" w:pos="8630"/>
            </w:tabs>
            <w:spacing w:line="480" w:lineRule="auto"/>
            <w:rPr>
              <w:rFonts w:asciiTheme="minorHAnsi" w:eastAsiaTheme="minorEastAsia" w:hAnsiTheme="minorHAnsi" w:cstheme="minorBidi"/>
              <w:noProof/>
              <w:kern w:val="2"/>
              <w:lang w:val="pt-BR" w:eastAsia="pt-BR"/>
              <w14:ligatures w14:val="standardContextual"/>
            </w:rPr>
          </w:pPr>
          <w:hyperlink w:anchor="_Toc196315255" w:history="1">
            <w:r w:rsidRPr="00EF02FF">
              <w:rPr>
                <w:rStyle w:val="Hyperlink"/>
                <w:rFonts w:cs="Times New Roman"/>
                <w:noProof/>
              </w:rPr>
              <w:t>Results and Discussion</w:t>
            </w:r>
            <w:r>
              <w:rPr>
                <w:noProof/>
                <w:webHidden/>
              </w:rPr>
              <w:tab/>
            </w:r>
            <w:r>
              <w:rPr>
                <w:noProof/>
                <w:webHidden/>
              </w:rPr>
              <w:fldChar w:fldCharType="begin"/>
            </w:r>
            <w:r>
              <w:rPr>
                <w:noProof/>
                <w:webHidden/>
              </w:rPr>
              <w:instrText xml:space="preserve"> PAGEREF _Toc196315255 \h </w:instrText>
            </w:r>
            <w:r>
              <w:rPr>
                <w:noProof/>
                <w:webHidden/>
              </w:rPr>
            </w:r>
            <w:r>
              <w:rPr>
                <w:noProof/>
                <w:webHidden/>
              </w:rPr>
              <w:fldChar w:fldCharType="separate"/>
            </w:r>
            <w:r w:rsidR="009D14DE">
              <w:rPr>
                <w:noProof/>
                <w:webHidden/>
              </w:rPr>
              <w:t>28</w:t>
            </w:r>
            <w:r>
              <w:rPr>
                <w:noProof/>
                <w:webHidden/>
              </w:rPr>
              <w:fldChar w:fldCharType="end"/>
            </w:r>
          </w:hyperlink>
        </w:p>
        <w:p w14:paraId="33745853" w14:textId="61D358C4" w:rsidR="0092712C" w:rsidRDefault="0092712C" w:rsidP="00776576">
          <w:pPr>
            <w:pStyle w:val="TOC3"/>
            <w:rPr>
              <w:rFonts w:asciiTheme="minorHAnsi" w:eastAsiaTheme="minorEastAsia" w:hAnsiTheme="minorHAnsi" w:cstheme="minorBidi"/>
              <w:b w:val="0"/>
              <w:bCs w:val="0"/>
              <w:i w:val="0"/>
              <w:kern w:val="2"/>
              <w:lang w:val="pt-BR" w:eastAsia="pt-BR"/>
              <w14:ligatures w14:val="standardContextual"/>
            </w:rPr>
          </w:pPr>
          <w:hyperlink w:anchor="_Toc196315256" w:history="1">
            <w:r w:rsidRPr="00EF02FF">
              <w:rPr>
                <w:rStyle w:val="Hyperlink"/>
              </w:rPr>
              <w:t>Weather</w:t>
            </w:r>
            <w:r w:rsidRPr="00776576">
              <w:rPr>
                <w:b w:val="0"/>
                <w:bCs w:val="0"/>
                <w:i w:val="0"/>
                <w:iCs/>
                <w:webHidden/>
              </w:rPr>
              <w:tab/>
            </w:r>
            <w:r w:rsidRPr="00776576">
              <w:rPr>
                <w:b w:val="0"/>
                <w:bCs w:val="0"/>
                <w:i w:val="0"/>
                <w:iCs/>
                <w:webHidden/>
              </w:rPr>
              <w:fldChar w:fldCharType="begin"/>
            </w:r>
            <w:r w:rsidRPr="00776576">
              <w:rPr>
                <w:b w:val="0"/>
                <w:bCs w:val="0"/>
                <w:i w:val="0"/>
                <w:iCs/>
                <w:webHidden/>
              </w:rPr>
              <w:instrText xml:space="preserve"> PAGEREF _Toc196315256 \h </w:instrText>
            </w:r>
            <w:r w:rsidRPr="00776576">
              <w:rPr>
                <w:b w:val="0"/>
                <w:bCs w:val="0"/>
                <w:i w:val="0"/>
                <w:iCs/>
                <w:webHidden/>
              </w:rPr>
            </w:r>
            <w:r w:rsidRPr="00776576">
              <w:rPr>
                <w:b w:val="0"/>
                <w:bCs w:val="0"/>
                <w:i w:val="0"/>
                <w:iCs/>
                <w:webHidden/>
              </w:rPr>
              <w:fldChar w:fldCharType="separate"/>
            </w:r>
            <w:r w:rsidR="009D14DE" w:rsidRPr="00776576">
              <w:rPr>
                <w:b w:val="0"/>
                <w:bCs w:val="0"/>
                <w:i w:val="0"/>
                <w:iCs/>
                <w:webHidden/>
              </w:rPr>
              <w:t>28</w:t>
            </w:r>
            <w:r w:rsidRPr="00776576">
              <w:rPr>
                <w:b w:val="0"/>
                <w:bCs w:val="0"/>
                <w:i w:val="0"/>
                <w:iCs/>
                <w:webHidden/>
              </w:rPr>
              <w:fldChar w:fldCharType="end"/>
            </w:r>
          </w:hyperlink>
        </w:p>
        <w:p w14:paraId="116D4870" w14:textId="3C9266DE" w:rsidR="0092712C" w:rsidRDefault="0092712C" w:rsidP="00776576">
          <w:pPr>
            <w:pStyle w:val="TOC3"/>
            <w:rPr>
              <w:rFonts w:asciiTheme="minorHAnsi" w:eastAsiaTheme="minorEastAsia" w:hAnsiTheme="minorHAnsi" w:cstheme="minorBidi"/>
              <w:b w:val="0"/>
              <w:bCs w:val="0"/>
              <w:i w:val="0"/>
              <w:kern w:val="2"/>
              <w:lang w:val="pt-BR" w:eastAsia="pt-BR"/>
              <w14:ligatures w14:val="standardContextual"/>
            </w:rPr>
          </w:pPr>
          <w:hyperlink w:anchor="_Toc196315257" w:history="1">
            <w:r w:rsidRPr="00EF02FF">
              <w:rPr>
                <w:rStyle w:val="Hyperlink"/>
              </w:rPr>
              <w:t>Average Forage mass</w:t>
            </w:r>
            <w:r w:rsidRPr="00776576">
              <w:rPr>
                <w:b w:val="0"/>
                <w:bCs w:val="0"/>
                <w:i w:val="0"/>
                <w:iCs/>
                <w:webHidden/>
              </w:rPr>
              <w:tab/>
            </w:r>
            <w:r w:rsidRPr="00776576">
              <w:rPr>
                <w:b w:val="0"/>
                <w:bCs w:val="0"/>
                <w:i w:val="0"/>
                <w:iCs/>
                <w:webHidden/>
              </w:rPr>
              <w:fldChar w:fldCharType="begin"/>
            </w:r>
            <w:r w:rsidRPr="00776576">
              <w:rPr>
                <w:b w:val="0"/>
                <w:bCs w:val="0"/>
                <w:i w:val="0"/>
                <w:iCs/>
                <w:webHidden/>
              </w:rPr>
              <w:instrText xml:space="preserve"> PAGEREF _Toc196315257 \h </w:instrText>
            </w:r>
            <w:r w:rsidRPr="00776576">
              <w:rPr>
                <w:b w:val="0"/>
                <w:bCs w:val="0"/>
                <w:i w:val="0"/>
                <w:iCs/>
                <w:webHidden/>
              </w:rPr>
            </w:r>
            <w:r w:rsidRPr="00776576">
              <w:rPr>
                <w:b w:val="0"/>
                <w:bCs w:val="0"/>
                <w:i w:val="0"/>
                <w:iCs/>
                <w:webHidden/>
              </w:rPr>
              <w:fldChar w:fldCharType="separate"/>
            </w:r>
            <w:r w:rsidR="009D14DE" w:rsidRPr="00776576">
              <w:rPr>
                <w:b w:val="0"/>
                <w:bCs w:val="0"/>
                <w:i w:val="0"/>
                <w:iCs/>
                <w:webHidden/>
              </w:rPr>
              <w:t>29</w:t>
            </w:r>
            <w:r w:rsidRPr="00776576">
              <w:rPr>
                <w:b w:val="0"/>
                <w:bCs w:val="0"/>
                <w:i w:val="0"/>
                <w:iCs/>
                <w:webHidden/>
              </w:rPr>
              <w:fldChar w:fldCharType="end"/>
            </w:r>
          </w:hyperlink>
        </w:p>
        <w:p w14:paraId="2880B3D3" w14:textId="1083755F" w:rsidR="0092712C" w:rsidRDefault="0092712C" w:rsidP="00776576">
          <w:pPr>
            <w:pStyle w:val="TOC3"/>
            <w:rPr>
              <w:rFonts w:asciiTheme="minorHAnsi" w:eastAsiaTheme="minorEastAsia" w:hAnsiTheme="minorHAnsi" w:cstheme="minorBidi"/>
              <w:b w:val="0"/>
              <w:bCs w:val="0"/>
              <w:i w:val="0"/>
              <w:kern w:val="2"/>
              <w:lang w:val="pt-BR" w:eastAsia="pt-BR"/>
              <w14:ligatures w14:val="standardContextual"/>
            </w:rPr>
          </w:pPr>
          <w:hyperlink w:anchor="_Toc196315258" w:history="1">
            <w:r w:rsidRPr="00EF02FF">
              <w:rPr>
                <w:rStyle w:val="Hyperlink"/>
              </w:rPr>
              <w:t>Forage accumulation</w:t>
            </w:r>
            <w:r w:rsidRPr="00776576">
              <w:rPr>
                <w:b w:val="0"/>
                <w:bCs w:val="0"/>
                <w:i w:val="0"/>
                <w:iCs/>
                <w:webHidden/>
              </w:rPr>
              <w:tab/>
            </w:r>
            <w:r w:rsidRPr="00776576">
              <w:rPr>
                <w:b w:val="0"/>
                <w:bCs w:val="0"/>
                <w:i w:val="0"/>
                <w:iCs/>
                <w:webHidden/>
              </w:rPr>
              <w:fldChar w:fldCharType="begin"/>
            </w:r>
            <w:r w:rsidRPr="00776576">
              <w:rPr>
                <w:b w:val="0"/>
                <w:bCs w:val="0"/>
                <w:i w:val="0"/>
                <w:iCs/>
                <w:webHidden/>
              </w:rPr>
              <w:instrText xml:space="preserve"> PAGEREF _Toc196315258 \h </w:instrText>
            </w:r>
            <w:r w:rsidRPr="00776576">
              <w:rPr>
                <w:b w:val="0"/>
                <w:bCs w:val="0"/>
                <w:i w:val="0"/>
                <w:iCs/>
                <w:webHidden/>
              </w:rPr>
            </w:r>
            <w:r w:rsidRPr="00776576">
              <w:rPr>
                <w:b w:val="0"/>
                <w:bCs w:val="0"/>
                <w:i w:val="0"/>
                <w:iCs/>
                <w:webHidden/>
              </w:rPr>
              <w:fldChar w:fldCharType="separate"/>
            </w:r>
            <w:r w:rsidR="009D14DE" w:rsidRPr="00776576">
              <w:rPr>
                <w:b w:val="0"/>
                <w:bCs w:val="0"/>
                <w:i w:val="0"/>
                <w:iCs/>
                <w:webHidden/>
              </w:rPr>
              <w:t>34</w:t>
            </w:r>
            <w:r w:rsidRPr="00776576">
              <w:rPr>
                <w:b w:val="0"/>
                <w:bCs w:val="0"/>
                <w:i w:val="0"/>
                <w:iCs/>
                <w:webHidden/>
              </w:rPr>
              <w:fldChar w:fldCharType="end"/>
            </w:r>
          </w:hyperlink>
        </w:p>
        <w:p w14:paraId="6C7F75E6" w14:textId="4429FEC7" w:rsidR="0092712C" w:rsidRDefault="0092712C" w:rsidP="00776576">
          <w:pPr>
            <w:pStyle w:val="TOC3"/>
            <w:rPr>
              <w:rFonts w:asciiTheme="minorHAnsi" w:eastAsiaTheme="minorEastAsia" w:hAnsiTheme="minorHAnsi" w:cstheme="minorBidi"/>
              <w:b w:val="0"/>
              <w:bCs w:val="0"/>
              <w:i w:val="0"/>
              <w:kern w:val="2"/>
              <w:lang w:val="pt-BR" w:eastAsia="pt-BR"/>
              <w14:ligatures w14:val="standardContextual"/>
            </w:rPr>
          </w:pPr>
          <w:hyperlink w:anchor="_Toc196315259" w:history="1">
            <w:r w:rsidRPr="00EF02FF">
              <w:rPr>
                <w:rStyle w:val="Hyperlink"/>
              </w:rPr>
              <w:t>Morphological and Botanical Composition</w:t>
            </w:r>
            <w:r w:rsidRPr="00776576">
              <w:rPr>
                <w:b w:val="0"/>
                <w:bCs w:val="0"/>
                <w:i w:val="0"/>
                <w:iCs/>
                <w:webHidden/>
              </w:rPr>
              <w:tab/>
            </w:r>
            <w:r w:rsidRPr="00776576">
              <w:rPr>
                <w:b w:val="0"/>
                <w:bCs w:val="0"/>
                <w:i w:val="0"/>
                <w:iCs/>
                <w:webHidden/>
              </w:rPr>
              <w:fldChar w:fldCharType="begin"/>
            </w:r>
            <w:r w:rsidRPr="00776576">
              <w:rPr>
                <w:b w:val="0"/>
                <w:bCs w:val="0"/>
                <w:i w:val="0"/>
                <w:iCs/>
                <w:webHidden/>
              </w:rPr>
              <w:instrText xml:space="preserve"> PAGEREF _Toc196315259 \h </w:instrText>
            </w:r>
            <w:r w:rsidRPr="00776576">
              <w:rPr>
                <w:b w:val="0"/>
                <w:bCs w:val="0"/>
                <w:i w:val="0"/>
                <w:iCs/>
                <w:webHidden/>
              </w:rPr>
            </w:r>
            <w:r w:rsidRPr="00776576">
              <w:rPr>
                <w:b w:val="0"/>
                <w:bCs w:val="0"/>
                <w:i w:val="0"/>
                <w:iCs/>
                <w:webHidden/>
              </w:rPr>
              <w:fldChar w:fldCharType="separate"/>
            </w:r>
            <w:r w:rsidR="009D14DE" w:rsidRPr="00776576">
              <w:rPr>
                <w:b w:val="0"/>
                <w:bCs w:val="0"/>
                <w:i w:val="0"/>
                <w:iCs/>
                <w:webHidden/>
              </w:rPr>
              <w:t>36</w:t>
            </w:r>
            <w:r w:rsidRPr="00776576">
              <w:rPr>
                <w:b w:val="0"/>
                <w:bCs w:val="0"/>
                <w:i w:val="0"/>
                <w:iCs/>
                <w:webHidden/>
              </w:rPr>
              <w:fldChar w:fldCharType="end"/>
            </w:r>
          </w:hyperlink>
        </w:p>
        <w:p w14:paraId="70DAE6FF" w14:textId="58A11C9D" w:rsidR="0092712C" w:rsidRDefault="0092712C" w:rsidP="00776576">
          <w:pPr>
            <w:pStyle w:val="TOC3"/>
            <w:rPr>
              <w:rFonts w:asciiTheme="minorHAnsi" w:eastAsiaTheme="minorEastAsia" w:hAnsiTheme="minorHAnsi" w:cstheme="minorBidi"/>
              <w:b w:val="0"/>
              <w:bCs w:val="0"/>
              <w:i w:val="0"/>
              <w:kern w:val="2"/>
              <w:lang w:val="pt-BR" w:eastAsia="pt-BR"/>
              <w14:ligatures w14:val="standardContextual"/>
            </w:rPr>
          </w:pPr>
          <w:hyperlink w:anchor="_Toc196315260" w:history="1">
            <w:r w:rsidRPr="00EF02FF">
              <w:rPr>
                <w:rStyle w:val="Hyperlink"/>
              </w:rPr>
              <w:t>Nutritive Value</w:t>
            </w:r>
            <w:r w:rsidRPr="00776576">
              <w:rPr>
                <w:b w:val="0"/>
                <w:bCs w:val="0"/>
                <w:i w:val="0"/>
                <w:iCs/>
                <w:webHidden/>
              </w:rPr>
              <w:tab/>
            </w:r>
            <w:r w:rsidRPr="00776576">
              <w:rPr>
                <w:b w:val="0"/>
                <w:bCs w:val="0"/>
                <w:i w:val="0"/>
                <w:iCs/>
                <w:webHidden/>
              </w:rPr>
              <w:fldChar w:fldCharType="begin"/>
            </w:r>
            <w:r w:rsidRPr="00776576">
              <w:rPr>
                <w:b w:val="0"/>
                <w:bCs w:val="0"/>
                <w:i w:val="0"/>
                <w:iCs/>
                <w:webHidden/>
              </w:rPr>
              <w:instrText xml:space="preserve"> PAGEREF _Toc196315260 \h </w:instrText>
            </w:r>
            <w:r w:rsidRPr="00776576">
              <w:rPr>
                <w:b w:val="0"/>
                <w:bCs w:val="0"/>
                <w:i w:val="0"/>
                <w:iCs/>
                <w:webHidden/>
              </w:rPr>
            </w:r>
            <w:r w:rsidRPr="00776576">
              <w:rPr>
                <w:b w:val="0"/>
                <w:bCs w:val="0"/>
                <w:i w:val="0"/>
                <w:iCs/>
                <w:webHidden/>
              </w:rPr>
              <w:fldChar w:fldCharType="separate"/>
            </w:r>
            <w:r w:rsidR="009D14DE" w:rsidRPr="00776576">
              <w:rPr>
                <w:b w:val="0"/>
                <w:bCs w:val="0"/>
                <w:i w:val="0"/>
                <w:iCs/>
                <w:webHidden/>
              </w:rPr>
              <w:t>36</w:t>
            </w:r>
            <w:r w:rsidRPr="00776576">
              <w:rPr>
                <w:b w:val="0"/>
                <w:bCs w:val="0"/>
                <w:i w:val="0"/>
                <w:iCs/>
                <w:webHidden/>
              </w:rPr>
              <w:fldChar w:fldCharType="end"/>
            </w:r>
          </w:hyperlink>
        </w:p>
        <w:p w14:paraId="18DCBAF4" w14:textId="4CF23AF7" w:rsidR="0092712C" w:rsidRDefault="0092712C" w:rsidP="00776576">
          <w:pPr>
            <w:pStyle w:val="TOC3"/>
            <w:rPr>
              <w:rFonts w:asciiTheme="minorHAnsi" w:eastAsiaTheme="minorEastAsia" w:hAnsiTheme="minorHAnsi" w:cstheme="minorBidi"/>
              <w:b w:val="0"/>
              <w:bCs w:val="0"/>
              <w:i w:val="0"/>
              <w:kern w:val="2"/>
              <w:lang w:val="pt-BR" w:eastAsia="pt-BR"/>
              <w14:ligatures w14:val="standardContextual"/>
            </w:rPr>
          </w:pPr>
          <w:hyperlink w:anchor="_Toc196315261" w:history="1">
            <w:r w:rsidRPr="00EF02FF">
              <w:rPr>
                <w:rStyle w:val="Hyperlink"/>
              </w:rPr>
              <w:t>Nutritive Value</w:t>
            </w:r>
            <w:r w:rsidRPr="00776576">
              <w:rPr>
                <w:b w:val="0"/>
                <w:bCs w:val="0"/>
                <w:i w:val="0"/>
                <w:iCs/>
                <w:webHidden/>
              </w:rPr>
              <w:tab/>
            </w:r>
            <w:r w:rsidRPr="00776576">
              <w:rPr>
                <w:b w:val="0"/>
                <w:bCs w:val="0"/>
                <w:i w:val="0"/>
                <w:iCs/>
                <w:webHidden/>
              </w:rPr>
              <w:fldChar w:fldCharType="begin"/>
            </w:r>
            <w:r w:rsidRPr="00776576">
              <w:rPr>
                <w:b w:val="0"/>
                <w:bCs w:val="0"/>
                <w:i w:val="0"/>
                <w:iCs/>
                <w:webHidden/>
              </w:rPr>
              <w:instrText xml:space="preserve"> PAGEREF _Toc196315261 \h </w:instrText>
            </w:r>
            <w:r w:rsidRPr="00776576">
              <w:rPr>
                <w:b w:val="0"/>
                <w:bCs w:val="0"/>
                <w:i w:val="0"/>
                <w:iCs/>
                <w:webHidden/>
              </w:rPr>
            </w:r>
            <w:r w:rsidRPr="00776576">
              <w:rPr>
                <w:b w:val="0"/>
                <w:bCs w:val="0"/>
                <w:i w:val="0"/>
                <w:iCs/>
                <w:webHidden/>
              </w:rPr>
              <w:fldChar w:fldCharType="separate"/>
            </w:r>
            <w:r w:rsidR="009D14DE" w:rsidRPr="00776576">
              <w:rPr>
                <w:b w:val="0"/>
                <w:bCs w:val="0"/>
                <w:i w:val="0"/>
                <w:iCs/>
                <w:webHidden/>
              </w:rPr>
              <w:t>38</w:t>
            </w:r>
            <w:r w:rsidRPr="00776576">
              <w:rPr>
                <w:b w:val="0"/>
                <w:bCs w:val="0"/>
                <w:i w:val="0"/>
                <w:iCs/>
                <w:webHidden/>
              </w:rPr>
              <w:fldChar w:fldCharType="end"/>
            </w:r>
          </w:hyperlink>
        </w:p>
        <w:p w14:paraId="66FCCEEC" w14:textId="6829648B" w:rsidR="0092712C" w:rsidRDefault="0092712C" w:rsidP="00776576">
          <w:pPr>
            <w:pStyle w:val="TOC3"/>
            <w:rPr>
              <w:rFonts w:asciiTheme="minorHAnsi" w:eastAsiaTheme="minorEastAsia" w:hAnsiTheme="minorHAnsi" w:cstheme="minorBidi"/>
              <w:b w:val="0"/>
              <w:bCs w:val="0"/>
              <w:i w:val="0"/>
              <w:kern w:val="2"/>
              <w:lang w:val="pt-BR" w:eastAsia="pt-BR"/>
              <w14:ligatures w14:val="standardContextual"/>
            </w:rPr>
          </w:pPr>
          <w:hyperlink w:anchor="_Toc196315262" w:history="1">
            <w:r w:rsidRPr="00EF02FF">
              <w:rPr>
                <w:rStyle w:val="Hyperlink"/>
              </w:rPr>
              <w:t>Leaf gas exchange</w:t>
            </w:r>
            <w:r w:rsidRPr="00776576">
              <w:rPr>
                <w:b w:val="0"/>
                <w:bCs w:val="0"/>
                <w:i w:val="0"/>
                <w:iCs/>
                <w:webHidden/>
              </w:rPr>
              <w:tab/>
            </w:r>
            <w:r w:rsidRPr="00776576">
              <w:rPr>
                <w:b w:val="0"/>
                <w:bCs w:val="0"/>
                <w:i w:val="0"/>
                <w:iCs/>
                <w:webHidden/>
              </w:rPr>
              <w:fldChar w:fldCharType="begin"/>
            </w:r>
            <w:r w:rsidRPr="00776576">
              <w:rPr>
                <w:b w:val="0"/>
                <w:bCs w:val="0"/>
                <w:i w:val="0"/>
                <w:iCs/>
                <w:webHidden/>
              </w:rPr>
              <w:instrText xml:space="preserve"> PAGEREF _Toc196315262 \h </w:instrText>
            </w:r>
            <w:r w:rsidRPr="00776576">
              <w:rPr>
                <w:b w:val="0"/>
                <w:bCs w:val="0"/>
                <w:i w:val="0"/>
                <w:iCs/>
                <w:webHidden/>
              </w:rPr>
            </w:r>
            <w:r w:rsidRPr="00776576">
              <w:rPr>
                <w:b w:val="0"/>
                <w:bCs w:val="0"/>
                <w:i w:val="0"/>
                <w:iCs/>
                <w:webHidden/>
              </w:rPr>
              <w:fldChar w:fldCharType="separate"/>
            </w:r>
            <w:r w:rsidR="009D14DE" w:rsidRPr="00776576">
              <w:rPr>
                <w:b w:val="0"/>
                <w:bCs w:val="0"/>
                <w:i w:val="0"/>
                <w:iCs/>
                <w:webHidden/>
              </w:rPr>
              <w:t>45</w:t>
            </w:r>
            <w:r w:rsidRPr="00776576">
              <w:rPr>
                <w:b w:val="0"/>
                <w:bCs w:val="0"/>
                <w:i w:val="0"/>
                <w:iCs/>
                <w:webHidden/>
              </w:rPr>
              <w:fldChar w:fldCharType="end"/>
            </w:r>
          </w:hyperlink>
        </w:p>
        <w:p w14:paraId="0B9B1AFD" w14:textId="6F5CCB46" w:rsidR="0092712C" w:rsidRDefault="0092712C" w:rsidP="00776576">
          <w:pPr>
            <w:pStyle w:val="TOC2"/>
            <w:tabs>
              <w:tab w:val="right" w:leader="dot" w:pos="8630"/>
            </w:tabs>
            <w:spacing w:line="480" w:lineRule="auto"/>
            <w:rPr>
              <w:rFonts w:asciiTheme="minorHAnsi" w:eastAsiaTheme="minorEastAsia" w:hAnsiTheme="minorHAnsi" w:cstheme="minorBidi"/>
              <w:noProof/>
              <w:kern w:val="2"/>
              <w:lang w:val="pt-BR" w:eastAsia="pt-BR"/>
              <w14:ligatures w14:val="standardContextual"/>
            </w:rPr>
          </w:pPr>
          <w:hyperlink w:anchor="_Toc196315263" w:history="1">
            <w:r w:rsidRPr="00EF02FF">
              <w:rPr>
                <w:rStyle w:val="Hyperlink"/>
                <w:rFonts w:cs="Times New Roman"/>
                <w:noProof/>
              </w:rPr>
              <w:t>Conclusion</w:t>
            </w:r>
            <w:r>
              <w:rPr>
                <w:noProof/>
                <w:webHidden/>
              </w:rPr>
              <w:tab/>
            </w:r>
            <w:r>
              <w:rPr>
                <w:noProof/>
                <w:webHidden/>
              </w:rPr>
              <w:fldChar w:fldCharType="begin"/>
            </w:r>
            <w:r>
              <w:rPr>
                <w:noProof/>
                <w:webHidden/>
              </w:rPr>
              <w:instrText xml:space="preserve"> PAGEREF _Toc196315263 \h </w:instrText>
            </w:r>
            <w:r>
              <w:rPr>
                <w:noProof/>
                <w:webHidden/>
              </w:rPr>
            </w:r>
            <w:r>
              <w:rPr>
                <w:noProof/>
                <w:webHidden/>
              </w:rPr>
              <w:fldChar w:fldCharType="separate"/>
            </w:r>
            <w:r w:rsidR="009D14DE">
              <w:rPr>
                <w:noProof/>
                <w:webHidden/>
              </w:rPr>
              <w:t>49</w:t>
            </w:r>
            <w:r>
              <w:rPr>
                <w:noProof/>
                <w:webHidden/>
              </w:rPr>
              <w:fldChar w:fldCharType="end"/>
            </w:r>
          </w:hyperlink>
        </w:p>
        <w:p w14:paraId="58671AEC" w14:textId="54D95153" w:rsidR="0092712C" w:rsidRDefault="0092712C" w:rsidP="00776576">
          <w:pPr>
            <w:pStyle w:val="TOC1"/>
            <w:tabs>
              <w:tab w:val="right" w:leader="dot" w:pos="8630"/>
            </w:tabs>
            <w:spacing w:line="480" w:lineRule="auto"/>
            <w:rPr>
              <w:rFonts w:asciiTheme="minorHAnsi" w:eastAsiaTheme="minorEastAsia" w:hAnsiTheme="minorHAnsi" w:cstheme="minorBidi"/>
              <w:noProof/>
              <w:kern w:val="2"/>
              <w:lang w:val="pt-BR" w:eastAsia="pt-BR"/>
              <w14:ligatures w14:val="standardContextual"/>
            </w:rPr>
          </w:pPr>
          <w:hyperlink w:anchor="_Toc196315264" w:history="1">
            <w:r w:rsidRPr="00EF02FF">
              <w:rPr>
                <w:rStyle w:val="Hyperlink"/>
                <w:noProof/>
              </w:rPr>
              <w:t>R</w:t>
            </w:r>
            <w:r w:rsidR="00013026">
              <w:rPr>
                <w:rStyle w:val="Hyperlink"/>
                <w:noProof/>
              </w:rPr>
              <w:t>eferences</w:t>
            </w:r>
            <w:r>
              <w:rPr>
                <w:noProof/>
                <w:webHidden/>
              </w:rPr>
              <w:tab/>
            </w:r>
            <w:r>
              <w:rPr>
                <w:noProof/>
                <w:webHidden/>
              </w:rPr>
              <w:fldChar w:fldCharType="begin"/>
            </w:r>
            <w:r>
              <w:rPr>
                <w:noProof/>
                <w:webHidden/>
              </w:rPr>
              <w:instrText xml:space="preserve"> PAGEREF _Toc196315264 \h </w:instrText>
            </w:r>
            <w:r>
              <w:rPr>
                <w:noProof/>
                <w:webHidden/>
              </w:rPr>
            </w:r>
            <w:r>
              <w:rPr>
                <w:noProof/>
                <w:webHidden/>
              </w:rPr>
              <w:fldChar w:fldCharType="separate"/>
            </w:r>
            <w:r w:rsidR="009D14DE">
              <w:rPr>
                <w:noProof/>
                <w:webHidden/>
              </w:rPr>
              <w:t>50</w:t>
            </w:r>
            <w:r>
              <w:rPr>
                <w:noProof/>
                <w:webHidden/>
              </w:rPr>
              <w:fldChar w:fldCharType="end"/>
            </w:r>
          </w:hyperlink>
        </w:p>
        <w:p w14:paraId="0680C6B9" w14:textId="363AF6B1" w:rsidR="0092712C" w:rsidRDefault="0092712C" w:rsidP="00776576">
          <w:pPr>
            <w:pStyle w:val="TOC2"/>
            <w:tabs>
              <w:tab w:val="right" w:leader="dot" w:pos="8630"/>
            </w:tabs>
            <w:spacing w:line="480" w:lineRule="auto"/>
            <w:rPr>
              <w:rFonts w:asciiTheme="minorHAnsi" w:eastAsiaTheme="minorEastAsia" w:hAnsiTheme="minorHAnsi" w:cstheme="minorBidi"/>
              <w:noProof/>
              <w:kern w:val="2"/>
              <w:lang w:val="pt-BR" w:eastAsia="pt-BR"/>
              <w14:ligatures w14:val="standardContextual"/>
            </w:rPr>
          </w:pPr>
          <w:hyperlink w:anchor="_Toc196315265" w:history="1">
            <w:r w:rsidRPr="00EF02FF">
              <w:rPr>
                <w:rStyle w:val="Hyperlink"/>
                <w:rFonts w:cs="Times New Roman"/>
                <w:noProof/>
              </w:rPr>
              <w:t>A</w:t>
            </w:r>
            <w:r w:rsidR="00013026">
              <w:rPr>
                <w:rStyle w:val="Hyperlink"/>
                <w:rFonts w:cs="Times New Roman"/>
                <w:noProof/>
              </w:rPr>
              <w:t>ppendix</w:t>
            </w:r>
            <w:r>
              <w:rPr>
                <w:noProof/>
                <w:webHidden/>
              </w:rPr>
              <w:tab/>
            </w:r>
            <w:r>
              <w:rPr>
                <w:noProof/>
                <w:webHidden/>
              </w:rPr>
              <w:fldChar w:fldCharType="begin"/>
            </w:r>
            <w:r>
              <w:rPr>
                <w:noProof/>
                <w:webHidden/>
              </w:rPr>
              <w:instrText xml:space="preserve"> PAGEREF _Toc196315265 \h </w:instrText>
            </w:r>
            <w:r>
              <w:rPr>
                <w:noProof/>
                <w:webHidden/>
              </w:rPr>
            </w:r>
            <w:r>
              <w:rPr>
                <w:noProof/>
                <w:webHidden/>
              </w:rPr>
              <w:fldChar w:fldCharType="separate"/>
            </w:r>
            <w:r w:rsidR="009D14DE">
              <w:rPr>
                <w:noProof/>
                <w:webHidden/>
              </w:rPr>
              <w:t>61</w:t>
            </w:r>
            <w:r>
              <w:rPr>
                <w:noProof/>
                <w:webHidden/>
              </w:rPr>
              <w:fldChar w:fldCharType="end"/>
            </w:r>
          </w:hyperlink>
        </w:p>
        <w:p w14:paraId="15546BC5" w14:textId="74EE2F3E" w:rsidR="0092712C" w:rsidRDefault="00013026" w:rsidP="00776576">
          <w:pPr>
            <w:pStyle w:val="TOC1"/>
            <w:tabs>
              <w:tab w:val="right" w:leader="dot" w:pos="8630"/>
            </w:tabs>
            <w:spacing w:line="480" w:lineRule="auto"/>
            <w:rPr>
              <w:rFonts w:asciiTheme="minorHAnsi" w:eastAsiaTheme="minorEastAsia" w:hAnsiTheme="minorHAnsi" w:cstheme="minorBidi"/>
              <w:noProof/>
              <w:kern w:val="2"/>
              <w:lang w:val="pt-BR" w:eastAsia="pt-BR"/>
              <w14:ligatures w14:val="standardContextual"/>
            </w:rPr>
          </w:pPr>
          <w:hyperlink w:anchor="_Toc196315266" w:history="1">
            <w:r>
              <w:rPr>
                <w:rStyle w:val="Hyperlink"/>
                <w:noProof/>
              </w:rPr>
              <w:t>C</w:t>
            </w:r>
            <w:r w:rsidR="0092712C" w:rsidRPr="00EF02FF">
              <w:rPr>
                <w:rStyle w:val="Hyperlink"/>
                <w:noProof/>
              </w:rPr>
              <w:t>onclusion</w:t>
            </w:r>
            <w:r w:rsidR="0092712C">
              <w:rPr>
                <w:noProof/>
                <w:webHidden/>
              </w:rPr>
              <w:tab/>
            </w:r>
            <w:r w:rsidR="0092712C">
              <w:rPr>
                <w:noProof/>
                <w:webHidden/>
              </w:rPr>
              <w:fldChar w:fldCharType="begin"/>
            </w:r>
            <w:r w:rsidR="0092712C">
              <w:rPr>
                <w:noProof/>
                <w:webHidden/>
              </w:rPr>
              <w:instrText xml:space="preserve"> PAGEREF _Toc196315266 \h </w:instrText>
            </w:r>
            <w:r w:rsidR="0092712C">
              <w:rPr>
                <w:noProof/>
                <w:webHidden/>
              </w:rPr>
            </w:r>
            <w:r w:rsidR="0092712C">
              <w:rPr>
                <w:noProof/>
                <w:webHidden/>
              </w:rPr>
              <w:fldChar w:fldCharType="separate"/>
            </w:r>
            <w:r w:rsidR="009D14DE">
              <w:rPr>
                <w:noProof/>
                <w:webHidden/>
              </w:rPr>
              <w:t>63</w:t>
            </w:r>
            <w:r w:rsidR="0092712C">
              <w:rPr>
                <w:noProof/>
                <w:webHidden/>
              </w:rPr>
              <w:fldChar w:fldCharType="end"/>
            </w:r>
          </w:hyperlink>
        </w:p>
        <w:p w14:paraId="62B71FC2" w14:textId="330BEDD4" w:rsidR="0092712C" w:rsidRDefault="0092712C" w:rsidP="00776576">
          <w:pPr>
            <w:pStyle w:val="TOC1"/>
            <w:tabs>
              <w:tab w:val="right" w:leader="dot" w:pos="8630"/>
            </w:tabs>
            <w:spacing w:line="480" w:lineRule="auto"/>
            <w:rPr>
              <w:rFonts w:asciiTheme="minorHAnsi" w:eastAsiaTheme="minorEastAsia" w:hAnsiTheme="minorHAnsi" w:cstheme="minorBidi"/>
              <w:noProof/>
              <w:kern w:val="2"/>
              <w:lang w:val="pt-BR" w:eastAsia="pt-BR"/>
              <w14:ligatures w14:val="standardContextual"/>
            </w:rPr>
          </w:pPr>
          <w:hyperlink w:anchor="_Toc196315267" w:history="1">
            <w:r w:rsidR="00776576">
              <w:rPr>
                <w:rStyle w:val="Hyperlink"/>
                <w:noProof/>
                <w:lang w:val="pt-BR"/>
              </w:rPr>
              <w:t>V</w:t>
            </w:r>
            <w:r w:rsidRPr="00EF02FF">
              <w:rPr>
                <w:rStyle w:val="Hyperlink"/>
                <w:noProof/>
                <w:lang w:val="pt-BR"/>
              </w:rPr>
              <w:t>ita</w:t>
            </w:r>
            <w:r>
              <w:rPr>
                <w:noProof/>
                <w:webHidden/>
              </w:rPr>
              <w:tab/>
            </w:r>
            <w:r>
              <w:rPr>
                <w:noProof/>
                <w:webHidden/>
              </w:rPr>
              <w:fldChar w:fldCharType="begin"/>
            </w:r>
            <w:r>
              <w:rPr>
                <w:noProof/>
                <w:webHidden/>
              </w:rPr>
              <w:instrText xml:space="preserve"> PAGEREF _Toc196315267 \h </w:instrText>
            </w:r>
            <w:r>
              <w:rPr>
                <w:noProof/>
                <w:webHidden/>
              </w:rPr>
            </w:r>
            <w:r>
              <w:rPr>
                <w:noProof/>
                <w:webHidden/>
              </w:rPr>
              <w:fldChar w:fldCharType="separate"/>
            </w:r>
            <w:r w:rsidR="009D14DE">
              <w:rPr>
                <w:noProof/>
                <w:webHidden/>
              </w:rPr>
              <w:t>64</w:t>
            </w:r>
            <w:r>
              <w:rPr>
                <w:noProof/>
                <w:webHidden/>
              </w:rPr>
              <w:fldChar w:fldCharType="end"/>
            </w:r>
          </w:hyperlink>
        </w:p>
        <w:p w14:paraId="0EC561A9" w14:textId="264A4259" w:rsidR="00E378A0" w:rsidRPr="00363AC6" w:rsidRDefault="00685AE0" w:rsidP="00776576">
          <w:pPr>
            <w:spacing w:line="480" w:lineRule="auto"/>
          </w:pPr>
          <w:r>
            <w:rPr>
              <w:b/>
              <w:bCs/>
              <w:noProof/>
            </w:rPr>
            <w:fldChar w:fldCharType="end"/>
          </w:r>
        </w:p>
      </w:sdtContent>
    </w:sdt>
    <w:p w14:paraId="616718E0" w14:textId="77777777" w:rsidR="0092712C" w:rsidRDefault="0092712C" w:rsidP="00776576">
      <w:pPr>
        <w:spacing w:line="480" w:lineRule="auto"/>
        <w:rPr>
          <w:b/>
          <w:bCs/>
          <w:caps/>
        </w:rPr>
      </w:pPr>
      <w:r>
        <w:br w:type="page"/>
      </w:r>
    </w:p>
    <w:p w14:paraId="15A9C951" w14:textId="061B53B6" w:rsidR="004432D5" w:rsidRDefault="004432D5" w:rsidP="00776576">
      <w:pPr>
        <w:pStyle w:val="Heading1"/>
        <w:spacing w:line="480" w:lineRule="auto"/>
      </w:pPr>
      <w:bookmarkStart w:id="1" w:name="_Toc196315220"/>
      <w:r>
        <w:lastRenderedPageBreak/>
        <w:t>List of tables</w:t>
      </w:r>
      <w:bookmarkEnd w:id="1"/>
    </w:p>
    <w:p w14:paraId="0B0DCAE2" w14:textId="180E70A9" w:rsidR="0092712C" w:rsidRPr="00995917" w:rsidRDefault="004432D5" w:rsidP="00776576">
      <w:pPr>
        <w:pStyle w:val="TableofFigures"/>
        <w:tabs>
          <w:tab w:val="right" w:leader="dot" w:pos="8630"/>
        </w:tabs>
        <w:spacing w:line="480" w:lineRule="auto"/>
        <w:ind w:left="475" w:hanging="475"/>
        <w:rPr>
          <w:rFonts w:asciiTheme="minorHAnsi" w:eastAsiaTheme="minorEastAsia" w:hAnsiTheme="minorHAnsi" w:cstheme="minorBidi"/>
          <w:b/>
          <w:bCs/>
          <w:noProof/>
          <w:kern w:val="2"/>
          <w:lang w:val="pt-BR" w:eastAsia="pt-BR"/>
          <w14:ligatures w14:val="standardContextual"/>
        </w:rPr>
      </w:pPr>
      <w:r>
        <w:fldChar w:fldCharType="begin"/>
      </w:r>
      <w:r>
        <w:instrText xml:space="preserve"> TOC \h \z \t "my tables" \c </w:instrText>
      </w:r>
      <w:r>
        <w:fldChar w:fldCharType="separate"/>
      </w:r>
      <w:hyperlink w:anchor="_Toc196315443" w:history="1">
        <w:r w:rsidR="0092712C" w:rsidRPr="00995917">
          <w:rPr>
            <w:rStyle w:val="Hyperlink"/>
            <w:b/>
            <w:bCs/>
            <w:noProof/>
          </w:rPr>
          <w:t>Table 1.1</w:t>
        </w:r>
        <w:r w:rsidR="00995917">
          <w:rPr>
            <w:rStyle w:val="Hyperlink"/>
            <w:b/>
            <w:bCs/>
            <w:noProof/>
          </w:rPr>
          <w:t xml:space="preserve"> -</w:t>
        </w:r>
        <w:r w:rsidR="0092712C" w:rsidRPr="00995917">
          <w:rPr>
            <w:rStyle w:val="Hyperlink"/>
            <w:b/>
            <w:bCs/>
            <w:noProof/>
          </w:rPr>
          <w:t xml:space="preserve"> </w:t>
        </w:r>
        <w:r w:rsidR="0092712C" w:rsidRPr="00995917">
          <w:rPr>
            <w:rStyle w:val="Hyperlink"/>
            <w:noProof/>
          </w:rPr>
          <w:t xml:space="preserve">Variable response of shoot weight, root weight, shoot length, and number of tillers between inoculation of powder (MicroAZ-ST dry) and liquid (MicroAz-ST liq) </w:t>
        </w:r>
        <w:r w:rsidR="0092712C" w:rsidRPr="00995917">
          <w:rPr>
            <w:rStyle w:val="Hyperlink"/>
            <w:i/>
            <w:iCs/>
            <w:noProof/>
          </w:rPr>
          <w:t>Azospirillum</w:t>
        </w:r>
        <w:r w:rsidR="0092712C" w:rsidRPr="00995917">
          <w:rPr>
            <w:rStyle w:val="Hyperlink"/>
            <w:noProof/>
          </w:rPr>
          <w:t xml:space="preserve"> in bermudagrass in the greenhouse.</w:t>
        </w:r>
        <w:r w:rsidR="0092712C" w:rsidRPr="00995917">
          <w:rPr>
            <w:noProof/>
            <w:webHidden/>
          </w:rPr>
          <w:tab/>
        </w:r>
        <w:r w:rsidR="0092712C" w:rsidRPr="00995917">
          <w:rPr>
            <w:noProof/>
            <w:webHidden/>
          </w:rPr>
          <w:fldChar w:fldCharType="begin"/>
        </w:r>
        <w:r w:rsidR="0092712C" w:rsidRPr="00995917">
          <w:rPr>
            <w:noProof/>
            <w:webHidden/>
          </w:rPr>
          <w:instrText xml:space="preserve"> PAGEREF _Toc196315443 \h </w:instrText>
        </w:r>
        <w:r w:rsidR="0092712C" w:rsidRPr="00995917">
          <w:rPr>
            <w:noProof/>
            <w:webHidden/>
          </w:rPr>
        </w:r>
        <w:r w:rsidR="0092712C" w:rsidRPr="00995917">
          <w:rPr>
            <w:noProof/>
            <w:webHidden/>
          </w:rPr>
          <w:fldChar w:fldCharType="separate"/>
        </w:r>
        <w:r w:rsidR="009D14DE">
          <w:rPr>
            <w:noProof/>
            <w:webHidden/>
          </w:rPr>
          <w:t>15</w:t>
        </w:r>
        <w:r w:rsidR="0092712C" w:rsidRPr="00995917">
          <w:rPr>
            <w:noProof/>
            <w:webHidden/>
          </w:rPr>
          <w:fldChar w:fldCharType="end"/>
        </w:r>
      </w:hyperlink>
    </w:p>
    <w:p w14:paraId="2B2D00C4" w14:textId="3B8EBC2A" w:rsidR="0092712C" w:rsidRPr="00995917" w:rsidRDefault="0092712C" w:rsidP="00776576">
      <w:pPr>
        <w:pStyle w:val="TableofFigures"/>
        <w:tabs>
          <w:tab w:val="right" w:leader="dot" w:pos="8630"/>
        </w:tabs>
        <w:spacing w:line="480" w:lineRule="auto"/>
        <w:ind w:left="475" w:hanging="475"/>
        <w:rPr>
          <w:rFonts w:asciiTheme="minorHAnsi" w:eastAsiaTheme="minorEastAsia" w:hAnsiTheme="minorHAnsi" w:cstheme="minorBidi"/>
          <w:b/>
          <w:bCs/>
          <w:noProof/>
          <w:kern w:val="2"/>
          <w:lang w:val="pt-BR" w:eastAsia="pt-BR"/>
          <w14:ligatures w14:val="standardContextual"/>
        </w:rPr>
      </w:pPr>
      <w:hyperlink w:anchor="_Toc196315444" w:history="1">
        <w:r w:rsidRPr="00995917">
          <w:rPr>
            <w:rStyle w:val="Hyperlink"/>
            <w:b/>
            <w:bCs/>
            <w:noProof/>
          </w:rPr>
          <w:t xml:space="preserve">Table 1.2 - </w:t>
        </w:r>
        <w:r w:rsidRPr="00995917">
          <w:rPr>
            <w:rStyle w:val="Hyperlink"/>
            <w:noProof/>
          </w:rPr>
          <w:t xml:space="preserve">Variable response of shoot weight, root weight, shoot length, and number tillers between inoculation of powder (MicroAZ-ST dry) and liquid (MicroAz-ST liq) </w:t>
        </w:r>
        <w:r w:rsidRPr="00995917">
          <w:rPr>
            <w:rStyle w:val="Hyperlink"/>
            <w:i/>
            <w:iCs/>
            <w:noProof/>
          </w:rPr>
          <w:t xml:space="preserve">Azospirillum </w:t>
        </w:r>
        <w:r w:rsidRPr="00995917">
          <w:rPr>
            <w:rStyle w:val="Hyperlink"/>
            <w:noProof/>
          </w:rPr>
          <w:t>and two nitrogen rates (75%, 100%) in bermudagrass in a greenhouse experiment.</w:t>
        </w:r>
        <w:r w:rsidRPr="00995917">
          <w:rPr>
            <w:noProof/>
            <w:webHidden/>
          </w:rPr>
          <w:tab/>
        </w:r>
        <w:r w:rsidRPr="00995917">
          <w:rPr>
            <w:noProof/>
            <w:webHidden/>
          </w:rPr>
          <w:fldChar w:fldCharType="begin"/>
        </w:r>
        <w:r w:rsidRPr="00995917">
          <w:rPr>
            <w:noProof/>
            <w:webHidden/>
          </w:rPr>
          <w:instrText xml:space="preserve"> PAGEREF _Toc196315444 \h </w:instrText>
        </w:r>
        <w:r w:rsidRPr="00995917">
          <w:rPr>
            <w:noProof/>
            <w:webHidden/>
          </w:rPr>
        </w:r>
        <w:r w:rsidRPr="00995917">
          <w:rPr>
            <w:noProof/>
            <w:webHidden/>
          </w:rPr>
          <w:fldChar w:fldCharType="separate"/>
        </w:r>
        <w:r w:rsidR="009D14DE">
          <w:rPr>
            <w:noProof/>
            <w:webHidden/>
          </w:rPr>
          <w:t>17</w:t>
        </w:r>
        <w:r w:rsidRPr="00995917">
          <w:rPr>
            <w:noProof/>
            <w:webHidden/>
          </w:rPr>
          <w:fldChar w:fldCharType="end"/>
        </w:r>
      </w:hyperlink>
    </w:p>
    <w:p w14:paraId="78832FAC" w14:textId="2E4FB58D" w:rsidR="0092712C" w:rsidRPr="00995917" w:rsidRDefault="0092712C" w:rsidP="00776576">
      <w:pPr>
        <w:pStyle w:val="TableofFigures"/>
        <w:tabs>
          <w:tab w:val="right" w:leader="dot" w:pos="8630"/>
        </w:tabs>
        <w:spacing w:line="480" w:lineRule="auto"/>
        <w:ind w:left="475" w:hanging="475"/>
        <w:rPr>
          <w:rFonts w:asciiTheme="minorHAnsi" w:eastAsiaTheme="minorEastAsia" w:hAnsiTheme="minorHAnsi" w:cstheme="minorBidi"/>
          <w:b/>
          <w:bCs/>
          <w:noProof/>
          <w:kern w:val="2"/>
          <w:lang w:val="pt-BR" w:eastAsia="pt-BR"/>
          <w14:ligatures w14:val="standardContextual"/>
        </w:rPr>
      </w:pPr>
      <w:hyperlink w:anchor="_Toc196315445" w:history="1">
        <w:r w:rsidRPr="00995917">
          <w:rPr>
            <w:rStyle w:val="Hyperlink"/>
            <w:b/>
            <w:bCs/>
            <w:noProof/>
          </w:rPr>
          <w:t xml:space="preserve">Table 2.1 - </w:t>
        </w:r>
        <w:r w:rsidRPr="00995917">
          <w:rPr>
            <w:rStyle w:val="Hyperlink"/>
            <w:noProof/>
          </w:rPr>
          <w:t xml:space="preserve">Average forage mass (FM) of bermudagrass in response to different strains of PGPB </w:t>
        </w:r>
        <w:r w:rsidRPr="00995917">
          <w:rPr>
            <w:rStyle w:val="Hyperlink"/>
            <w:i/>
            <w:iCs/>
            <w:noProof/>
          </w:rPr>
          <w:t>(inoculation)</w:t>
        </w:r>
        <w:r w:rsidRPr="00995917">
          <w:rPr>
            <w:rStyle w:val="Hyperlink"/>
            <w:noProof/>
          </w:rPr>
          <w:t xml:space="preserve"> (DH-44, C-PGBR, DH-267), and N strategies (33 kg, 67 kg),</w:t>
        </w:r>
        <w:r w:rsidRPr="00995917">
          <w:rPr>
            <w:rStyle w:val="Hyperlink"/>
            <w:i/>
            <w:iCs/>
            <w:noProof/>
          </w:rPr>
          <w:t xml:space="preserve"> </w:t>
        </w:r>
        <w:r w:rsidRPr="00995917">
          <w:rPr>
            <w:rStyle w:val="Hyperlink"/>
            <w:noProof/>
          </w:rPr>
          <w:t>(Urea, Ammonium Sulfate) across two growing seasons 2023 and 2024, in Crossville, Tennessee, U.S.</w:t>
        </w:r>
        <w:r w:rsidRPr="00995917">
          <w:rPr>
            <w:noProof/>
            <w:webHidden/>
          </w:rPr>
          <w:tab/>
        </w:r>
        <w:r w:rsidRPr="00995917">
          <w:rPr>
            <w:noProof/>
            <w:webHidden/>
          </w:rPr>
          <w:fldChar w:fldCharType="begin"/>
        </w:r>
        <w:r w:rsidRPr="00995917">
          <w:rPr>
            <w:noProof/>
            <w:webHidden/>
          </w:rPr>
          <w:instrText xml:space="preserve"> PAGEREF _Toc196315445 \h </w:instrText>
        </w:r>
        <w:r w:rsidRPr="00995917">
          <w:rPr>
            <w:noProof/>
            <w:webHidden/>
          </w:rPr>
        </w:r>
        <w:r w:rsidRPr="00995917">
          <w:rPr>
            <w:noProof/>
            <w:webHidden/>
          </w:rPr>
          <w:fldChar w:fldCharType="separate"/>
        </w:r>
        <w:r w:rsidR="009D14DE">
          <w:rPr>
            <w:noProof/>
            <w:webHidden/>
          </w:rPr>
          <w:t>30</w:t>
        </w:r>
        <w:r w:rsidRPr="00995917">
          <w:rPr>
            <w:noProof/>
            <w:webHidden/>
          </w:rPr>
          <w:fldChar w:fldCharType="end"/>
        </w:r>
      </w:hyperlink>
    </w:p>
    <w:p w14:paraId="5BC8DCD5" w14:textId="407B1385" w:rsidR="0092712C" w:rsidRPr="00995917" w:rsidRDefault="0092712C" w:rsidP="00776576">
      <w:pPr>
        <w:pStyle w:val="TableofFigures"/>
        <w:tabs>
          <w:tab w:val="right" w:leader="dot" w:pos="8630"/>
        </w:tabs>
        <w:spacing w:line="480" w:lineRule="auto"/>
        <w:ind w:left="475" w:hanging="475"/>
        <w:rPr>
          <w:rFonts w:asciiTheme="minorHAnsi" w:eastAsiaTheme="minorEastAsia" w:hAnsiTheme="minorHAnsi" w:cstheme="minorBidi"/>
          <w:b/>
          <w:bCs/>
          <w:noProof/>
          <w:kern w:val="2"/>
          <w:lang w:val="pt-BR" w:eastAsia="pt-BR"/>
          <w14:ligatures w14:val="standardContextual"/>
        </w:rPr>
      </w:pPr>
      <w:hyperlink w:anchor="_Toc196315446" w:history="1">
        <w:r w:rsidRPr="00995917">
          <w:rPr>
            <w:rStyle w:val="Hyperlink"/>
            <w:b/>
            <w:bCs/>
            <w:noProof/>
            <w:lang w:eastAsia="pt-BR"/>
          </w:rPr>
          <w:t xml:space="preserve">Table 2.2 - </w:t>
        </w:r>
        <w:r w:rsidRPr="00995917">
          <w:rPr>
            <w:rStyle w:val="Hyperlink"/>
            <w:noProof/>
            <w:lang w:eastAsia="pt-BR"/>
          </w:rPr>
          <w:t>Average forage mass (FM) of Bermudagrass in response to N strategies (NN, U-33, A-33 kg, U-67, A-67), across two growing seasons (year) 2023 (1) and 2024 (2), in Crossville, Tennessee, U.S.</w:t>
        </w:r>
        <w:r w:rsidRPr="00995917">
          <w:rPr>
            <w:noProof/>
            <w:webHidden/>
          </w:rPr>
          <w:tab/>
        </w:r>
        <w:r w:rsidRPr="00995917">
          <w:rPr>
            <w:noProof/>
            <w:webHidden/>
          </w:rPr>
          <w:fldChar w:fldCharType="begin"/>
        </w:r>
        <w:r w:rsidRPr="00995917">
          <w:rPr>
            <w:noProof/>
            <w:webHidden/>
          </w:rPr>
          <w:instrText xml:space="preserve"> PAGEREF _Toc196315446 \h </w:instrText>
        </w:r>
        <w:r w:rsidRPr="00995917">
          <w:rPr>
            <w:noProof/>
            <w:webHidden/>
          </w:rPr>
        </w:r>
        <w:r w:rsidRPr="00995917">
          <w:rPr>
            <w:noProof/>
            <w:webHidden/>
          </w:rPr>
          <w:fldChar w:fldCharType="separate"/>
        </w:r>
        <w:r w:rsidR="009D14DE">
          <w:rPr>
            <w:noProof/>
            <w:webHidden/>
          </w:rPr>
          <w:t>31</w:t>
        </w:r>
        <w:r w:rsidRPr="00995917">
          <w:rPr>
            <w:noProof/>
            <w:webHidden/>
          </w:rPr>
          <w:fldChar w:fldCharType="end"/>
        </w:r>
      </w:hyperlink>
    </w:p>
    <w:p w14:paraId="43CCC141" w14:textId="001A8EC6" w:rsidR="0092712C" w:rsidRPr="00995917" w:rsidRDefault="0092712C" w:rsidP="00776576">
      <w:pPr>
        <w:pStyle w:val="TableofFigures"/>
        <w:tabs>
          <w:tab w:val="right" w:leader="dot" w:pos="8630"/>
        </w:tabs>
        <w:spacing w:line="480" w:lineRule="auto"/>
        <w:ind w:left="475" w:hanging="475"/>
        <w:rPr>
          <w:rFonts w:asciiTheme="minorHAnsi" w:eastAsiaTheme="minorEastAsia" w:hAnsiTheme="minorHAnsi" w:cstheme="minorBidi"/>
          <w:b/>
          <w:bCs/>
          <w:noProof/>
          <w:kern w:val="2"/>
          <w:lang w:val="pt-BR" w:eastAsia="pt-BR"/>
          <w14:ligatures w14:val="standardContextual"/>
        </w:rPr>
      </w:pPr>
      <w:hyperlink w:anchor="_Toc196315447" w:history="1">
        <w:r w:rsidRPr="00995917">
          <w:rPr>
            <w:rStyle w:val="Hyperlink"/>
            <w:b/>
            <w:bCs/>
            <w:noProof/>
          </w:rPr>
          <w:t xml:space="preserve">Table 2.3 - </w:t>
        </w:r>
        <w:r w:rsidRPr="00995917">
          <w:rPr>
            <w:rStyle w:val="Hyperlink"/>
            <w:noProof/>
          </w:rPr>
          <w:t>Average forage mass (FM) measured with rising plate method of bermudagrass in response to different strains of PGPB (</w:t>
        </w:r>
        <w:r w:rsidRPr="00995917">
          <w:rPr>
            <w:rStyle w:val="Hyperlink"/>
            <w:i/>
            <w:iCs/>
            <w:noProof/>
          </w:rPr>
          <w:t>inoculation</w:t>
        </w:r>
        <w:r w:rsidRPr="00995917">
          <w:rPr>
            <w:rStyle w:val="Hyperlink"/>
            <w:noProof/>
          </w:rPr>
          <w:t>) (DH-44, C-PGBR, DH-267), and N strategies (33 kg, 67 kg),</w:t>
        </w:r>
        <w:r w:rsidRPr="00995917">
          <w:rPr>
            <w:rStyle w:val="Hyperlink"/>
            <w:i/>
            <w:iCs/>
            <w:noProof/>
          </w:rPr>
          <w:t xml:space="preserve"> </w:t>
        </w:r>
        <w:r w:rsidRPr="00995917">
          <w:rPr>
            <w:rStyle w:val="Hyperlink"/>
            <w:noProof/>
          </w:rPr>
          <w:t>(Urea, Ammonium Sulfate) across two growing seasons 2023 and 2024, in Crossville, Tennessee, U.S.</w:t>
        </w:r>
        <w:r w:rsidRPr="00995917">
          <w:rPr>
            <w:noProof/>
            <w:webHidden/>
          </w:rPr>
          <w:tab/>
        </w:r>
        <w:r w:rsidRPr="00995917">
          <w:rPr>
            <w:noProof/>
            <w:webHidden/>
          </w:rPr>
          <w:fldChar w:fldCharType="begin"/>
        </w:r>
        <w:r w:rsidRPr="00995917">
          <w:rPr>
            <w:noProof/>
            <w:webHidden/>
          </w:rPr>
          <w:instrText xml:space="preserve"> PAGEREF _Toc196315447 \h </w:instrText>
        </w:r>
        <w:r w:rsidRPr="00995917">
          <w:rPr>
            <w:noProof/>
            <w:webHidden/>
          </w:rPr>
        </w:r>
        <w:r w:rsidRPr="00995917">
          <w:rPr>
            <w:noProof/>
            <w:webHidden/>
          </w:rPr>
          <w:fldChar w:fldCharType="separate"/>
        </w:r>
        <w:r w:rsidR="009D14DE">
          <w:rPr>
            <w:noProof/>
            <w:webHidden/>
          </w:rPr>
          <w:t>32</w:t>
        </w:r>
        <w:r w:rsidRPr="00995917">
          <w:rPr>
            <w:noProof/>
            <w:webHidden/>
          </w:rPr>
          <w:fldChar w:fldCharType="end"/>
        </w:r>
      </w:hyperlink>
    </w:p>
    <w:p w14:paraId="211EA758" w14:textId="6561676B" w:rsidR="0092712C" w:rsidRPr="00995917" w:rsidRDefault="0092712C" w:rsidP="00776576">
      <w:pPr>
        <w:pStyle w:val="TableofFigures"/>
        <w:tabs>
          <w:tab w:val="right" w:leader="dot" w:pos="8630"/>
        </w:tabs>
        <w:spacing w:line="480" w:lineRule="auto"/>
        <w:ind w:left="475" w:hanging="475"/>
        <w:rPr>
          <w:rFonts w:asciiTheme="minorHAnsi" w:eastAsiaTheme="minorEastAsia" w:hAnsiTheme="minorHAnsi" w:cstheme="minorBidi"/>
          <w:b/>
          <w:bCs/>
          <w:noProof/>
          <w:kern w:val="2"/>
          <w:lang w:val="pt-BR" w:eastAsia="pt-BR"/>
          <w14:ligatures w14:val="standardContextual"/>
        </w:rPr>
      </w:pPr>
      <w:hyperlink w:anchor="_Toc196315448" w:history="1">
        <w:r w:rsidRPr="00995917">
          <w:rPr>
            <w:rStyle w:val="Hyperlink"/>
            <w:b/>
            <w:bCs/>
            <w:noProof/>
            <w:lang w:val="pt-BR" w:eastAsia="pt-BR"/>
          </w:rPr>
          <w:t xml:space="preserve">Table 2.4 - </w:t>
        </w:r>
        <w:r w:rsidRPr="00995917">
          <w:rPr>
            <w:rStyle w:val="Hyperlink"/>
            <w:noProof/>
            <w:lang w:val="pt-BR" w:eastAsia="pt-BR"/>
          </w:rPr>
          <w:t>Forage accumulation (FA) of Bermudagrass in response to N strategies (NN, U-33, A-33 kg, U-67, A-67), across two growing seasons (year) 2023 (1) and 2024 (2), in Crossville, Tennessee, U.S.</w:t>
        </w:r>
        <w:r w:rsidRPr="00995917">
          <w:rPr>
            <w:noProof/>
            <w:webHidden/>
          </w:rPr>
          <w:tab/>
        </w:r>
        <w:r w:rsidRPr="00995917">
          <w:rPr>
            <w:noProof/>
            <w:webHidden/>
          </w:rPr>
          <w:fldChar w:fldCharType="begin"/>
        </w:r>
        <w:r w:rsidRPr="00995917">
          <w:rPr>
            <w:noProof/>
            <w:webHidden/>
          </w:rPr>
          <w:instrText xml:space="preserve"> PAGEREF _Toc196315448 \h </w:instrText>
        </w:r>
        <w:r w:rsidRPr="00995917">
          <w:rPr>
            <w:noProof/>
            <w:webHidden/>
          </w:rPr>
        </w:r>
        <w:r w:rsidRPr="00995917">
          <w:rPr>
            <w:noProof/>
            <w:webHidden/>
          </w:rPr>
          <w:fldChar w:fldCharType="separate"/>
        </w:r>
        <w:r w:rsidR="009D14DE">
          <w:rPr>
            <w:noProof/>
            <w:webHidden/>
          </w:rPr>
          <w:t>35</w:t>
        </w:r>
        <w:r w:rsidRPr="00995917">
          <w:rPr>
            <w:noProof/>
            <w:webHidden/>
          </w:rPr>
          <w:fldChar w:fldCharType="end"/>
        </w:r>
      </w:hyperlink>
    </w:p>
    <w:p w14:paraId="30068E72" w14:textId="1C9BF77A" w:rsidR="0092712C" w:rsidRPr="00995917" w:rsidRDefault="0092712C" w:rsidP="00776576">
      <w:pPr>
        <w:pStyle w:val="TableofFigures"/>
        <w:tabs>
          <w:tab w:val="right" w:leader="dot" w:pos="8630"/>
        </w:tabs>
        <w:spacing w:line="480" w:lineRule="auto"/>
        <w:ind w:left="475" w:hanging="475"/>
        <w:rPr>
          <w:rFonts w:asciiTheme="minorHAnsi" w:eastAsiaTheme="minorEastAsia" w:hAnsiTheme="minorHAnsi" w:cstheme="minorBidi"/>
          <w:b/>
          <w:bCs/>
          <w:noProof/>
          <w:kern w:val="2"/>
          <w:lang w:val="pt-BR" w:eastAsia="pt-BR"/>
          <w14:ligatures w14:val="standardContextual"/>
        </w:rPr>
      </w:pPr>
      <w:hyperlink w:anchor="_Toc196315449" w:history="1">
        <w:r w:rsidRPr="00995917">
          <w:rPr>
            <w:rStyle w:val="Hyperlink"/>
            <w:b/>
            <w:bCs/>
            <w:noProof/>
          </w:rPr>
          <w:t xml:space="preserve">Table 2.5 - </w:t>
        </w:r>
        <w:r w:rsidRPr="00995917">
          <w:rPr>
            <w:rStyle w:val="Hyperlink"/>
            <w:noProof/>
          </w:rPr>
          <w:t>Average crude protein (CP) of bermudagrass in response to different inoculation (DH-44, C-PGBR, DH-267), and N strategies (33 kg, 67 kg),</w:t>
        </w:r>
        <w:r w:rsidRPr="00995917">
          <w:rPr>
            <w:rStyle w:val="Hyperlink"/>
            <w:i/>
            <w:iCs/>
            <w:noProof/>
          </w:rPr>
          <w:t xml:space="preserve"> </w:t>
        </w:r>
        <w:r w:rsidRPr="00995917">
          <w:rPr>
            <w:rStyle w:val="Hyperlink"/>
            <w:noProof/>
          </w:rPr>
          <w:t>(urea, ammonium Sulfate) across two growing seasons, 2023 and 2024, in Crossville, Tennessee, U.S.</w:t>
        </w:r>
        <w:r w:rsidRPr="00995917">
          <w:rPr>
            <w:noProof/>
            <w:webHidden/>
          </w:rPr>
          <w:tab/>
        </w:r>
        <w:r w:rsidRPr="00995917">
          <w:rPr>
            <w:noProof/>
            <w:webHidden/>
          </w:rPr>
          <w:fldChar w:fldCharType="begin"/>
        </w:r>
        <w:r w:rsidRPr="00995917">
          <w:rPr>
            <w:noProof/>
            <w:webHidden/>
          </w:rPr>
          <w:instrText xml:space="preserve"> PAGEREF _Toc196315449 \h </w:instrText>
        </w:r>
        <w:r w:rsidRPr="00995917">
          <w:rPr>
            <w:noProof/>
            <w:webHidden/>
          </w:rPr>
        </w:r>
        <w:r w:rsidRPr="00995917">
          <w:rPr>
            <w:noProof/>
            <w:webHidden/>
          </w:rPr>
          <w:fldChar w:fldCharType="separate"/>
        </w:r>
        <w:r w:rsidR="009D14DE">
          <w:rPr>
            <w:noProof/>
            <w:webHidden/>
          </w:rPr>
          <w:t>39</w:t>
        </w:r>
        <w:r w:rsidRPr="00995917">
          <w:rPr>
            <w:noProof/>
            <w:webHidden/>
          </w:rPr>
          <w:fldChar w:fldCharType="end"/>
        </w:r>
      </w:hyperlink>
    </w:p>
    <w:p w14:paraId="06937D17" w14:textId="757B4AE3" w:rsidR="0092712C" w:rsidRPr="00995917" w:rsidRDefault="0092712C" w:rsidP="00776576">
      <w:pPr>
        <w:pStyle w:val="TableofFigures"/>
        <w:tabs>
          <w:tab w:val="right" w:leader="dot" w:pos="8630"/>
        </w:tabs>
        <w:spacing w:line="480" w:lineRule="auto"/>
        <w:ind w:left="475" w:hanging="475"/>
        <w:rPr>
          <w:rFonts w:asciiTheme="minorHAnsi" w:eastAsiaTheme="minorEastAsia" w:hAnsiTheme="minorHAnsi" w:cstheme="minorBidi"/>
          <w:b/>
          <w:bCs/>
          <w:noProof/>
          <w:kern w:val="2"/>
          <w:lang w:val="pt-BR" w:eastAsia="pt-BR"/>
          <w14:ligatures w14:val="standardContextual"/>
        </w:rPr>
      </w:pPr>
      <w:hyperlink w:anchor="_Toc196315450" w:history="1">
        <w:r w:rsidRPr="00995917">
          <w:rPr>
            <w:rStyle w:val="Hyperlink"/>
            <w:b/>
            <w:bCs/>
            <w:noProof/>
            <w:lang w:eastAsia="pt-BR"/>
          </w:rPr>
          <w:t>Table 2.6 -</w:t>
        </w:r>
        <w:r w:rsidRPr="00995917">
          <w:rPr>
            <w:rStyle w:val="Hyperlink"/>
            <w:noProof/>
            <w:lang w:eastAsia="pt-BR"/>
          </w:rPr>
          <w:t xml:space="preserve"> Crude protein (CP) of Bermudagrass in response to N strategies (NN, U-33, A-33 kg, U-67, A-67), across two growing seasons (year) 2023 (1) and 2024 (2), in Crossville, Tennessee, U.S.</w:t>
        </w:r>
        <w:r w:rsidRPr="00995917">
          <w:rPr>
            <w:noProof/>
            <w:webHidden/>
          </w:rPr>
          <w:tab/>
        </w:r>
        <w:r w:rsidRPr="00995917">
          <w:rPr>
            <w:noProof/>
            <w:webHidden/>
          </w:rPr>
          <w:fldChar w:fldCharType="begin"/>
        </w:r>
        <w:r w:rsidRPr="00995917">
          <w:rPr>
            <w:noProof/>
            <w:webHidden/>
          </w:rPr>
          <w:instrText xml:space="preserve"> PAGEREF _Toc196315450 \h </w:instrText>
        </w:r>
        <w:r w:rsidRPr="00995917">
          <w:rPr>
            <w:noProof/>
            <w:webHidden/>
          </w:rPr>
        </w:r>
        <w:r w:rsidRPr="00995917">
          <w:rPr>
            <w:noProof/>
            <w:webHidden/>
          </w:rPr>
          <w:fldChar w:fldCharType="separate"/>
        </w:r>
        <w:r w:rsidR="009D14DE">
          <w:rPr>
            <w:noProof/>
            <w:webHidden/>
          </w:rPr>
          <w:t>41</w:t>
        </w:r>
        <w:r w:rsidRPr="00995917">
          <w:rPr>
            <w:noProof/>
            <w:webHidden/>
          </w:rPr>
          <w:fldChar w:fldCharType="end"/>
        </w:r>
      </w:hyperlink>
    </w:p>
    <w:p w14:paraId="63328E61" w14:textId="6F1CA19F" w:rsidR="0092712C" w:rsidRPr="00995917" w:rsidRDefault="0092712C" w:rsidP="00776576">
      <w:pPr>
        <w:pStyle w:val="TableofFigures"/>
        <w:tabs>
          <w:tab w:val="right" w:leader="dot" w:pos="8630"/>
        </w:tabs>
        <w:spacing w:line="480" w:lineRule="auto"/>
        <w:ind w:left="475" w:hanging="475"/>
        <w:rPr>
          <w:rFonts w:asciiTheme="minorHAnsi" w:eastAsiaTheme="minorEastAsia" w:hAnsiTheme="minorHAnsi" w:cstheme="minorBidi"/>
          <w:b/>
          <w:bCs/>
          <w:noProof/>
          <w:kern w:val="2"/>
          <w:lang w:val="pt-BR" w:eastAsia="pt-BR"/>
          <w14:ligatures w14:val="standardContextual"/>
        </w:rPr>
      </w:pPr>
      <w:hyperlink w:anchor="_Toc196315451" w:history="1">
        <w:r w:rsidRPr="00995917">
          <w:rPr>
            <w:rStyle w:val="Hyperlink"/>
            <w:b/>
            <w:bCs/>
            <w:noProof/>
          </w:rPr>
          <w:t xml:space="preserve">Table 2.7 - </w:t>
        </w:r>
        <w:r w:rsidRPr="00995917">
          <w:rPr>
            <w:rStyle w:val="Hyperlink"/>
            <w:noProof/>
          </w:rPr>
          <w:t>Average in vitro dry matter digestibility 48 hours (IVTDMD48) of bermudagrass in response to inoculation (DH-44, C-PGPB, DH-267), and N strategies (33 kg, 67 kg),</w:t>
        </w:r>
        <w:r w:rsidRPr="00995917">
          <w:rPr>
            <w:rStyle w:val="Hyperlink"/>
            <w:i/>
            <w:iCs/>
            <w:noProof/>
          </w:rPr>
          <w:t xml:space="preserve"> </w:t>
        </w:r>
        <w:r w:rsidRPr="00995917">
          <w:rPr>
            <w:rStyle w:val="Hyperlink"/>
            <w:noProof/>
          </w:rPr>
          <w:t>(Urea, Ammonium Sulfate) across two growing seasons 2023 and 2024, in Crossville, Tennessee, U.S.</w:t>
        </w:r>
        <w:r w:rsidRPr="00995917">
          <w:rPr>
            <w:noProof/>
            <w:webHidden/>
          </w:rPr>
          <w:tab/>
        </w:r>
        <w:r w:rsidRPr="00995917">
          <w:rPr>
            <w:noProof/>
            <w:webHidden/>
          </w:rPr>
          <w:fldChar w:fldCharType="begin"/>
        </w:r>
        <w:r w:rsidRPr="00995917">
          <w:rPr>
            <w:noProof/>
            <w:webHidden/>
          </w:rPr>
          <w:instrText xml:space="preserve"> PAGEREF _Toc196315451 \h </w:instrText>
        </w:r>
        <w:r w:rsidRPr="00995917">
          <w:rPr>
            <w:noProof/>
            <w:webHidden/>
          </w:rPr>
        </w:r>
        <w:r w:rsidRPr="00995917">
          <w:rPr>
            <w:noProof/>
            <w:webHidden/>
          </w:rPr>
          <w:fldChar w:fldCharType="separate"/>
        </w:r>
        <w:r w:rsidR="009D14DE">
          <w:rPr>
            <w:noProof/>
            <w:webHidden/>
          </w:rPr>
          <w:t>42</w:t>
        </w:r>
        <w:r w:rsidRPr="00995917">
          <w:rPr>
            <w:noProof/>
            <w:webHidden/>
          </w:rPr>
          <w:fldChar w:fldCharType="end"/>
        </w:r>
      </w:hyperlink>
    </w:p>
    <w:p w14:paraId="258D13D4" w14:textId="6CC9163C" w:rsidR="0092712C" w:rsidRPr="00995917" w:rsidRDefault="0092712C" w:rsidP="00776576">
      <w:pPr>
        <w:pStyle w:val="TableofFigures"/>
        <w:tabs>
          <w:tab w:val="right" w:leader="dot" w:pos="8630"/>
        </w:tabs>
        <w:spacing w:line="480" w:lineRule="auto"/>
        <w:ind w:left="475" w:hanging="475"/>
        <w:rPr>
          <w:rFonts w:asciiTheme="minorHAnsi" w:eastAsiaTheme="minorEastAsia" w:hAnsiTheme="minorHAnsi" w:cstheme="minorBidi"/>
          <w:b/>
          <w:bCs/>
          <w:noProof/>
          <w:kern w:val="2"/>
          <w:lang w:val="pt-BR" w:eastAsia="pt-BR"/>
          <w14:ligatures w14:val="standardContextual"/>
        </w:rPr>
      </w:pPr>
      <w:hyperlink w:anchor="_Toc196315452" w:history="1">
        <w:r w:rsidRPr="00995917">
          <w:rPr>
            <w:rStyle w:val="Hyperlink"/>
            <w:b/>
            <w:bCs/>
            <w:noProof/>
          </w:rPr>
          <w:t xml:space="preserve">Table 2.8 - </w:t>
        </w:r>
        <w:r w:rsidRPr="00995917">
          <w:rPr>
            <w:rStyle w:val="Hyperlink"/>
            <w:noProof/>
          </w:rPr>
          <w:t>Average neutral detergent fiber digestibility 48 hours (NDFD48) of bermudagrass in response to inoculation (DH-44, C-PGBR, DH-267), and N strategies (33 kg, 67 kg),</w:t>
        </w:r>
        <w:r w:rsidRPr="00995917">
          <w:rPr>
            <w:rStyle w:val="Hyperlink"/>
            <w:i/>
            <w:iCs/>
            <w:noProof/>
          </w:rPr>
          <w:t xml:space="preserve"> </w:t>
        </w:r>
        <w:r w:rsidRPr="00995917">
          <w:rPr>
            <w:rStyle w:val="Hyperlink"/>
            <w:noProof/>
          </w:rPr>
          <w:t>(Urea, Ammonium Sulfate) across two growing seasons, 2023 and 2024, in Crossville, Tennessee, U.S.</w:t>
        </w:r>
        <w:r w:rsidRPr="00995917">
          <w:rPr>
            <w:noProof/>
            <w:webHidden/>
          </w:rPr>
          <w:tab/>
        </w:r>
        <w:r w:rsidRPr="00995917">
          <w:rPr>
            <w:noProof/>
            <w:webHidden/>
          </w:rPr>
          <w:fldChar w:fldCharType="begin"/>
        </w:r>
        <w:r w:rsidRPr="00995917">
          <w:rPr>
            <w:noProof/>
            <w:webHidden/>
          </w:rPr>
          <w:instrText xml:space="preserve"> PAGEREF _Toc196315452 \h </w:instrText>
        </w:r>
        <w:r w:rsidRPr="00995917">
          <w:rPr>
            <w:noProof/>
            <w:webHidden/>
          </w:rPr>
        </w:r>
        <w:r w:rsidRPr="00995917">
          <w:rPr>
            <w:noProof/>
            <w:webHidden/>
          </w:rPr>
          <w:fldChar w:fldCharType="separate"/>
        </w:r>
        <w:r w:rsidR="009D14DE">
          <w:rPr>
            <w:noProof/>
            <w:webHidden/>
          </w:rPr>
          <w:t>43</w:t>
        </w:r>
        <w:r w:rsidRPr="00995917">
          <w:rPr>
            <w:noProof/>
            <w:webHidden/>
          </w:rPr>
          <w:fldChar w:fldCharType="end"/>
        </w:r>
      </w:hyperlink>
    </w:p>
    <w:p w14:paraId="303E77C5" w14:textId="7A523232" w:rsidR="0092712C" w:rsidRPr="00995917" w:rsidRDefault="0092712C" w:rsidP="00776576">
      <w:pPr>
        <w:pStyle w:val="TableofFigures"/>
        <w:tabs>
          <w:tab w:val="right" w:leader="dot" w:pos="8630"/>
        </w:tabs>
        <w:spacing w:line="480" w:lineRule="auto"/>
        <w:ind w:left="475" w:hanging="475"/>
        <w:rPr>
          <w:rFonts w:asciiTheme="minorHAnsi" w:eastAsiaTheme="minorEastAsia" w:hAnsiTheme="minorHAnsi" w:cstheme="minorBidi"/>
          <w:b/>
          <w:bCs/>
          <w:noProof/>
          <w:kern w:val="2"/>
          <w:lang w:val="pt-BR" w:eastAsia="pt-BR"/>
          <w14:ligatures w14:val="standardContextual"/>
        </w:rPr>
      </w:pPr>
      <w:hyperlink w:anchor="_Toc196315453" w:history="1">
        <w:r w:rsidRPr="00995917">
          <w:rPr>
            <w:rStyle w:val="Hyperlink"/>
            <w:b/>
            <w:bCs/>
            <w:noProof/>
            <w:lang w:eastAsia="pt-BR"/>
          </w:rPr>
          <w:t xml:space="preserve">Table 2.9 - </w:t>
        </w:r>
        <w:r w:rsidRPr="00995917">
          <w:rPr>
            <w:rStyle w:val="Hyperlink"/>
            <w:i/>
            <w:iCs/>
            <w:noProof/>
            <w:lang w:eastAsia="pt-BR"/>
          </w:rPr>
          <w:t>In vitro</w:t>
        </w:r>
        <w:r w:rsidRPr="00995917">
          <w:rPr>
            <w:rStyle w:val="Hyperlink"/>
            <w:noProof/>
            <w:lang w:eastAsia="pt-BR"/>
          </w:rPr>
          <w:t xml:space="preserve"> dry matter digestibility 48 hours (IVTDMD) of Bermudagrass across two growing seasons, 2023 and 2024, in Crossville, Tennessee, U.S.</w:t>
        </w:r>
        <w:r w:rsidRPr="00995917">
          <w:rPr>
            <w:noProof/>
            <w:webHidden/>
          </w:rPr>
          <w:tab/>
        </w:r>
        <w:r w:rsidRPr="00995917">
          <w:rPr>
            <w:noProof/>
            <w:webHidden/>
          </w:rPr>
          <w:fldChar w:fldCharType="begin"/>
        </w:r>
        <w:r w:rsidRPr="00995917">
          <w:rPr>
            <w:noProof/>
            <w:webHidden/>
          </w:rPr>
          <w:instrText xml:space="preserve"> PAGEREF _Toc196315453 \h </w:instrText>
        </w:r>
        <w:r w:rsidRPr="00995917">
          <w:rPr>
            <w:noProof/>
            <w:webHidden/>
          </w:rPr>
        </w:r>
        <w:r w:rsidRPr="00995917">
          <w:rPr>
            <w:noProof/>
            <w:webHidden/>
          </w:rPr>
          <w:fldChar w:fldCharType="separate"/>
        </w:r>
        <w:r w:rsidR="009D14DE">
          <w:rPr>
            <w:noProof/>
            <w:webHidden/>
          </w:rPr>
          <w:t>44</w:t>
        </w:r>
        <w:r w:rsidRPr="00995917">
          <w:rPr>
            <w:noProof/>
            <w:webHidden/>
          </w:rPr>
          <w:fldChar w:fldCharType="end"/>
        </w:r>
      </w:hyperlink>
    </w:p>
    <w:p w14:paraId="67858C8B" w14:textId="02E4F936" w:rsidR="0092712C" w:rsidRPr="00995917" w:rsidRDefault="0092712C" w:rsidP="00776576">
      <w:pPr>
        <w:pStyle w:val="TableofFigures"/>
        <w:tabs>
          <w:tab w:val="right" w:leader="dot" w:pos="8630"/>
        </w:tabs>
        <w:spacing w:line="480" w:lineRule="auto"/>
        <w:ind w:left="475" w:hanging="475"/>
        <w:rPr>
          <w:rFonts w:asciiTheme="minorHAnsi" w:eastAsiaTheme="minorEastAsia" w:hAnsiTheme="minorHAnsi" w:cstheme="minorBidi"/>
          <w:b/>
          <w:bCs/>
          <w:noProof/>
          <w:kern w:val="2"/>
          <w:lang w:val="pt-BR" w:eastAsia="pt-BR"/>
          <w14:ligatures w14:val="standardContextual"/>
        </w:rPr>
      </w:pPr>
      <w:hyperlink w:anchor="_Toc196315454" w:history="1">
        <w:r w:rsidRPr="00995917">
          <w:rPr>
            <w:rStyle w:val="Hyperlink"/>
            <w:b/>
            <w:bCs/>
            <w:noProof/>
          </w:rPr>
          <w:t xml:space="preserve">Table 2.10 - </w:t>
        </w:r>
        <w:r w:rsidRPr="00995917">
          <w:rPr>
            <w:rStyle w:val="Hyperlink"/>
            <w:noProof/>
          </w:rPr>
          <w:t xml:space="preserve">Average stomatal conductance (gs(w)) of bermudagrass in response to different strains of PGPB </w:t>
        </w:r>
        <w:r w:rsidRPr="00995917">
          <w:rPr>
            <w:rStyle w:val="Hyperlink"/>
            <w:i/>
            <w:iCs/>
            <w:noProof/>
          </w:rPr>
          <w:t>(inoculation)</w:t>
        </w:r>
        <w:r w:rsidRPr="00995917">
          <w:rPr>
            <w:rStyle w:val="Hyperlink"/>
            <w:noProof/>
          </w:rPr>
          <w:t xml:space="preserve"> (DH-44, C-PGBR, DH-267), and N strategies (33 kg, 67 kg),</w:t>
        </w:r>
        <w:r w:rsidRPr="00995917">
          <w:rPr>
            <w:rStyle w:val="Hyperlink"/>
            <w:i/>
            <w:iCs/>
            <w:noProof/>
          </w:rPr>
          <w:t xml:space="preserve"> </w:t>
        </w:r>
        <w:r w:rsidRPr="00995917">
          <w:rPr>
            <w:rStyle w:val="Hyperlink"/>
            <w:noProof/>
          </w:rPr>
          <w:t>(Urea, Ammonium Sulfate) across two growing seasons 2023 and 2024, in Crossville, Tennessee, U.S.</w:t>
        </w:r>
        <w:r w:rsidRPr="00995917">
          <w:rPr>
            <w:noProof/>
            <w:webHidden/>
          </w:rPr>
          <w:tab/>
        </w:r>
        <w:r w:rsidRPr="00995917">
          <w:rPr>
            <w:noProof/>
            <w:webHidden/>
          </w:rPr>
          <w:fldChar w:fldCharType="begin"/>
        </w:r>
        <w:r w:rsidRPr="00995917">
          <w:rPr>
            <w:noProof/>
            <w:webHidden/>
          </w:rPr>
          <w:instrText xml:space="preserve"> PAGEREF _Toc196315454 \h </w:instrText>
        </w:r>
        <w:r w:rsidRPr="00995917">
          <w:rPr>
            <w:noProof/>
            <w:webHidden/>
          </w:rPr>
        </w:r>
        <w:r w:rsidRPr="00995917">
          <w:rPr>
            <w:noProof/>
            <w:webHidden/>
          </w:rPr>
          <w:fldChar w:fldCharType="separate"/>
        </w:r>
        <w:r w:rsidR="009D14DE">
          <w:rPr>
            <w:noProof/>
            <w:webHidden/>
          </w:rPr>
          <w:t>46</w:t>
        </w:r>
        <w:r w:rsidRPr="00995917">
          <w:rPr>
            <w:noProof/>
            <w:webHidden/>
          </w:rPr>
          <w:fldChar w:fldCharType="end"/>
        </w:r>
      </w:hyperlink>
    </w:p>
    <w:p w14:paraId="096D9162" w14:textId="1FCFD0BB" w:rsidR="0092712C" w:rsidRPr="00995917" w:rsidRDefault="0092712C" w:rsidP="00776576">
      <w:pPr>
        <w:pStyle w:val="TableofFigures"/>
        <w:tabs>
          <w:tab w:val="right" w:leader="dot" w:pos="8630"/>
        </w:tabs>
        <w:spacing w:line="480" w:lineRule="auto"/>
        <w:ind w:left="475" w:hanging="475"/>
        <w:rPr>
          <w:rFonts w:asciiTheme="minorHAnsi" w:eastAsiaTheme="minorEastAsia" w:hAnsiTheme="minorHAnsi" w:cstheme="minorBidi"/>
          <w:b/>
          <w:bCs/>
          <w:noProof/>
          <w:kern w:val="2"/>
          <w:lang w:val="pt-BR" w:eastAsia="pt-BR"/>
          <w14:ligatures w14:val="standardContextual"/>
        </w:rPr>
      </w:pPr>
      <w:hyperlink w:anchor="_Toc196315455" w:history="1">
        <w:r w:rsidRPr="00995917">
          <w:rPr>
            <w:rStyle w:val="Hyperlink"/>
            <w:b/>
            <w:bCs/>
            <w:noProof/>
          </w:rPr>
          <w:t xml:space="preserve">Table 2.11 - </w:t>
        </w:r>
        <w:r w:rsidRPr="00995917">
          <w:rPr>
            <w:rStyle w:val="Hyperlink"/>
            <w:noProof/>
          </w:rPr>
          <w:t>Average photosynthesis CO</w:t>
        </w:r>
        <w:r w:rsidRPr="00995917">
          <w:rPr>
            <w:rStyle w:val="Hyperlink"/>
            <w:noProof/>
            <w:vertAlign w:val="subscript"/>
          </w:rPr>
          <w:t>2</w:t>
        </w:r>
        <w:r w:rsidRPr="00995917">
          <w:rPr>
            <w:rStyle w:val="Hyperlink"/>
            <w:noProof/>
          </w:rPr>
          <w:t xml:space="preserve"> assimilation (</w:t>
        </w:r>
        <w:r w:rsidRPr="00995917">
          <w:rPr>
            <w:rStyle w:val="Hyperlink"/>
            <w:i/>
            <w:iCs/>
            <w:noProof/>
          </w:rPr>
          <w:t>A</w:t>
        </w:r>
        <w:r w:rsidRPr="00995917">
          <w:rPr>
            <w:rStyle w:val="Hyperlink"/>
            <w:noProof/>
          </w:rPr>
          <w:t>) of bermudagrass in response to different inoculation (DH-44, C-PGBR, DH-267), and N strategies (33 kg, 67 kg),</w:t>
        </w:r>
        <w:r w:rsidRPr="00995917">
          <w:rPr>
            <w:rStyle w:val="Hyperlink"/>
            <w:i/>
            <w:iCs/>
            <w:noProof/>
          </w:rPr>
          <w:t xml:space="preserve"> </w:t>
        </w:r>
        <w:r w:rsidRPr="00995917">
          <w:rPr>
            <w:rStyle w:val="Hyperlink"/>
            <w:noProof/>
          </w:rPr>
          <w:t>(Urea, Ammonium Sulfate) across two growing seasons 2023 and 2024, in Crossville, Tennessee, U.S.</w:t>
        </w:r>
        <w:r w:rsidRPr="00995917">
          <w:rPr>
            <w:noProof/>
            <w:webHidden/>
          </w:rPr>
          <w:tab/>
        </w:r>
        <w:r w:rsidRPr="00995917">
          <w:rPr>
            <w:noProof/>
            <w:webHidden/>
          </w:rPr>
          <w:fldChar w:fldCharType="begin"/>
        </w:r>
        <w:r w:rsidRPr="00995917">
          <w:rPr>
            <w:noProof/>
            <w:webHidden/>
          </w:rPr>
          <w:instrText xml:space="preserve"> PAGEREF _Toc196315455 \h </w:instrText>
        </w:r>
        <w:r w:rsidRPr="00995917">
          <w:rPr>
            <w:noProof/>
            <w:webHidden/>
          </w:rPr>
        </w:r>
        <w:r w:rsidRPr="00995917">
          <w:rPr>
            <w:noProof/>
            <w:webHidden/>
          </w:rPr>
          <w:fldChar w:fldCharType="separate"/>
        </w:r>
        <w:r w:rsidR="009D14DE">
          <w:rPr>
            <w:noProof/>
            <w:webHidden/>
          </w:rPr>
          <w:t>47</w:t>
        </w:r>
        <w:r w:rsidRPr="00995917">
          <w:rPr>
            <w:noProof/>
            <w:webHidden/>
          </w:rPr>
          <w:fldChar w:fldCharType="end"/>
        </w:r>
      </w:hyperlink>
    </w:p>
    <w:p w14:paraId="4B6F0AC2" w14:textId="1FFD5A6F" w:rsidR="0092712C" w:rsidRPr="00995917" w:rsidRDefault="0092712C" w:rsidP="00776576">
      <w:pPr>
        <w:pStyle w:val="TableofFigures"/>
        <w:tabs>
          <w:tab w:val="right" w:leader="dot" w:pos="8630"/>
        </w:tabs>
        <w:spacing w:line="480" w:lineRule="auto"/>
        <w:ind w:left="475" w:hanging="475"/>
        <w:rPr>
          <w:rFonts w:asciiTheme="minorHAnsi" w:eastAsiaTheme="minorEastAsia" w:hAnsiTheme="minorHAnsi" w:cstheme="minorBidi"/>
          <w:b/>
          <w:bCs/>
          <w:noProof/>
          <w:kern w:val="2"/>
          <w:lang w:val="pt-BR" w:eastAsia="pt-BR"/>
          <w14:ligatures w14:val="standardContextual"/>
        </w:rPr>
      </w:pPr>
      <w:hyperlink w:anchor="_Toc196315456" w:history="1">
        <w:r w:rsidRPr="00995917">
          <w:rPr>
            <w:rStyle w:val="Hyperlink"/>
            <w:b/>
            <w:bCs/>
            <w:noProof/>
            <w:lang w:eastAsia="pt-BR"/>
          </w:rPr>
          <w:t xml:space="preserve">Table 2.12 - </w:t>
        </w:r>
        <w:r w:rsidRPr="00995917">
          <w:rPr>
            <w:rStyle w:val="Hyperlink"/>
            <w:noProof/>
            <w:lang w:eastAsia="pt-BR"/>
          </w:rPr>
          <w:t>Stomatal conductance (gsw) and photosynthesis CO</w:t>
        </w:r>
        <w:r w:rsidRPr="00995917">
          <w:rPr>
            <w:rStyle w:val="Hyperlink"/>
            <w:noProof/>
            <w:vertAlign w:val="superscript"/>
            <w:lang w:eastAsia="pt-BR"/>
          </w:rPr>
          <w:t>2</w:t>
        </w:r>
        <w:r w:rsidRPr="00995917">
          <w:rPr>
            <w:rStyle w:val="Hyperlink"/>
            <w:noProof/>
            <w:lang w:eastAsia="pt-BR"/>
          </w:rPr>
          <w:t xml:space="preserve"> assimilation (A) of Bermudagrass, across two growing seasons (year) 2023 (1) and 2024 (2), in Crossville, Tennessee, U.S.</w:t>
        </w:r>
        <w:r w:rsidRPr="00995917">
          <w:rPr>
            <w:noProof/>
            <w:webHidden/>
          </w:rPr>
          <w:tab/>
        </w:r>
        <w:r w:rsidRPr="00995917">
          <w:rPr>
            <w:noProof/>
            <w:webHidden/>
          </w:rPr>
          <w:fldChar w:fldCharType="begin"/>
        </w:r>
        <w:r w:rsidRPr="00995917">
          <w:rPr>
            <w:noProof/>
            <w:webHidden/>
          </w:rPr>
          <w:instrText xml:space="preserve"> PAGEREF _Toc196315456 \h </w:instrText>
        </w:r>
        <w:r w:rsidRPr="00995917">
          <w:rPr>
            <w:noProof/>
            <w:webHidden/>
          </w:rPr>
        </w:r>
        <w:r w:rsidRPr="00995917">
          <w:rPr>
            <w:noProof/>
            <w:webHidden/>
          </w:rPr>
          <w:fldChar w:fldCharType="separate"/>
        </w:r>
        <w:r w:rsidR="009D14DE">
          <w:rPr>
            <w:noProof/>
            <w:webHidden/>
          </w:rPr>
          <w:t>48</w:t>
        </w:r>
        <w:r w:rsidRPr="00995917">
          <w:rPr>
            <w:noProof/>
            <w:webHidden/>
          </w:rPr>
          <w:fldChar w:fldCharType="end"/>
        </w:r>
      </w:hyperlink>
    </w:p>
    <w:p w14:paraId="3F04E1A3" w14:textId="7DFC8A1E" w:rsidR="004432D5" w:rsidRPr="004432D5" w:rsidRDefault="004432D5" w:rsidP="00776576">
      <w:pPr>
        <w:spacing w:line="480" w:lineRule="auto"/>
      </w:pPr>
      <w:r>
        <w:fldChar w:fldCharType="end"/>
      </w:r>
    </w:p>
    <w:p w14:paraId="3D4FE468" w14:textId="77777777" w:rsidR="00D50767" w:rsidRDefault="00D50767" w:rsidP="00776576">
      <w:pPr>
        <w:spacing w:line="480" w:lineRule="auto"/>
        <w:rPr>
          <w:b/>
          <w:bCs/>
          <w:caps/>
          <w:szCs w:val="22"/>
        </w:rPr>
      </w:pPr>
      <w:r>
        <w:rPr>
          <w:szCs w:val="22"/>
        </w:rPr>
        <w:br w:type="page"/>
      </w:r>
    </w:p>
    <w:p w14:paraId="7E460C4C" w14:textId="14027504" w:rsidR="00685AE0" w:rsidRPr="00685AE0" w:rsidRDefault="00685AE0" w:rsidP="00776576">
      <w:pPr>
        <w:pStyle w:val="Heading1"/>
        <w:spacing w:line="480" w:lineRule="auto"/>
        <w:rPr>
          <w:szCs w:val="22"/>
        </w:rPr>
      </w:pPr>
      <w:bookmarkStart w:id="2" w:name="_Toc196315221"/>
      <w:r w:rsidRPr="00685AE0">
        <w:rPr>
          <w:szCs w:val="22"/>
        </w:rPr>
        <w:lastRenderedPageBreak/>
        <w:t xml:space="preserve">List of </w:t>
      </w:r>
      <w:r w:rsidR="004432D5">
        <w:rPr>
          <w:szCs w:val="22"/>
        </w:rPr>
        <w:t>figures</w:t>
      </w:r>
      <w:bookmarkEnd w:id="2"/>
    </w:p>
    <w:p w14:paraId="7339722C" w14:textId="3DF2E7CA" w:rsidR="0092712C" w:rsidRPr="00995917" w:rsidRDefault="004432D5" w:rsidP="00776576">
      <w:pPr>
        <w:pStyle w:val="TableofFigures"/>
        <w:tabs>
          <w:tab w:val="right" w:leader="dot" w:pos="8630"/>
        </w:tabs>
        <w:spacing w:line="480" w:lineRule="auto"/>
        <w:ind w:left="475" w:hanging="475"/>
        <w:rPr>
          <w:rFonts w:asciiTheme="minorHAnsi" w:eastAsiaTheme="minorEastAsia" w:hAnsiTheme="minorHAnsi" w:cstheme="minorBidi"/>
          <w:b/>
          <w:bCs/>
          <w:noProof/>
          <w:kern w:val="2"/>
          <w:lang w:val="pt-BR" w:eastAsia="pt-BR"/>
          <w14:ligatures w14:val="standardContextual"/>
        </w:rPr>
      </w:pPr>
      <w:r>
        <w:rPr>
          <w:rFonts w:cs="Times New Roman"/>
        </w:rPr>
        <w:fldChar w:fldCharType="begin"/>
      </w:r>
      <w:r>
        <w:rPr>
          <w:rFonts w:cs="Times New Roman"/>
        </w:rPr>
        <w:instrText xml:space="preserve"> TOC \h \z \t "my figures" \c </w:instrText>
      </w:r>
      <w:r>
        <w:rPr>
          <w:rFonts w:cs="Times New Roman"/>
        </w:rPr>
        <w:fldChar w:fldCharType="separate"/>
      </w:r>
      <w:hyperlink w:anchor="_Toc196315434" w:history="1">
        <w:r w:rsidR="0092712C" w:rsidRPr="00995917">
          <w:rPr>
            <w:rStyle w:val="Hyperlink"/>
            <w:b/>
            <w:bCs/>
            <w:noProof/>
          </w:rPr>
          <w:t>Figure 2.</w:t>
        </w:r>
        <w:r w:rsidR="00776576">
          <w:rPr>
            <w:rStyle w:val="Hyperlink"/>
            <w:b/>
            <w:bCs/>
            <w:noProof/>
          </w:rPr>
          <w:t>1</w:t>
        </w:r>
        <w:r w:rsidR="0092712C" w:rsidRPr="00995917">
          <w:rPr>
            <w:rStyle w:val="Hyperlink"/>
            <w:noProof/>
          </w:rPr>
          <w:t xml:space="preserve"> Illustrative figure showing percentages of each morphological and botanical component: dead material (DM), stem(S), leaf (L), and weed (W) throughout two harvest periods (June 20</w:t>
        </w:r>
        <w:r w:rsidR="0092712C" w:rsidRPr="00995917">
          <w:rPr>
            <w:rStyle w:val="Hyperlink"/>
            <w:noProof/>
            <w:vertAlign w:val="superscript"/>
          </w:rPr>
          <w:t>th</w:t>
        </w:r>
        <w:r w:rsidR="0092712C" w:rsidRPr="00995917">
          <w:rPr>
            <w:rStyle w:val="Hyperlink"/>
            <w:noProof/>
          </w:rPr>
          <w:t>, August 8</w:t>
        </w:r>
        <w:r w:rsidR="0092712C" w:rsidRPr="00995917">
          <w:rPr>
            <w:rStyle w:val="Hyperlink"/>
            <w:noProof/>
            <w:vertAlign w:val="superscript"/>
          </w:rPr>
          <w:t>th</w:t>
        </w:r>
        <w:r w:rsidR="0092712C" w:rsidRPr="00995917">
          <w:rPr>
            <w:rStyle w:val="Hyperlink"/>
            <w:noProof/>
          </w:rPr>
          <w:t xml:space="preserve"> of 2024).</w:t>
        </w:r>
        <w:r w:rsidR="0092712C" w:rsidRPr="00995917">
          <w:rPr>
            <w:noProof/>
            <w:webHidden/>
          </w:rPr>
          <w:tab/>
        </w:r>
        <w:r w:rsidR="0092712C" w:rsidRPr="00995917">
          <w:rPr>
            <w:noProof/>
            <w:webHidden/>
          </w:rPr>
          <w:fldChar w:fldCharType="begin"/>
        </w:r>
        <w:r w:rsidR="0092712C" w:rsidRPr="00995917">
          <w:rPr>
            <w:noProof/>
            <w:webHidden/>
          </w:rPr>
          <w:instrText xml:space="preserve"> PAGEREF _Toc196315434 \h </w:instrText>
        </w:r>
        <w:r w:rsidR="0092712C" w:rsidRPr="00995917">
          <w:rPr>
            <w:noProof/>
            <w:webHidden/>
          </w:rPr>
        </w:r>
        <w:r w:rsidR="0092712C" w:rsidRPr="00995917">
          <w:rPr>
            <w:noProof/>
            <w:webHidden/>
          </w:rPr>
          <w:fldChar w:fldCharType="separate"/>
        </w:r>
        <w:r w:rsidR="009D14DE">
          <w:rPr>
            <w:noProof/>
            <w:webHidden/>
          </w:rPr>
          <w:t>37</w:t>
        </w:r>
        <w:r w:rsidR="0092712C" w:rsidRPr="00995917">
          <w:rPr>
            <w:noProof/>
            <w:webHidden/>
          </w:rPr>
          <w:fldChar w:fldCharType="end"/>
        </w:r>
      </w:hyperlink>
    </w:p>
    <w:p w14:paraId="7DDE03AF" w14:textId="297CF6DB" w:rsidR="0092712C" w:rsidRPr="00995917" w:rsidRDefault="0092712C" w:rsidP="00776576">
      <w:pPr>
        <w:pStyle w:val="TableofFigures"/>
        <w:tabs>
          <w:tab w:val="right" w:leader="dot" w:pos="8630"/>
        </w:tabs>
        <w:spacing w:line="480" w:lineRule="auto"/>
        <w:ind w:left="475" w:hanging="475"/>
        <w:rPr>
          <w:rFonts w:asciiTheme="minorHAnsi" w:eastAsiaTheme="minorEastAsia" w:hAnsiTheme="minorHAnsi" w:cstheme="minorBidi"/>
          <w:b/>
          <w:bCs/>
          <w:noProof/>
          <w:kern w:val="2"/>
          <w:lang w:val="pt-BR" w:eastAsia="pt-BR"/>
          <w14:ligatures w14:val="standardContextual"/>
        </w:rPr>
      </w:pPr>
      <w:hyperlink w:anchor="_Toc196315435" w:history="1">
        <w:r w:rsidRPr="00995917">
          <w:rPr>
            <w:rStyle w:val="Hyperlink"/>
            <w:b/>
            <w:bCs/>
            <w:noProof/>
          </w:rPr>
          <w:t xml:space="preserve">Figure A.1 </w:t>
        </w:r>
        <w:r w:rsidRPr="00995917">
          <w:rPr>
            <w:rStyle w:val="Hyperlink"/>
            <w:noProof/>
          </w:rPr>
          <w:t>Temperature for Plateau AgResearch and Education Center, Crossville, TN, including 2023 and 2024, including the 30-year average.</w:t>
        </w:r>
        <w:r w:rsidRPr="00995917">
          <w:rPr>
            <w:noProof/>
            <w:webHidden/>
          </w:rPr>
          <w:tab/>
        </w:r>
        <w:r w:rsidRPr="00995917">
          <w:rPr>
            <w:noProof/>
            <w:webHidden/>
          </w:rPr>
          <w:fldChar w:fldCharType="begin"/>
        </w:r>
        <w:r w:rsidRPr="00995917">
          <w:rPr>
            <w:noProof/>
            <w:webHidden/>
          </w:rPr>
          <w:instrText xml:space="preserve"> PAGEREF _Toc196315435 \h </w:instrText>
        </w:r>
        <w:r w:rsidRPr="00995917">
          <w:rPr>
            <w:noProof/>
            <w:webHidden/>
          </w:rPr>
        </w:r>
        <w:r w:rsidRPr="00995917">
          <w:rPr>
            <w:noProof/>
            <w:webHidden/>
          </w:rPr>
          <w:fldChar w:fldCharType="separate"/>
        </w:r>
        <w:r w:rsidR="009D14DE">
          <w:rPr>
            <w:noProof/>
            <w:webHidden/>
          </w:rPr>
          <w:t>61</w:t>
        </w:r>
        <w:r w:rsidRPr="00995917">
          <w:rPr>
            <w:noProof/>
            <w:webHidden/>
          </w:rPr>
          <w:fldChar w:fldCharType="end"/>
        </w:r>
      </w:hyperlink>
    </w:p>
    <w:p w14:paraId="49403A99" w14:textId="1DC562C7" w:rsidR="0092712C" w:rsidRPr="00995917" w:rsidRDefault="0092712C" w:rsidP="00776576">
      <w:pPr>
        <w:pStyle w:val="TableofFigures"/>
        <w:tabs>
          <w:tab w:val="right" w:leader="dot" w:pos="8630"/>
        </w:tabs>
        <w:spacing w:line="480" w:lineRule="auto"/>
        <w:ind w:left="475" w:hanging="475"/>
        <w:rPr>
          <w:rFonts w:asciiTheme="minorHAnsi" w:eastAsiaTheme="minorEastAsia" w:hAnsiTheme="minorHAnsi" w:cstheme="minorBidi"/>
          <w:b/>
          <w:bCs/>
          <w:noProof/>
          <w:kern w:val="2"/>
          <w:lang w:val="pt-BR" w:eastAsia="pt-BR"/>
          <w14:ligatures w14:val="standardContextual"/>
        </w:rPr>
      </w:pPr>
      <w:hyperlink w:anchor="_Toc196315436" w:history="1">
        <w:r w:rsidRPr="00995917">
          <w:rPr>
            <w:rStyle w:val="Hyperlink"/>
            <w:b/>
            <w:bCs/>
            <w:noProof/>
          </w:rPr>
          <w:t xml:space="preserve">Figure A.2 </w:t>
        </w:r>
        <w:r w:rsidRPr="00995917">
          <w:rPr>
            <w:rStyle w:val="Hyperlink"/>
            <w:noProof/>
          </w:rPr>
          <w:t>Precipitation for Plateau AgResearch and Education Center, Crossville, TN, in 2023 and 2024, including the 30-year average.</w:t>
        </w:r>
        <w:r w:rsidRPr="00995917">
          <w:rPr>
            <w:noProof/>
            <w:webHidden/>
          </w:rPr>
          <w:tab/>
        </w:r>
        <w:r w:rsidRPr="00995917">
          <w:rPr>
            <w:noProof/>
            <w:webHidden/>
          </w:rPr>
          <w:fldChar w:fldCharType="begin"/>
        </w:r>
        <w:r w:rsidRPr="00995917">
          <w:rPr>
            <w:noProof/>
            <w:webHidden/>
          </w:rPr>
          <w:instrText xml:space="preserve"> PAGEREF _Toc196315436 \h </w:instrText>
        </w:r>
        <w:r w:rsidRPr="00995917">
          <w:rPr>
            <w:noProof/>
            <w:webHidden/>
          </w:rPr>
        </w:r>
        <w:r w:rsidRPr="00995917">
          <w:rPr>
            <w:noProof/>
            <w:webHidden/>
          </w:rPr>
          <w:fldChar w:fldCharType="separate"/>
        </w:r>
        <w:r w:rsidR="009D14DE">
          <w:rPr>
            <w:noProof/>
            <w:webHidden/>
          </w:rPr>
          <w:t>62</w:t>
        </w:r>
        <w:r w:rsidRPr="00995917">
          <w:rPr>
            <w:noProof/>
            <w:webHidden/>
          </w:rPr>
          <w:fldChar w:fldCharType="end"/>
        </w:r>
      </w:hyperlink>
    </w:p>
    <w:p w14:paraId="416BB7B6" w14:textId="4014DA52" w:rsidR="0085757D" w:rsidRPr="00037ACB" w:rsidRDefault="004432D5" w:rsidP="00776576">
      <w:pPr>
        <w:spacing w:line="480" w:lineRule="auto"/>
        <w:rPr>
          <w:rFonts w:cs="Times New Roman"/>
        </w:rPr>
      </w:pPr>
      <w:r>
        <w:rPr>
          <w:rFonts w:cs="Times New Roman"/>
        </w:rPr>
        <w:fldChar w:fldCharType="end"/>
      </w:r>
    </w:p>
    <w:p w14:paraId="3B9AE8BB" w14:textId="77777777" w:rsidR="0085757D" w:rsidRDefault="0085757D" w:rsidP="005E54E2">
      <w:pPr>
        <w:rPr>
          <w:rFonts w:cs="Times New Roman"/>
        </w:rPr>
      </w:pPr>
    </w:p>
    <w:p w14:paraId="0EC561AA" w14:textId="63D268BE" w:rsidR="0046110F" w:rsidRPr="00037ACB" w:rsidRDefault="0046110F" w:rsidP="00D50767">
      <w:pPr>
        <w:spacing w:line="240" w:lineRule="auto"/>
        <w:rPr>
          <w:rFonts w:cs="Times New Roman"/>
        </w:rPr>
        <w:sectPr w:rsidR="0046110F" w:rsidRPr="00037ACB" w:rsidSect="001D4908">
          <w:footerReference w:type="default" r:id="rId11"/>
          <w:pgSz w:w="12240" w:h="15840" w:code="1"/>
          <w:pgMar w:top="1440" w:right="1800" w:bottom="1872" w:left="1800" w:header="720" w:footer="1440" w:gutter="0"/>
          <w:pgNumType w:fmt="lowerRoman" w:start="1"/>
          <w:cols w:space="720"/>
          <w:noEndnote/>
          <w:titlePg/>
        </w:sectPr>
      </w:pPr>
    </w:p>
    <w:p w14:paraId="0EC561AC" w14:textId="1A780230" w:rsidR="00236E6D" w:rsidRPr="00E378A0" w:rsidRDefault="00526151" w:rsidP="00995917">
      <w:pPr>
        <w:pStyle w:val="Heading1"/>
        <w:spacing w:line="480" w:lineRule="auto"/>
      </w:pPr>
      <w:bookmarkStart w:id="3" w:name="_Toc289175819"/>
      <w:bookmarkStart w:id="4" w:name="_Toc175638303"/>
      <w:bookmarkStart w:id="5" w:name="_Toc196315222"/>
      <w:r w:rsidRPr="00721572">
        <w:lastRenderedPageBreak/>
        <w:t>INTRODUCTION</w:t>
      </w:r>
      <w:bookmarkEnd w:id="3"/>
      <w:bookmarkEnd w:id="4"/>
      <w:bookmarkEnd w:id="5"/>
      <w:r w:rsidR="00EE334C" w:rsidRPr="00721572">
        <w:t xml:space="preserve"> </w:t>
      </w:r>
    </w:p>
    <w:p w14:paraId="583E4579" w14:textId="34F97E77" w:rsidR="00AF1BB0" w:rsidRPr="00037ACB" w:rsidRDefault="00AF1BB0" w:rsidP="00995917">
      <w:pPr>
        <w:spacing w:line="480" w:lineRule="auto"/>
        <w:ind w:firstLine="720"/>
        <w:rPr>
          <w:rFonts w:cs="Times New Roman"/>
        </w:rPr>
      </w:pPr>
      <w:bookmarkStart w:id="6" w:name="_Toc289175821"/>
      <w:bookmarkStart w:id="7" w:name="_Toc175638305"/>
      <w:r w:rsidRPr="00037ACB">
        <w:rPr>
          <w:rFonts w:cs="Times New Roman"/>
        </w:rPr>
        <w:t xml:space="preserve">The </w:t>
      </w:r>
      <w:r w:rsidR="00206B6C">
        <w:rPr>
          <w:rFonts w:cs="Times New Roman"/>
        </w:rPr>
        <w:t>demand for</w:t>
      </w:r>
      <w:r w:rsidR="00206B6C" w:rsidRPr="00037ACB">
        <w:rPr>
          <w:rFonts w:cs="Times New Roman"/>
        </w:rPr>
        <w:t xml:space="preserve"> </w:t>
      </w:r>
      <w:r w:rsidRPr="00037ACB">
        <w:rPr>
          <w:rFonts w:cs="Times New Roman"/>
        </w:rPr>
        <w:t xml:space="preserve">food supplies </w:t>
      </w:r>
      <w:r w:rsidR="008833E3">
        <w:rPr>
          <w:rFonts w:cs="Times New Roman"/>
        </w:rPr>
        <w:fldChar w:fldCharType="begin"/>
      </w:r>
      <w:r w:rsidR="008833E3">
        <w:rPr>
          <w:rFonts w:cs="Times New Roman"/>
        </w:rPr>
        <w:instrText xml:space="preserve"> ADDIN ZOTERO_ITEM CSL_CITATION {"citationID":"Hi6muSXd","properties":{"formattedCitation":"(Ratnasiri, 2008)","plainCitation":"(Ratnasiri, 2008)","noteIndex":0},"citationItems":[{"id":4,"uris":["http://zotero.org/users/local/kjHHoAYm/items/UZP8RKE7"],"itemData":{"id":4,"type":"article-journal","container-title":"Journal of the National Science Foundation of Sri Lanka","DOI":"10.4038/jnsfsr.v36i2.142","ISSN":"2362-0161, 1391-4588","issue":"2","journalAbbreviation":"J. Natn. Sci. Foundation Sri Lanka","page":"115","source":"DOI.org (Crossref)","title":"The challenge of improving food supply","volume":"36","author":[{"family":"Ratnasiri","given":"Nalini"}],"issued":{"date-parts":[["2008",6,25]]}}}],"schema":"https://github.com/citation-style-language/schema/raw/master/csl-citation.json"} </w:instrText>
      </w:r>
      <w:r w:rsidR="008833E3">
        <w:rPr>
          <w:rFonts w:cs="Times New Roman"/>
        </w:rPr>
        <w:fldChar w:fldCharType="separate"/>
      </w:r>
      <w:r w:rsidR="00B015B5" w:rsidRPr="00B015B5">
        <w:rPr>
          <w:rFonts w:cs="Times New Roman"/>
        </w:rPr>
        <w:t>(Ratnasiri, 2008)</w:t>
      </w:r>
      <w:r w:rsidR="008833E3">
        <w:rPr>
          <w:rFonts w:cs="Times New Roman"/>
        </w:rPr>
        <w:fldChar w:fldCharType="end"/>
      </w:r>
      <w:r w:rsidRPr="00037ACB">
        <w:rPr>
          <w:rFonts w:cs="Times New Roman"/>
        </w:rPr>
        <w:t xml:space="preserve"> such as beef is increasing over </w:t>
      </w:r>
      <w:r w:rsidR="00D773CC" w:rsidRPr="00037ACB">
        <w:rPr>
          <w:rFonts w:cs="Times New Roman"/>
        </w:rPr>
        <w:t xml:space="preserve">time </w:t>
      </w:r>
      <w:r w:rsidR="008833E3">
        <w:rPr>
          <w:rFonts w:cs="Times New Roman"/>
        </w:rPr>
        <w:fldChar w:fldCharType="begin"/>
      </w:r>
      <w:r w:rsidR="008833E3">
        <w:rPr>
          <w:rFonts w:cs="Times New Roman"/>
        </w:rPr>
        <w:instrText xml:space="preserve"> ADDIN ZOTERO_ITEM CSL_CITATION {"citationID":"3lVLdDoK","properties":{"formattedCitation":"(Suryani et al., 2016)","plainCitation":"(Suryani et al., 2016)","noteIndex":0},"citationItems":[{"id":6,"uris":["http://zotero.org/users/local/kjHHoAYm/items/LQBERXJM"],"itemData":{"id":6,"type":"article-journal","abstract":"Sustainable food supply chain is required to mitigate supply chain risks, reinforce long-term supplier relationships and build stakeholder and customer trusts. It has a significant role in social welfare, political stability, and economic growth. In this research, we treated beef as a commodity, based on consideration that the demand of this commodity continues to increase in line with population growth and the needs of processed food industries. On the other hand, the supply of this commodity tends to decline. Currently beef production in Indonesia covers only about 60% of the need, i.e. the rest is imported. The beef supply chain is too long, and the demand surges during Eid festivities causing shortages of beef in the market. There is a need to design a program that is strategic and systematic to anticipate shortages of beef production as importing beef product is unable to resolve the issue. One of the problem-solving efforts that can be done is to improve supply chain management. There is a need to plan, build, and integrate aspects of \"production-distribution-consumption” at the national level by identifying the stakeholders including regions and distribution channels.  By considering the aforementioned problems, the beef supply chain can be improved with the support of simulation model to assess the existing system and to develop some scenarios to improve the system performance. We utilized system dynamics model to accommodate several key variables or parameters that have significant contribution to strategic sustainable development of food supply chain, such as changes and uncertainties in supply (caused by climate change), demand, distribution, as well as internal and external business factors. The research results show that national demand can be fulfilled through several strategic initiatives.","container-title":"Jurnal Teknologi","DOI":"10.11113/jt.v78.9609","ISSN":"2180-3722, 0127-9696","issue":"9","journalAbbreviation":"Jurnal Teknologi","source":"DOI.org (Crossref)","title":"DYNAMIC SIMULATION MODEL OF BEEF SUPPLY CHAIN TO FULFILL NATIONAL DEMAND","URL":"https://journals.utm.my/index.php/jurnalteknologi/article/view/9609","volume":"78","author":[{"family":"Suryani","given":"Erma"},{"family":"Hendrawan","given":"Rully Agus"},{"family":"Muhandhis","given":"Isnaini"},{"family":"Puspa Dewi","given":"Lily"}],"accessed":{"date-parts":[["2025",2,16]]},"issued":{"date-parts":[["2016",8,28]]}}}],"schema":"https://github.com/citation-style-language/schema/raw/master/csl-citation.json"} </w:instrText>
      </w:r>
      <w:r w:rsidR="008833E3">
        <w:rPr>
          <w:rFonts w:cs="Times New Roman"/>
        </w:rPr>
        <w:fldChar w:fldCharType="separate"/>
      </w:r>
      <w:r w:rsidR="00B015B5" w:rsidRPr="00B015B5">
        <w:rPr>
          <w:rFonts w:cs="Times New Roman"/>
        </w:rPr>
        <w:t>(Suryani et al., 2016)</w:t>
      </w:r>
      <w:r w:rsidR="008833E3">
        <w:rPr>
          <w:rFonts w:cs="Times New Roman"/>
        </w:rPr>
        <w:fldChar w:fldCharType="end"/>
      </w:r>
      <w:r w:rsidRPr="00037ACB">
        <w:rPr>
          <w:rFonts w:cs="Times New Roman"/>
        </w:rPr>
        <w:t xml:space="preserve">. In </w:t>
      </w:r>
      <w:r w:rsidR="00206B6C">
        <w:rPr>
          <w:rFonts w:cs="Times New Roman"/>
        </w:rPr>
        <w:t>addition</w:t>
      </w:r>
      <w:r w:rsidRPr="00037ACB">
        <w:rPr>
          <w:rFonts w:cs="Times New Roman"/>
        </w:rPr>
        <w:t xml:space="preserve">, political strategies aiming for more sustainable or climate-smart strategies are being adopted </w:t>
      </w:r>
      <w:r w:rsidR="00242631">
        <w:rPr>
          <w:rFonts w:cs="Times New Roman"/>
        </w:rPr>
        <w:fldChar w:fldCharType="begin"/>
      </w:r>
      <w:r w:rsidR="00242631">
        <w:rPr>
          <w:rFonts w:cs="Times New Roman"/>
        </w:rPr>
        <w:instrText xml:space="preserve"> ADDIN ZOTERO_ITEM CSL_CITATION {"citationID":"jxAan10A","properties":{"formattedCitation":"(Chandra &amp; Shmelev, 2017; Newell &amp; Taylor, 2018)","plainCitation":"(Chandra &amp; Shmelev, 2017; Newell &amp; Taylor, 2018)","noteIndex":0},"citationItems":[{"id":8,"uris":["http://zotero.org/users/local/kjHHoAYm/items/NG8WWUK5"],"itemData":{"id":8,"type":"article-journal","container-title":"Journal of Political Ecology","DOI":"10.2458/v24i1.20969","ISSN":"1073-0451","issue":"1","license":"https://creativecommons.org/licenses/by/4.0","source":"DOI.org (Crossref)","title":"The relevance of political ecology perspectives for smallholder Climate-Smart Agriculture: a review","title-short":"The relevance of political ecology perspectives for smallholder Climate-Smart Agriculture","URL":"http://journals.librarypublishing.arizona.edu/jpe/article/id/2029/","volume":"24","author":[{"family":"Chandra","given":"Alvin"},{"family":"Shmelev","given":"Stanislav"}],"accessed":{"date-parts":[["2025",2,16]]},"issued":{"date-parts":[["2017",9,27]]}}},{"id":10,"uris":["http://zotero.org/users/local/kjHHoAYm/items/4KM6FLAB"],"itemData":{"id":10,"type":"article-journal","container-title":"The Journal of Peasant Studies","DOI":"10.1080/03066150.2017.1324426","ISSN":"0306-6150, 1743-9361","issue":"1","journalAbbreviation":"The Journal of Peasant Studies","language":"en","page":"108-129","source":"DOI.org (Crossref)","title":"Contested landscapes: the global political economy of climate-smart agriculture","title-short":"Contested landscapes","volume":"45","author":[{"family":"Newell","given":"Peter"},{"family":"Taylor","given":"Olivia"}],"issued":{"date-parts":[["2018",1,2]]}}}],"schema":"https://github.com/citation-style-language/schema/raw/master/csl-citation.json"} </w:instrText>
      </w:r>
      <w:r w:rsidR="00242631">
        <w:rPr>
          <w:rFonts w:cs="Times New Roman"/>
        </w:rPr>
        <w:fldChar w:fldCharType="separate"/>
      </w:r>
      <w:r w:rsidR="00B015B5" w:rsidRPr="00B015B5">
        <w:rPr>
          <w:rFonts w:cs="Times New Roman"/>
        </w:rPr>
        <w:t>(Chandra &amp; Shmelev, 2017; Newell &amp; Taylor, 2018)</w:t>
      </w:r>
      <w:r w:rsidR="00242631">
        <w:rPr>
          <w:rFonts w:cs="Times New Roman"/>
        </w:rPr>
        <w:fldChar w:fldCharType="end"/>
      </w:r>
      <w:r w:rsidRPr="00037ACB">
        <w:rPr>
          <w:rFonts w:cs="Times New Roman"/>
        </w:rPr>
        <w:t xml:space="preserve">. These strategies are not only exclusive to new technologies or products but also to increase overall system efficiency </w:t>
      </w:r>
      <w:r w:rsidR="0020481F">
        <w:rPr>
          <w:rFonts w:cs="Times New Roman"/>
        </w:rPr>
        <w:fldChar w:fldCharType="begin"/>
      </w:r>
      <w:r w:rsidR="0020481F">
        <w:rPr>
          <w:rFonts w:cs="Times New Roman"/>
        </w:rPr>
        <w:instrText xml:space="preserve"> ADDIN ZOTERO_ITEM CSL_CITATION {"citationID":"6gjMOpNo","properties":{"formattedCitation":"(Erekalo et al., 2024)","plainCitation":"(Erekalo et al., 2024)","noteIndex":0},"citationItems":[{"id":12,"uris":["http://zotero.org/users/local/kjHHoAYm/items/FLT5SZVA"],"itemData":{"id":12,"type":"article-journal","container-title":"Smart Agricultural Technology","DOI":"10.1016/j.atech.2024.100413","ISSN":"27723755","journalAbbreviation":"Smart Agricultural Technology","language":"en","page":"100413","source":"DOI.org (Crossref)","title":"Review on the contribution of farming practices and technologies towards climate-smart agricultural outcomes in a European context","volume":"7","author":[{"family":"Erekalo","given":"Kassa Tarekegn"},{"family":"Pedersen","given":"Søren Marcus"},{"family":"Christensen","given":"Tove"},{"family":"Denver","given":"Sigrid"},{"family":"Gemtou","given":"Marilena"},{"family":"Fountas","given":"Spyros"},{"family":"Isakhanyan","given":"Gohar"}],"issued":{"date-parts":[["2024",3]]}}}],"schema":"https://github.com/citation-style-language/schema/raw/master/csl-citation.json"} </w:instrText>
      </w:r>
      <w:r w:rsidR="0020481F">
        <w:rPr>
          <w:rFonts w:cs="Times New Roman"/>
        </w:rPr>
        <w:fldChar w:fldCharType="separate"/>
      </w:r>
      <w:r w:rsidR="00B015B5" w:rsidRPr="00B015B5">
        <w:rPr>
          <w:rFonts w:cs="Times New Roman"/>
        </w:rPr>
        <w:t>(Erekalo et al., 2024)</w:t>
      </w:r>
      <w:r w:rsidR="0020481F">
        <w:rPr>
          <w:rFonts w:cs="Times New Roman"/>
        </w:rPr>
        <w:fldChar w:fldCharType="end"/>
      </w:r>
      <w:r w:rsidRPr="00037ACB">
        <w:rPr>
          <w:rFonts w:cs="Times New Roman"/>
        </w:rPr>
        <w:t>.</w:t>
      </w:r>
    </w:p>
    <w:p w14:paraId="75114D61" w14:textId="17540E2E" w:rsidR="00AF1BB0" w:rsidRPr="00037ACB" w:rsidRDefault="009A2EAB" w:rsidP="00995917">
      <w:pPr>
        <w:spacing w:line="480" w:lineRule="auto"/>
        <w:ind w:firstLine="720"/>
        <w:rPr>
          <w:rFonts w:cs="Times New Roman"/>
          <w:b/>
          <w:bCs/>
          <w:iCs/>
        </w:rPr>
      </w:pPr>
      <w:r w:rsidRPr="00037ACB">
        <w:rPr>
          <w:rFonts w:cs="Times New Roman"/>
        </w:rPr>
        <w:t>There are several ways to increase the efficiency and sustainability of g</w:t>
      </w:r>
      <w:r w:rsidR="00AF1BB0" w:rsidRPr="00037ACB">
        <w:rPr>
          <w:rFonts w:cs="Times New Roman"/>
        </w:rPr>
        <w:t xml:space="preserve">rasslands </w:t>
      </w:r>
      <w:r w:rsidR="002A64C1">
        <w:rPr>
          <w:rFonts w:cs="Times New Roman"/>
        </w:rPr>
        <w:fldChar w:fldCharType="begin"/>
      </w:r>
      <w:r w:rsidR="00383FB4">
        <w:rPr>
          <w:rFonts w:cs="Times New Roman"/>
        </w:rPr>
        <w:instrText xml:space="preserve"> ADDIN ZOTERO_ITEM CSL_CITATION {"citationID":"bYxOm3ei","properties":{"formattedCitation":"(McCloud &amp; Mott, 1953; Petersen et al., 1965)","plainCitation":"(McCloud &amp; Mott, 1953; Petersen et al., 1965)","dontUpdate":true,"noteIndex":0},"citationItems":[{"id":14,"uris":["http://zotero.org/users/local/kjHHoAYm/items/UWPLU4BH"],"itemData":{"id":14,"type":"article-journal","container-title":"Agronomy Journal","DOI":"10.2134/agronj1953.00021962004500020006x","ISSN":"0002-1962, 1435-0645","issue":"2","journalAbbreviation":"Agronomy Journal","language":"en","license":"http://onlinelibrary.wiley.com/termsAndConditions#vor","page":"61-65","source":"DOI.org (Crossref)","title":"Influence of Association Upon the Forage Yield of Legume‐grass Mixtures&lt;sup&gt;1&lt;/sup&gt;","volume":"45","author":[{"family":"McCloud","given":"D. E."},{"family":"Mott","given":"G. O."}],"issued":{"date-parts":[["1953",2]]}}},{"id":13,"uris":["http://zotero.org/users/local/kjHHoAYm/items/EZQQBHUZ"],"itemData":{"id":13,"type":"article-journal","abstract":"Synopsis\n            Quantitative theory indicates that gain per animal is constant as stocking rate is increased to a “critical” point. Beyond this point gain per head is inversely related to stocking rate. Gain per acre increases linearly as stocking rate is increased to the “critical” point, then decreases linearly with further increases in stocking rate.","container-title":"Agronomy Journal","DOI":"10.2134/agronj1965.00021962005700010010x","ISSN":"0002-1962, 1435-0645","issue":"1","journalAbbreviation":"Agronomy Journal","language":"en","license":"http://onlinelibrary.wiley.com/termsAndConditions#vor","page":"27-30","source":"DOI.org (Crossref)","title":"Relationship Between Rate of Stocking and Per Animal and Per Acre Performance on Pasture&lt;sup&gt;1&lt;/sup&gt;","volume":"57","author":[{"family":"Petersen","given":"R. G."},{"family":"Lucas","given":"H. L."},{"family":"Mott","given":"G. O."}],"issued":{"date-parts":[["1965",1]]}}}],"schema":"https://github.com/citation-style-language/schema/raw/master/csl-citation.json"} </w:instrText>
      </w:r>
      <w:r w:rsidR="002A64C1">
        <w:rPr>
          <w:rFonts w:cs="Times New Roman"/>
        </w:rPr>
        <w:fldChar w:fldCharType="separate"/>
      </w:r>
      <w:r w:rsidR="002A64C1" w:rsidRPr="002A64C1">
        <w:rPr>
          <w:rFonts w:cs="Times New Roman"/>
        </w:rPr>
        <w:t>(McCloud &amp; Mott, 1953;</w:t>
      </w:r>
      <w:r w:rsidR="00202604">
        <w:rPr>
          <w:rFonts w:cs="Times New Roman"/>
        </w:rPr>
        <w:t xml:space="preserve"> Mott</w:t>
      </w:r>
      <w:r w:rsidR="003C41B8">
        <w:rPr>
          <w:rFonts w:cs="Times New Roman"/>
        </w:rPr>
        <w:t>.,1960;</w:t>
      </w:r>
      <w:r w:rsidR="002A64C1" w:rsidRPr="002A64C1">
        <w:rPr>
          <w:rFonts w:cs="Times New Roman"/>
        </w:rPr>
        <w:t xml:space="preserve"> Petersen et al., 1965)</w:t>
      </w:r>
      <w:r w:rsidR="002A64C1">
        <w:rPr>
          <w:rFonts w:cs="Times New Roman"/>
        </w:rPr>
        <w:fldChar w:fldCharType="end"/>
      </w:r>
      <w:r w:rsidR="00AF1BB0" w:rsidRPr="00037ACB">
        <w:rPr>
          <w:rFonts w:cs="Times New Roman"/>
        </w:rPr>
        <w:t xml:space="preserve">, </w:t>
      </w:r>
      <w:r w:rsidR="00206B6C">
        <w:rPr>
          <w:rFonts w:cs="Times New Roman"/>
        </w:rPr>
        <w:t>either by ensuring</w:t>
      </w:r>
      <w:r w:rsidR="00AF1BB0" w:rsidRPr="00037ACB">
        <w:rPr>
          <w:rFonts w:cs="Times New Roman"/>
        </w:rPr>
        <w:t xml:space="preserve"> nutrients such as </w:t>
      </w:r>
      <w:r w:rsidRPr="00037ACB">
        <w:rPr>
          <w:rFonts w:cs="Times New Roman"/>
        </w:rPr>
        <w:t xml:space="preserve">nitrogen </w:t>
      </w:r>
      <w:r w:rsidR="00AF1BB0" w:rsidRPr="00037ACB">
        <w:rPr>
          <w:rFonts w:cs="Times New Roman"/>
        </w:rPr>
        <w:t xml:space="preserve">(N) </w:t>
      </w:r>
      <w:r w:rsidR="0099249C">
        <w:rPr>
          <w:rFonts w:cs="Times New Roman"/>
        </w:rPr>
        <w:fldChar w:fldCharType="begin"/>
      </w:r>
      <w:r w:rsidR="0099249C">
        <w:rPr>
          <w:rFonts w:cs="Times New Roman"/>
        </w:rPr>
        <w:instrText xml:space="preserve"> ADDIN ZOTERO_ITEM CSL_CITATION {"citationID":"nyMsvHdC","properties":{"formattedCitation":"(De Almeida et al., 2024)","plainCitation":"(De Almeida et al., 2024)","noteIndex":0},"citationItems":[{"id":15,"uris":["http://zotero.org/users/local/kjHHoAYm/items/3RBFQ9I4"],"itemData":{"id":15,"type":"article-journal","abstract":"Abstract\n            \n              Grazing management and nitrogen fertilisation may affect forage accumulation (FA), nutritive value, and grazing efficiency (GE) of the highly productive ‘Zuri’ guineagrass [\n              Megathyrsus maximus\n              (Jacq.) B.K.Simon &amp; S.W.L. Jacobs syn.\n              Panicum maximum\n              Jacq.]. The objective of this study was to assess the effects of pre‐graze canopy heights [55 and 75 cm (H55 and H75, respectively)] and N fertilisation rates [150 and 300 kg N ha\n              −1\n               year\n              −1\n              (N150 and N300, respectively)] on FA, GE, grazing losses (GL), and nutritive value of Zuri under rotational stocking. The stubble height was 50% of the pre‐graze canopy height. The total FA was 20% greater under H75 than H55 (22,120 vs. 18,370 kg DM ha\n              −1\n               year\n              −1\n              ), as well as the GL was greater under H75 (85%) than under H55 (79%). Regardless of pre‐graze height, the upper stratum of the canopy was composed mostly of leaves contributing to similar crude protein (CP) (142 g kg\n              −1\n              ) and in vitro digestible organic matter (IVDOM) (559 g kg\n              −1\n              ) concentrations. Greater N rate (N300) increased FA (23,500 vs. 16,980 kg DM ha\n              −1\n               year\n              −1\n              ) and resulted in greater GE (84% vs. 80%) compared to N150. The CP and IVDOM concentrations under N300 (157 and 571 g kg\n              −1\n              , respectively) were greater than under N150 (128 and 547 g kg\n              −1\n              ). Zuri guineagrass grazed at H75 has great FA and GE, maintaining a similar forage nutritive value compared to H55.","container-title":"Grass and Forage Science","DOI":"10.1111/gfs.12672","ISSN":"0142-5242, 1365-2494","issue":"2","journalAbbreviation":"Grass and Forage Science","language":"en","page":"308-317","source":"DOI.org (Crossref)","title":"Forage accumulation, nutritive value, and grazing efficiency on rotationally stocked ‘ &lt;span style=\"font-variant:small-caps;\"&gt;Zuri&lt;/span&gt; ’ guineagrass pastures as affected by pre‐graze canopy height and &lt;span style=\"font-variant:small-caps;\"&gt;N&lt;/span&gt; rate","title-short":"Forage accumulation, nutritive value, and grazing efficiency on rotationally stocked ‘ &lt;span style=\"font-variant","volume":"79","author":[{"family":"De Almeida","given":"Otávio Goulart"},{"family":"Pedreira","given":"Carlos Guilherme Silveira"},{"family":"De Assis","given":"Juliana Aparecida"},{"family":"Da Silva","given":"Valdson José"},{"family":"Pedreira","given":"Bruno Carneiro E"}],"issued":{"date-parts":[["2024",6]]}}}],"schema":"https://github.com/citation-style-language/schema/raw/master/csl-citation.json"} </w:instrText>
      </w:r>
      <w:r w:rsidR="0099249C">
        <w:rPr>
          <w:rFonts w:cs="Times New Roman"/>
        </w:rPr>
        <w:fldChar w:fldCharType="separate"/>
      </w:r>
      <w:r w:rsidR="00B015B5" w:rsidRPr="00B015B5">
        <w:rPr>
          <w:rFonts w:cs="Times New Roman"/>
        </w:rPr>
        <w:t>(De Almeida et al., 2024)</w:t>
      </w:r>
      <w:r w:rsidR="0099249C">
        <w:rPr>
          <w:rFonts w:cs="Times New Roman"/>
        </w:rPr>
        <w:fldChar w:fldCharType="end"/>
      </w:r>
      <w:r w:rsidR="00AF1BB0" w:rsidRPr="00037ACB">
        <w:rPr>
          <w:rFonts w:cs="Times New Roman"/>
        </w:rPr>
        <w:t xml:space="preserve"> </w:t>
      </w:r>
      <w:r w:rsidR="00206B6C">
        <w:rPr>
          <w:rFonts w:cs="Times New Roman"/>
        </w:rPr>
        <w:t xml:space="preserve">are available </w:t>
      </w:r>
      <w:r w:rsidR="00AF1BB0" w:rsidRPr="00037ACB">
        <w:rPr>
          <w:rFonts w:cs="Times New Roman"/>
        </w:rPr>
        <w:t xml:space="preserve">in the system but also </w:t>
      </w:r>
      <w:r w:rsidR="00206B6C">
        <w:rPr>
          <w:rFonts w:cs="Times New Roman"/>
        </w:rPr>
        <w:t xml:space="preserve">by </w:t>
      </w:r>
      <w:r w:rsidRPr="00037ACB">
        <w:rPr>
          <w:rFonts w:cs="Times New Roman"/>
        </w:rPr>
        <w:t xml:space="preserve">incorporating </w:t>
      </w:r>
      <w:r w:rsidR="00AF1BB0" w:rsidRPr="00037ACB">
        <w:rPr>
          <w:rFonts w:cs="Times New Roman"/>
        </w:rPr>
        <w:t xml:space="preserve">different management practices such as rotational grazing </w:t>
      </w:r>
      <w:r w:rsidR="0099249C">
        <w:rPr>
          <w:rFonts w:cs="Times New Roman"/>
        </w:rPr>
        <w:fldChar w:fldCharType="begin"/>
      </w:r>
      <w:r w:rsidR="0099249C">
        <w:rPr>
          <w:rFonts w:cs="Times New Roman"/>
        </w:rPr>
        <w:instrText xml:space="preserve"> ADDIN ZOTERO_ITEM CSL_CITATION {"citationID":"rXbhce52","properties":{"formattedCitation":"(Crestani et al., 2022)","plainCitation":"(Crestani et al., 2022)","noteIndex":0},"citationItems":[{"id":16,"uris":["http://zotero.org/users/local/kjHHoAYm/items/UCGC6ZFJ"],"itemData":{"id":16,"type":"article-journal","abstract":"Context   Integrated crop–livestock–forestry systems can be an alternative to monoculture pastures; however, the effect of the arboreal component on tillering and tussock dynamics of understorey grass canopy is not well understood.     Aims   Our objective was to evaluate the patterns of tillering dynamics, population stability and tussock distribution of Piatã palisadegrass (Urochloa brizantha) as affected by contrasting shading regimes in the Brazilian Amazon biome.     Methods   The following three shading regimes were assessed: pasture with no trees (no shading, NS), moderate shading (MS, 338 trees ha−1), and intense shading (IS, 714 trees ha−1). Pastures were rotationally grazed by dairy heifers. Paddocks from MS and IS were stratified into three sampling strips, including two closer to the tree rows (i.e. lateral) and one between the two lateral strips (i.e. central). Two methods for monitoring sward canopy light interception (LI) were used for IS regime, namely, LI taken under the tree canopy (i.e. inside) and LI was taken above the tree canopy (i.e. outside).     Key results   Relative to NS, there was a reduction in photosynthetically active radiation transmittance of 18.1% and 37.1% on MS and 49.9% and 52.0% on IS for central and lateral shading strips respectively. Overall, the increase in shading level was associated with a decrease in average tussock perimeter, tiller population density, and an increase in the frequency of bare ground.     Conclusions   Our findings clearly indicate the key role of the light environment as a determinant of Piatã palisadegrass horizontal structure.     Implications   It highlights the importance of planning the levels of tree density and layout in areas of crop–livestock–forestry integration.","container-title":"Crop &amp; Pasture Science","DOI":"10.1071/CP21184","ISSN":"1836-0947, 1836-5795","issue":"3","journalAbbreviation":"Crop &amp; Pasture Science","language":"en","page":"273-284","source":"DOI.org (Crossref)","title":"Tussock and tiller population dynamics on rotationally stocked Piatã palisadegrass (","volume":"73","author":[{"family":"Crestani","given":"Steben"},{"family":"Congio","given":"Guilhermo Francklin De Souza"},{"family":"Mascheroni","given":"Jorge Daniel Caballero"},{"family":"Geremia","given":"Eliana Vera"},{"family":"Carnevalli","given":"Roberta Aparecida"},{"family":"Mourão","given":"Gerson Barreto"},{"family":"Da Silva","given":"Sila Carneiro"}],"editor":[{"family":"Reed","given":"Kevin"}],"issued":{"date-parts":[["2022",2,4]]}}}],"schema":"https://github.com/citation-style-language/schema/raw/master/csl-citation.json"} </w:instrText>
      </w:r>
      <w:r w:rsidR="0099249C">
        <w:rPr>
          <w:rFonts w:cs="Times New Roman"/>
        </w:rPr>
        <w:fldChar w:fldCharType="separate"/>
      </w:r>
      <w:r w:rsidR="00B015B5" w:rsidRPr="00B015B5">
        <w:rPr>
          <w:rFonts w:cs="Times New Roman"/>
        </w:rPr>
        <w:t>(Crestani et al., 2022)</w:t>
      </w:r>
      <w:r w:rsidR="0099249C">
        <w:rPr>
          <w:rFonts w:cs="Times New Roman"/>
        </w:rPr>
        <w:fldChar w:fldCharType="end"/>
      </w:r>
      <w:r w:rsidR="00AF1BB0" w:rsidRPr="00037ACB">
        <w:rPr>
          <w:rFonts w:cs="Times New Roman"/>
        </w:rPr>
        <w:t xml:space="preserve"> or intercropping </w:t>
      </w:r>
      <w:r w:rsidR="0099249C">
        <w:rPr>
          <w:rFonts w:cs="Times New Roman"/>
        </w:rPr>
        <w:fldChar w:fldCharType="begin"/>
      </w:r>
      <w:r w:rsidR="0099249C">
        <w:rPr>
          <w:rFonts w:cs="Times New Roman"/>
        </w:rPr>
        <w:instrText xml:space="preserve"> ADDIN ZOTERO_ITEM CSL_CITATION {"citationID":"mOQNT0R3","properties":{"formattedCitation":"(Nave et al., 2025)","plainCitation":"(Nave et al., 2025)","noteIndex":0},"citationItems":[{"id":17,"uris":["http://zotero.org/users/local/kjHHoAYm/items/645V94JF"],"itemData":{"id":17,"type":"article-journal","abstract":"Abstract\n            \n              The introduction of legumes such as alfalfa (\n              \n                Medicago sativa\n              \n              L.) into forage systems is a sustainable alternative to pasture restoration by adding biologically fixed N and contributing to the biodiversity of the system. Also, crabgrass (\n              \n                Digitaria sanguinalis\n              \n              L.; [CG]) is known as a grass weed but has the potential to maintain forage mass (FM) during the summer contributing to restoration. Different experiments were carried out in Spring Hill, TN for 2 years each in tall fescue (\n              \n                Schedonorus arundinaceus\n              \n              [Schreb.] Dumort; [TF]) or orchardgrass (\n              \n                Dactylis glomerata\n              \n              L. [OG]), with the addition of alfalfa and CG. For each grass sward, two separate pastures were selected, and treatments were established in different years, totaling four different experiments [two Establishments (EST 1 and EST 2) for TF and OG]. The treatments imposed were (1) control (C), (2) synthetic N fertilization (SNF), (3) fall seeding of alfalfa (FA), (4) spring seeding of alfalfa (SA), (5) fall seeding of alfalfa + CG (FA + CG) and (6) spring seeding of alfalfa + CG (SA + CG). Each experiment had four replications totaling 24 plots each, and measurements included botanical composition and FM. In the TF pastures, there was no presence of alfalfa documented (0%), and little CG was detected, due to its high competitiveness; meanwhile, FM was only increased when N fertilization was used in EST 2, 3391 kg DM/ha. The average FM for all treatments in EST 1 was 2476 kg DM/ha. The OG pastures showed the presence of both alfalfa and CG in their botanical composition, with N fertilization also showing higher FM (EST 1, 2705 kg DM/ha; EST 2, 2390 kg DM/ha). Thus, alfalfa and CG have the potential to improve OG swards, but more research is needed to assess different establishment methods of alfalfa into TF swards.","container-title":"Grassland Science","DOI":"10.1111/grs.12434","ISSN":"1744-6961, 1744-697X","issue":"1","journalAbbreviation":"Grassland Science","language":"en","page":"25-34","source":"DOI.org (Crossref)","title":"Restoring ecosystems in the southeastern United States by interseeding alfalfa in existing cool‐season grass pastures","volume":"71","author":[{"family":"Nave","given":"Renata La Guardia"},{"family":"De Almeida","given":"Otávio Goulart"},{"family":"Tucker","given":"Jennifer"},{"family":"Xiong","given":"Victoria"}],"issued":{"date-parts":[["2025",1]]}}}],"schema":"https://github.com/citation-style-language/schema/raw/master/csl-citation.json"} </w:instrText>
      </w:r>
      <w:r w:rsidR="0099249C">
        <w:rPr>
          <w:rFonts w:cs="Times New Roman"/>
        </w:rPr>
        <w:fldChar w:fldCharType="separate"/>
      </w:r>
      <w:r w:rsidR="00B015B5" w:rsidRPr="00B015B5">
        <w:rPr>
          <w:rFonts w:cs="Times New Roman"/>
        </w:rPr>
        <w:t>(Nave et al., 2025)</w:t>
      </w:r>
      <w:r w:rsidR="0099249C">
        <w:rPr>
          <w:rFonts w:cs="Times New Roman"/>
        </w:rPr>
        <w:fldChar w:fldCharType="end"/>
      </w:r>
      <w:r w:rsidR="00AF1BB0" w:rsidRPr="00037ACB">
        <w:rPr>
          <w:rFonts w:cs="Times New Roman"/>
        </w:rPr>
        <w:t xml:space="preserve">. In fact, research related to </w:t>
      </w:r>
      <w:r w:rsidR="00206B6C">
        <w:rPr>
          <w:rFonts w:cs="Times New Roman"/>
        </w:rPr>
        <w:t xml:space="preserve">pasture </w:t>
      </w:r>
      <w:r w:rsidR="00AF1BB0" w:rsidRPr="00037ACB">
        <w:rPr>
          <w:rFonts w:cs="Times New Roman"/>
        </w:rPr>
        <w:t xml:space="preserve">management practices resulting in </w:t>
      </w:r>
      <w:r w:rsidRPr="00037ACB">
        <w:rPr>
          <w:rFonts w:cs="Times New Roman"/>
        </w:rPr>
        <w:t xml:space="preserve">improved </w:t>
      </w:r>
      <w:r w:rsidR="00AF1BB0" w:rsidRPr="00037ACB">
        <w:rPr>
          <w:rFonts w:cs="Times New Roman"/>
        </w:rPr>
        <w:t>production</w:t>
      </w:r>
      <w:r w:rsidRPr="00037ACB">
        <w:rPr>
          <w:rFonts w:cs="Times New Roman"/>
        </w:rPr>
        <w:t xml:space="preserve"> systems</w:t>
      </w:r>
      <w:r w:rsidR="00AF1BB0" w:rsidRPr="00037ACB">
        <w:rPr>
          <w:rFonts w:cs="Times New Roman"/>
        </w:rPr>
        <w:t xml:space="preserve"> goes back</w:t>
      </w:r>
      <w:r w:rsidR="0099249C">
        <w:rPr>
          <w:rFonts w:cs="Times New Roman"/>
        </w:rPr>
        <w:t xml:space="preserve"> over 50 years</w:t>
      </w:r>
      <w:r w:rsidR="00AF1BB0" w:rsidRPr="00037ACB">
        <w:rPr>
          <w:rFonts w:cs="Times New Roman"/>
        </w:rPr>
        <w:t>.</w:t>
      </w:r>
    </w:p>
    <w:p w14:paraId="4B2D83A9" w14:textId="3416D918" w:rsidR="00AF1BB0" w:rsidRPr="00037ACB" w:rsidRDefault="00AF1BB0" w:rsidP="00995917">
      <w:pPr>
        <w:spacing w:line="480" w:lineRule="auto"/>
        <w:ind w:firstLine="720"/>
        <w:rPr>
          <w:rFonts w:cs="Times New Roman"/>
        </w:rPr>
      </w:pPr>
      <w:r w:rsidRPr="00037ACB">
        <w:rPr>
          <w:rFonts w:cs="Times New Roman"/>
        </w:rPr>
        <w:t>The area</w:t>
      </w:r>
      <w:r w:rsidR="009A2EAB" w:rsidRPr="00037ACB">
        <w:rPr>
          <w:rFonts w:cs="Times New Roman"/>
        </w:rPr>
        <w:t>s</w:t>
      </w:r>
      <w:r w:rsidRPr="00037ACB">
        <w:rPr>
          <w:rFonts w:cs="Times New Roman"/>
        </w:rPr>
        <w:t xml:space="preserve"> dedicated to grassland</w:t>
      </w:r>
      <w:r w:rsidR="009A2EAB" w:rsidRPr="00037ACB">
        <w:rPr>
          <w:rFonts w:cs="Times New Roman"/>
        </w:rPr>
        <w:t>s</w:t>
      </w:r>
      <w:r w:rsidRPr="00037ACB">
        <w:rPr>
          <w:rFonts w:cs="Times New Roman"/>
        </w:rPr>
        <w:t xml:space="preserve"> in the US range </w:t>
      </w:r>
      <w:r w:rsidR="00D773CC" w:rsidRPr="00037ACB">
        <w:rPr>
          <w:rFonts w:cs="Times New Roman"/>
        </w:rPr>
        <w:t xml:space="preserve">around </w:t>
      </w:r>
      <w:r w:rsidR="00C27AD4">
        <w:rPr>
          <w:rFonts w:cs="Times New Roman"/>
        </w:rPr>
        <w:t>267</w:t>
      </w:r>
      <w:r w:rsidR="00D773CC" w:rsidRPr="00037ACB">
        <w:rPr>
          <w:rFonts w:cs="Times New Roman"/>
        </w:rPr>
        <w:t xml:space="preserve"> million ha</w:t>
      </w:r>
      <w:r w:rsidR="00C27AD4">
        <w:rPr>
          <w:rFonts w:cs="Times New Roman"/>
        </w:rPr>
        <w:t xml:space="preserve"> </w:t>
      </w:r>
      <w:r w:rsidR="00C27AD4">
        <w:rPr>
          <w:rFonts w:cs="Times New Roman"/>
        </w:rPr>
        <w:fldChar w:fldCharType="begin"/>
      </w:r>
      <w:r w:rsidR="00242631">
        <w:rPr>
          <w:rFonts w:cs="Times New Roman"/>
        </w:rPr>
        <w:instrText xml:space="preserve"> ADDIN ZOTERO_ITEM CSL_CITATION {"citationID":"LySU68GJ","properties":{"formattedCitation":"(Winters-Michaud, n.d.)","plainCitation":"(Winters-Michaud, n.d.)","dontUpdate":true,"noteIndex":0},"citationItems":[{"id":2,"uris":["http://zotero.org/users/local/kjHHoAYm/items/HPL87RMV"],"itemData":{"id":2,"type":"article-journal","abstract":"The United States has a total land area of 2.26 billion acres. In 2017, the major uses of land were grassland pasture and rangeland at 659 million acres (29 percent of the U.S. total), forest-use land at 622 million acres (28 percent), cropland at 390 million acres (17 percent), special uses (primarily parks and wildlife areas) at 318 million acres (14 percent), miscellaneous other uses (such as wetlands, tundra, and unproductive woodlands) at 197 million acres (9 percent), and urban land at 74 million acres (3 percent). This study presents findings from the most recent (2017) inventory of U.S. major land uses, drawing on data from the U.S. Department of Agriculture, the U.S. Department of Commerce, Bureau of the Census, the U.S. Department of Transportation, the U.S. Geological Survey, the U.S. Department of the Interior, and various other sources. The data sources are collected for each State to estimate the use of several broad classes and subclasses of agricultural and nonagricultural land over time. National and regional trends in land use are discussed using earlier major land-use estimates dating back to 1945.","language":"en","source":"Zotero","title":"Major Uses of Land in the United States, 2017","author":[{"family":"Winters-Michaud","given":"Clayton"}]}}],"schema":"https://github.com/citation-style-language/schema/raw/master/csl-citation.json"} </w:instrText>
      </w:r>
      <w:r w:rsidR="00C27AD4">
        <w:rPr>
          <w:rFonts w:cs="Times New Roman"/>
        </w:rPr>
        <w:fldChar w:fldCharType="separate"/>
      </w:r>
      <w:r w:rsidR="00C27AD4" w:rsidRPr="00C27AD4">
        <w:rPr>
          <w:rFonts w:cs="Times New Roman"/>
        </w:rPr>
        <w:t xml:space="preserve">(Winters-Michaud, </w:t>
      </w:r>
      <w:r w:rsidR="00C27AD4">
        <w:rPr>
          <w:rFonts w:cs="Times New Roman"/>
        </w:rPr>
        <w:t>2024</w:t>
      </w:r>
      <w:r w:rsidR="00C27AD4" w:rsidRPr="00C27AD4">
        <w:rPr>
          <w:rFonts w:cs="Times New Roman"/>
        </w:rPr>
        <w:t>)</w:t>
      </w:r>
      <w:r w:rsidR="00C27AD4">
        <w:rPr>
          <w:rFonts w:cs="Times New Roman"/>
        </w:rPr>
        <w:fldChar w:fldCharType="end"/>
      </w:r>
      <w:r w:rsidR="009A2EAB" w:rsidRPr="00037ACB">
        <w:rPr>
          <w:rFonts w:cs="Times New Roman"/>
        </w:rPr>
        <w:t>,</w:t>
      </w:r>
      <w:r w:rsidRPr="00037ACB">
        <w:rPr>
          <w:rFonts w:cs="Times New Roman"/>
        </w:rPr>
        <w:t xml:space="preserve"> </w:t>
      </w:r>
      <w:r w:rsidR="00C27AD4">
        <w:rPr>
          <w:rFonts w:cs="Times New Roman"/>
        </w:rPr>
        <w:t>supporting 86</w:t>
      </w:r>
      <w:r w:rsidR="009A57A5">
        <w:rPr>
          <w:rFonts w:cs="Times New Roman"/>
        </w:rPr>
        <w:t>.</w:t>
      </w:r>
      <w:r w:rsidR="00C27AD4">
        <w:rPr>
          <w:rFonts w:cs="Times New Roman"/>
        </w:rPr>
        <w:t>7</w:t>
      </w:r>
      <w:r w:rsidR="00D773CC" w:rsidRPr="00037ACB">
        <w:rPr>
          <w:rFonts w:cs="Times New Roman"/>
        </w:rPr>
        <w:t xml:space="preserve"> million</w:t>
      </w:r>
      <w:r w:rsidR="00C27AD4">
        <w:rPr>
          <w:rFonts w:cs="Times New Roman"/>
        </w:rPr>
        <w:t xml:space="preserve"> head</w:t>
      </w:r>
      <w:r w:rsidRPr="00037ACB">
        <w:rPr>
          <w:rFonts w:cs="Times New Roman"/>
        </w:rPr>
        <w:t xml:space="preserve"> of </w:t>
      </w:r>
      <w:r w:rsidR="00C27AD4">
        <w:rPr>
          <w:rFonts w:cs="Times New Roman"/>
        </w:rPr>
        <w:t>cattle</w:t>
      </w:r>
      <w:r w:rsidR="00D773CC" w:rsidRPr="00037ACB">
        <w:rPr>
          <w:rFonts w:cs="Times New Roman"/>
        </w:rPr>
        <w:t xml:space="preserve"> </w:t>
      </w:r>
      <w:r w:rsidRPr="00037ACB">
        <w:rPr>
          <w:rFonts w:cs="Times New Roman"/>
        </w:rPr>
        <w:t>(</w:t>
      </w:r>
      <w:r w:rsidR="003E5B8E" w:rsidRPr="00037ACB">
        <w:rPr>
          <w:rFonts w:cs="Times New Roman"/>
        </w:rPr>
        <w:t>USDA, 202</w:t>
      </w:r>
      <w:r w:rsidR="00C27AD4">
        <w:rPr>
          <w:rFonts w:cs="Times New Roman"/>
        </w:rPr>
        <w:t>5)</w:t>
      </w:r>
      <w:r w:rsidRPr="00037ACB">
        <w:rPr>
          <w:rFonts w:cs="Times New Roman"/>
        </w:rPr>
        <w:t>. Th</w:t>
      </w:r>
      <w:r w:rsidR="009A2EAB" w:rsidRPr="00037ACB">
        <w:rPr>
          <w:rFonts w:cs="Times New Roman"/>
        </w:rPr>
        <w:t>ese</w:t>
      </w:r>
      <w:r w:rsidRPr="00037ACB">
        <w:rPr>
          <w:rFonts w:cs="Times New Roman"/>
        </w:rPr>
        <w:t xml:space="preserve"> grassland</w:t>
      </w:r>
      <w:r w:rsidR="009A2EAB" w:rsidRPr="00037ACB">
        <w:rPr>
          <w:rFonts w:cs="Times New Roman"/>
        </w:rPr>
        <w:t>s</w:t>
      </w:r>
      <w:r w:rsidRPr="00037ACB">
        <w:rPr>
          <w:rFonts w:cs="Times New Roman"/>
        </w:rPr>
        <w:t xml:space="preserve"> </w:t>
      </w:r>
      <w:r w:rsidR="009A2EAB" w:rsidRPr="00037ACB">
        <w:rPr>
          <w:rFonts w:cs="Times New Roman"/>
        </w:rPr>
        <w:t xml:space="preserve">are </w:t>
      </w:r>
      <w:r w:rsidRPr="00037ACB">
        <w:rPr>
          <w:rFonts w:cs="Times New Roman"/>
        </w:rPr>
        <w:t>generally classified as temperate pasture ecosystem</w:t>
      </w:r>
      <w:r w:rsidR="009A2EAB" w:rsidRPr="00037ACB">
        <w:rPr>
          <w:rFonts w:cs="Times New Roman"/>
        </w:rPr>
        <w:t>s</w:t>
      </w:r>
      <w:r w:rsidRPr="00037ACB">
        <w:rPr>
          <w:rFonts w:cs="Times New Roman"/>
        </w:rPr>
        <w:t>,</w:t>
      </w:r>
      <w:r w:rsidR="009A2EAB" w:rsidRPr="00037ACB">
        <w:rPr>
          <w:rFonts w:cs="Times New Roman"/>
        </w:rPr>
        <w:t xml:space="preserve"> varying </w:t>
      </w:r>
      <w:r w:rsidRPr="00037ACB">
        <w:rPr>
          <w:rFonts w:cs="Times New Roman"/>
        </w:rPr>
        <w:t>greatly worldwide</w:t>
      </w:r>
      <w:r w:rsidR="00605CBD">
        <w:rPr>
          <w:rFonts w:cs="Times New Roman"/>
        </w:rPr>
        <w:t xml:space="preserve"> </w:t>
      </w:r>
      <w:r w:rsidR="00605CBD">
        <w:rPr>
          <w:rFonts w:cs="Times New Roman"/>
        </w:rPr>
        <w:fldChar w:fldCharType="begin"/>
      </w:r>
      <w:r w:rsidR="00605CBD">
        <w:rPr>
          <w:rFonts w:cs="Times New Roman"/>
        </w:rPr>
        <w:instrText xml:space="preserve"> ADDIN ZOTERO_ITEM CSL_CITATION {"citationID":"iZB5KVix","properties":{"formattedCitation":"(Sanderson et al., 2004)","plainCitation":"(Sanderson et al., 2004)","noteIndex":0},"citationItems":[{"id":20,"uris":["http://zotero.org/users/local/kjHHoAYm/items/GP6RQ94A"],"itemData":{"id":20,"type":"article-journal","abstract":"More than a century since Charles Darwin stated that diverse grasslands produce more herbage than monocultures, scientists still debate the relationship between species diversity and ecosystem function. Postulated benefits of diversity in experimental grasslands include greater and more stable primary production along with more efficient nutrient use. These benefits have been extrapolated to forage and grazing land systems with little supporting objective data. Most information on the potential benefits of increased plant diversity comes from studies of synthesized grasslands that have not included domestic grazing animals. We explore this debate relative to the management of temperate forage and grazing lands. Plant species diversity refers to the number of species (richness) and their relative abundance (evenness) within a defined area. Plant relations influence biodiversity responses through positive (e.g., facilitation, N\n              2\n              fixation, hydraulic lift) and negative interactions (e.g., competitive exclusion, allelopathy). Early 20th century research on complex mixtures of forage species (limited to grasses and legumes) for pasture indicated equivocal results regarding benefits of species‐rich mixtures and typically recommended using the best adapted species in simple grass–legume mixtures. Recent research indicates potential herbage yield benefits from species‐rich mixtures for pastures. Limited animal productivity research on species‐rich mixtures indicates variable responses and much more research is needed. Grazing land productivity is a primary focus for biodiversity benefits because of the direct economic relevance to producers. However, taking a broader view of the multifunctionality of grazing lands to include environmental and aesthetic benefits to humans reveals a great scope for using biodiversity in grazing land management.","container-title":"Crop Science","DOI":"10.2135/cropsci2004.1132","ISSN":"0011-183X, 1435-0653","issue":"4","journalAbbreviation":"Crop Science","language":"en","page":"1132-1144","source":"DOI.org (Crossref)","title":"Plant Species Diversity and Management of Temperate Forage and Grazing Land Ecosystems","volume":"44","author":[{"family":"Sanderson","given":"M. A."},{"family":"Skinner","given":"R. H."},{"family":"Barker","given":"D. J."},{"family":"Edwards","given":"G. R."},{"family":"Tracy","given":"B. F."},{"family":"Wedin","given":"D. A."}],"issued":{"date-parts":[["2004",7]]}}}],"schema":"https://github.com/citation-style-language/schema/raw/master/csl-citation.json"} </w:instrText>
      </w:r>
      <w:r w:rsidR="00605CBD">
        <w:rPr>
          <w:rFonts w:cs="Times New Roman"/>
        </w:rPr>
        <w:fldChar w:fldCharType="separate"/>
      </w:r>
      <w:r w:rsidR="00B015B5" w:rsidRPr="00B015B5">
        <w:rPr>
          <w:rFonts w:cs="Times New Roman"/>
        </w:rPr>
        <w:t>(Sanderson et al., 2004)</w:t>
      </w:r>
      <w:r w:rsidR="00605CBD">
        <w:rPr>
          <w:rFonts w:cs="Times New Roman"/>
        </w:rPr>
        <w:fldChar w:fldCharType="end"/>
      </w:r>
      <w:r w:rsidRPr="00037ACB">
        <w:rPr>
          <w:rFonts w:cs="Times New Roman"/>
        </w:rPr>
        <w:t xml:space="preserve">. The variability of the systems </w:t>
      </w:r>
      <w:r w:rsidR="00206B6C">
        <w:rPr>
          <w:rFonts w:cs="Times New Roman"/>
        </w:rPr>
        <w:t>along</w:t>
      </w:r>
      <w:r w:rsidRPr="00037ACB">
        <w:rPr>
          <w:rFonts w:cs="Times New Roman"/>
        </w:rPr>
        <w:t xml:space="preserve"> with increased climate variations is expected to lead to major environmental and economic impacts in systems of low diversity </w:t>
      </w:r>
      <w:r w:rsidR="005415A6">
        <w:rPr>
          <w:rFonts w:cs="Times New Roman"/>
        </w:rPr>
        <w:fldChar w:fldCharType="begin"/>
      </w:r>
      <w:r w:rsidR="005415A6">
        <w:rPr>
          <w:rFonts w:cs="Times New Roman"/>
        </w:rPr>
        <w:instrText xml:space="preserve"> ADDIN ZOTERO_ITEM CSL_CITATION {"citationID":"smjdiMaH","properties":{"formattedCitation":"(Jaramillo et al., 2021)","plainCitation":"(Jaramillo et al., 2021)","noteIndex":0},"citationItems":[{"id":18,"uris":["http://zotero.org/users/local/kjHHoAYm/items/39EFPQ2S"],"itemData":{"id":18,"type":"article-journal","abstract":"Temperate grasslands can be highly productive. However, those that are productive are generally heavily dependent on high inputs of nitrogen (N) fertilizer. Including legumes such as white clover (Trifolium repens L.) in the sward can reduce reliance on N fertilizer. Recent investigations have evaluated the potential of multispecies swards, which are defined as agronomically improved grasslands that include multiple plant functional groups, e.g., grasses, legumes, and forage forbs. Several of the benefits and challenges of multispecies swards are summarized in this review. To date, the most prominent forb species included in multispecies swards are chicory (Cichorum intybus L.) and ribgrass/ribwort plantain (Plantago lanceolata L.). Multispecies swards grown under reduced N fertilizer input conditions can produce as much biomass as monocultures receiving large quantities of N fertilizer. The nutritive value of multispecies swards may potentially be greater than grass-only swards, especially since forbs may contribute additional micro and macro minerals to livestock diet. While challenges associated with multispecies swards may include weed management and facilitating persistence of the forb species in particular, the overall evidence suggests that well-managed multispecies swards can enhance the productivity as well as environmental sustainability of grazing systems.","container-title":"Agronomy","DOI":"10.3390/agronomy11101912","ISSN":"2073-4395","issue":"10","journalAbbreviation":"Agronomy","language":"en","license":"https://creativecommons.org/licenses/by/4.0/","page":"1912","source":"DOI.org (Crossref)","title":"Enhancing the Sustainability of Temperate Pasture Systems through More Diverse Swards","volume":"11","author":[{"family":"Jaramillo","given":"David M."},{"family":"Sheridan","given":"Helen"},{"family":"Soder","given":"Kathy"},{"family":"Dubeux","given":"Jose C. B."}],"issued":{"date-parts":[["2021",9,24]]}}}],"schema":"https://github.com/citation-style-language/schema/raw/master/csl-citation.json"} </w:instrText>
      </w:r>
      <w:r w:rsidR="005415A6">
        <w:rPr>
          <w:rFonts w:cs="Times New Roman"/>
        </w:rPr>
        <w:fldChar w:fldCharType="separate"/>
      </w:r>
      <w:r w:rsidR="00B015B5" w:rsidRPr="00B015B5">
        <w:rPr>
          <w:rFonts w:cs="Times New Roman"/>
        </w:rPr>
        <w:t>(Jaramillo et al., 2021)</w:t>
      </w:r>
      <w:r w:rsidR="005415A6">
        <w:rPr>
          <w:rFonts w:cs="Times New Roman"/>
        </w:rPr>
        <w:fldChar w:fldCharType="end"/>
      </w:r>
      <w:r w:rsidRPr="00037ACB">
        <w:rPr>
          <w:rFonts w:cs="Times New Roman"/>
        </w:rPr>
        <w:t>.</w:t>
      </w:r>
    </w:p>
    <w:p w14:paraId="2C20CC54" w14:textId="2BDCD0A1" w:rsidR="00AF1BB0" w:rsidRPr="00037ACB" w:rsidRDefault="00AF1BB0" w:rsidP="00995917">
      <w:pPr>
        <w:spacing w:line="480" w:lineRule="auto"/>
        <w:ind w:firstLine="720"/>
        <w:rPr>
          <w:rFonts w:cs="Times New Roman"/>
        </w:rPr>
      </w:pPr>
      <w:r w:rsidRPr="00037ACB">
        <w:rPr>
          <w:rFonts w:cs="Times New Roman"/>
        </w:rPr>
        <w:t xml:space="preserve">As an example, the use of N in a low diversity system is </w:t>
      </w:r>
      <w:r w:rsidR="00206B6C">
        <w:rPr>
          <w:rFonts w:cs="Times New Roman"/>
        </w:rPr>
        <w:t>essential</w:t>
      </w:r>
      <w:r w:rsidR="00206B6C" w:rsidRPr="00037ACB">
        <w:rPr>
          <w:rFonts w:cs="Times New Roman"/>
        </w:rPr>
        <w:t xml:space="preserve"> </w:t>
      </w:r>
      <w:r w:rsidRPr="00037ACB">
        <w:rPr>
          <w:rFonts w:cs="Times New Roman"/>
        </w:rPr>
        <w:t xml:space="preserve">for the intensification of the system </w:t>
      </w:r>
      <w:r w:rsidR="00BD2679">
        <w:rPr>
          <w:rFonts w:cs="Times New Roman"/>
        </w:rPr>
        <w:fldChar w:fldCharType="begin"/>
      </w:r>
      <w:r w:rsidR="005415A6">
        <w:rPr>
          <w:rFonts w:cs="Times New Roman"/>
        </w:rPr>
        <w:instrText xml:space="preserve"> ADDIN ZOTERO_ITEM CSL_CITATION {"citationID":"jawpMhUN","properties":{"formattedCitation":"(De Almeida et al., 2024)","plainCitation":"(De Almeida et al., 2024)","noteIndex":0},"citationItems":[{"id":15,"uris":["http://zotero.org/users/local/kjHHoAYm/items/3RBFQ9I4"],"itemData":{"id":15,"type":"article-journal","abstract":"Abstract\n            \n              Grazing management and nitrogen fertilisation may affect forage accumulation (FA), nutritive value, and grazing efficiency (GE) of the highly productive ‘Zuri’ guineagrass [\n              Megathyrsus maximus\n              (Jacq.) B.K.Simon &amp; S.W.L. Jacobs syn.\n              Panicum maximum\n              Jacq.]. The objective of this study was to assess the effects of pre‐graze canopy heights [55 and 75 cm (H55 and H75, respectively)] and N fertilisation rates [150 and 300 kg N ha\n              −1\n               year\n              −1\n              (N150 and N300, respectively)] on FA, GE, grazing losses (GL), and nutritive value of Zuri under rotational stocking. The stubble height was 50% of the pre‐graze canopy height. The total FA was 20% greater under H75 than H55 (22,120 vs. 18,370 kg DM ha\n              −1\n               year\n              −1\n              ), as well as the GL was greater under H75 (85%) than under H55 (79%). Regardless of pre‐graze height, the upper stratum of the canopy was composed mostly of leaves contributing to similar crude protein (CP) (142 g kg\n              −1\n              ) and in vitro digestible organic matter (IVDOM) (559 g kg\n              −1\n              ) concentrations. Greater N rate (N300) increased FA (23,500 vs. 16,980 kg DM ha\n              −1\n               year\n              −1\n              ) and resulted in greater GE (84% vs. 80%) compared to N150. The CP and IVDOM concentrations under N300 (157 and 571 g kg\n              −1\n              , respectively) were greater than under N150 (128 and 547 g kg\n              −1\n              ). Zuri guineagrass grazed at H75 has great FA and GE, maintaining a similar forage nutritive value compared to H55.","container-title":"Grass and Forage Science","DOI":"10.1111/gfs.12672","ISSN":"0142-5242, 1365-2494","issue":"2","journalAbbreviation":"Grass and Forage Science","language":"en","page":"308-317","source":"DOI.org (Crossref)","title":"Forage accumulation, nutritive value, and grazing efficiency on rotationally stocked ‘ &lt;span style=\"font-variant:small-caps;\"&gt;Zuri&lt;/span&gt; ’ guineagrass pastures as affected by pre‐graze canopy height and &lt;span style=\"font-variant:small-caps;\"&gt;N&lt;/span&gt; rate","title-short":"Forage accumulation, nutritive value, and grazing efficiency on rotationally stocked ‘ &lt;span style=\"font-variant","volume":"79","author":[{"family":"De Almeida","given":"Otávio Goulart"},{"family":"Pedreira","given":"Carlos Guilherme Silveira"},{"family":"De Assis","given":"Juliana Aparecida"},{"family":"Da Silva","given":"Valdson José"},{"family":"Pedreira","given":"Bruno Carneiro E"}],"issued":{"date-parts":[["2024",6]]}}}],"schema":"https://github.com/citation-style-language/schema/raw/master/csl-citation.json"} </w:instrText>
      </w:r>
      <w:r w:rsidR="00BD2679">
        <w:rPr>
          <w:rFonts w:cs="Times New Roman"/>
        </w:rPr>
        <w:fldChar w:fldCharType="separate"/>
      </w:r>
      <w:r w:rsidR="00B015B5" w:rsidRPr="00B015B5">
        <w:rPr>
          <w:rFonts w:cs="Times New Roman"/>
        </w:rPr>
        <w:t>(De Almeida et al., 2024)</w:t>
      </w:r>
      <w:r w:rsidR="00BD2679">
        <w:rPr>
          <w:rFonts w:cs="Times New Roman"/>
        </w:rPr>
        <w:fldChar w:fldCharType="end"/>
      </w:r>
      <w:r w:rsidRPr="00037ACB">
        <w:rPr>
          <w:rFonts w:cs="Times New Roman"/>
        </w:rPr>
        <w:t>, nevertheless</w:t>
      </w:r>
      <w:r w:rsidR="009A2EAB" w:rsidRPr="00037ACB">
        <w:rPr>
          <w:rFonts w:cs="Times New Roman"/>
        </w:rPr>
        <w:t>,</w:t>
      </w:r>
      <w:r w:rsidRPr="00037ACB">
        <w:rPr>
          <w:rFonts w:cs="Times New Roman"/>
        </w:rPr>
        <w:t xml:space="preserve"> it has negative effects attached to it. The extraction of N from the atmosphere using the </w:t>
      </w:r>
      <w:r w:rsidR="009A2EAB" w:rsidRPr="00037ACB">
        <w:rPr>
          <w:rFonts w:cs="Times New Roman"/>
        </w:rPr>
        <w:t>H</w:t>
      </w:r>
      <w:r w:rsidRPr="00037ACB">
        <w:rPr>
          <w:rFonts w:cs="Times New Roman"/>
        </w:rPr>
        <w:t>aber-</w:t>
      </w:r>
      <w:r w:rsidR="009A2EAB" w:rsidRPr="00037ACB">
        <w:rPr>
          <w:rFonts w:cs="Times New Roman"/>
        </w:rPr>
        <w:t>B</w:t>
      </w:r>
      <w:r w:rsidRPr="00037ACB">
        <w:rPr>
          <w:rFonts w:cs="Times New Roman"/>
        </w:rPr>
        <w:t xml:space="preserve">osch </w:t>
      </w:r>
      <w:r w:rsidRPr="00037ACB">
        <w:rPr>
          <w:rFonts w:cs="Times New Roman"/>
        </w:rPr>
        <w:lastRenderedPageBreak/>
        <w:t xml:space="preserve">system is </w:t>
      </w:r>
      <w:r w:rsidR="009A2EAB" w:rsidRPr="00037ACB">
        <w:rPr>
          <w:rFonts w:cs="Times New Roman"/>
        </w:rPr>
        <w:t xml:space="preserve">highly energy-intensive, consuming significant </w:t>
      </w:r>
      <w:r w:rsidRPr="00037ACB">
        <w:rPr>
          <w:rFonts w:cs="Times New Roman"/>
        </w:rPr>
        <w:t>fuel</w:t>
      </w:r>
      <w:r w:rsidR="009A2EAB" w:rsidRPr="00037ACB">
        <w:rPr>
          <w:rFonts w:cs="Times New Roman"/>
        </w:rPr>
        <w:t xml:space="preserve"> and releasing substantial greenhouse gases</w:t>
      </w:r>
      <w:r w:rsidRPr="00037ACB">
        <w:rPr>
          <w:rFonts w:cs="Times New Roman"/>
        </w:rPr>
        <w:t xml:space="preserve"> (GHGs) </w:t>
      </w:r>
      <w:r w:rsidR="009A2EAB" w:rsidRPr="00037ACB">
        <w:rPr>
          <w:rFonts w:cs="Times New Roman"/>
        </w:rPr>
        <w:t>in</w:t>
      </w:r>
      <w:r w:rsidRPr="00037ACB">
        <w:rPr>
          <w:rFonts w:cs="Times New Roman"/>
        </w:rPr>
        <w:t xml:space="preserve">to the environment </w:t>
      </w:r>
      <w:r w:rsidR="00C356C6">
        <w:rPr>
          <w:rFonts w:cs="Times New Roman"/>
        </w:rPr>
        <w:fldChar w:fldCharType="begin"/>
      </w:r>
      <w:r w:rsidR="00C356C6">
        <w:rPr>
          <w:rFonts w:cs="Times New Roman"/>
        </w:rPr>
        <w:instrText xml:space="preserve"> ADDIN ZOTERO_ITEM CSL_CITATION {"citationID":"vejvEXkv","properties":{"formattedCitation":"(Erisman et al., 2008)","plainCitation":"(Erisman et al., 2008)","noteIndex":0},"citationItems":[{"id":21,"uris":["http://zotero.org/users/local/kjHHoAYm/items/9YZT9IDZ"],"itemData":{"id":21,"type":"article-journal","container-title":"Nature Geoscience","DOI":"10.1038/ngeo325","ISSN":"1752-0894, 1752-0908","issue":"10","journalAbbreviation":"Nature Geosci","language":"en","license":"http://www.springer.com/tdm","page":"636-639","source":"DOI.org (Crossref)","title":"How a century of ammonia synthesis changed the world","volume":"1","author":[{"family":"Erisman","given":"Jan Willem"},{"family":"Sutton","given":"Mark A."},{"family":"Galloway","given":"James"},{"family":"Klimont","given":"Zbigniew"},{"family":"Winiwarter","given":"Wilfried"}],"issued":{"date-parts":[["2008",10]]}}}],"schema":"https://github.com/citation-style-language/schema/raw/master/csl-citation.json"} </w:instrText>
      </w:r>
      <w:r w:rsidR="00C356C6">
        <w:rPr>
          <w:rFonts w:cs="Times New Roman"/>
        </w:rPr>
        <w:fldChar w:fldCharType="separate"/>
      </w:r>
      <w:r w:rsidR="00B015B5" w:rsidRPr="00B015B5">
        <w:rPr>
          <w:rFonts w:cs="Times New Roman"/>
        </w:rPr>
        <w:t>(Erisman et al., 2008)</w:t>
      </w:r>
      <w:r w:rsidR="00C356C6">
        <w:rPr>
          <w:rFonts w:cs="Times New Roman"/>
        </w:rPr>
        <w:fldChar w:fldCharType="end"/>
      </w:r>
      <w:r w:rsidRPr="00037ACB">
        <w:rPr>
          <w:rFonts w:cs="Times New Roman"/>
        </w:rPr>
        <w:t>.</w:t>
      </w:r>
    </w:p>
    <w:p w14:paraId="014B7581" w14:textId="431BF3FF" w:rsidR="00AF1BB0" w:rsidRPr="00037ACB" w:rsidRDefault="00AF1BB0" w:rsidP="006E1FCC">
      <w:pPr>
        <w:spacing w:line="480" w:lineRule="auto"/>
        <w:ind w:firstLine="720"/>
        <w:rPr>
          <w:rFonts w:cs="Times New Roman"/>
        </w:rPr>
      </w:pPr>
      <w:r w:rsidRPr="00037ACB">
        <w:rPr>
          <w:rFonts w:cs="Times New Roman"/>
        </w:rPr>
        <w:t xml:space="preserve"> The utilization of N as a mineral fertilizer </w:t>
      </w:r>
      <w:r w:rsidR="00206B6C">
        <w:rPr>
          <w:rFonts w:cs="Times New Roman"/>
        </w:rPr>
        <w:t xml:space="preserve">can </w:t>
      </w:r>
      <w:r w:rsidRPr="00037ACB">
        <w:rPr>
          <w:rFonts w:cs="Times New Roman"/>
        </w:rPr>
        <w:t xml:space="preserve">also </w:t>
      </w:r>
      <w:r w:rsidR="00206B6C">
        <w:rPr>
          <w:rFonts w:cs="Times New Roman"/>
        </w:rPr>
        <w:t>lead to</w:t>
      </w:r>
      <w:r w:rsidR="00206B6C" w:rsidRPr="00037ACB">
        <w:rPr>
          <w:rFonts w:cs="Times New Roman"/>
        </w:rPr>
        <w:t xml:space="preserve"> </w:t>
      </w:r>
      <w:r w:rsidRPr="00037ACB">
        <w:rPr>
          <w:rFonts w:cs="Times New Roman"/>
        </w:rPr>
        <w:t xml:space="preserve">problems </w:t>
      </w:r>
      <w:r w:rsidR="00C021BA">
        <w:rPr>
          <w:rFonts w:cs="Times New Roman"/>
        </w:rPr>
        <w:t>for</w:t>
      </w:r>
      <w:r w:rsidRPr="00037ACB">
        <w:rPr>
          <w:rFonts w:cs="Times New Roman"/>
        </w:rPr>
        <w:t xml:space="preserve"> the environment as it can leach </w:t>
      </w:r>
      <w:r w:rsidR="00383FB4">
        <w:rPr>
          <w:rFonts w:cs="Times New Roman"/>
        </w:rPr>
        <w:fldChar w:fldCharType="begin"/>
      </w:r>
      <w:r w:rsidR="00383FB4">
        <w:rPr>
          <w:rFonts w:cs="Times New Roman"/>
        </w:rPr>
        <w:instrText xml:space="preserve"> ADDIN ZOTERO_ITEM CSL_CITATION {"citationID":"F6hnaEGQ","properties":{"formattedCitation":"(Di &amp; Cameron, 2000)","plainCitation":"(Di &amp; Cameron, 2000)","noteIndex":0},"citationItems":[{"id":22,"uris":["http://zotero.org/users/local/kjHHoAYm/items/D9ALNI8Y"],"itemData":{"id":22,"type":"article-journal","container-title":"New Zealand Journal of Agricultural Research","DOI":"10.1080/00288233.2000.9513415","ISSN":"0028-8233, 1175-8775","issue":"1","journalAbbreviation":"New Zealand Journal of Agricultural Research","language":"en","page":"139-147","source":"DOI.org (Crossref)","title":"Calculating nitrogen leaching losses and critical nitrogen application rates in dairy pasture systems using a semi‐empirical model","volume":"43","author":[{"family":"Di","given":"H. J."},{"family":"Cameron","given":"K. C."}],"issued":{"date-parts":[["2000",3]]}}}],"schema":"https://github.com/citation-style-language/schema/raw/master/csl-citation.json"} </w:instrText>
      </w:r>
      <w:r w:rsidR="00383FB4">
        <w:rPr>
          <w:rFonts w:cs="Times New Roman"/>
        </w:rPr>
        <w:fldChar w:fldCharType="separate"/>
      </w:r>
      <w:r w:rsidR="00B015B5" w:rsidRPr="00B015B5">
        <w:rPr>
          <w:rFonts w:cs="Times New Roman"/>
        </w:rPr>
        <w:t>(Di &amp; Cameron, 2000)</w:t>
      </w:r>
      <w:r w:rsidR="00383FB4">
        <w:rPr>
          <w:rFonts w:cs="Times New Roman"/>
        </w:rPr>
        <w:fldChar w:fldCharType="end"/>
      </w:r>
      <w:r w:rsidR="00E66C88" w:rsidRPr="00037ACB">
        <w:rPr>
          <w:rFonts w:cs="Times New Roman"/>
        </w:rPr>
        <w:t>,</w:t>
      </w:r>
      <w:r w:rsidRPr="00037ACB">
        <w:rPr>
          <w:rFonts w:cs="Times New Roman"/>
        </w:rPr>
        <w:t xml:space="preserve"> contaminating many aquifers in rural areas </w:t>
      </w:r>
      <w:r w:rsidR="00914F7A">
        <w:rPr>
          <w:rFonts w:cs="Times New Roman"/>
        </w:rPr>
        <w:fldChar w:fldCharType="begin"/>
      </w:r>
      <w:r w:rsidR="00914F7A">
        <w:rPr>
          <w:rFonts w:cs="Times New Roman"/>
        </w:rPr>
        <w:instrText xml:space="preserve"> ADDIN ZOTERO_ITEM CSL_CITATION {"citationID":"5QYIt6RQ","properties":{"formattedCitation":"(Ibendahl &amp; Fleming, 2007; Libutti &amp; Monteleone, 2017; Puckett et al., 2011; Wang et al., 2019)","plainCitation":"(Ibendahl &amp; Fleming, 2007; Libutti &amp; Monteleone, 2017; Puckett et al., 2011; Wang et al., 2019)","noteIndex":0},"citationItems":[{"id":26,"uris":["http://zotero.org/users/local/kjHHoAYm/items/G7ZVCEG7"],"itemData":{"id":26,"type":"article-journal","container-title":"Ecological Modelling","DOI":"10.1016/j.ecolmodel.2007.03.011","ISSN":"03043800","issue":"3-4","journalAbbreviation":"Ecological Modelling","language":"en","license":"https://www.elsevier.com/tdm/userlicense/1.0/","page":"507-514","source":"DOI.org (Crossref)","title":"Controlling aquifer nitrogen levels when fertilizing crops: A study of groundwater contamination and denitrification","title-short":"Controlling aquifer nitrogen levels when fertilizing crops","volume":"205","author":[{"family":"Ibendahl","given":"Gregory"},{"family":"Fleming","given":"Ronald A."}],"issued":{"date-parts":[["2007",7]]}}},{"id":24,"uris":["http://zotero.org/users/local/kjHHoAYm/items/DLH4PLLZ"],"itemData":{"id":24,"type":"article-journal","container-title":"Agricultural Water Management","DOI":"10.1016/j.agwat.2017.02.019","ISSN":"03783774","journalAbbreviation":"Agricultural Water Management","language":"en","page":"40-50","source":"DOI.org (Crossref)","title":"Soil vs. groundwater: The quality dilemma. Managing nitrogen leaching and salinity control under irrigated agriculture in Mediterranean conditions","title-short":"Soil vs. groundwater","volume":"186","author":[{"family":"Libutti","given":"Angela"},{"family":"Monteleone","given":"Massimo"}],"issued":{"date-parts":[["2017",5]]}}},{"id":25,"uris":["http://zotero.org/users/local/kjHHoAYm/items/VFC8HUEH"],"itemData":{"id":25,"type":"article-journal","container-title":"Environmental Science &amp; Technology","DOI":"10.1021/es1038358","ISSN":"0013-936X, 1520-5851","issue":"3","journalAbbreviation":"Environ. Sci. Technol.","language":"en","page":"839-844","source":"DOI.org (Crossref)","title":"Nitrogen Contamination of Surficial Aquifers—A Growing Legacy","volume":"45","author":[{"family":"Puckett","given":"Larry J."},{"family":"Tesoriero","given":"Anthony J."},{"family":"Dubrovsky","given":"Neil M."}],"issued":{"date-parts":[["2011",2,1]]}}},{"id":23,"uris":["http://zotero.org/users/local/kjHHoAYm/items/Z46XXLEF"],"itemData":{"id":23,"type":"article-journal","container-title":"Journal of Hydrology","DOI":"10.1016/j.jhydrol.2019.06.012","ISSN":"00221694","journalAbbreviation":"Journal of Hydrology","language":"en","page":"28-40","source":"DOI.org (Crossref)","title":"Nitrogen stock and leaching rates in a thick vadose zone below areas of long-term nitrogen fertilizer application in the North China Plain: A future groundwater quality threat","title-short":"Nitrogen stock and leaching rates in a thick vadose zone below areas of long-term nitrogen fertilizer application in the North China Plain","volume":"576","author":[{"family":"Wang","given":"Shiqin"},{"family":"Wei","given":"Shoucai"},{"family":"Liang","given":"Huiya"},{"family":"Zheng","given":"Wenbo"},{"family":"Li","given":"Xiaoxin"},{"family":"Hu","given":"Chunsheng"},{"family":"Currell","given":"Matthew J."},{"family":"Zhou","given":"Feng"},{"family":"Min","given":"Leilei"}],"issued":{"date-parts":[["2019",9]]}}}],"schema":"https://github.com/citation-style-language/schema/raw/master/csl-citation.json"} </w:instrText>
      </w:r>
      <w:r w:rsidR="00914F7A">
        <w:rPr>
          <w:rFonts w:cs="Times New Roman"/>
        </w:rPr>
        <w:fldChar w:fldCharType="separate"/>
      </w:r>
      <w:r w:rsidR="00B015B5" w:rsidRPr="00B015B5">
        <w:rPr>
          <w:rFonts w:cs="Times New Roman"/>
        </w:rPr>
        <w:t>(Ibendahl &amp; Fleming, 2007; Libutti &amp; Monteleone, 2017; Puckett et al., 2011; Wang et al., 2019)</w:t>
      </w:r>
      <w:r w:rsidR="00914F7A">
        <w:rPr>
          <w:rFonts w:cs="Times New Roman"/>
        </w:rPr>
        <w:fldChar w:fldCharType="end"/>
      </w:r>
      <w:r w:rsidRPr="00037ACB">
        <w:rPr>
          <w:rFonts w:cs="Times New Roman"/>
        </w:rPr>
        <w:t>. However, agriculture has been evolving</w:t>
      </w:r>
      <w:r w:rsidR="00B33724">
        <w:rPr>
          <w:rFonts w:cs="Times New Roman"/>
        </w:rPr>
        <w:t xml:space="preserve">, showing </w:t>
      </w:r>
      <w:r w:rsidR="00C021BA">
        <w:rPr>
          <w:rFonts w:cs="Times New Roman"/>
        </w:rPr>
        <w:t xml:space="preserve">an </w:t>
      </w:r>
      <w:r w:rsidR="00B33724">
        <w:rPr>
          <w:rFonts w:cs="Times New Roman"/>
        </w:rPr>
        <w:t>increase</w:t>
      </w:r>
      <w:r w:rsidRPr="00037ACB">
        <w:rPr>
          <w:rFonts w:cs="Times New Roman"/>
        </w:rPr>
        <w:t xml:space="preserve"> in nutrient use efficiency </w:t>
      </w:r>
      <w:r w:rsidR="0038218D">
        <w:rPr>
          <w:rFonts w:cs="Times New Roman"/>
        </w:rPr>
        <w:fldChar w:fldCharType="begin"/>
      </w:r>
      <w:r w:rsidR="0038218D">
        <w:rPr>
          <w:rFonts w:cs="Times New Roman"/>
        </w:rPr>
        <w:instrText xml:space="preserve"> ADDIN ZOTERO_ITEM CSL_CITATION {"citationID":"BLMhmyuy","properties":{"formattedCitation":"(Smith et al., 2018)","plainCitation":"(Smith et al., 2018)","noteIndex":0},"citationItems":[{"id":27,"uris":["http://zotero.org/users/local/kjHHoAYm/items/EQU45GHX"],"itemData":{"id":27,"type":"article-journal","container-title":"Agricultural Systems","DOI":"10.1016/j.agsy.2018.06.017","ISSN":"0308521X","journalAbbreviation":"Agricultural Systems","language":"en","page":"274-282","source":"DOI.org (Crossref)","title":"Fertiliser strategies for improving nitrogen use efficiency in grazed dairy pastures","volume":"165","author":[{"family":"Smith","given":"Andrew P."},{"family":"Christie","given":"Karen M."},{"family":"Rawnsley","given":"Richard P."},{"family":"Eckard","given":"Richard J."}],"issued":{"date-parts":[["2018",9]]}}}],"schema":"https://github.com/citation-style-language/schema/raw/master/csl-citation.json"} </w:instrText>
      </w:r>
      <w:r w:rsidR="0038218D">
        <w:rPr>
          <w:rFonts w:cs="Times New Roman"/>
        </w:rPr>
        <w:fldChar w:fldCharType="separate"/>
      </w:r>
      <w:r w:rsidR="00B015B5" w:rsidRPr="00B015B5">
        <w:rPr>
          <w:rFonts w:cs="Times New Roman"/>
        </w:rPr>
        <w:t>(Smith et al., 2018)</w:t>
      </w:r>
      <w:r w:rsidR="0038218D">
        <w:rPr>
          <w:rFonts w:cs="Times New Roman"/>
        </w:rPr>
        <w:fldChar w:fldCharType="end"/>
      </w:r>
      <w:r w:rsidRPr="00037ACB">
        <w:rPr>
          <w:rFonts w:cs="Times New Roman"/>
        </w:rPr>
        <w:t xml:space="preserve">. Strategies </w:t>
      </w:r>
      <w:r w:rsidR="00691AB0">
        <w:rPr>
          <w:rFonts w:cs="Times New Roman"/>
        </w:rPr>
        <w:t xml:space="preserve">such </w:t>
      </w:r>
      <w:r w:rsidRPr="00037ACB">
        <w:rPr>
          <w:rFonts w:cs="Times New Roman"/>
        </w:rPr>
        <w:t xml:space="preserve">as a mixed forage sward </w:t>
      </w:r>
      <w:r w:rsidR="00B33724">
        <w:rPr>
          <w:rFonts w:cs="Times New Roman"/>
        </w:rPr>
        <w:t>by</w:t>
      </w:r>
      <w:r w:rsidR="005C398A" w:rsidRPr="00037ACB">
        <w:rPr>
          <w:rFonts w:cs="Times New Roman"/>
        </w:rPr>
        <w:t xml:space="preserve"> </w:t>
      </w:r>
      <w:r w:rsidR="00B33724" w:rsidRPr="00037ACB">
        <w:rPr>
          <w:rFonts w:cs="Times New Roman"/>
        </w:rPr>
        <w:t>inclu</w:t>
      </w:r>
      <w:r w:rsidR="00B33724">
        <w:rPr>
          <w:rFonts w:cs="Times New Roman"/>
        </w:rPr>
        <w:t>ding</w:t>
      </w:r>
      <w:r w:rsidR="00B33724" w:rsidRPr="00037ACB">
        <w:rPr>
          <w:rFonts w:cs="Times New Roman"/>
        </w:rPr>
        <w:t xml:space="preserve"> </w:t>
      </w:r>
      <w:r w:rsidR="00B33724">
        <w:rPr>
          <w:rFonts w:cs="Times New Roman"/>
        </w:rPr>
        <w:t xml:space="preserve">different </w:t>
      </w:r>
      <w:r w:rsidR="005C398A" w:rsidRPr="00037ACB">
        <w:rPr>
          <w:rFonts w:cs="Times New Roman"/>
        </w:rPr>
        <w:t xml:space="preserve">forage legumes </w:t>
      </w:r>
      <w:r w:rsidRPr="00037ACB">
        <w:rPr>
          <w:rFonts w:cs="Times New Roman"/>
        </w:rPr>
        <w:t xml:space="preserve">have been developed as alternative </w:t>
      </w:r>
      <w:r w:rsidR="005C398A" w:rsidRPr="00037ACB">
        <w:rPr>
          <w:rFonts w:cs="Times New Roman"/>
        </w:rPr>
        <w:t>approaches to</w:t>
      </w:r>
      <w:r w:rsidRPr="00037ACB">
        <w:rPr>
          <w:rFonts w:cs="Times New Roman"/>
        </w:rPr>
        <w:t xml:space="preserve"> increase</w:t>
      </w:r>
      <w:r w:rsidR="005C398A" w:rsidRPr="00037ACB">
        <w:rPr>
          <w:rFonts w:cs="Times New Roman"/>
        </w:rPr>
        <w:t xml:space="preserve"> </w:t>
      </w:r>
      <w:r w:rsidRPr="00037ACB">
        <w:rPr>
          <w:rFonts w:cs="Times New Roman"/>
        </w:rPr>
        <w:t>efficiency</w:t>
      </w:r>
      <w:r w:rsidR="00691AB0">
        <w:rPr>
          <w:rFonts w:cs="Times New Roman"/>
        </w:rPr>
        <w:t xml:space="preserve"> </w:t>
      </w:r>
      <w:r w:rsidR="00573054">
        <w:rPr>
          <w:rFonts w:cs="Times New Roman"/>
        </w:rPr>
        <w:fldChar w:fldCharType="begin"/>
      </w:r>
      <w:r w:rsidR="0022592B">
        <w:rPr>
          <w:rFonts w:cs="Times New Roman"/>
        </w:rPr>
        <w:instrText xml:space="preserve"> ADDIN ZOTERO_ITEM CSL_CITATION {"citationID":"MomShjAh","properties":{"formattedCitation":"(Corbin et al., 2024a)","plainCitation":"(Corbin et al., 2024a)","noteIndex":0},"citationItems":[{"id":30,"uris":["http://zotero.org/users/local/kjHHoAYm/items/VWNUWR25"],"itemData":{"id":30,"type":"article-journal","abstract":"Abstract\n            \n              The rising prices of N fertilizer led to exploring cost‐saving efforts, such as intercropping cool‐ or warm‐season legumes serving as alternative sources of N for managing fall‐stockpiled tall fescue [\n              Schedonorus arundinaceus\n              (Schreb.) Dumort.; TF]. We aimed to evaluate red clover (\n              Trifolium pratense\n              L.; RC) and sunn hemp (\n              Crotalaria juncea\n              L.; SH) mixed with TF as alternative sources of N for stockpiling TF to increase productivity and animal performance. The experiment was conducted in Crossville, TN, in 2020 and 2021 and consisted of TF pastures mixed with RC (TRC) or SH (TSH), and TF fertilized with urea (TU). The experiment was divided into two periods: the pre‐grazing period (stockpiling) (April–October) and the grazing period (October–December). After the stockpiling period, Black Angus beef (\n              Bos taurus\n              ) steers were used for the grazing period. The study evaluated the botanical composition, herbage mass (HM), nutritive value, steer average daily gain (ADG), and net returns (NR). The TRC pastures had a greater proportion of legumes compared to TSH plots in May, October, November, and December of both years. There were no differences among treatments for the total HM and nutritive value in 2020; however, in 2021, TU had greater HM at the beginning of the grazing period and greater average crude protein values compared to the other treatments. In both years, there were no differences among treatments for ADG or NR. Therefore, producers can make the same profit considering the beef steer price and the cost of conventional and alternative N sources.\n            \n          , \n            Core Ideas\n            \n              \n                \n                  Legumes have the potential to suppress weeds when mixed with grasses.\n                \n                \n                  Nitrogen is the most important nutrient that contributes to forage production.\n                \n                \n                  Stockpiling forages contributes to the extension of grazing season.\n                \n                \n                  Grass and legume mixtures can increase the nutritive value and, consequently, improve animal performance.","container-title":"Agronomy Journal","DOI":"10.1002/agj2.21676","ISSN":"0002-1962, 1435-0645","issue":"6","journalAbbreviation":"Agronomy Journal","language":"en","page":"3081-3096","source":"DOI.org (Crossref)","title":"Does adding legumes to tall fescue pastures before stockpiling improve productivity and animal performance?","volume":"116","author":[{"family":"Corbin","given":"Michael D."},{"family":"Nave","given":"Renata L. G."},{"family":"Naumann","given":"Harley D."},{"family":"Bates","given":"Gary E."},{"family":"Boyer","given":"Christopher"},{"family":"De Almeida","given":"Otávio G."}],"issued":{"date-parts":[["2024",11]]}}}],"schema":"https://github.com/citation-style-language/schema/raw/master/csl-citation.json"} </w:instrText>
      </w:r>
      <w:r w:rsidR="00573054">
        <w:rPr>
          <w:rFonts w:cs="Times New Roman"/>
        </w:rPr>
        <w:fldChar w:fldCharType="separate"/>
      </w:r>
      <w:r w:rsidR="00B015B5" w:rsidRPr="00B015B5">
        <w:rPr>
          <w:rFonts w:cs="Times New Roman"/>
        </w:rPr>
        <w:t>(Corbin et al., 2024a)</w:t>
      </w:r>
      <w:r w:rsidR="00573054">
        <w:rPr>
          <w:rFonts w:cs="Times New Roman"/>
        </w:rPr>
        <w:fldChar w:fldCharType="end"/>
      </w:r>
      <w:r w:rsidRPr="00037ACB">
        <w:rPr>
          <w:rFonts w:cs="Times New Roman"/>
        </w:rPr>
        <w:t>.</w:t>
      </w:r>
      <w:r w:rsidR="007D201B">
        <w:rPr>
          <w:rFonts w:cs="Times New Roman"/>
        </w:rPr>
        <w:t xml:space="preserve"> </w:t>
      </w:r>
      <w:r w:rsidR="007E1C2D">
        <w:rPr>
          <w:rFonts w:cs="Times New Roman"/>
        </w:rPr>
        <w:t xml:space="preserve">These strategies </w:t>
      </w:r>
      <w:r w:rsidR="00B33724">
        <w:rPr>
          <w:rFonts w:cs="Times New Roman"/>
        </w:rPr>
        <w:t>can also help</w:t>
      </w:r>
      <w:r w:rsidR="007E1C2D">
        <w:rPr>
          <w:rFonts w:cs="Times New Roman"/>
        </w:rPr>
        <w:t xml:space="preserve"> </w:t>
      </w:r>
      <w:r w:rsidR="004A3EA2">
        <w:rPr>
          <w:rFonts w:cs="Times New Roman"/>
        </w:rPr>
        <w:t>overco</w:t>
      </w:r>
      <w:r w:rsidR="00B33724">
        <w:rPr>
          <w:rFonts w:cs="Times New Roman"/>
        </w:rPr>
        <w:t>me</w:t>
      </w:r>
      <w:r w:rsidR="007E1C2D">
        <w:rPr>
          <w:rFonts w:cs="Times New Roman"/>
        </w:rPr>
        <w:t xml:space="preserve"> challenges </w:t>
      </w:r>
      <w:r w:rsidR="004A3EA2">
        <w:rPr>
          <w:rFonts w:cs="Times New Roman"/>
        </w:rPr>
        <w:t>in</w:t>
      </w:r>
      <w:r w:rsidR="007E1C2D">
        <w:rPr>
          <w:rFonts w:cs="Times New Roman"/>
        </w:rPr>
        <w:t xml:space="preserve"> regions </w:t>
      </w:r>
      <w:r w:rsidR="00B33724">
        <w:rPr>
          <w:rFonts w:cs="Times New Roman"/>
        </w:rPr>
        <w:t xml:space="preserve">with highly variable and </w:t>
      </w:r>
      <w:r w:rsidR="00C021BA">
        <w:rPr>
          <w:rFonts w:cs="Times New Roman"/>
        </w:rPr>
        <w:t xml:space="preserve">unstable </w:t>
      </w:r>
      <w:r w:rsidR="00B33724">
        <w:rPr>
          <w:rFonts w:cs="Times New Roman"/>
        </w:rPr>
        <w:t>climate conditions</w:t>
      </w:r>
      <w:r w:rsidR="0019699A">
        <w:rPr>
          <w:rFonts w:cs="Times New Roman"/>
        </w:rPr>
        <w:t>,</w:t>
      </w:r>
      <w:r w:rsidR="00D73ABF">
        <w:rPr>
          <w:rFonts w:cs="Times New Roman"/>
        </w:rPr>
        <w:t xml:space="preserve"> </w:t>
      </w:r>
      <w:r w:rsidR="00CB46C3">
        <w:rPr>
          <w:rFonts w:cs="Times New Roman"/>
        </w:rPr>
        <w:t>enabling</w:t>
      </w:r>
      <w:r w:rsidR="00D73ABF">
        <w:rPr>
          <w:rFonts w:cs="Times New Roman"/>
        </w:rPr>
        <w:t xml:space="preserve"> </w:t>
      </w:r>
      <w:r w:rsidR="006C78EF">
        <w:rPr>
          <w:rFonts w:cs="Times New Roman"/>
        </w:rPr>
        <w:t xml:space="preserve">the growth of </w:t>
      </w:r>
      <w:r w:rsidR="00B33724">
        <w:rPr>
          <w:rFonts w:cs="Times New Roman"/>
        </w:rPr>
        <w:t xml:space="preserve">forage </w:t>
      </w:r>
      <w:r w:rsidR="006C78EF">
        <w:rPr>
          <w:rFonts w:cs="Times New Roman"/>
        </w:rPr>
        <w:t>species</w:t>
      </w:r>
      <w:r w:rsidR="0019699A">
        <w:rPr>
          <w:rFonts w:cs="Times New Roman"/>
        </w:rPr>
        <w:t xml:space="preserve"> </w:t>
      </w:r>
      <w:r w:rsidR="00B33724">
        <w:rPr>
          <w:rFonts w:cs="Times New Roman"/>
        </w:rPr>
        <w:t xml:space="preserve">with different </w:t>
      </w:r>
      <w:r w:rsidR="00A44100">
        <w:rPr>
          <w:rFonts w:cs="Times New Roman"/>
        </w:rPr>
        <w:t xml:space="preserve">seasonal </w:t>
      </w:r>
      <w:r w:rsidR="00B33724">
        <w:rPr>
          <w:rFonts w:cs="Times New Roman"/>
        </w:rPr>
        <w:t xml:space="preserve">growth </w:t>
      </w:r>
      <w:r w:rsidR="0019699A">
        <w:rPr>
          <w:rFonts w:cs="Times New Roman"/>
        </w:rPr>
        <w:fldChar w:fldCharType="begin"/>
      </w:r>
      <w:r w:rsidR="005C01C5">
        <w:rPr>
          <w:rFonts w:cs="Times New Roman"/>
        </w:rPr>
        <w:instrText xml:space="preserve"> ADDIN ZOTERO_ITEM CSL_CITATION {"citationID":"WiZiXLkz","properties":{"formattedCitation":"(Yang et al., n.d.)","plainCitation":"(Yang et al., n.d.)","dontUpdate":true,"noteIndex":0},"citationItems":[{"id":32,"uris":["http://zotero.org/users/local/kjHHoAYm/items/GA7WLK9S"],"itemData":{"id":32,"type":"article-journal","language":"en","source":"Zotero","title":"Mixtures of whipgrass with cool-season annual forages to extend the forage production season in south-west China","author":[{"family":"Yang","given":"Chunhua"},{"family":"Li","given":"Xianglin"},{"family":"Han","given":"Jianguo"},{"family":"Chen","given":"Lingzhi"}]}}],"schema":"https://github.com/citation-style-language/schema/raw/master/csl-citation.json"} </w:instrText>
      </w:r>
      <w:r w:rsidR="0019699A">
        <w:rPr>
          <w:rFonts w:cs="Times New Roman"/>
        </w:rPr>
        <w:fldChar w:fldCharType="separate"/>
      </w:r>
      <w:r w:rsidR="0019699A" w:rsidRPr="0019699A">
        <w:rPr>
          <w:rFonts w:cs="Times New Roman"/>
        </w:rPr>
        <w:t xml:space="preserve">(Yang et al., </w:t>
      </w:r>
      <w:r w:rsidR="00F32073">
        <w:rPr>
          <w:rFonts w:cs="Times New Roman"/>
        </w:rPr>
        <w:t>2010</w:t>
      </w:r>
      <w:r w:rsidR="0019699A" w:rsidRPr="0019699A">
        <w:rPr>
          <w:rFonts w:cs="Times New Roman"/>
        </w:rPr>
        <w:t>)</w:t>
      </w:r>
      <w:r w:rsidR="0019699A">
        <w:rPr>
          <w:rFonts w:cs="Times New Roman"/>
        </w:rPr>
        <w:fldChar w:fldCharType="end"/>
      </w:r>
      <w:r w:rsidR="004A3EA2">
        <w:rPr>
          <w:rFonts w:cs="Times New Roman"/>
        </w:rPr>
        <w:t>.</w:t>
      </w:r>
    </w:p>
    <w:p w14:paraId="74EA4358" w14:textId="45765B77" w:rsidR="007A466D" w:rsidRPr="007A466D" w:rsidRDefault="00AF1BB0" w:rsidP="006E1FCC">
      <w:pPr>
        <w:spacing w:line="480" w:lineRule="auto"/>
        <w:ind w:firstLine="720"/>
        <w:rPr>
          <w:rFonts w:cs="Times New Roman"/>
        </w:rPr>
      </w:pPr>
      <w:r w:rsidRPr="00037ACB">
        <w:rPr>
          <w:rFonts w:cs="Times New Roman"/>
        </w:rPr>
        <w:t xml:space="preserve">Tennessee </w:t>
      </w:r>
      <w:proofErr w:type="gramStart"/>
      <w:r w:rsidRPr="00037ACB">
        <w:rPr>
          <w:rFonts w:cs="Times New Roman"/>
        </w:rPr>
        <w:t>is located in</w:t>
      </w:r>
      <w:proofErr w:type="gramEnd"/>
      <w:r w:rsidRPr="00037ACB">
        <w:rPr>
          <w:rFonts w:cs="Times New Roman"/>
        </w:rPr>
        <w:t xml:space="preserve"> the Humid Transition Zone. The region is characterized by its lower temperatures during winter and fall and warmer temperatures throughout summer </w:t>
      </w:r>
      <w:r w:rsidR="00A77246">
        <w:rPr>
          <w:rFonts w:cs="Times New Roman"/>
        </w:rPr>
        <w:fldChar w:fldCharType="begin"/>
      </w:r>
      <w:r w:rsidR="00A77246">
        <w:rPr>
          <w:rFonts w:cs="Times New Roman"/>
        </w:rPr>
        <w:instrText xml:space="preserve"> ADDIN ZOTERO_ITEM CSL_CITATION {"citationID":"kzib94on","properties":{"formattedCitation":"(Oakes &amp; Hancock, 2020)","plainCitation":"(Oakes &amp; Hancock, 2020)","noteIndex":0},"citationItems":[{"id":29,"uris":["http://zotero.org/users/local/kjHHoAYm/items/VNSZLFFG"],"itemData":{"id":29,"type":"chapter","container-title":"Forages","edition":"1","ISBN":"978-1-119-43657-7","language":"en","license":"http://doi.wiley.com/10.1002/tdm_license_1.1","note":"DOI: 10.1002/9781119436669.ch23","page":"419-432","publisher":"Wiley","source":"DOI.org (Crossref)","title":"Systems for Humid Transition Areas","URL":"https://onlinelibrary.wiley.com/doi/10.1002/9781119436669.ch23","editor":[{"family":"Moore","given":"Kenneth J."},{"family":"Collins","given":"Michael"},{"family":"Nelson","given":"C. Jerry"},{"family":"Redfearn","given":"Daren D."}],"author":[{"family":"Oakes","given":"Renata N."},{"family":"Hancock","given":"Dennis W."}],"accessed":{"date-parts":[["2025",2,16]]},"issued":{"date-parts":[["2020",7,27]]}}}],"schema":"https://github.com/citation-style-language/schema/raw/master/csl-citation.json"} </w:instrText>
      </w:r>
      <w:r w:rsidR="00A77246">
        <w:rPr>
          <w:rFonts w:cs="Times New Roman"/>
        </w:rPr>
        <w:fldChar w:fldCharType="separate"/>
      </w:r>
      <w:r w:rsidR="00B015B5" w:rsidRPr="00B015B5">
        <w:rPr>
          <w:rFonts w:cs="Times New Roman"/>
        </w:rPr>
        <w:t>(Oakes &amp; Hancock, 2020)</w:t>
      </w:r>
      <w:r w:rsidR="00A77246">
        <w:rPr>
          <w:rFonts w:cs="Times New Roman"/>
        </w:rPr>
        <w:fldChar w:fldCharType="end"/>
      </w:r>
      <w:r w:rsidRPr="00037ACB">
        <w:rPr>
          <w:rFonts w:cs="Times New Roman"/>
        </w:rPr>
        <w:t xml:space="preserve">. The </w:t>
      </w:r>
      <w:r w:rsidR="005C398A" w:rsidRPr="00037ACB">
        <w:rPr>
          <w:rFonts w:cs="Times New Roman"/>
        </w:rPr>
        <w:t xml:space="preserve">region’s broad </w:t>
      </w:r>
      <w:r w:rsidRPr="00037ACB">
        <w:rPr>
          <w:rFonts w:cs="Times New Roman"/>
        </w:rPr>
        <w:t xml:space="preserve">temperature variability </w:t>
      </w:r>
      <w:r w:rsidR="005C398A" w:rsidRPr="00037ACB">
        <w:rPr>
          <w:rFonts w:cs="Times New Roman"/>
        </w:rPr>
        <w:t>allows f</w:t>
      </w:r>
      <w:r w:rsidRPr="00037ACB">
        <w:rPr>
          <w:rFonts w:cs="Times New Roman"/>
        </w:rPr>
        <w:t>o</w:t>
      </w:r>
      <w:r w:rsidR="005C398A" w:rsidRPr="00037ACB">
        <w:rPr>
          <w:rFonts w:cs="Times New Roman"/>
        </w:rPr>
        <w:t>r the production</w:t>
      </w:r>
      <w:r w:rsidRPr="00037ACB">
        <w:rPr>
          <w:rFonts w:cs="Times New Roman"/>
        </w:rPr>
        <w:t xml:space="preserve"> </w:t>
      </w:r>
      <w:r w:rsidR="005C398A" w:rsidRPr="00037ACB">
        <w:rPr>
          <w:rFonts w:cs="Times New Roman"/>
        </w:rPr>
        <w:t>of</w:t>
      </w:r>
      <w:r w:rsidRPr="00037ACB">
        <w:rPr>
          <w:rFonts w:cs="Times New Roman"/>
        </w:rPr>
        <w:t xml:space="preserve"> cool-season plants during mild temperatures and warm-season plants during warmer temperatures </w:t>
      </w:r>
      <w:r w:rsidR="00B86CAC">
        <w:rPr>
          <w:rFonts w:cs="Times New Roman"/>
        </w:rPr>
        <w:fldChar w:fldCharType="begin"/>
      </w:r>
      <w:r w:rsidR="00B86CAC">
        <w:rPr>
          <w:rFonts w:cs="Times New Roman"/>
        </w:rPr>
        <w:instrText xml:space="preserve"> ADDIN ZOTERO_ITEM CSL_CITATION {"citationID":"RiuGNNCs","properties":{"formattedCitation":"(Oakes &amp; Hancock, 2020)","plainCitation":"(Oakes &amp; Hancock, 2020)","noteIndex":0},"citationItems":[{"id":29,"uris":["http://zotero.org/users/local/kjHHoAYm/items/VNSZLFFG"],"itemData":{"id":29,"type":"chapter","container-title":"Forages","edition":"1","ISBN":"978-1-119-43657-7","language":"en","license":"http://doi.wiley.com/10.1002/tdm_license_1.1","note":"DOI: 10.1002/9781119436669.ch23","page":"419-432","publisher":"Wiley","source":"DOI.org (Crossref)","title":"Systems for Humid Transition Areas","URL":"https://onlinelibrary.wiley.com/doi/10.1002/9781119436669.ch23","editor":[{"family":"Moore","given":"Kenneth J."},{"family":"Collins","given":"Michael"},{"family":"Nelson","given":"C. Jerry"},{"family":"Redfearn","given":"Daren D."}],"author":[{"family":"Oakes","given":"Renata N."},{"family":"Hancock","given":"Dennis W."}],"accessed":{"date-parts":[["2025",2,16]]},"issued":{"date-parts":[["2020",7,27]]}}}],"schema":"https://github.com/citation-style-language/schema/raw/master/csl-citation.json"} </w:instrText>
      </w:r>
      <w:r w:rsidR="00B86CAC">
        <w:rPr>
          <w:rFonts w:cs="Times New Roman"/>
        </w:rPr>
        <w:fldChar w:fldCharType="separate"/>
      </w:r>
      <w:r w:rsidR="00B015B5" w:rsidRPr="00B015B5">
        <w:rPr>
          <w:rFonts w:cs="Times New Roman"/>
        </w:rPr>
        <w:t>(Oakes &amp; Hancock, 2020)</w:t>
      </w:r>
      <w:r w:rsidR="00B86CAC">
        <w:rPr>
          <w:rFonts w:cs="Times New Roman"/>
        </w:rPr>
        <w:fldChar w:fldCharType="end"/>
      </w:r>
      <w:r w:rsidRPr="00037ACB">
        <w:rPr>
          <w:rFonts w:cs="Times New Roman"/>
        </w:rPr>
        <w:t xml:space="preserve">. </w:t>
      </w:r>
      <w:r w:rsidR="00287589">
        <w:rPr>
          <w:rFonts w:cs="Times New Roman"/>
        </w:rPr>
        <w:t xml:space="preserve">However, </w:t>
      </w:r>
      <w:r w:rsidR="004041B0">
        <w:rPr>
          <w:rFonts w:cs="Times New Roman"/>
        </w:rPr>
        <w:t>cool-season</w:t>
      </w:r>
      <w:r w:rsidR="00287589">
        <w:rPr>
          <w:rFonts w:cs="Times New Roman"/>
        </w:rPr>
        <w:t xml:space="preserve"> grasses are the </w:t>
      </w:r>
      <w:r w:rsidR="00A44100">
        <w:rPr>
          <w:rFonts w:cs="Times New Roman"/>
        </w:rPr>
        <w:t>predominant</w:t>
      </w:r>
      <w:r w:rsidR="006E1577">
        <w:rPr>
          <w:rFonts w:cs="Times New Roman"/>
        </w:rPr>
        <w:t xml:space="preserve"> </w:t>
      </w:r>
      <w:r w:rsidR="00E939C8">
        <w:rPr>
          <w:rFonts w:cs="Times New Roman"/>
        </w:rPr>
        <w:t>type of</w:t>
      </w:r>
      <w:r w:rsidR="005F520E">
        <w:rPr>
          <w:rFonts w:cs="Times New Roman"/>
        </w:rPr>
        <w:t xml:space="preserve"> </w:t>
      </w:r>
      <w:r w:rsidR="006E1577">
        <w:rPr>
          <w:rFonts w:cs="Times New Roman"/>
        </w:rPr>
        <w:t>forage</w:t>
      </w:r>
      <w:r w:rsidR="004041B0">
        <w:rPr>
          <w:rFonts w:cs="Times New Roman"/>
        </w:rPr>
        <w:t xml:space="preserve"> in the region</w:t>
      </w:r>
      <w:r w:rsidR="005F520E">
        <w:rPr>
          <w:rFonts w:cs="Times New Roman"/>
        </w:rPr>
        <w:t>,</w:t>
      </w:r>
      <w:r w:rsidR="001631DB">
        <w:rPr>
          <w:rFonts w:cs="Times New Roman"/>
        </w:rPr>
        <w:t xml:space="preserve"> </w:t>
      </w:r>
      <w:r w:rsidR="00A44100">
        <w:rPr>
          <w:rFonts w:cs="Times New Roman"/>
        </w:rPr>
        <w:t>such as</w:t>
      </w:r>
      <w:r w:rsidR="00BE5958">
        <w:rPr>
          <w:rFonts w:cs="Times New Roman"/>
        </w:rPr>
        <w:t xml:space="preserve"> </w:t>
      </w:r>
      <w:r w:rsidR="00A44100">
        <w:rPr>
          <w:rFonts w:cs="Times New Roman"/>
        </w:rPr>
        <w:t>t</w:t>
      </w:r>
      <w:r w:rsidR="007A466D" w:rsidRPr="007A466D">
        <w:rPr>
          <w:rFonts w:cs="Times New Roman"/>
        </w:rPr>
        <w:t>all fescue</w:t>
      </w:r>
      <w:r w:rsidR="002649E1">
        <w:rPr>
          <w:rFonts w:cs="Times New Roman"/>
        </w:rPr>
        <w:t xml:space="preserve"> </w:t>
      </w:r>
      <w:r w:rsidR="002649E1" w:rsidRPr="002649E1">
        <w:rPr>
          <w:rFonts w:cs="Times New Roman"/>
        </w:rPr>
        <w:t>(</w:t>
      </w:r>
      <w:proofErr w:type="spellStart"/>
      <w:r w:rsidR="009A57A5" w:rsidRPr="009A57A5">
        <w:rPr>
          <w:rFonts w:cs="Times New Roman"/>
          <w:i/>
          <w:iCs/>
        </w:rPr>
        <w:t>Schedonorus</w:t>
      </w:r>
      <w:proofErr w:type="spellEnd"/>
      <w:r w:rsidR="009A57A5" w:rsidRPr="009A57A5">
        <w:rPr>
          <w:rFonts w:cs="Times New Roman"/>
          <w:i/>
          <w:iCs/>
        </w:rPr>
        <w:t xml:space="preserve"> </w:t>
      </w:r>
      <w:proofErr w:type="spellStart"/>
      <w:r w:rsidR="009A57A5" w:rsidRPr="009A57A5">
        <w:rPr>
          <w:rFonts w:cs="Times New Roman"/>
          <w:i/>
          <w:iCs/>
        </w:rPr>
        <w:t>arundinaceus</w:t>
      </w:r>
      <w:proofErr w:type="spellEnd"/>
      <w:r w:rsidR="009A57A5" w:rsidRPr="009A57A5">
        <w:rPr>
          <w:rFonts w:cs="Times New Roman"/>
          <w:i/>
          <w:iCs/>
        </w:rPr>
        <w:t xml:space="preserve"> (</w:t>
      </w:r>
      <w:proofErr w:type="spellStart"/>
      <w:r w:rsidR="009A57A5" w:rsidRPr="009A57A5">
        <w:rPr>
          <w:rFonts w:cs="Times New Roman"/>
          <w:i/>
          <w:iCs/>
        </w:rPr>
        <w:t>Schreb</w:t>
      </w:r>
      <w:proofErr w:type="spellEnd"/>
      <w:r w:rsidR="009A57A5" w:rsidRPr="009A57A5">
        <w:rPr>
          <w:rFonts w:cs="Times New Roman"/>
          <w:i/>
          <w:iCs/>
        </w:rPr>
        <w:t xml:space="preserve">.) </w:t>
      </w:r>
      <w:proofErr w:type="spellStart"/>
      <w:r w:rsidR="009A57A5" w:rsidRPr="009A57A5">
        <w:rPr>
          <w:rFonts w:cs="Times New Roman"/>
          <w:i/>
          <w:iCs/>
        </w:rPr>
        <w:t>Dumort</w:t>
      </w:r>
      <w:proofErr w:type="spellEnd"/>
      <w:r w:rsidR="009A57A5" w:rsidRPr="009A57A5">
        <w:rPr>
          <w:rFonts w:cs="Times New Roman"/>
          <w:i/>
          <w:iCs/>
        </w:rPr>
        <w:t>.</w:t>
      </w:r>
      <w:r w:rsidR="009A57A5">
        <w:rPr>
          <w:rFonts w:cs="Times New Roman"/>
          <w:i/>
          <w:iCs/>
        </w:rPr>
        <w:t>, nom. cons.</w:t>
      </w:r>
      <w:r w:rsidR="002649E1" w:rsidRPr="002649E1">
        <w:rPr>
          <w:rFonts w:cs="Times New Roman"/>
        </w:rPr>
        <w:t>)</w:t>
      </w:r>
      <w:r w:rsidR="007A466D" w:rsidRPr="007A466D">
        <w:rPr>
          <w:rFonts w:cs="Times New Roman"/>
        </w:rPr>
        <w:t xml:space="preserve">, </w:t>
      </w:r>
      <w:r w:rsidR="00A44100">
        <w:rPr>
          <w:rFonts w:cs="Times New Roman"/>
        </w:rPr>
        <w:t xml:space="preserve">and </w:t>
      </w:r>
      <w:r w:rsidR="002649E1">
        <w:rPr>
          <w:rFonts w:cs="Times New Roman"/>
        </w:rPr>
        <w:t>like</w:t>
      </w:r>
      <w:r w:rsidR="007A466D" w:rsidRPr="007A466D">
        <w:rPr>
          <w:rFonts w:cs="Times New Roman"/>
        </w:rPr>
        <w:t xml:space="preserve"> any other cool-season grass, is productive during the spring and fall when temperatures are moderate, but high</w:t>
      </w:r>
      <w:r w:rsidR="00575173">
        <w:rPr>
          <w:rFonts w:cs="Times New Roman"/>
        </w:rPr>
        <w:t xml:space="preserve"> summer </w:t>
      </w:r>
      <w:r w:rsidR="007A466D" w:rsidRPr="007A466D">
        <w:rPr>
          <w:rFonts w:cs="Times New Roman"/>
        </w:rPr>
        <w:t xml:space="preserve">temperatures and moisture deficits result in decreased growth and </w:t>
      </w:r>
      <w:r w:rsidR="00A44100" w:rsidRPr="007A466D">
        <w:rPr>
          <w:rFonts w:cs="Times New Roman"/>
        </w:rPr>
        <w:t>producti</w:t>
      </w:r>
      <w:r w:rsidR="00A44100">
        <w:rPr>
          <w:rFonts w:cs="Times New Roman"/>
        </w:rPr>
        <w:t>vity</w:t>
      </w:r>
      <w:r w:rsidR="00A44100" w:rsidRPr="007A466D">
        <w:rPr>
          <w:rFonts w:cs="Times New Roman"/>
        </w:rPr>
        <w:t xml:space="preserve"> </w:t>
      </w:r>
      <w:r w:rsidR="007A466D" w:rsidRPr="007A466D">
        <w:rPr>
          <w:rFonts w:cs="Times New Roman"/>
        </w:rPr>
        <w:t>(Ha</w:t>
      </w:r>
      <w:r w:rsidR="00F37898">
        <w:rPr>
          <w:rFonts w:cs="Times New Roman"/>
        </w:rPr>
        <w:t>y</w:t>
      </w:r>
      <w:r w:rsidR="007A466D" w:rsidRPr="007A466D">
        <w:rPr>
          <w:rFonts w:cs="Times New Roman"/>
        </w:rPr>
        <w:t>, 1989). Th</w:t>
      </w:r>
      <w:r w:rsidR="00A44100">
        <w:rPr>
          <w:rFonts w:cs="Times New Roman"/>
        </w:rPr>
        <w:t>e</w:t>
      </w:r>
      <w:r w:rsidR="007A466D" w:rsidRPr="007A466D">
        <w:rPr>
          <w:rFonts w:cs="Times New Roman"/>
        </w:rPr>
        <w:t xml:space="preserve"> </w:t>
      </w:r>
      <w:r w:rsidR="001737FF">
        <w:rPr>
          <w:rFonts w:cs="Times New Roman"/>
        </w:rPr>
        <w:t xml:space="preserve">low </w:t>
      </w:r>
      <w:r w:rsidR="00A44100">
        <w:rPr>
          <w:rFonts w:cs="Times New Roman"/>
        </w:rPr>
        <w:t>forage availability</w:t>
      </w:r>
      <w:r w:rsidR="001737FF">
        <w:rPr>
          <w:rFonts w:cs="Times New Roman"/>
        </w:rPr>
        <w:t xml:space="preserve"> </w:t>
      </w:r>
      <w:r w:rsidR="007A466D" w:rsidRPr="007A466D">
        <w:rPr>
          <w:rFonts w:cs="Times New Roman"/>
        </w:rPr>
        <w:t>during summer</w:t>
      </w:r>
      <w:r w:rsidR="00DB0B11">
        <w:rPr>
          <w:rFonts w:cs="Times New Roman"/>
        </w:rPr>
        <w:t xml:space="preserve"> often results in</w:t>
      </w:r>
      <w:r w:rsidR="007A466D" w:rsidRPr="007A466D">
        <w:rPr>
          <w:rFonts w:cs="Times New Roman"/>
        </w:rPr>
        <w:t xml:space="preserve"> a general decrease in pasture condition, allowing for increased weed competition</w:t>
      </w:r>
      <w:r w:rsidR="0022592B">
        <w:rPr>
          <w:rFonts w:cs="Times New Roman"/>
        </w:rPr>
        <w:t xml:space="preserve"> </w:t>
      </w:r>
      <w:r w:rsidR="0022592B">
        <w:rPr>
          <w:rFonts w:cs="Times New Roman"/>
        </w:rPr>
        <w:fldChar w:fldCharType="begin"/>
      </w:r>
      <w:r w:rsidR="0022592B">
        <w:rPr>
          <w:rFonts w:cs="Times New Roman"/>
        </w:rPr>
        <w:instrText xml:space="preserve"> ADDIN ZOTERO_ITEM CSL_CITATION {"citationID":"sjXK5RUi","properties":{"formattedCitation":"(Corbin et al., 2024b)","plainCitation":"(Corbin et al., 2024b)","noteIndex":0},"citationItems":[{"id":35,"uris":["http://zotero.org/users/local/kjHHoAYm/items/7IRJK82V"],"itemData":{"id":35,"type":"article-journal","abstract":"Abstract\n            \n              Pasture systems that include cool‐ and warm‐season species have the potential to enhance tall fescue (TF) [S\n              chedonorus arundinaceus\n              (Schreb.) Dumort.] forage systems beyond their typical season. The objectives of this study were to incorporate crabgrass (\n              Digitaria ciliaris\n              Retz.) into TF swards and compare the production of monoculture TF to a binary mixture of crabgrass and TF as well as its effect with different sources of nitrogen (such as red clover [\n              Trifolium pratense\n              L.] or sunn hemp [\n              Crotalaria juncea\n              L.]). The experiment was conducted in Crossville, TN, in 2020 and 2021. The treatments were as follows: (1) TF + 0 N (T), (2) TF + ammonium nitrate (TA), (3) TF + red clover (TR), (4) TF + sunn hemp (TS), (5) TF + crabgrass + 0 N (TFC), (6) TF + crabgrass + ammonium nitrate (TCA), (7) TF + crabgrass + red clover (TCR), and (8) TF + crabgrass + sunn hemp (TCS). The plots containing red clover indicated a greater herbage mass (HM) and crude protein (CP) along with lesser neutral detergent fiber compared to the other treatments. Sunn hemp performed best during the mid‐summer, contributing to the increase of HM. Tall fescue swards that were mixed with crabgrass and a source of N (legumes or N fertilizer) had greater HM during the warm season, having the potential to decrease the stationarity of production. Thus, including crabgrass, red clover, and sunn hemp (grass and legumes, respectively) in TF pasture can be a great strategy to increase HM and improve nutritive value.\n            \n          , \n            Core Ideas\n            \n              \n                \n                  Inclusion of cool‐ and warm‐season grasses increases the seasonality of production.\n                \n                \n                  Crabgrass is a warm‐season grass that improves nutritive value in mixed pasture.\n                \n                \n                  Nitrogen fertilizer increases forage mass and nutritive value.\n                \n                \n                  Increasing the use of legumes in pastures may decrease the use of synthetic N fertilizer.","container-title":"Agronomy Journal","DOI":"10.1002/agj2.21690","ISSN":"0002-1962, 1435-0645","issue":"6","journalAbbreviation":"Agronomy Journal","language":"en","page":"3158-3170","source":"DOI.org (Crossref)","title":"Inclusion of cool‐ and warm‐season species in tall fescue swards for increased productivity","volume":"116","author":[{"family":"Corbin","given":"Michael D."},{"family":"Nave","given":"Renata L. G."},{"family":"Naumann","given":"Harley D."},{"family":"Bates","given":"Gary E."},{"family":"Boyer","given":"Christopher"},{"family":"De Almeida","given":"Otávio G."}],"issued":{"date-parts":[["2024",11]]}}}],"schema":"https://github.com/citation-style-language/schema/raw/master/csl-citation.json"} </w:instrText>
      </w:r>
      <w:r w:rsidR="0022592B">
        <w:rPr>
          <w:rFonts w:cs="Times New Roman"/>
        </w:rPr>
        <w:fldChar w:fldCharType="separate"/>
      </w:r>
      <w:r w:rsidR="00B015B5" w:rsidRPr="00B015B5">
        <w:rPr>
          <w:rFonts w:cs="Times New Roman"/>
        </w:rPr>
        <w:t>(Corbin et al., 2024b)</w:t>
      </w:r>
      <w:r w:rsidR="0022592B">
        <w:rPr>
          <w:rFonts w:cs="Times New Roman"/>
        </w:rPr>
        <w:fldChar w:fldCharType="end"/>
      </w:r>
      <w:r w:rsidR="007A466D" w:rsidRPr="007A466D">
        <w:rPr>
          <w:rFonts w:cs="Times New Roman"/>
        </w:rPr>
        <w:t xml:space="preserve">. </w:t>
      </w:r>
      <w:r w:rsidR="007A466D" w:rsidRPr="007A466D">
        <w:rPr>
          <w:rFonts w:cs="Times New Roman"/>
        </w:rPr>
        <w:lastRenderedPageBreak/>
        <w:t xml:space="preserve">Frequent and severe droughts in this region have </w:t>
      </w:r>
      <w:r w:rsidR="00A44100">
        <w:rPr>
          <w:rFonts w:cs="Times New Roman"/>
        </w:rPr>
        <w:t xml:space="preserve">also </w:t>
      </w:r>
      <w:r w:rsidR="007A466D" w:rsidRPr="007A466D">
        <w:rPr>
          <w:rFonts w:cs="Times New Roman"/>
        </w:rPr>
        <w:t>resulted in major stand loss with a subsequent decrease in the productivity of tall fescue pastures</w:t>
      </w:r>
      <w:r w:rsidR="00D6709F">
        <w:rPr>
          <w:rFonts w:cs="Times New Roman"/>
        </w:rPr>
        <w:t xml:space="preserve"> </w:t>
      </w:r>
      <w:r w:rsidR="003D2305">
        <w:rPr>
          <w:rFonts w:cs="Times New Roman"/>
        </w:rPr>
        <w:fldChar w:fldCharType="begin"/>
      </w:r>
      <w:r w:rsidR="003D2305">
        <w:rPr>
          <w:rFonts w:cs="Times New Roman"/>
        </w:rPr>
        <w:instrText xml:space="preserve"> ADDIN ZOTERO_ITEM CSL_CITATION {"citationID":"An8eDM1v","properties":{"formattedCitation":"(Sleper &amp; West, 2015)","plainCitation":"(Sleper &amp; West, 2015)","noteIndex":0},"citationItems":[{"id":34,"uris":["http://zotero.org/users/local/kjHHoAYm/items/2TP3W5IT"],"itemData":{"id":34,"type":"chapter","container-title":"Agronomy Monographs","event-place":"Madison, WI, USA","ISBN":"978-0-89118-226-9","note":"DOI: 10.2134/agronmonogr34.c15","page":"471-502","publisher":"American Society of Agronomy, Crop Science Society of America, Soil Science Society of America","publisher-place":"Madison, WI, USA","source":"DOI.org (Crossref)","title":"Tall Fescue","URL":"http://doi.wiley.com/10.2134/agronmonogr34.c15","editor":[{"family":"Moser","given":"L.E."},{"family":"Buxton","given":"D.R."},{"family":"Casler","given":"M.D."}],"author":[{"family":"Sleper","given":"D.A."},{"family":"West","given":"C.P."}],"accessed":{"date-parts":[["2025",2,17]]},"issued":{"date-parts":[["2015",10,26]]}}}],"schema":"https://github.com/citation-style-language/schema/raw/master/csl-citation.json"} </w:instrText>
      </w:r>
      <w:r w:rsidR="003D2305">
        <w:rPr>
          <w:rFonts w:cs="Times New Roman"/>
        </w:rPr>
        <w:fldChar w:fldCharType="separate"/>
      </w:r>
      <w:r w:rsidR="00B015B5" w:rsidRPr="00B015B5">
        <w:rPr>
          <w:rFonts w:cs="Times New Roman"/>
        </w:rPr>
        <w:t>(Sleper &amp; West, 2015)</w:t>
      </w:r>
      <w:r w:rsidR="003D2305">
        <w:rPr>
          <w:rFonts w:cs="Times New Roman"/>
        </w:rPr>
        <w:fldChar w:fldCharType="end"/>
      </w:r>
      <w:r w:rsidR="007A466D" w:rsidRPr="007A466D">
        <w:rPr>
          <w:rFonts w:cs="Times New Roman"/>
        </w:rPr>
        <w:t>.</w:t>
      </w:r>
    </w:p>
    <w:p w14:paraId="689AD9EE" w14:textId="77238B8B" w:rsidR="00AF1BB0" w:rsidRPr="00037ACB" w:rsidRDefault="007A466D" w:rsidP="006E1FCC">
      <w:pPr>
        <w:spacing w:line="480" w:lineRule="auto"/>
        <w:ind w:firstLine="720"/>
        <w:rPr>
          <w:rFonts w:cs="Times New Roman"/>
          <w:b/>
          <w:bCs/>
          <w:iCs/>
        </w:rPr>
      </w:pPr>
      <w:r w:rsidRPr="007A466D">
        <w:rPr>
          <w:rFonts w:cs="Times New Roman"/>
        </w:rPr>
        <w:t xml:space="preserve">Interest has grown in the use of </w:t>
      </w:r>
      <w:r w:rsidR="00773081">
        <w:rPr>
          <w:rFonts w:cs="Times New Roman"/>
        </w:rPr>
        <w:t>alternative</w:t>
      </w:r>
      <w:r w:rsidRPr="007A466D">
        <w:rPr>
          <w:rFonts w:cs="Times New Roman"/>
        </w:rPr>
        <w:t xml:space="preserve"> species to be </w:t>
      </w:r>
      <w:r w:rsidR="00006512">
        <w:rPr>
          <w:rFonts w:cs="Times New Roman"/>
        </w:rPr>
        <w:t>grown</w:t>
      </w:r>
      <w:r w:rsidR="00006512" w:rsidRPr="007A466D">
        <w:rPr>
          <w:rFonts w:cs="Times New Roman"/>
        </w:rPr>
        <w:t xml:space="preserve"> </w:t>
      </w:r>
      <w:r w:rsidRPr="007A466D">
        <w:rPr>
          <w:rFonts w:cs="Times New Roman"/>
        </w:rPr>
        <w:t xml:space="preserve">in </w:t>
      </w:r>
      <w:r w:rsidR="00006512">
        <w:rPr>
          <w:rFonts w:cs="Times New Roman"/>
        </w:rPr>
        <w:t>temperate</w:t>
      </w:r>
      <w:r w:rsidRPr="007A466D">
        <w:rPr>
          <w:rFonts w:cs="Times New Roman"/>
        </w:rPr>
        <w:t xml:space="preserve"> grasslands, especially species with high drought tolerance and nutritive value, </w:t>
      </w:r>
      <w:r w:rsidR="00006512">
        <w:rPr>
          <w:rFonts w:cs="Times New Roman"/>
        </w:rPr>
        <w:t>as</w:t>
      </w:r>
      <w:r w:rsidR="00006512" w:rsidRPr="007A466D">
        <w:rPr>
          <w:rFonts w:cs="Times New Roman"/>
        </w:rPr>
        <w:t xml:space="preserve"> </w:t>
      </w:r>
      <w:r w:rsidRPr="007A466D">
        <w:rPr>
          <w:rFonts w:cs="Times New Roman"/>
        </w:rPr>
        <w:t xml:space="preserve">a practical biological solution to summer drought </w:t>
      </w:r>
      <w:r w:rsidR="005C01C5">
        <w:rPr>
          <w:rFonts w:cs="Times New Roman"/>
        </w:rPr>
        <w:fldChar w:fldCharType="begin"/>
      </w:r>
      <w:r w:rsidR="005C01C5">
        <w:rPr>
          <w:rFonts w:cs="Times New Roman"/>
        </w:rPr>
        <w:instrText xml:space="preserve"> ADDIN ZOTERO_ITEM CSL_CITATION {"citationID":"srF6DwC4","properties":{"formattedCitation":"(Garay et al., 2004)","plainCitation":"(Garay et al., 2004)","noteIndex":0},"citationItems":[{"id":33,"uris":["http://zotero.org/users/local/kjHHoAYm/items/4FWGMXYM"],"itemData":{"id":33,"type":"article-journal","abstract":"Stargrass (\n              Cynodon nlemfuensis\n              Vanderyst) is an important tropical forage, but the interaction of stocking rate (SR) and N fertilizer rate on stargrass pastures is not well understood. The objective was to determine the effects of three SR (2.5, 5.0, and 7.5 bulls ha\n              −1\n              ) and three N rates (112, 224, and 336 kg ha\n              −1\n              yr\n              −1\n              ) on stargrass pasture characteristics and performance of Jamaica Red Poll (\n              Bos taurus\n              ×\n              B. indicus\n              ) weanling bulls at St. Ann, Jamaica. Soil was a bauxitic clay loam, and pastures were rotationally stocked (7‐d grazing and 21‐d rest period). Pregraze herbage mass increased as SR decreased (2.0‐4.8 Mg ha\n              −1\n              in Year 1 and 3.3‐8.3 Mg ha\n              −1\n              in Year 2). Herbage crude protein (CP) and in vitro digestible organic matter (IVDOM) generally increased with increasing SR and N rate. Bull daily gain decreased curvilinearly from 0.70 to 0.26 kg in Year 1 and 0.65 to 0.35 kg in Year 2 as SR increased from 2.5 to 7.5 head ha\n              −1\n              Daily gain increased linearly as N rate increased from 112 to 336 kg ha\n              −1\n              The N fertilizer rate had little effect on gain per hectare at the lowest SR, but gain increased with fertilization up to 224 kg N ha\n              −1\n              for a SR of 5 head ha\n              −1\n              and up to 336 kg N ha\n              −1\n              for a SR of 7.5. In conclusion, economic return from N fertilization of stargrass pastures is dependent upon SR, with greater N rates more likely to be profitable if SR is high.","container-title":"Crop Science","DOI":"10.2135/cropsci2004.1348","ISSN":"0011-183X, 1435-0653","issue":"4","journalAbbreviation":"Crop Science","language":"en","page":"1348-1354","source":"DOI.org (Crossref)","title":"Nitrogen Fertilization and Stocking Rate Affect Stargrass Pasture and Cattle Performance","volume":"44","author":[{"family":"Garay","given":"A. Hernández"},{"family":"Sollenberger","given":"L. E."},{"family":"McDonald","given":"D. C."},{"family":"Ruegsegger","given":"G. J."},{"family":"Kalmbacher","given":"R. S."},{"family":"Mislevy","given":"P."}],"issued":{"date-parts":[["2004",7]]}}}],"schema":"https://github.com/citation-style-language/schema/raw/master/csl-citation.json"} </w:instrText>
      </w:r>
      <w:r w:rsidR="005C01C5">
        <w:rPr>
          <w:rFonts w:cs="Times New Roman"/>
        </w:rPr>
        <w:fldChar w:fldCharType="separate"/>
      </w:r>
      <w:r w:rsidR="00B015B5" w:rsidRPr="00B015B5">
        <w:rPr>
          <w:rFonts w:cs="Times New Roman"/>
        </w:rPr>
        <w:t>(Garay et al., 2004)</w:t>
      </w:r>
      <w:r w:rsidR="005C01C5">
        <w:rPr>
          <w:rFonts w:cs="Times New Roman"/>
        </w:rPr>
        <w:fldChar w:fldCharType="end"/>
      </w:r>
      <w:r w:rsidRPr="007A466D">
        <w:rPr>
          <w:rFonts w:cs="Times New Roman"/>
        </w:rPr>
        <w:t xml:space="preserve">. These species can not only complement forage production in times of shortage, but also increase pasture </w:t>
      </w:r>
      <w:r w:rsidR="00773081">
        <w:rPr>
          <w:rFonts w:cs="Times New Roman"/>
        </w:rPr>
        <w:t>competitiveness</w:t>
      </w:r>
      <w:r w:rsidRPr="007A466D">
        <w:rPr>
          <w:rFonts w:cs="Times New Roman"/>
        </w:rPr>
        <w:t xml:space="preserve"> against noxious weeds</w:t>
      </w:r>
      <w:r w:rsidR="00006512">
        <w:rPr>
          <w:rFonts w:cs="Times New Roman"/>
        </w:rPr>
        <w:t xml:space="preserve"> </w:t>
      </w:r>
      <w:r w:rsidR="00AC2466">
        <w:rPr>
          <w:rFonts w:cs="Times New Roman"/>
        </w:rPr>
        <w:fldChar w:fldCharType="begin"/>
      </w:r>
      <w:r w:rsidR="00AC2466">
        <w:rPr>
          <w:rFonts w:cs="Times New Roman"/>
        </w:rPr>
        <w:instrText xml:space="preserve"> ADDIN ZOTERO_ITEM CSL_CITATION {"citationID":"cBKTJOEV","properties":{"formattedCitation":"(Garay et al., 2004)","plainCitation":"(Garay et al., 2004)","noteIndex":0},"citationItems":[{"id":33,"uris":["http://zotero.org/users/local/kjHHoAYm/items/4FWGMXYM"],"itemData":{"id":33,"type":"article-journal","abstract":"Stargrass (\n              Cynodon nlemfuensis\n              Vanderyst) is an important tropical forage, but the interaction of stocking rate (SR) and N fertilizer rate on stargrass pastures is not well understood. The objective was to determine the effects of three SR (2.5, 5.0, and 7.5 bulls ha\n              −1\n              ) and three N rates (112, 224, and 336 kg ha\n              −1\n              yr\n              −1\n              ) on stargrass pasture characteristics and performance of Jamaica Red Poll (\n              Bos taurus\n              ×\n              B. indicus\n              ) weanling bulls at St. Ann, Jamaica. Soil was a bauxitic clay loam, and pastures were rotationally stocked (7‐d grazing and 21‐d rest period). Pregraze herbage mass increased as SR decreased (2.0‐4.8 Mg ha\n              −1\n              in Year 1 and 3.3‐8.3 Mg ha\n              −1\n              in Year 2). Herbage crude protein (CP) and in vitro digestible organic matter (IVDOM) generally increased with increasing SR and N rate. Bull daily gain decreased curvilinearly from 0.70 to 0.26 kg in Year 1 and 0.65 to 0.35 kg in Year 2 as SR increased from 2.5 to 7.5 head ha\n              −1\n              Daily gain increased linearly as N rate increased from 112 to 336 kg ha\n              −1\n              The N fertilizer rate had little effect on gain per hectare at the lowest SR, but gain increased with fertilization up to 224 kg N ha\n              −1\n              for a SR of 5 head ha\n              −1\n              and up to 336 kg N ha\n              −1\n              for a SR of 7.5. In conclusion, economic return from N fertilization of stargrass pastures is dependent upon SR, with greater N rates more likely to be profitable if SR is high.","container-title":"Crop Science","DOI":"10.2135/cropsci2004.1348","ISSN":"0011-183X, 1435-0653","issue":"4","journalAbbreviation":"Crop Science","language":"en","page":"1348-1354","source":"DOI.org (Crossref)","title":"Nitrogen Fertilization and Stocking Rate Affect Stargrass Pasture and Cattle Performance","volume":"44","author":[{"family":"Garay","given":"A. Hernández"},{"family":"Sollenberger","given":"L. E."},{"family":"McDonald","given":"D. C."},{"family":"Ruegsegger","given":"G. J."},{"family":"Kalmbacher","given":"R. S."},{"family":"Mislevy","given":"P."}],"issued":{"date-parts":[["2004",7]]}}}],"schema":"https://github.com/citation-style-language/schema/raw/master/csl-citation.json"} </w:instrText>
      </w:r>
      <w:r w:rsidR="00AC2466">
        <w:rPr>
          <w:rFonts w:cs="Times New Roman"/>
        </w:rPr>
        <w:fldChar w:fldCharType="separate"/>
      </w:r>
      <w:r w:rsidR="00B015B5" w:rsidRPr="00B015B5">
        <w:rPr>
          <w:rFonts w:cs="Times New Roman"/>
        </w:rPr>
        <w:t>(Garay et al., 2004)</w:t>
      </w:r>
      <w:r w:rsidR="00AC2466">
        <w:rPr>
          <w:rFonts w:cs="Times New Roman"/>
        </w:rPr>
        <w:fldChar w:fldCharType="end"/>
      </w:r>
      <w:r w:rsidRPr="007A466D">
        <w:rPr>
          <w:rFonts w:cs="Times New Roman"/>
        </w:rPr>
        <w:t>.</w:t>
      </w:r>
    </w:p>
    <w:p w14:paraId="0EC561B1" w14:textId="1B7F9E88" w:rsidR="00236E6D" w:rsidRPr="006E1FCC" w:rsidRDefault="00AF1BB0" w:rsidP="006E1FCC">
      <w:pPr>
        <w:pStyle w:val="Heading2"/>
        <w:spacing w:before="0" w:after="0" w:line="480" w:lineRule="auto"/>
        <w:rPr>
          <w:szCs w:val="24"/>
        </w:rPr>
      </w:pPr>
      <w:bookmarkStart w:id="8" w:name="_Toc196315223"/>
      <w:bookmarkStart w:id="9" w:name="_Hlk189501400"/>
      <w:bookmarkEnd w:id="6"/>
      <w:bookmarkEnd w:id="7"/>
      <w:r w:rsidRPr="006E1FCC">
        <w:rPr>
          <w:rFonts w:cs="Times New Roman"/>
          <w:szCs w:val="24"/>
        </w:rPr>
        <w:t>Bermudagrass</w:t>
      </w:r>
      <w:bookmarkEnd w:id="8"/>
    </w:p>
    <w:bookmarkEnd w:id="9"/>
    <w:p w14:paraId="55EABEB3" w14:textId="085E94D8" w:rsidR="00AF1BB0" w:rsidRPr="00037ACB" w:rsidRDefault="00AF1BB0" w:rsidP="006E1FCC">
      <w:pPr>
        <w:spacing w:line="480" w:lineRule="auto"/>
        <w:ind w:firstLine="720"/>
        <w:rPr>
          <w:rFonts w:cs="Times New Roman"/>
        </w:rPr>
      </w:pPr>
      <w:r w:rsidRPr="00037ACB">
        <w:rPr>
          <w:rFonts w:cs="Times New Roman"/>
        </w:rPr>
        <w:t xml:space="preserve">In the Southeastern United States, </w:t>
      </w:r>
      <w:r w:rsidR="00A5213C" w:rsidRPr="00037ACB">
        <w:rPr>
          <w:rFonts w:cs="Times New Roman"/>
        </w:rPr>
        <w:t>bermudagrass [</w:t>
      </w:r>
      <w:proofErr w:type="spellStart"/>
      <w:r w:rsidRPr="00037ACB">
        <w:rPr>
          <w:rFonts w:cs="Times New Roman"/>
          <w:i/>
          <w:iCs/>
        </w:rPr>
        <w:t>Cynodon</w:t>
      </w:r>
      <w:proofErr w:type="spellEnd"/>
      <w:r w:rsidRPr="00037ACB">
        <w:rPr>
          <w:rFonts w:cs="Times New Roman"/>
          <w:i/>
          <w:iCs/>
        </w:rPr>
        <w:t xml:space="preserve"> </w:t>
      </w:r>
      <w:proofErr w:type="spellStart"/>
      <w:r w:rsidR="00A5213C" w:rsidRPr="00037ACB">
        <w:rPr>
          <w:rFonts w:cs="Times New Roman"/>
          <w:i/>
          <w:iCs/>
        </w:rPr>
        <w:t>d</w:t>
      </w:r>
      <w:r w:rsidRPr="00037ACB">
        <w:rPr>
          <w:rFonts w:cs="Times New Roman"/>
          <w:i/>
          <w:iCs/>
        </w:rPr>
        <w:t>actylon</w:t>
      </w:r>
      <w:proofErr w:type="spellEnd"/>
      <w:r w:rsidR="00A5213C" w:rsidRPr="00037ACB">
        <w:rPr>
          <w:rFonts w:cs="Times New Roman"/>
          <w:i/>
          <w:iCs/>
        </w:rPr>
        <w:t xml:space="preserve"> </w:t>
      </w:r>
      <w:r w:rsidR="00A5213C" w:rsidRPr="00037ACB">
        <w:rPr>
          <w:rFonts w:cs="Times New Roman"/>
        </w:rPr>
        <w:t>(L.</w:t>
      </w:r>
      <w:r w:rsidRPr="00037ACB">
        <w:rPr>
          <w:rFonts w:cs="Times New Roman"/>
        </w:rPr>
        <w:t>)</w:t>
      </w:r>
      <w:r w:rsidR="00A5213C" w:rsidRPr="00037ACB">
        <w:rPr>
          <w:rFonts w:cs="Times New Roman"/>
        </w:rPr>
        <w:t>]</w:t>
      </w:r>
      <w:r w:rsidRPr="00037ACB">
        <w:rPr>
          <w:rFonts w:cs="Times New Roman"/>
        </w:rPr>
        <w:t xml:space="preserve"> is the </w:t>
      </w:r>
      <w:r w:rsidR="00EB1EC3" w:rsidRPr="00037ACB">
        <w:rPr>
          <w:rFonts w:cs="Times New Roman"/>
        </w:rPr>
        <w:t>predominant</w:t>
      </w:r>
      <w:r w:rsidRPr="00037ACB">
        <w:rPr>
          <w:rFonts w:cs="Times New Roman"/>
        </w:rPr>
        <w:t xml:space="preserve"> warm-season perennial grass </w:t>
      </w:r>
      <w:r w:rsidR="00DC5452">
        <w:rPr>
          <w:rFonts w:cs="Times New Roman"/>
        </w:rPr>
        <w:fldChar w:fldCharType="begin"/>
      </w:r>
      <w:r w:rsidR="00DC5452">
        <w:rPr>
          <w:rFonts w:cs="Times New Roman"/>
        </w:rPr>
        <w:instrText xml:space="preserve"> ADDIN ZOTERO_ITEM CSL_CITATION {"citationID":"r6FkXGQC","properties":{"formattedCitation":"(Baxter et al., 2024)","plainCitation":"(Baxter et al., 2024)","noteIndex":0},"citationItems":[{"id":36,"uris":["http://zotero.org/users/local/kjHHoAYm/items/ADJCVTLT"],"itemData":{"id":36,"type":"article-journal","abstract":"Abstract\n            \n              Bermudagrass (\n              Cynodon dactylon\n              (L.) Pers.) is one of the primary perennial forages in the southeastern USA. Newer hybrid cultivars have superior production and nutritive value compared to common ecotypes. However, there are many challenges facing bermudagrass production in the region. First, the bermudagrass stem maggot (BSM;\n              Atherigona reversura\n              Villeneuve) has severely damaged bermudagrass throughout the region. Strategically timed pyrethroid applications significantly reduce adult BSM populations, but efforts are needed to develop integrated pest management plans. Second, an increasing number of producers are noting challenges with green‐up following winter dormancy. This may be attributed to disease, unbalanced soil fertility, and weed pressure. Perhaps one of the most limiting factors for continued production is the deficit of sprigs and trained personnel to sprig hybrid bermudagrasses. This research is critically important as the need for cold‐tolerant bermudagrass is increasing as tall fescue (\n              Lolium arundinaceum\n              (Schreb.) S. J. Darbyshire) is declining due to changes in temperature and precipitation throughout the northern parts of the region. Plant breeders are investigating hybrid bermudagrass at latitudes &gt;35° with respect to freeze or cold tolerance. Despite the many challenges facing hybrid bermudagrass in the southeastern USA, researchers are working to ensure its persistence, productivity, and availability for the future.","container-title":"Grassland Research","DOI":"10.1002/glr2.12092","ISSN":"2097-051X, 2770-1743","issue":"2","journalAbbreviation":"Grassland Research","language":"en","page":"123-131","source":"DOI.org (Crossref)","title":"Challenges in bermudagrass production in the southeastern USA","volume":"3","author":[{"family":"Baxter","given":"Lisa L."},{"family":"Anderson","given":"William F."},{"family":"Gates","given":"Roger N."},{"family":"Rios","given":"Esteban F."},{"family":"Burt","given":"Justin C."}],"issued":{"date-parts":[["2024",6]]}}}],"schema":"https://github.com/citation-style-language/schema/raw/master/csl-citation.json"} </w:instrText>
      </w:r>
      <w:r w:rsidR="00DC5452">
        <w:rPr>
          <w:rFonts w:cs="Times New Roman"/>
        </w:rPr>
        <w:fldChar w:fldCharType="separate"/>
      </w:r>
      <w:r w:rsidR="00B015B5" w:rsidRPr="00B015B5">
        <w:rPr>
          <w:rFonts w:cs="Times New Roman"/>
        </w:rPr>
        <w:t>(Baxter et al., 2024)</w:t>
      </w:r>
      <w:r w:rsidR="00DC5452">
        <w:rPr>
          <w:rFonts w:cs="Times New Roman"/>
        </w:rPr>
        <w:fldChar w:fldCharType="end"/>
      </w:r>
      <w:r w:rsidR="00EB1EC3" w:rsidRPr="00037ACB">
        <w:rPr>
          <w:rFonts w:cs="Times New Roman"/>
        </w:rPr>
        <w:t>.</w:t>
      </w:r>
      <w:r w:rsidRPr="00037ACB">
        <w:rPr>
          <w:rFonts w:cs="Times New Roman"/>
        </w:rPr>
        <w:t xml:space="preserve"> </w:t>
      </w:r>
      <w:r w:rsidR="00EB1EC3" w:rsidRPr="00037ACB">
        <w:rPr>
          <w:rFonts w:cs="Times New Roman"/>
        </w:rPr>
        <w:t>M</w:t>
      </w:r>
      <w:r w:rsidRPr="00037ACB">
        <w:rPr>
          <w:rFonts w:cs="Times New Roman"/>
        </w:rPr>
        <w:t xml:space="preserve">ost forages </w:t>
      </w:r>
      <w:r w:rsidR="00EB1EC3" w:rsidRPr="00037ACB">
        <w:rPr>
          <w:rFonts w:cs="Times New Roman"/>
        </w:rPr>
        <w:t>grown</w:t>
      </w:r>
      <w:r w:rsidRPr="00037ACB">
        <w:rPr>
          <w:rFonts w:cs="Times New Roman"/>
        </w:rPr>
        <w:t xml:space="preserve"> in the region</w:t>
      </w:r>
      <w:r w:rsidR="00EB1EC3" w:rsidRPr="00037ACB">
        <w:rPr>
          <w:rFonts w:cs="Times New Roman"/>
        </w:rPr>
        <w:t xml:space="preserve">, including </w:t>
      </w:r>
      <w:r w:rsidR="006B79F8">
        <w:rPr>
          <w:rFonts w:cs="Times New Roman"/>
        </w:rPr>
        <w:t>b</w:t>
      </w:r>
      <w:r w:rsidR="006B79F8" w:rsidRPr="00037ACB">
        <w:rPr>
          <w:rFonts w:cs="Times New Roman"/>
        </w:rPr>
        <w:t xml:space="preserve">ermudagrass </w:t>
      </w:r>
      <w:r w:rsidR="00A86BCC">
        <w:rPr>
          <w:rFonts w:cs="Times New Roman"/>
        </w:rPr>
        <w:t>(</w:t>
      </w:r>
      <w:r w:rsidR="00A86BCC" w:rsidRPr="00206B6C">
        <w:rPr>
          <w:rFonts w:cs="Times New Roman"/>
        </w:rPr>
        <w:t>Weintraub, 1953)</w:t>
      </w:r>
      <w:r w:rsidR="00773081">
        <w:rPr>
          <w:rFonts w:cs="Times New Roman"/>
        </w:rPr>
        <w:t>,</w:t>
      </w:r>
      <w:r w:rsidRPr="00037ACB">
        <w:rPr>
          <w:rFonts w:cs="Times New Roman"/>
        </w:rPr>
        <w:t xml:space="preserve"> </w:t>
      </w:r>
      <w:r w:rsidR="00EB1EC3" w:rsidRPr="00037ACB">
        <w:rPr>
          <w:rFonts w:cs="Times New Roman"/>
        </w:rPr>
        <w:t>are</w:t>
      </w:r>
      <w:r w:rsidRPr="00037ACB">
        <w:rPr>
          <w:rFonts w:cs="Times New Roman"/>
        </w:rPr>
        <w:t xml:space="preserve"> introduced </w:t>
      </w:r>
      <w:r w:rsidR="00EB1EC3" w:rsidRPr="00037ACB">
        <w:rPr>
          <w:rFonts w:cs="Times New Roman"/>
        </w:rPr>
        <w:t>species</w:t>
      </w:r>
      <w:r w:rsidRPr="00037ACB">
        <w:rPr>
          <w:rFonts w:cs="Times New Roman"/>
        </w:rPr>
        <w:t xml:space="preserve">. </w:t>
      </w:r>
      <w:r w:rsidR="00EB1EC3" w:rsidRPr="00037ACB">
        <w:rPr>
          <w:rFonts w:cs="Times New Roman"/>
        </w:rPr>
        <w:t>Originally from</w:t>
      </w:r>
      <w:r w:rsidRPr="00037ACB">
        <w:rPr>
          <w:rFonts w:cs="Times New Roman"/>
        </w:rPr>
        <w:t xml:space="preserve"> East Africa</w:t>
      </w:r>
      <w:r w:rsidR="00EB1EC3" w:rsidRPr="00037ACB">
        <w:rPr>
          <w:rFonts w:cs="Times New Roman"/>
        </w:rPr>
        <w:t>,</w:t>
      </w:r>
      <w:r w:rsidRPr="00037ACB">
        <w:rPr>
          <w:rFonts w:cs="Times New Roman"/>
        </w:rPr>
        <w:t xml:space="preserve"> </w:t>
      </w:r>
      <w:r w:rsidR="006B79F8">
        <w:rPr>
          <w:rFonts w:cs="Times New Roman"/>
        </w:rPr>
        <w:t>b</w:t>
      </w:r>
      <w:r w:rsidR="006B79F8" w:rsidRPr="00037ACB">
        <w:rPr>
          <w:rFonts w:cs="Times New Roman"/>
        </w:rPr>
        <w:t xml:space="preserve">ermudagrass </w:t>
      </w:r>
      <w:r w:rsidR="00EB1EC3" w:rsidRPr="00037ACB">
        <w:rPr>
          <w:rFonts w:cs="Times New Roman"/>
        </w:rPr>
        <w:t xml:space="preserve">has been widely adopted in </w:t>
      </w:r>
      <w:r w:rsidRPr="00037ACB">
        <w:rPr>
          <w:rFonts w:cs="Times New Roman"/>
        </w:rPr>
        <w:t xml:space="preserve">tropical and </w:t>
      </w:r>
      <w:r w:rsidR="00773081">
        <w:rPr>
          <w:rFonts w:cs="Times New Roman"/>
        </w:rPr>
        <w:t>sub-tropical</w:t>
      </w:r>
      <w:r w:rsidRPr="00037ACB">
        <w:rPr>
          <w:rFonts w:cs="Times New Roman"/>
        </w:rPr>
        <w:t xml:space="preserve"> production systems</w:t>
      </w:r>
      <w:r w:rsidR="00EB1EC3" w:rsidRPr="00037ACB">
        <w:rPr>
          <w:rFonts w:cs="Times New Roman"/>
        </w:rPr>
        <w:t xml:space="preserve"> due to its adaptability</w:t>
      </w:r>
      <w:r w:rsidRPr="00037ACB">
        <w:rPr>
          <w:rFonts w:cs="Times New Roman"/>
        </w:rPr>
        <w:t>.</w:t>
      </w:r>
    </w:p>
    <w:p w14:paraId="65F06F90" w14:textId="26061070" w:rsidR="00AF1BB0" w:rsidRDefault="00AF1BB0" w:rsidP="006E1FCC">
      <w:pPr>
        <w:spacing w:line="480" w:lineRule="auto"/>
        <w:ind w:firstLine="720"/>
        <w:rPr>
          <w:rFonts w:cs="Times New Roman"/>
        </w:rPr>
      </w:pPr>
      <w:r w:rsidRPr="00037ACB">
        <w:rPr>
          <w:rFonts w:cs="Times New Roman"/>
        </w:rPr>
        <w:t xml:space="preserve">Bermudagrass was likely introduced to the New World soon after Columbus’s voyages, with its first recorded introduction to the contiguous U.S. </w:t>
      </w:r>
      <w:r w:rsidR="009E7B4B" w:rsidRPr="00037ACB">
        <w:rPr>
          <w:rFonts w:cs="Times New Roman"/>
        </w:rPr>
        <w:t xml:space="preserve">attributed </w:t>
      </w:r>
      <w:r w:rsidRPr="00037ACB">
        <w:rPr>
          <w:rFonts w:cs="Times New Roman"/>
        </w:rPr>
        <w:t xml:space="preserve">to Georgia Governor Henry Ellis in 1751. However, earlier introductions may have occurred through botanist Robert Miller in the 1730s. Thriving in southern Colonial America, it spread with settlers and agricultural expansion, becoming a key forage grass by the early 1800s </w:t>
      </w:r>
      <w:r w:rsidR="000B1BBF">
        <w:rPr>
          <w:rFonts w:cs="Times New Roman"/>
        </w:rPr>
        <w:fldChar w:fldCharType="begin"/>
      </w:r>
      <w:r w:rsidR="000B1BBF">
        <w:rPr>
          <w:rFonts w:cs="Times New Roman"/>
        </w:rPr>
        <w:instrText xml:space="preserve"> ADDIN ZOTERO_ITEM CSL_CITATION {"citationID":"Zevs4jhN","properties":{"formattedCitation":"(Taliaferro et al., 2016)","plainCitation":"(Taliaferro et al., 2016)","noteIndex":0},"citationItems":[{"id":38,"uris":["http://zotero.org/users/local/kjHHoAYm/items/H2EWKFBY"],"itemData":{"id":38,"type":"chapter","container-title":"Agronomy Monographs","event-place":"Madison, WI, USA","ISBN":"978-0-89118-237-5","note":"DOI: 10.2134/agronmonogr45.c12","page":"417-475","publisher":"American Society of Agronomy, Crop Science Society of America, Soil Science Society of America","publisher-place":"Madison, WI, USA","source":"DOI.org (Crossref)","title":"Bermudagrass and Stargrass","URL":"http://doi.wiley.com/10.2134/agronmonogr45.c12","editor":[{"family":"Moser","given":"Lowell E."},{"family":"Burson","given":"Byron L."},{"family":"Sollenberger","given":"Lynn E."}],"author":[{"family":"Taliaferro","given":"Charles M."},{"family":"Rouquette","given":"Francis M."},{"family":"Mislevy","given":"Paul"}],"accessed":{"date-parts":[["2025",2,17]]},"issued":{"date-parts":[["2016",12,12]]}}}],"schema":"https://github.com/citation-style-language/schema/raw/master/csl-citation.json"} </w:instrText>
      </w:r>
      <w:r w:rsidR="000B1BBF">
        <w:rPr>
          <w:rFonts w:cs="Times New Roman"/>
        </w:rPr>
        <w:fldChar w:fldCharType="separate"/>
      </w:r>
      <w:r w:rsidR="00B015B5" w:rsidRPr="00B015B5">
        <w:rPr>
          <w:rFonts w:cs="Times New Roman"/>
        </w:rPr>
        <w:t>(Taliaferro et al., 2016)</w:t>
      </w:r>
      <w:r w:rsidR="000B1BBF">
        <w:rPr>
          <w:rFonts w:cs="Times New Roman"/>
        </w:rPr>
        <w:fldChar w:fldCharType="end"/>
      </w:r>
      <w:r w:rsidR="000B1BBF">
        <w:rPr>
          <w:rFonts w:cs="Times New Roman"/>
        </w:rPr>
        <w:t xml:space="preserve">. </w:t>
      </w:r>
      <w:r w:rsidRPr="00037ACB">
        <w:rPr>
          <w:rFonts w:cs="Times New Roman"/>
        </w:rPr>
        <w:t xml:space="preserve">By the mid-1800s, it had reached California and Arizona through multiple pathways, including </w:t>
      </w:r>
      <w:r w:rsidR="009E7B4B" w:rsidRPr="00037ACB">
        <w:rPr>
          <w:rFonts w:cs="Times New Roman"/>
        </w:rPr>
        <w:t xml:space="preserve">seed </w:t>
      </w:r>
      <w:r w:rsidRPr="00037ACB">
        <w:rPr>
          <w:rFonts w:cs="Times New Roman"/>
        </w:rPr>
        <w:t xml:space="preserve">contamination and cattle digestion. By the early 1900s, it was considered a </w:t>
      </w:r>
      <w:r w:rsidR="009E7B4B" w:rsidRPr="00037ACB">
        <w:rPr>
          <w:rFonts w:cs="Times New Roman"/>
        </w:rPr>
        <w:t xml:space="preserve">major </w:t>
      </w:r>
      <w:r w:rsidRPr="00037ACB">
        <w:rPr>
          <w:rFonts w:cs="Times New Roman"/>
        </w:rPr>
        <w:t xml:space="preserve">weed in irrigated alfalfa fields and was commercially harvested for seed in the southwestern U.S. Additionally, imported seed from Australia further </w:t>
      </w:r>
      <w:r w:rsidRPr="00037ACB">
        <w:rPr>
          <w:rFonts w:cs="Times New Roman"/>
        </w:rPr>
        <w:lastRenderedPageBreak/>
        <w:t xml:space="preserve">contributed to its spread. Over time, </w:t>
      </w:r>
      <w:r w:rsidR="009A57A5">
        <w:rPr>
          <w:rFonts w:cs="Times New Roman"/>
        </w:rPr>
        <w:t>b</w:t>
      </w:r>
      <w:r w:rsidR="00565647" w:rsidRPr="00037ACB">
        <w:rPr>
          <w:rFonts w:cs="Times New Roman"/>
        </w:rPr>
        <w:t>ermudagrass</w:t>
      </w:r>
      <w:r w:rsidRPr="00037ACB">
        <w:rPr>
          <w:rFonts w:cs="Times New Roman"/>
        </w:rPr>
        <w:t xml:space="preserve"> was planted across much of the country, </w:t>
      </w:r>
      <w:r w:rsidR="009E7B4B" w:rsidRPr="00037ACB">
        <w:rPr>
          <w:rFonts w:cs="Times New Roman"/>
        </w:rPr>
        <w:t xml:space="preserve">becoming prevalent </w:t>
      </w:r>
      <w:r w:rsidRPr="00037ACB">
        <w:rPr>
          <w:rFonts w:cs="Times New Roman"/>
        </w:rPr>
        <w:t xml:space="preserve">in the southern </w:t>
      </w:r>
      <w:r w:rsidR="00EF2F95">
        <w:rPr>
          <w:rFonts w:cs="Times New Roman"/>
        </w:rPr>
        <w:t>U.S.</w:t>
      </w:r>
      <w:r w:rsidRPr="00037ACB">
        <w:rPr>
          <w:rFonts w:cs="Times New Roman"/>
        </w:rPr>
        <w:t xml:space="preserve"> </w:t>
      </w:r>
      <w:r w:rsidR="000B1BBF">
        <w:rPr>
          <w:rFonts w:cs="Times New Roman"/>
        </w:rPr>
        <w:fldChar w:fldCharType="begin"/>
      </w:r>
      <w:r w:rsidR="000B1BBF">
        <w:rPr>
          <w:rFonts w:cs="Times New Roman"/>
        </w:rPr>
        <w:instrText xml:space="preserve"> ADDIN ZOTERO_ITEM CSL_CITATION {"citationID":"xtSGzetn","properties":{"formattedCitation":"(Taliaferro et al., 2016)","plainCitation":"(Taliaferro et al., 2016)","noteIndex":0},"citationItems":[{"id":38,"uris":["http://zotero.org/users/local/kjHHoAYm/items/H2EWKFBY"],"itemData":{"id":38,"type":"chapter","container-title":"Agronomy Monographs","event-place":"Madison, WI, USA","ISBN":"978-0-89118-237-5","note":"DOI: 10.2134/agronmonogr45.c12","page":"417-475","publisher":"American Society of Agronomy, Crop Science Society of America, Soil Science Society of America","publisher-place":"Madison, WI, USA","source":"DOI.org (Crossref)","title":"Bermudagrass and Stargrass","URL":"http://doi.wiley.com/10.2134/agronmonogr45.c12","editor":[{"family":"Moser","given":"Lowell E."},{"family":"Burson","given":"Byron L."},{"family":"Sollenberger","given":"Lynn E."}],"author":[{"family":"Taliaferro","given":"Charles M."},{"family":"Rouquette","given":"Francis M."},{"family":"Mislevy","given":"Paul"}],"accessed":{"date-parts":[["2025",2,17]]},"issued":{"date-parts":[["2016",12,12]]}}}],"schema":"https://github.com/citation-style-language/schema/raw/master/csl-citation.json"} </w:instrText>
      </w:r>
      <w:r w:rsidR="000B1BBF">
        <w:rPr>
          <w:rFonts w:cs="Times New Roman"/>
        </w:rPr>
        <w:fldChar w:fldCharType="separate"/>
      </w:r>
      <w:r w:rsidR="00B015B5" w:rsidRPr="00B015B5">
        <w:rPr>
          <w:rFonts w:cs="Times New Roman"/>
        </w:rPr>
        <w:t>(Taliaferro et al., 2016)</w:t>
      </w:r>
      <w:r w:rsidR="000B1BBF">
        <w:rPr>
          <w:rFonts w:cs="Times New Roman"/>
        </w:rPr>
        <w:fldChar w:fldCharType="end"/>
      </w:r>
      <w:r w:rsidR="000B1BBF">
        <w:rPr>
          <w:rFonts w:cs="Times New Roman"/>
        </w:rPr>
        <w:t>.</w:t>
      </w:r>
    </w:p>
    <w:p w14:paraId="6459D9D9" w14:textId="1DB44289" w:rsidR="00F31520" w:rsidRPr="00037ACB" w:rsidRDefault="00DC501A" w:rsidP="006E1FCC">
      <w:pPr>
        <w:spacing w:line="480" w:lineRule="auto"/>
        <w:ind w:firstLine="720"/>
        <w:rPr>
          <w:rFonts w:cs="Times New Roman"/>
        </w:rPr>
      </w:pPr>
      <w:r>
        <w:rPr>
          <w:rFonts w:cs="Times New Roman"/>
        </w:rPr>
        <w:fldChar w:fldCharType="begin"/>
      </w:r>
      <w:r w:rsidR="00F16BE6">
        <w:rPr>
          <w:rFonts w:cs="Times New Roman"/>
        </w:rPr>
        <w:instrText xml:space="preserve"> ADDIN ZOTERO_ITEM CSL_CITATION {"citationID":"DAHLUry0","properties":{"formattedCitation":"(Taliaferro et al., 2016)","plainCitation":"(Taliaferro et al., 2016)","dontUpdate":true,"noteIndex":0},"citationItems":[{"id":38,"uris":["http://zotero.org/users/local/kjHHoAYm/items/H2EWKFBY"],"itemData":{"id":38,"type":"chapter","container-title":"Agronomy Monographs","event-place":"Madison, WI, USA","ISBN":"978-0-89118-237-5","note":"DOI: 10.2134/agronmonogr45.c12","page":"417-475","publisher":"American Society of Agronomy, Crop Science Society of America, Soil Science Society of America","publisher-place":"Madison, WI, USA","source":"DOI.org (Crossref)","title":"Bermudagrass and Stargrass","URL":"http://doi.wiley.com/10.2134/agronmonogr45.c12","editor":[{"family":"Moser","given":"Lowell E."},{"family":"Burson","given":"Byron L."},{"family":"Sollenberger","given":"Lynn E."}],"author":[{"family":"Taliaferro","given":"Charles M."},{"family":"Rouquette","given":"Francis M."},{"family":"Mislevy","given":"Paul"}],"accessed":{"date-parts":[["2025",2,17]]},"issued":{"date-parts":[["2016",12,12]]}}}],"schema":"https://github.com/citation-style-language/schema/raw/master/csl-citation.json"} </w:instrText>
      </w:r>
      <w:r>
        <w:rPr>
          <w:rFonts w:cs="Times New Roman"/>
        </w:rPr>
        <w:fldChar w:fldCharType="separate"/>
      </w:r>
      <w:r w:rsidRPr="00DC501A">
        <w:rPr>
          <w:rFonts w:cs="Times New Roman"/>
        </w:rPr>
        <w:t xml:space="preserve">Taliaferro et al., </w:t>
      </w:r>
      <w:r>
        <w:rPr>
          <w:rFonts w:cs="Times New Roman"/>
        </w:rPr>
        <w:t>(</w:t>
      </w:r>
      <w:r w:rsidRPr="00DC501A">
        <w:rPr>
          <w:rFonts w:cs="Times New Roman"/>
        </w:rPr>
        <w:t>2016)</w:t>
      </w:r>
      <w:r>
        <w:rPr>
          <w:rFonts w:cs="Times New Roman"/>
        </w:rPr>
        <w:fldChar w:fldCharType="end"/>
      </w:r>
      <w:r>
        <w:rPr>
          <w:rFonts w:cs="Times New Roman"/>
        </w:rPr>
        <w:t xml:space="preserve"> </w:t>
      </w:r>
      <w:r w:rsidR="00F31520">
        <w:rPr>
          <w:rFonts w:cs="Times New Roman"/>
        </w:rPr>
        <w:t>describe</w:t>
      </w:r>
      <w:r w:rsidR="00F31520" w:rsidRPr="00037ACB">
        <w:rPr>
          <w:rFonts w:cs="Times New Roman"/>
        </w:rPr>
        <w:t xml:space="preserve"> bermudagrass var. </w:t>
      </w:r>
      <w:proofErr w:type="spellStart"/>
      <w:r w:rsidR="00F31520" w:rsidRPr="00037ACB">
        <w:rPr>
          <w:rFonts w:cs="Times New Roman"/>
        </w:rPr>
        <w:t>dactylon</w:t>
      </w:r>
      <w:proofErr w:type="spellEnd"/>
      <w:r w:rsidR="00F31520" w:rsidRPr="00037ACB">
        <w:rPr>
          <w:rFonts w:cs="Times New Roman"/>
        </w:rPr>
        <w:t xml:space="preserve"> as using its underground stems (rhizomes) as asexual reproductive strategies. It also defines </w:t>
      </w:r>
      <w:r w:rsidR="006B79F8">
        <w:rPr>
          <w:rFonts w:cs="Times New Roman"/>
        </w:rPr>
        <w:t>b</w:t>
      </w:r>
      <w:r w:rsidR="006B79F8" w:rsidRPr="00037ACB">
        <w:rPr>
          <w:rFonts w:cs="Times New Roman"/>
        </w:rPr>
        <w:t xml:space="preserve">ermudagrass </w:t>
      </w:r>
      <w:proofErr w:type="spellStart"/>
      <w:r w:rsidR="00F31520" w:rsidRPr="00037ACB">
        <w:rPr>
          <w:rFonts w:cs="Times New Roman"/>
        </w:rPr>
        <w:t>stolons</w:t>
      </w:r>
      <w:proofErr w:type="spellEnd"/>
      <w:r w:rsidR="00F31520" w:rsidRPr="00037ACB">
        <w:rPr>
          <w:rFonts w:cs="Times New Roman"/>
        </w:rPr>
        <w:t xml:space="preserve"> as diverse, ranging from very fine to coarse, </w:t>
      </w:r>
      <w:r w:rsidR="006B79F8">
        <w:rPr>
          <w:rFonts w:cs="Times New Roman"/>
        </w:rPr>
        <w:t>with</w:t>
      </w:r>
      <w:r w:rsidR="00F31520" w:rsidRPr="00037ACB">
        <w:rPr>
          <w:rFonts w:cs="Times New Roman"/>
        </w:rPr>
        <w:t xml:space="preserve"> linear-lanceolate</w:t>
      </w:r>
      <w:r w:rsidR="006B79F8">
        <w:rPr>
          <w:rFonts w:cs="Times New Roman"/>
        </w:rPr>
        <w:t xml:space="preserve"> leaves</w:t>
      </w:r>
      <w:r w:rsidR="00F31520" w:rsidRPr="00037ACB">
        <w:rPr>
          <w:rFonts w:cs="Times New Roman"/>
        </w:rPr>
        <w:t xml:space="preserve">, following a lance shape, being usually longer </w:t>
      </w:r>
      <w:r w:rsidR="006B79F8">
        <w:rPr>
          <w:rFonts w:cs="Times New Roman"/>
        </w:rPr>
        <w:t>and thinner</w:t>
      </w:r>
      <w:r w:rsidR="00F31520" w:rsidRPr="00037ACB">
        <w:rPr>
          <w:rFonts w:cs="Times New Roman"/>
        </w:rPr>
        <w:t>.</w:t>
      </w:r>
    </w:p>
    <w:p w14:paraId="39FCF897" w14:textId="08F8BBC4" w:rsidR="00512577" w:rsidRPr="00037ACB" w:rsidRDefault="00AF1BB0" w:rsidP="00E378A0">
      <w:pPr>
        <w:spacing w:line="480" w:lineRule="auto"/>
        <w:ind w:firstLine="720"/>
        <w:rPr>
          <w:rFonts w:cs="Times New Roman"/>
        </w:rPr>
      </w:pPr>
      <w:r w:rsidRPr="00037ACB">
        <w:rPr>
          <w:rFonts w:cs="Times New Roman"/>
        </w:rPr>
        <w:t xml:space="preserve">Bermudagrass is highly </w:t>
      </w:r>
      <w:r w:rsidR="006B79F8">
        <w:rPr>
          <w:rFonts w:cs="Times New Roman"/>
        </w:rPr>
        <w:t xml:space="preserve">drought </w:t>
      </w:r>
      <w:r w:rsidRPr="00037ACB">
        <w:rPr>
          <w:rFonts w:cs="Times New Roman"/>
        </w:rPr>
        <w:t>tolerant,</w:t>
      </w:r>
      <w:r w:rsidR="006B79F8">
        <w:rPr>
          <w:rFonts w:cs="Times New Roman"/>
        </w:rPr>
        <w:t xml:space="preserve"> growing well in</w:t>
      </w:r>
      <w:r w:rsidRPr="00037ACB">
        <w:rPr>
          <w:rFonts w:cs="Times New Roman"/>
        </w:rPr>
        <w:t xml:space="preserve"> waterlogged conditions and intensive grazing, </w:t>
      </w:r>
      <w:r w:rsidR="007D34EB" w:rsidRPr="00037ACB">
        <w:rPr>
          <w:rFonts w:cs="Times New Roman"/>
        </w:rPr>
        <w:t xml:space="preserve">with its nutritive value maximized </w:t>
      </w:r>
      <w:r w:rsidRPr="00037ACB">
        <w:rPr>
          <w:rFonts w:cs="Times New Roman"/>
        </w:rPr>
        <w:t xml:space="preserve">with proper management. </w:t>
      </w:r>
      <w:r w:rsidR="007D34EB" w:rsidRPr="00037ACB">
        <w:rPr>
          <w:rFonts w:cs="Times New Roman"/>
        </w:rPr>
        <w:t>Its adaptability, high biomass production, and resilience to biotic and abiotic stress</w:t>
      </w:r>
      <w:r w:rsidR="006B79F8">
        <w:rPr>
          <w:rFonts w:cs="Times New Roman"/>
        </w:rPr>
        <w:t xml:space="preserve"> conditions</w:t>
      </w:r>
      <w:r w:rsidR="007D34EB" w:rsidRPr="00037ACB">
        <w:rPr>
          <w:rFonts w:cs="Times New Roman"/>
        </w:rPr>
        <w:t xml:space="preserve"> make it a valuable forage grass. </w:t>
      </w:r>
      <w:r w:rsidRPr="00037ACB">
        <w:rPr>
          <w:rFonts w:cs="Times New Roman"/>
        </w:rPr>
        <w:t xml:space="preserve">Additionally, legumes and annual </w:t>
      </w:r>
      <w:r w:rsidR="000F2971" w:rsidRPr="00037ACB">
        <w:rPr>
          <w:rFonts w:cs="Times New Roman"/>
        </w:rPr>
        <w:t>grass</w:t>
      </w:r>
      <w:r w:rsidR="006B79F8">
        <w:rPr>
          <w:rFonts w:cs="Times New Roman"/>
        </w:rPr>
        <w:t>es</w:t>
      </w:r>
      <w:r w:rsidRPr="00037ACB">
        <w:rPr>
          <w:rFonts w:cs="Times New Roman"/>
        </w:rPr>
        <w:t xml:space="preserve"> can be integrated into bermudagrass pastures to improve forage quality and extend the grazing season</w:t>
      </w:r>
      <w:r w:rsidR="000C49AF">
        <w:rPr>
          <w:rFonts w:cs="Times New Roman"/>
        </w:rPr>
        <w:t xml:space="preserve"> </w:t>
      </w:r>
      <w:r w:rsidR="000C49AF">
        <w:rPr>
          <w:rFonts w:cs="Times New Roman"/>
        </w:rPr>
        <w:fldChar w:fldCharType="begin"/>
      </w:r>
      <w:r w:rsidR="00F16BE6">
        <w:rPr>
          <w:rFonts w:cs="Times New Roman"/>
        </w:rPr>
        <w:instrText xml:space="preserve"> ADDIN ZOTERO_ITEM CSL_CITATION {"citationID":"rxrZVnrD","properties":{"formattedCitation":"(Ball, n.d.)","plainCitation":"(Ball, n.d.)","dontUpdate":true,"noteIndex":0},"citationItems":[{"id":41,"uris":["http://zotero.org/users/local/kjHHoAYm/items/TRH8RGFU"],"itemData":{"id":41,"type":"article-journal","language":"en","source":"Zotero","title":"Extending Grazing and Reducting Stored Feed Needs - Don Ball etal","author":[{"family":"Ball","given":"Don"}]}}],"schema":"https://github.com/citation-style-language/schema/raw/master/csl-citation.json"} </w:instrText>
      </w:r>
      <w:r w:rsidR="000C49AF">
        <w:rPr>
          <w:rFonts w:cs="Times New Roman"/>
        </w:rPr>
        <w:fldChar w:fldCharType="separate"/>
      </w:r>
      <w:r w:rsidR="000C49AF" w:rsidRPr="000C49AF">
        <w:rPr>
          <w:rFonts w:cs="Times New Roman"/>
        </w:rPr>
        <w:t>(Ball</w:t>
      </w:r>
      <w:r w:rsidR="005F0E59">
        <w:rPr>
          <w:rFonts w:cs="Times New Roman"/>
        </w:rPr>
        <w:t xml:space="preserve"> et al.</w:t>
      </w:r>
      <w:r w:rsidR="000C49AF" w:rsidRPr="000C49AF">
        <w:rPr>
          <w:rFonts w:cs="Times New Roman"/>
        </w:rPr>
        <w:t xml:space="preserve">, </w:t>
      </w:r>
      <w:r w:rsidR="00C9536A">
        <w:rPr>
          <w:rFonts w:cs="Times New Roman"/>
        </w:rPr>
        <w:t>2008</w:t>
      </w:r>
      <w:r w:rsidR="000C49AF" w:rsidRPr="000C49AF">
        <w:rPr>
          <w:rFonts w:cs="Times New Roman"/>
        </w:rPr>
        <w:t>)</w:t>
      </w:r>
      <w:r w:rsidR="000C49AF">
        <w:rPr>
          <w:rFonts w:cs="Times New Roman"/>
        </w:rPr>
        <w:fldChar w:fldCharType="end"/>
      </w:r>
      <w:r w:rsidRPr="00037ACB">
        <w:rPr>
          <w:rFonts w:cs="Times New Roman"/>
        </w:rPr>
        <w:t xml:space="preserve">. </w:t>
      </w:r>
    </w:p>
    <w:p w14:paraId="40AA70C0" w14:textId="245DFA7F" w:rsidR="00AF1BB0" w:rsidRPr="00037ACB" w:rsidRDefault="00AF1BB0" w:rsidP="006E1FCC">
      <w:pPr>
        <w:pStyle w:val="Heading2"/>
        <w:spacing w:before="0" w:after="0" w:line="480" w:lineRule="auto"/>
        <w:rPr>
          <w:rFonts w:cs="Times New Roman"/>
          <w:szCs w:val="24"/>
        </w:rPr>
      </w:pPr>
      <w:bookmarkStart w:id="10" w:name="_Toc196315224"/>
      <w:r w:rsidRPr="00037ACB">
        <w:rPr>
          <w:rFonts w:cs="Times New Roman"/>
          <w:szCs w:val="24"/>
        </w:rPr>
        <w:t xml:space="preserve">Plant </w:t>
      </w:r>
      <w:r w:rsidR="009A57A5">
        <w:rPr>
          <w:rFonts w:cs="Times New Roman"/>
          <w:szCs w:val="24"/>
        </w:rPr>
        <w:t>g</w:t>
      </w:r>
      <w:r w:rsidRPr="00037ACB">
        <w:rPr>
          <w:rFonts w:cs="Times New Roman"/>
          <w:szCs w:val="24"/>
        </w:rPr>
        <w:t xml:space="preserve">rowth </w:t>
      </w:r>
      <w:r w:rsidR="009A57A5">
        <w:rPr>
          <w:rFonts w:cs="Times New Roman"/>
          <w:szCs w:val="24"/>
        </w:rPr>
        <w:t>p</w:t>
      </w:r>
      <w:r w:rsidRPr="00037ACB">
        <w:rPr>
          <w:rFonts w:cs="Times New Roman"/>
          <w:szCs w:val="24"/>
        </w:rPr>
        <w:t xml:space="preserve">romoting </w:t>
      </w:r>
      <w:r w:rsidR="009A57A5">
        <w:rPr>
          <w:rFonts w:cs="Times New Roman"/>
          <w:szCs w:val="24"/>
        </w:rPr>
        <w:t>b</w:t>
      </w:r>
      <w:r w:rsidRPr="00037ACB">
        <w:rPr>
          <w:rFonts w:cs="Times New Roman"/>
          <w:szCs w:val="24"/>
        </w:rPr>
        <w:t>acteria (PGPB)</w:t>
      </w:r>
      <w:bookmarkEnd w:id="10"/>
    </w:p>
    <w:p w14:paraId="08DC2F40" w14:textId="7B60C8D5" w:rsidR="00585FFE" w:rsidRDefault="00AF1BB0" w:rsidP="006E1FCC">
      <w:pPr>
        <w:spacing w:line="480" w:lineRule="auto"/>
        <w:ind w:firstLine="720"/>
        <w:rPr>
          <w:rFonts w:cs="Times New Roman"/>
        </w:rPr>
      </w:pPr>
      <w:r w:rsidRPr="00037ACB">
        <w:rPr>
          <w:rFonts w:cs="Times New Roman"/>
        </w:rPr>
        <w:t xml:space="preserve">Bacteria </w:t>
      </w:r>
      <w:r w:rsidR="00512577" w:rsidRPr="00037ACB">
        <w:rPr>
          <w:rFonts w:cs="Times New Roman"/>
        </w:rPr>
        <w:t>are among</w:t>
      </w:r>
      <w:r w:rsidRPr="00037ACB">
        <w:rPr>
          <w:rFonts w:cs="Times New Roman"/>
        </w:rPr>
        <w:t xml:space="preserve"> the microorganisms that populate the soil, </w:t>
      </w:r>
      <w:r w:rsidR="00512577" w:rsidRPr="00037ACB">
        <w:rPr>
          <w:rFonts w:cs="Times New Roman"/>
        </w:rPr>
        <w:t xml:space="preserve">with </w:t>
      </w:r>
      <w:r w:rsidRPr="00037ACB">
        <w:rPr>
          <w:rFonts w:cs="Times New Roman"/>
        </w:rPr>
        <w:t xml:space="preserve">some </w:t>
      </w:r>
      <w:r w:rsidR="00512577" w:rsidRPr="00037ACB">
        <w:rPr>
          <w:rFonts w:cs="Times New Roman"/>
        </w:rPr>
        <w:t>being</w:t>
      </w:r>
      <w:r w:rsidRPr="00037ACB">
        <w:rPr>
          <w:rFonts w:cs="Times New Roman"/>
        </w:rPr>
        <w:t xml:space="preserve"> beneficial to plant growth</w:t>
      </w:r>
      <w:r w:rsidR="00512577" w:rsidRPr="00037ACB">
        <w:rPr>
          <w:rFonts w:cs="Times New Roman"/>
        </w:rPr>
        <w:t>. These beneficial bacteria, which inhabit</w:t>
      </w:r>
      <w:r w:rsidRPr="00037ACB">
        <w:rPr>
          <w:rFonts w:cs="Times New Roman"/>
        </w:rPr>
        <w:t xml:space="preserve"> the root environment of plants</w:t>
      </w:r>
      <w:r w:rsidR="00512577" w:rsidRPr="00037ACB">
        <w:rPr>
          <w:rFonts w:cs="Times New Roman"/>
        </w:rPr>
        <w:t>,</w:t>
      </w:r>
      <w:r w:rsidRPr="00037ACB">
        <w:rPr>
          <w:rFonts w:cs="Times New Roman"/>
        </w:rPr>
        <w:t xml:space="preserve"> </w:t>
      </w:r>
      <w:r w:rsidR="00512577" w:rsidRPr="00037ACB">
        <w:rPr>
          <w:rFonts w:cs="Times New Roman"/>
        </w:rPr>
        <w:t>are known as</w:t>
      </w:r>
      <w:r w:rsidRPr="00037ACB">
        <w:rPr>
          <w:rFonts w:cs="Times New Roman"/>
        </w:rPr>
        <w:t xml:space="preserve"> plant growth-promoting rhizobacteria (PGPR) (Kloepper</w:t>
      </w:r>
      <w:r w:rsidR="00171B6F">
        <w:rPr>
          <w:rFonts w:cs="Times New Roman"/>
        </w:rPr>
        <w:t xml:space="preserve"> &amp; Schroth</w:t>
      </w:r>
      <w:r w:rsidRPr="00037ACB">
        <w:rPr>
          <w:rFonts w:cs="Times New Roman"/>
        </w:rPr>
        <w:t>, 1989).</w:t>
      </w:r>
      <w:r w:rsidR="00332361">
        <w:rPr>
          <w:rFonts w:cs="Times New Roman"/>
        </w:rPr>
        <w:t xml:space="preserve"> Later reports also described </w:t>
      </w:r>
      <w:r w:rsidR="00A65125">
        <w:rPr>
          <w:rFonts w:cs="Times New Roman"/>
        </w:rPr>
        <w:t xml:space="preserve">that </w:t>
      </w:r>
      <w:r w:rsidR="00332361">
        <w:rPr>
          <w:rFonts w:cs="Times New Roman"/>
        </w:rPr>
        <w:t>t</w:t>
      </w:r>
      <w:r w:rsidRPr="00037ACB">
        <w:rPr>
          <w:rFonts w:cs="Times New Roman"/>
        </w:rPr>
        <w:t xml:space="preserve">hese beneficial bacteria are not only present in the rhizosphere but also in the </w:t>
      </w:r>
      <w:proofErr w:type="spellStart"/>
      <w:r w:rsidR="00512577" w:rsidRPr="00037ACB">
        <w:rPr>
          <w:rFonts w:cs="Times New Roman"/>
        </w:rPr>
        <w:t>e</w:t>
      </w:r>
      <w:r w:rsidRPr="00037ACB">
        <w:rPr>
          <w:rFonts w:cs="Times New Roman"/>
        </w:rPr>
        <w:t>ndosphere</w:t>
      </w:r>
      <w:proofErr w:type="spellEnd"/>
      <w:r w:rsidRPr="00037ACB">
        <w:rPr>
          <w:rFonts w:cs="Times New Roman"/>
        </w:rPr>
        <w:t xml:space="preserve"> and </w:t>
      </w:r>
      <w:proofErr w:type="spellStart"/>
      <w:r w:rsidR="00512577" w:rsidRPr="00037ACB">
        <w:rPr>
          <w:rFonts w:cs="Times New Roman"/>
        </w:rPr>
        <w:t>p</w:t>
      </w:r>
      <w:r w:rsidRPr="00037ACB">
        <w:rPr>
          <w:rFonts w:cs="Times New Roman"/>
        </w:rPr>
        <w:t>hyllosphere</w:t>
      </w:r>
      <w:proofErr w:type="spellEnd"/>
      <w:r w:rsidRPr="00037ACB">
        <w:rPr>
          <w:rFonts w:cs="Times New Roman"/>
        </w:rPr>
        <w:t xml:space="preserve"> (Dong et al, 2019)</w:t>
      </w:r>
      <w:r w:rsidR="00553BB1">
        <w:rPr>
          <w:rFonts w:cs="Times New Roman"/>
        </w:rPr>
        <w:t>,</w:t>
      </w:r>
      <w:r w:rsidR="00332361">
        <w:rPr>
          <w:rFonts w:cs="Times New Roman"/>
        </w:rPr>
        <w:t xml:space="preserve"> renaming Plant Growth</w:t>
      </w:r>
      <w:r w:rsidR="00553BB1">
        <w:rPr>
          <w:rFonts w:cs="Times New Roman"/>
        </w:rPr>
        <w:t xml:space="preserve"> </w:t>
      </w:r>
      <w:r w:rsidR="00332361">
        <w:rPr>
          <w:rFonts w:cs="Times New Roman"/>
        </w:rPr>
        <w:t>Promoting Bacteria (PGPB)</w:t>
      </w:r>
      <w:r w:rsidRPr="00037ACB">
        <w:rPr>
          <w:rFonts w:cs="Times New Roman"/>
        </w:rPr>
        <w:t>.</w:t>
      </w:r>
    </w:p>
    <w:p w14:paraId="5423B966" w14:textId="51D55AF7" w:rsidR="00AF1BB0" w:rsidRPr="00037ACB" w:rsidRDefault="005B68E2" w:rsidP="006E1FCC">
      <w:pPr>
        <w:spacing w:line="480" w:lineRule="auto"/>
        <w:ind w:firstLine="720"/>
        <w:rPr>
          <w:rFonts w:cs="Times New Roman"/>
        </w:rPr>
      </w:pPr>
      <w:r>
        <w:rPr>
          <w:rFonts w:cs="Times New Roman"/>
        </w:rPr>
        <w:t xml:space="preserve">Each </w:t>
      </w:r>
      <w:r w:rsidR="00D83567">
        <w:rPr>
          <w:rFonts w:cs="Times New Roman"/>
        </w:rPr>
        <w:t>microorganism</w:t>
      </w:r>
      <w:r>
        <w:rPr>
          <w:rFonts w:cs="Times New Roman"/>
        </w:rPr>
        <w:t xml:space="preserve"> is adapted to </w:t>
      </w:r>
      <w:r w:rsidR="00797F5F">
        <w:rPr>
          <w:rFonts w:cs="Times New Roman"/>
        </w:rPr>
        <w:t>an</w:t>
      </w:r>
      <w:r w:rsidR="00D83567">
        <w:rPr>
          <w:rFonts w:cs="Times New Roman"/>
        </w:rPr>
        <w:t xml:space="preserve"> environment and its variations, along</w:t>
      </w:r>
      <w:r>
        <w:rPr>
          <w:rFonts w:cs="Times New Roman"/>
        </w:rPr>
        <w:t xml:space="preserve"> </w:t>
      </w:r>
      <w:r w:rsidR="00D83567">
        <w:rPr>
          <w:rFonts w:cs="Times New Roman"/>
        </w:rPr>
        <w:t xml:space="preserve">the </w:t>
      </w:r>
      <w:r w:rsidR="00553BB1">
        <w:rPr>
          <w:rFonts w:cs="Times New Roman"/>
        </w:rPr>
        <w:t>evolutionary</w:t>
      </w:r>
      <w:r w:rsidR="00D83567">
        <w:rPr>
          <w:rFonts w:cs="Times New Roman"/>
        </w:rPr>
        <w:t xml:space="preserve"> </w:t>
      </w:r>
      <w:r w:rsidR="004E0709">
        <w:rPr>
          <w:rFonts w:cs="Times New Roman"/>
        </w:rPr>
        <w:t xml:space="preserve">process, as described by Darwin, the </w:t>
      </w:r>
      <w:r w:rsidR="00797F5F">
        <w:rPr>
          <w:rFonts w:cs="Times New Roman"/>
        </w:rPr>
        <w:t>best-fitted</w:t>
      </w:r>
      <w:r w:rsidR="004E0709">
        <w:rPr>
          <w:rFonts w:cs="Times New Roman"/>
        </w:rPr>
        <w:t xml:space="preserve"> organisms would prevail in a determined environment</w:t>
      </w:r>
      <w:r w:rsidR="00A65125">
        <w:rPr>
          <w:rFonts w:cs="Times New Roman"/>
        </w:rPr>
        <w:t xml:space="preserve">. </w:t>
      </w:r>
      <w:r w:rsidR="004E0709">
        <w:rPr>
          <w:rFonts w:cs="Times New Roman"/>
        </w:rPr>
        <w:t xml:space="preserve">This </w:t>
      </w:r>
      <w:r w:rsidR="00445738">
        <w:rPr>
          <w:rFonts w:cs="Times New Roman"/>
        </w:rPr>
        <w:t xml:space="preserve">theory </w:t>
      </w:r>
      <w:r w:rsidR="00797F5F">
        <w:rPr>
          <w:rFonts w:cs="Times New Roman"/>
        </w:rPr>
        <w:t>conveys</w:t>
      </w:r>
      <w:r w:rsidR="00445738">
        <w:rPr>
          <w:rFonts w:cs="Times New Roman"/>
        </w:rPr>
        <w:t xml:space="preserve"> </w:t>
      </w:r>
      <w:r w:rsidR="00171B6F">
        <w:rPr>
          <w:rFonts w:cs="Times New Roman"/>
        </w:rPr>
        <w:t>to</w:t>
      </w:r>
      <w:r w:rsidR="00445738">
        <w:rPr>
          <w:rFonts w:cs="Times New Roman"/>
        </w:rPr>
        <w:t xml:space="preserve"> the </w:t>
      </w:r>
      <w:r w:rsidR="00797F5F">
        <w:rPr>
          <w:rFonts w:cs="Times New Roman"/>
        </w:rPr>
        <w:t xml:space="preserve">presence of different species of </w:t>
      </w:r>
      <w:r w:rsidR="00797F5F">
        <w:rPr>
          <w:rFonts w:cs="Times New Roman"/>
        </w:rPr>
        <w:lastRenderedPageBreak/>
        <w:t>microorganisms in determined regions of a plant</w:t>
      </w:r>
      <w:r w:rsidR="00171B6F">
        <w:rPr>
          <w:rFonts w:cs="Times New Roman"/>
        </w:rPr>
        <w:t>,</w:t>
      </w:r>
      <w:r w:rsidR="00797F5F">
        <w:rPr>
          <w:rFonts w:cs="Times New Roman"/>
        </w:rPr>
        <w:t xml:space="preserve"> such as </w:t>
      </w:r>
      <w:r w:rsidR="00C43176">
        <w:rPr>
          <w:rFonts w:cs="Times New Roman"/>
        </w:rPr>
        <w:t xml:space="preserve">the </w:t>
      </w:r>
      <w:r w:rsidR="00797F5F">
        <w:rPr>
          <w:rFonts w:cs="Times New Roman"/>
        </w:rPr>
        <w:t xml:space="preserve">rhizosphere, </w:t>
      </w:r>
      <w:proofErr w:type="spellStart"/>
      <w:r w:rsidR="00797F5F">
        <w:rPr>
          <w:rFonts w:cs="Times New Roman"/>
        </w:rPr>
        <w:t>endosphere</w:t>
      </w:r>
      <w:proofErr w:type="spellEnd"/>
      <w:r w:rsidR="00797F5F">
        <w:rPr>
          <w:rFonts w:cs="Times New Roman"/>
        </w:rPr>
        <w:t xml:space="preserve">, and </w:t>
      </w:r>
      <w:proofErr w:type="spellStart"/>
      <w:r w:rsidR="00797F5F">
        <w:rPr>
          <w:rFonts w:cs="Times New Roman"/>
        </w:rPr>
        <w:t>phyllosphere</w:t>
      </w:r>
      <w:proofErr w:type="spellEnd"/>
      <w:r w:rsidR="00C43176">
        <w:rPr>
          <w:rFonts w:cs="Times New Roman"/>
        </w:rPr>
        <w:t xml:space="preserve"> </w:t>
      </w:r>
      <w:r w:rsidR="00A65125">
        <w:rPr>
          <w:rFonts w:cs="Times New Roman"/>
        </w:rPr>
        <w:fldChar w:fldCharType="begin"/>
      </w:r>
      <w:r w:rsidR="00A65125">
        <w:rPr>
          <w:rFonts w:cs="Times New Roman"/>
        </w:rPr>
        <w:instrText xml:space="preserve"> ADDIN ZOTERO_ITEM CSL_CITATION {"citationID":"aAc1fs11","properties":{"formattedCitation":"(Dong et al., 2019)","plainCitation":"(Dong et al., 2019)","noteIndex":0},"citationItems":[{"id":88,"uris":["http://zotero.org/users/local/kjHHoAYm/items/TQJZXQ9A"],"itemData":{"id":88,"type":"article-journal","container-title":"Chinese Medicine","DOI":"10.1186/s13020-019-0241-1","ISSN":"1749-8546","issue":"1","journalAbbreviation":"Chin Med","language":"en","page":"20","source":"DOI.org (Crossref)","title":"Biofertilizers regulate the soil microbial community and enhance Panax ginseng yields","volume":"14","author":[{"family":"Dong","given":"Linlin"},{"family":"Li","given":"Yong"},{"family":"Xu","given":"Jiang"},{"family":"Yang","given":"Juan"},{"family":"Wei","given":"Guangfei"},{"family":"Shen","given":"Liang"},{"family":"Ding","given":"Wanlong"},{"family":"Chen","given":"Shilin"}],"issued":{"date-parts":[["2019",12]]}}}],"schema":"https://github.com/citation-style-language/schema/raw/master/csl-citation.json"} </w:instrText>
      </w:r>
      <w:r w:rsidR="00A65125">
        <w:rPr>
          <w:rFonts w:cs="Times New Roman"/>
        </w:rPr>
        <w:fldChar w:fldCharType="separate"/>
      </w:r>
      <w:r w:rsidR="00A65125" w:rsidRPr="00A65125">
        <w:rPr>
          <w:rFonts w:cs="Times New Roman"/>
        </w:rPr>
        <w:t>(Dong et al., 2019)</w:t>
      </w:r>
      <w:r w:rsidR="00A65125">
        <w:rPr>
          <w:rFonts w:cs="Times New Roman"/>
        </w:rPr>
        <w:fldChar w:fldCharType="end"/>
      </w:r>
      <w:r w:rsidR="00A65125">
        <w:rPr>
          <w:rFonts w:cs="Times New Roman"/>
        </w:rPr>
        <w:t>.</w:t>
      </w:r>
    </w:p>
    <w:p w14:paraId="1B001C3E" w14:textId="247EB7CF" w:rsidR="00AF1BB0" w:rsidRPr="00037ACB" w:rsidRDefault="00AF1BB0" w:rsidP="006E1FCC">
      <w:pPr>
        <w:spacing w:line="480" w:lineRule="auto"/>
        <w:ind w:firstLine="720"/>
        <w:rPr>
          <w:rFonts w:cs="Times New Roman"/>
        </w:rPr>
      </w:pPr>
      <w:r w:rsidRPr="00037ACB">
        <w:rPr>
          <w:rFonts w:cs="Times New Roman"/>
        </w:rPr>
        <w:t xml:space="preserve">For </w:t>
      </w:r>
      <w:r w:rsidR="00CF7F38" w:rsidRPr="00037ACB">
        <w:rPr>
          <w:rFonts w:cs="Times New Roman"/>
        </w:rPr>
        <w:t>PGP</w:t>
      </w:r>
      <w:r w:rsidR="00CF7F38">
        <w:rPr>
          <w:rFonts w:cs="Times New Roman"/>
        </w:rPr>
        <w:t>Bs</w:t>
      </w:r>
      <w:r w:rsidRPr="00037ACB">
        <w:rPr>
          <w:rFonts w:cs="Times New Roman"/>
        </w:rPr>
        <w:t xml:space="preserve"> to </w:t>
      </w:r>
      <w:r w:rsidR="008E0CC6" w:rsidRPr="00037ACB">
        <w:rPr>
          <w:rFonts w:cs="Times New Roman"/>
        </w:rPr>
        <w:t>reach their</w:t>
      </w:r>
      <w:r w:rsidRPr="00037ACB">
        <w:rPr>
          <w:rFonts w:cs="Times New Roman"/>
        </w:rPr>
        <w:t xml:space="preserve"> full potential </w:t>
      </w:r>
      <w:r w:rsidR="008E0CC6" w:rsidRPr="00037ACB">
        <w:rPr>
          <w:rFonts w:cs="Times New Roman"/>
        </w:rPr>
        <w:t>in enhancing</w:t>
      </w:r>
      <w:r w:rsidRPr="00037ACB">
        <w:rPr>
          <w:rFonts w:cs="Times New Roman"/>
        </w:rPr>
        <w:t xml:space="preserve"> crop productivity, an exchange of bio-signals between the bacteria and </w:t>
      </w:r>
      <w:r w:rsidR="008E0CC6" w:rsidRPr="00037ACB">
        <w:rPr>
          <w:rFonts w:cs="Times New Roman"/>
        </w:rPr>
        <w:t xml:space="preserve">the </w:t>
      </w:r>
      <w:r w:rsidRPr="00037ACB">
        <w:rPr>
          <w:rFonts w:cs="Times New Roman"/>
        </w:rPr>
        <w:t xml:space="preserve">plant </w:t>
      </w:r>
      <w:r w:rsidR="008E0CC6" w:rsidRPr="00037ACB">
        <w:rPr>
          <w:rFonts w:cs="Times New Roman"/>
        </w:rPr>
        <w:t>must</w:t>
      </w:r>
      <w:r w:rsidRPr="00037ACB">
        <w:rPr>
          <w:rFonts w:cs="Times New Roman"/>
        </w:rPr>
        <w:t xml:space="preserve"> occur</w:t>
      </w:r>
      <w:r w:rsidR="008E0CC6" w:rsidRPr="00037ACB">
        <w:rPr>
          <w:rFonts w:cs="Times New Roman"/>
        </w:rPr>
        <w:t>. T</w:t>
      </w:r>
      <w:r w:rsidRPr="00037ACB">
        <w:rPr>
          <w:rFonts w:cs="Times New Roman"/>
        </w:rPr>
        <w:t xml:space="preserve">hese </w:t>
      </w:r>
      <w:r w:rsidR="008E0CC6" w:rsidRPr="00037ACB">
        <w:rPr>
          <w:rFonts w:cs="Times New Roman"/>
        </w:rPr>
        <w:t>interactions</w:t>
      </w:r>
      <w:r w:rsidRPr="00037ACB">
        <w:rPr>
          <w:rFonts w:cs="Times New Roman"/>
        </w:rPr>
        <w:t xml:space="preserve"> </w:t>
      </w:r>
      <w:r w:rsidR="00171B6F">
        <w:rPr>
          <w:rFonts w:cs="Times New Roman"/>
        </w:rPr>
        <w:t xml:space="preserve">are </w:t>
      </w:r>
      <w:r w:rsidRPr="00037ACB">
        <w:rPr>
          <w:rFonts w:cs="Times New Roman"/>
        </w:rPr>
        <w:t xml:space="preserve">dependent on the </w:t>
      </w:r>
      <w:r w:rsidR="008E0CC6" w:rsidRPr="00037ACB">
        <w:rPr>
          <w:rFonts w:cs="Times New Roman"/>
        </w:rPr>
        <w:t>specific range</w:t>
      </w:r>
      <w:r w:rsidRPr="00037ACB">
        <w:rPr>
          <w:rFonts w:cs="Times New Roman"/>
        </w:rPr>
        <w:t xml:space="preserve"> of bacteria present in the soil and the mutualistic relationship between both organisms </w:t>
      </w:r>
      <w:r w:rsidR="00A65125">
        <w:rPr>
          <w:rFonts w:cs="Times New Roman"/>
        </w:rPr>
        <w:fldChar w:fldCharType="begin"/>
      </w:r>
      <w:r w:rsidR="00A65125">
        <w:rPr>
          <w:rFonts w:cs="Times New Roman"/>
        </w:rPr>
        <w:instrText xml:space="preserve"> ADDIN ZOTERO_ITEM CSL_CITATION {"citationID":"QVfFOKTi","properties":{"formattedCitation":"(Tilak et al., 2006)","plainCitation":"(Tilak et al., 2006)","noteIndex":0},"citationItems":[{"id":90,"uris":["http://zotero.org/users/local/kjHHoAYm/items/SF8IBGA9"],"itemData":{"id":90,"type":"article-journal","abstract":"Summary\n            \n              Plant‐growth promoting rhizobacteria (PGPR), in conjuction with efficient\n              Rhizobium\n              , can affect the growth and nitrogen fixation in pigeonpea by inducing the occupancy of introduced\n              Rhizobium\n              in the nodules of the legume. This study assessed the effect of different plant‐growth promoting rhizobacteria (\n              Azotobacter chroococcum\n              \n                ,\n              \n              Azospirillum brasilense\n              ,\n              Pseudomonas fluorescens\n              ,\n              Pseudomonas putida\n              and\n              Bacillus cereus\n              ) on pigeonpea (\n              Cajanus cajan\n              (L) Milsp.) cv. P‐921 inoculated with\n              Rhizobium\n              sp. (AR‐2–2 k). A glasshouse experiment was carried out with a sandy‐loam soil in which the seeds were treated with\n              Rhizobium\n              alone or in combination with several PGPR isolates. It was monitored on the basis of nodulation, N\n              2\n              fixation, shoot biomass, total N content in shoot and legume grain yield. The competitive ability of the introduced\n              Rhizobium\n              strain was assessed by calculating nodule occupancy. The PGPR isolates used did not antagonize the introduced\n              Rhizobium\n              strain and the dual inoculation with either\n              Pseudomonas putida\n              ,\n              P. fluorescens\n              or\n              Bacillus cereus\n              resulted in a significant increase in plant growth, nodulation and enzyme activity over\n              Rhizobium\n              ‐inoculated and uninoculated control plants. The nodule occupancy of the introduced\n              Rhizobium\n              strain increased from 50% (with\n              Rhizobium\n              alone) to 85% in the presence of\n              Pseudomonas putida\n              . This study enabled us to select an ideal combination of efficient\n              Rhizobium\n              strain and PGPR for pigeonpea grown in the semiarid tropics.","container-title":"European Journal of Soil Science","DOI":"10.1111/j.1365-2389.2006.00771.x","ISSN":"1351-0754, 1365-2389","issue":"1","journalAbbreviation":"European J Soil Science","language":"en","page":"67-71","source":"DOI.org (Crossref)","title":"Synergistic effects of plant‐growth promoting rhizobacteria and &lt;i&gt;Rhizobium&lt;/i&gt; on nodulation and nitrogen fixation by pigeonpea ( &lt;i&gt;Cajanus cajan&lt;/i&gt; )","volume":"57","author":[{"family":"Tilak","given":"K. V. B. R."},{"family":"Ranganayaki","given":"N."},{"family":"Manoharachari","given":"C."}],"issued":{"date-parts":[["2006",2]]}}}],"schema":"https://github.com/citation-style-language/schema/raw/master/csl-citation.json"} </w:instrText>
      </w:r>
      <w:r w:rsidR="00A65125">
        <w:rPr>
          <w:rFonts w:cs="Times New Roman"/>
        </w:rPr>
        <w:fldChar w:fldCharType="separate"/>
      </w:r>
      <w:r w:rsidR="00A65125" w:rsidRPr="00A65125">
        <w:rPr>
          <w:rFonts w:cs="Times New Roman"/>
        </w:rPr>
        <w:t>(Tilak et al., 2006)</w:t>
      </w:r>
      <w:r w:rsidR="00A65125">
        <w:rPr>
          <w:rFonts w:cs="Times New Roman"/>
        </w:rPr>
        <w:fldChar w:fldCharType="end"/>
      </w:r>
      <w:r w:rsidR="008E0CC6" w:rsidRPr="00037ACB">
        <w:rPr>
          <w:rFonts w:cs="Times New Roman"/>
        </w:rPr>
        <w:t xml:space="preserve">. </w:t>
      </w:r>
      <w:r w:rsidRPr="00037ACB">
        <w:rPr>
          <w:rFonts w:cs="Times New Roman"/>
        </w:rPr>
        <w:t xml:space="preserve">These beneficial bacteria are capable of increasing plant growth through nitrogen fixation, phosphate solubilization, and </w:t>
      </w:r>
      <w:r w:rsidR="00171B6F">
        <w:rPr>
          <w:rFonts w:cs="Times New Roman"/>
        </w:rPr>
        <w:t>improved</w:t>
      </w:r>
      <w:r w:rsidRPr="00037ACB">
        <w:rPr>
          <w:rFonts w:cs="Times New Roman"/>
        </w:rPr>
        <w:t xml:space="preserve"> assimilation of tryptophan, </w:t>
      </w:r>
      <w:r w:rsidR="008E0CC6" w:rsidRPr="00037ACB">
        <w:rPr>
          <w:rFonts w:cs="Times New Roman"/>
        </w:rPr>
        <w:t xml:space="preserve">a precursor </w:t>
      </w:r>
      <w:r w:rsidRPr="00037ACB">
        <w:rPr>
          <w:rFonts w:cs="Times New Roman"/>
        </w:rPr>
        <w:t>molecule</w:t>
      </w:r>
      <w:r w:rsidR="003126DC">
        <w:rPr>
          <w:rFonts w:cs="Times New Roman"/>
        </w:rPr>
        <w:t xml:space="preserve"> </w:t>
      </w:r>
      <w:r w:rsidR="008E0CC6" w:rsidRPr="00037ACB">
        <w:rPr>
          <w:rFonts w:cs="Times New Roman"/>
        </w:rPr>
        <w:t>for indole</w:t>
      </w:r>
      <w:r w:rsidRPr="00037ACB">
        <w:rPr>
          <w:rFonts w:cs="Times New Roman"/>
        </w:rPr>
        <w:t xml:space="preserve"> acetic acid (IAA), </w:t>
      </w:r>
      <w:r w:rsidR="008E0CC6" w:rsidRPr="00037ACB">
        <w:rPr>
          <w:rFonts w:cs="Times New Roman"/>
        </w:rPr>
        <w:t xml:space="preserve">a </w:t>
      </w:r>
      <w:r w:rsidRPr="00037ACB">
        <w:rPr>
          <w:rFonts w:cs="Times New Roman"/>
        </w:rPr>
        <w:t xml:space="preserve">phytohormone </w:t>
      </w:r>
      <w:r w:rsidR="008E0CC6" w:rsidRPr="00037ACB">
        <w:rPr>
          <w:rFonts w:cs="Times New Roman"/>
        </w:rPr>
        <w:t xml:space="preserve">essential </w:t>
      </w:r>
      <w:r w:rsidRPr="00037ACB">
        <w:rPr>
          <w:rFonts w:cs="Times New Roman"/>
        </w:rPr>
        <w:t>for root development</w:t>
      </w:r>
      <w:r w:rsidR="008E0CC6" w:rsidRPr="00037ACB">
        <w:rPr>
          <w:rFonts w:cs="Times New Roman"/>
        </w:rPr>
        <w:t xml:space="preserve"> </w:t>
      </w:r>
      <w:r w:rsidRPr="00037ACB">
        <w:rPr>
          <w:rFonts w:cs="Times New Roman"/>
        </w:rPr>
        <w:t>and increase</w:t>
      </w:r>
      <w:r w:rsidR="008E0CC6" w:rsidRPr="00037ACB">
        <w:rPr>
          <w:rFonts w:cs="Times New Roman"/>
        </w:rPr>
        <w:t>d</w:t>
      </w:r>
      <w:r w:rsidRPr="00037ACB">
        <w:rPr>
          <w:rFonts w:cs="Times New Roman"/>
        </w:rPr>
        <w:t xml:space="preserve"> iron absorption </w:t>
      </w:r>
      <w:r w:rsidR="00A75978">
        <w:rPr>
          <w:rFonts w:cs="Times New Roman"/>
        </w:rPr>
        <w:fldChar w:fldCharType="begin"/>
      </w:r>
      <w:r w:rsidR="00A75978">
        <w:rPr>
          <w:rFonts w:cs="Times New Roman"/>
        </w:rPr>
        <w:instrText xml:space="preserve"> ADDIN ZOTERO_ITEM CSL_CITATION {"citationID":"F9sj7N3R","properties":{"formattedCitation":"(Kong &amp; Liu, 2022)","plainCitation":"(Kong &amp; Liu, 2022)","noteIndex":0},"citationItems":[{"id":85,"uris":["http://zotero.org/users/local/kjHHoAYm/items/2QM3X666"],"itemData":{"id":85,"type":"article-journal","abstract":"Plant beneficial bacteria, defined as plant growth-promoting rhizobacteria (PGPR), play a crucial role in plants’ growth, stress tolerance and disease prevention. In association with the rhizosphere of plants, PGPR facilitate plant growth and development either directly or indirectly through multiple mechanisms, including increasing available mineral nutrients, moderating phytohormone levels and acting as biocontrol agents of phytopathogens. It is generally accepted that the effectiveness of PGPR inoculants is associated with their ability to colonize, survive and persist, as well as the complex network of interactions in the rhizosphere. Despite the promising plant growth promotion results commonly reported and mostly attributed to phytohormones or other organic compounds produced by PGPR inoculants, little information is available on the potential mechanisms underlying such positive effects\n              via\n              modifying rhizosphere microbial community and soil functionality. In this review, we overviewed the effects of PGPR inoculants on rhizosphere microbial ecology and soil function, hypothesizing that PGPR may indirectly promote plant growth and health\n              via\n              modifying the composition and functioning of rhizosphere microbial community, and highlighting the further directions for investigating the role of PGPR in rhizosphere from an ecological perspective.","container-title":"Frontiers in Plant Science","DOI":"10.3389/fpls.2022.920813","ISSN":"1664-462X","journalAbbreviation":"Front. Plant Sci.","page":"920813","source":"DOI.org (Crossref)","title":"Modification of Rhizosphere Microbial Communities: A Possible Mechanism of Plant Growth Promoting Rhizobacteria Enhancing Plant Growth and Fitness","title-short":"Modification of Rhizosphere Microbial Communities","volume":"13","author":[{"family":"Kong","given":"Zhaoyu"},{"family":"Liu","given":"Hongguang"}],"issued":{"date-parts":[["2022",5,26]]}}}],"schema":"https://github.com/citation-style-language/schema/raw/master/csl-citation.json"} </w:instrText>
      </w:r>
      <w:r w:rsidR="00A75978">
        <w:rPr>
          <w:rFonts w:cs="Times New Roman"/>
        </w:rPr>
        <w:fldChar w:fldCharType="separate"/>
      </w:r>
      <w:r w:rsidR="00A75978" w:rsidRPr="00A75978">
        <w:rPr>
          <w:rFonts w:cs="Times New Roman"/>
        </w:rPr>
        <w:t>(Kong &amp; Liu, 2022)</w:t>
      </w:r>
      <w:r w:rsidR="00A75978">
        <w:rPr>
          <w:rFonts w:cs="Times New Roman"/>
        </w:rPr>
        <w:fldChar w:fldCharType="end"/>
      </w:r>
      <w:r w:rsidR="00A75978">
        <w:rPr>
          <w:rFonts w:cs="Times New Roman"/>
        </w:rPr>
        <w:t>.</w:t>
      </w:r>
    </w:p>
    <w:p w14:paraId="6E482C65" w14:textId="54AC6588" w:rsidR="00AF1BB0" w:rsidRPr="00037ACB" w:rsidRDefault="00AF1BB0" w:rsidP="006E1FCC">
      <w:pPr>
        <w:spacing w:line="480" w:lineRule="auto"/>
        <w:ind w:firstLine="720"/>
        <w:rPr>
          <w:rFonts w:cs="Times New Roman"/>
        </w:rPr>
      </w:pPr>
      <w:r w:rsidRPr="00037ACB">
        <w:rPr>
          <w:rFonts w:cs="Times New Roman"/>
        </w:rPr>
        <w:t>As plants evolved to adapt to diverse terrains, their immune systems underwent mutations to enhance resistance against both biotic and abiotic stresses</w:t>
      </w:r>
      <w:r w:rsidR="00C43176">
        <w:rPr>
          <w:rFonts w:cs="Times New Roman"/>
        </w:rPr>
        <w:t xml:space="preserve"> </w:t>
      </w:r>
      <w:r w:rsidR="00C43176" w:rsidRPr="00037ACB">
        <w:rPr>
          <w:rFonts w:cs="Times New Roman"/>
        </w:rPr>
        <w:t>(</w:t>
      </w:r>
      <w:proofErr w:type="spellStart"/>
      <w:r w:rsidR="00C43176" w:rsidRPr="00037ACB">
        <w:rPr>
          <w:rFonts w:cs="Times New Roman"/>
        </w:rPr>
        <w:t>Rennenberg</w:t>
      </w:r>
      <w:proofErr w:type="spellEnd"/>
      <w:r w:rsidR="00C43176" w:rsidRPr="00037ACB">
        <w:rPr>
          <w:rFonts w:cs="Times New Roman"/>
        </w:rPr>
        <w:t xml:space="preserve"> &amp; Simon, 2013).</w:t>
      </w:r>
      <w:r w:rsidRPr="00037ACB">
        <w:rPr>
          <w:rFonts w:cs="Times New Roman"/>
        </w:rPr>
        <w:t xml:space="preserve"> Abiotic stresses include environmental factors such as extreme temperatures, drought, flooding, high light intensity, altered salinity, and pollution of water, air, or soil. In contrast, biotic stresses arise primarily from competition with other plants for resources like nutrients and light, as well as challenges posed by pathogens and herbivores (</w:t>
      </w:r>
      <w:proofErr w:type="spellStart"/>
      <w:r w:rsidRPr="00037ACB">
        <w:rPr>
          <w:rFonts w:cs="Times New Roman"/>
        </w:rPr>
        <w:t>Rennenberg</w:t>
      </w:r>
      <w:proofErr w:type="spellEnd"/>
      <w:r w:rsidRPr="00037ACB">
        <w:rPr>
          <w:rFonts w:cs="Times New Roman"/>
        </w:rPr>
        <w:t xml:space="preserve"> &amp; Simon, 2013).</w:t>
      </w:r>
    </w:p>
    <w:p w14:paraId="331CBAB3" w14:textId="7DBC69DC" w:rsidR="00171B6F" w:rsidRDefault="00AF1BB0" w:rsidP="006E1FCC">
      <w:pPr>
        <w:spacing w:line="480" w:lineRule="auto"/>
        <w:ind w:firstLine="720"/>
        <w:rPr>
          <w:rFonts w:cs="Times New Roman"/>
        </w:rPr>
      </w:pPr>
      <w:r w:rsidRPr="00037ACB">
        <w:rPr>
          <w:rFonts w:cs="Times New Roman"/>
        </w:rPr>
        <w:t xml:space="preserve">These mutations influence not only plant morphology but also the production of </w:t>
      </w:r>
      <w:r w:rsidR="001B5C9F" w:rsidRPr="00037ACB">
        <w:rPr>
          <w:rFonts w:cs="Times New Roman"/>
        </w:rPr>
        <w:t xml:space="preserve">costly </w:t>
      </w:r>
      <w:r w:rsidR="00A05A36">
        <w:rPr>
          <w:rFonts w:cs="Times New Roman"/>
        </w:rPr>
        <w:t>metabolites</w:t>
      </w:r>
      <w:r w:rsidRPr="00037ACB">
        <w:rPr>
          <w:rFonts w:cs="Times New Roman"/>
        </w:rPr>
        <w:t xml:space="preserve"> that regulate activities</w:t>
      </w:r>
      <w:r w:rsidR="00BA74D2">
        <w:rPr>
          <w:rFonts w:cs="Times New Roman"/>
        </w:rPr>
        <w:t>,</w:t>
      </w:r>
      <w:r w:rsidRPr="00037ACB">
        <w:rPr>
          <w:rFonts w:cs="Times New Roman"/>
        </w:rPr>
        <w:t xml:space="preserve"> enabling plants to cope with environmental stress. At the individual level, plant defense mechanisms operate in both </w:t>
      </w:r>
      <w:proofErr w:type="spellStart"/>
      <w:r w:rsidR="004579F0" w:rsidRPr="00037ACB">
        <w:rPr>
          <w:rFonts w:cs="Times New Roman"/>
        </w:rPr>
        <w:t>apoplastic</w:t>
      </w:r>
      <w:proofErr w:type="spellEnd"/>
      <w:r w:rsidRPr="00037ACB">
        <w:rPr>
          <w:rFonts w:cs="Times New Roman"/>
        </w:rPr>
        <w:t xml:space="preserve"> and </w:t>
      </w:r>
      <w:proofErr w:type="spellStart"/>
      <w:r w:rsidRPr="00037ACB">
        <w:rPr>
          <w:rFonts w:cs="Times New Roman"/>
        </w:rPr>
        <w:t>symplastic</w:t>
      </w:r>
      <w:proofErr w:type="spellEnd"/>
      <w:r w:rsidRPr="00037ACB">
        <w:rPr>
          <w:rFonts w:cs="Times New Roman"/>
        </w:rPr>
        <w:t xml:space="preserve"> spaces, </w:t>
      </w:r>
      <w:r w:rsidR="001B5C9F">
        <w:rPr>
          <w:rFonts w:cs="Times New Roman"/>
        </w:rPr>
        <w:t xml:space="preserve">and </w:t>
      </w:r>
      <w:r w:rsidR="00677FEE">
        <w:rPr>
          <w:rFonts w:cs="Times New Roman"/>
        </w:rPr>
        <w:t xml:space="preserve">depending on the environmental factor influencing the plant response, </w:t>
      </w:r>
      <w:r w:rsidR="00802412">
        <w:rPr>
          <w:rFonts w:cs="Times New Roman"/>
        </w:rPr>
        <w:t>some compounds are translocated from distant</w:t>
      </w:r>
      <w:r w:rsidR="00D85282">
        <w:rPr>
          <w:rFonts w:cs="Times New Roman"/>
        </w:rPr>
        <w:t xml:space="preserve"> regions of the plant through the </w:t>
      </w:r>
      <w:proofErr w:type="spellStart"/>
      <w:r w:rsidR="00D85282">
        <w:rPr>
          <w:rFonts w:cs="Times New Roman"/>
        </w:rPr>
        <w:lastRenderedPageBreak/>
        <w:t>apoplastic</w:t>
      </w:r>
      <w:proofErr w:type="spellEnd"/>
      <w:r w:rsidR="00D85282">
        <w:rPr>
          <w:rFonts w:cs="Times New Roman"/>
        </w:rPr>
        <w:t xml:space="preserve"> spaces, </w:t>
      </w:r>
      <w:r w:rsidR="0029065F">
        <w:rPr>
          <w:rFonts w:cs="Times New Roman"/>
        </w:rPr>
        <w:t>where phloem flows</w:t>
      </w:r>
      <w:r w:rsidR="009D3A96">
        <w:rPr>
          <w:rFonts w:cs="Times New Roman"/>
        </w:rPr>
        <w:t>, t</w:t>
      </w:r>
      <w:r w:rsidR="00534898">
        <w:rPr>
          <w:rFonts w:cs="Times New Roman"/>
        </w:rPr>
        <w:t>his</w:t>
      </w:r>
      <w:r w:rsidR="0029065F">
        <w:rPr>
          <w:rFonts w:cs="Times New Roman"/>
        </w:rPr>
        <w:t xml:space="preserve"> translocation</w:t>
      </w:r>
      <w:r w:rsidR="00534898">
        <w:rPr>
          <w:rFonts w:cs="Times New Roman"/>
        </w:rPr>
        <w:t xml:space="preserve"> is primordially </w:t>
      </w:r>
      <w:r w:rsidR="00A90D66">
        <w:rPr>
          <w:rFonts w:cs="Times New Roman"/>
        </w:rPr>
        <w:t>nonenergy expending</w:t>
      </w:r>
      <w:r w:rsidR="00E95117">
        <w:rPr>
          <w:rFonts w:cs="Times New Roman"/>
        </w:rPr>
        <w:t xml:space="preserve"> </w:t>
      </w:r>
      <w:r w:rsidR="00E95117">
        <w:rPr>
          <w:rFonts w:cs="Times New Roman"/>
        </w:rPr>
        <w:fldChar w:fldCharType="begin"/>
      </w:r>
      <w:r w:rsidR="00E95117">
        <w:rPr>
          <w:rFonts w:cs="Times New Roman"/>
        </w:rPr>
        <w:instrText xml:space="preserve"> ADDIN ZOTERO_ITEM CSL_CITATION {"citationID":"7WnjW3TR","properties":{"formattedCitation":"(Farvardin et al., 2020)","plainCitation":"(Farvardin et al., 2020)","noteIndex":0},"citationItems":[{"id":42,"uris":["http://zotero.org/users/local/kjHHoAYm/items/PI46GEIH"],"itemData":{"id":42,"type":"article-journal","abstract":"The apoplast comprises the intercellular space, the cell walls, and the xylem. Important functions for the plant, such as nutrient and water transport, cellulose synthesis, and the synthesis of molecules involved in plant defense against both biotic and abiotic stresses, take place in it. The most important molecules are ROS, antioxidants, proteins, and hormones. Even though only a small quantity of ROS is localized within the apoplast, apoplastic ROS have an important role in plant development and plant responses to various stress conditions. In the apoplast, like in the intracellular cell compartments, a specific set of antioxidants can be found that can detoxify the different types of ROS produced in it. These scavenging ROS components confer stress tolerance and avoid cellular damage. Moreover, the production and accumulation of proteins and peptides in the apoplast take place in response to various stresses. Hormones are also present in the apoplast where they perform important functions. In addition, the apoplast is also the space where microbe-associated molecular Patterns (MAMPs) are secreted by pathogens. In summary, the diversity of molecules found in the apoplast highlights its importance in the survival of plant cells.","container-title":"Antioxidants","DOI":"10.3390/antiox9070604","ISSN":"2076-3921","issue":"7","journalAbbreviation":"Antioxidants","language":"en","license":"https://creativecommons.org/licenses/by/4.0/","page":"604","source":"DOI.org (Crossref)","title":"The Apoplast: A Key Player in Plant Survival","title-short":"The Apoplast","volume":"9","author":[{"family":"Farvardin","given":"Atefeh"},{"family":"González-Hernández","given":"Ana Isabel"},{"family":"Llorens","given":"Eugenio"},{"family":"García-Agustín","given":"Pilar"},{"family":"Scalschi","given":"Loredana"},{"family":"Vicedo","given":"Begonya"}],"issued":{"date-parts":[["2020",7,10]]}}}],"schema":"https://github.com/citation-style-language/schema/raw/master/csl-citation.json"} </w:instrText>
      </w:r>
      <w:r w:rsidR="00E95117">
        <w:rPr>
          <w:rFonts w:cs="Times New Roman"/>
        </w:rPr>
        <w:fldChar w:fldCharType="separate"/>
      </w:r>
      <w:r w:rsidR="00B015B5" w:rsidRPr="00B015B5">
        <w:rPr>
          <w:rFonts w:cs="Times New Roman"/>
        </w:rPr>
        <w:t>(Farvardin et al., 2020)</w:t>
      </w:r>
      <w:r w:rsidR="00E95117">
        <w:rPr>
          <w:rFonts w:cs="Times New Roman"/>
        </w:rPr>
        <w:fldChar w:fldCharType="end"/>
      </w:r>
      <w:r w:rsidR="009D3A96">
        <w:rPr>
          <w:rFonts w:cs="Times New Roman"/>
        </w:rPr>
        <w:t xml:space="preserve">. The </w:t>
      </w:r>
      <w:proofErr w:type="spellStart"/>
      <w:r w:rsidR="009D3A96">
        <w:rPr>
          <w:rFonts w:cs="Times New Roman"/>
        </w:rPr>
        <w:t>symplastic</w:t>
      </w:r>
      <w:proofErr w:type="spellEnd"/>
      <w:r w:rsidR="00254DCB">
        <w:rPr>
          <w:rFonts w:cs="Times New Roman"/>
        </w:rPr>
        <w:t>, on the other hand</w:t>
      </w:r>
      <w:r w:rsidR="00C7091F">
        <w:rPr>
          <w:rFonts w:cs="Times New Roman"/>
        </w:rPr>
        <w:t>, is the space surrounded by the membran</w:t>
      </w:r>
      <w:r w:rsidR="00B505D5">
        <w:rPr>
          <w:rFonts w:cs="Times New Roman"/>
        </w:rPr>
        <w:t xml:space="preserve">e </w:t>
      </w:r>
      <w:r w:rsidR="001629F9">
        <w:rPr>
          <w:rFonts w:cs="Times New Roman"/>
        </w:rPr>
        <w:t xml:space="preserve">cells, </w:t>
      </w:r>
      <w:r w:rsidR="003A2B98">
        <w:rPr>
          <w:rFonts w:cs="Times New Roman"/>
        </w:rPr>
        <w:t>resulting in an energy expense to move compounds among cells</w:t>
      </w:r>
      <w:r w:rsidR="00E95117">
        <w:rPr>
          <w:rFonts w:cs="Times New Roman"/>
        </w:rPr>
        <w:t xml:space="preserve"> </w:t>
      </w:r>
      <w:r w:rsidR="00E95117">
        <w:rPr>
          <w:rFonts w:cs="Times New Roman"/>
        </w:rPr>
        <w:fldChar w:fldCharType="begin"/>
      </w:r>
      <w:r w:rsidR="00E95117">
        <w:rPr>
          <w:rFonts w:cs="Times New Roman"/>
        </w:rPr>
        <w:instrText xml:space="preserve"> ADDIN ZOTERO_ITEM CSL_CITATION {"citationID":"KHTUcfIH","properties":{"formattedCitation":"(Farvardin et al., 2020)","plainCitation":"(Farvardin et al., 2020)","noteIndex":0},"citationItems":[{"id":42,"uris":["http://zotero.org/users/local/kjHHoAYm/items/PI46GEIH"],"itemData":{"id":42,"type":"article-journal","abstract":"The apoplast comprises the intercellular space, the cell walls, and the xylem. Important functions for the plant, such as nutrient and water transport, cellulose synthesis, and the synthesis of molecules involved in plant defense against both biotic and abiotic stresses, take place in it. The most important molecules are ROS, antioxidants, proteins, and hormones. Even though only a small quantity of ROS is localized within the apoplast, apoplastic ROS have an important role in plant development and plant responses to various stress conditions. In the apoplast, like in the intracellular cell compartments, a specific set of antioxidants can be found that can detoxify the different types of ROS produced in it. These scavenging ROS components confer stress tolerance and avoid cellular damage. Moreover, the production and accumulation of proteins and peptides in the apoplast take place in response to various stresses. Hormones are also present in the apoplast where they perform important functions. In addition, the apoplast is also the space where microbe-associated molecular Patterns (MAMPs) are secreted by pathogens. In summary, the diversity of molecules found in the apoplast highlights its importance in the survival of plant cells.","container-title":"Antioxidants","DOI":"10.3390/antiox9070604","ISSN":"2076-3921","issue":"7","journalAbbreviation":"Antioxidants","language":"en","license":"https://creativecommons.org/licenses/by/4.0/","page":"604","source":"DOI.org (Crossref)","title":"The Apoplast: A Key Player in Plant Survival","title-short":"The Apoplast","volume":"9","author":[{"family":"Farvardin","given":"Atefeh"},{"family":"González-Hernández","given":"Ana Isabel"},{"family":"Llorens","given":"Eugenio"},{"family":"García-Agustín","given":"Pilar"},{"family":"Scalschi","given":"Loredana"},{"family":"Vicedo","given":"Begonya"}],"issued":{"date-parts":[["2020",7,10]]}}}],"schema":"https://github.com/citation-style-language/schema/raw/master/csl-citation.json"} </w:instrText>
      </w:r>
      <w:r w:rsidR="00E95117">
        <w:rPr>
          <w:rFonts w:cs="Times New Roman"/>
        </w:rPr>
        <w:fldChar w:fldCharType="separate"/>
      </w:r>
      <w:r w:rsidR="00B015B5" w:rsidRPr="00B015B5">
        <w:rPr>
          <w:rFonts w:cs="Times New Roman"/>
        </w:rPr>
        <w:t>(Farvardin et al., 2020)</w:t>
      </w:r>
      <w:r w:rsidR="00E95117">
        <w:rPr>
          <w:rFonts w:cs="Times New Roman"/>
        </w:rPr>
        <w:fldChar w:fldCharType="end"/>
      </w:r>
      <w:r w:rsidR="003A2B98">
        <w:rPr>
          <w:rFonts w:cs="Times New Roman"/>
        </w:rPr>
        <w:t>.</w:t>
      </w:r>
      <w:r w:rsidR="004579F0">
        <w:rPr>
          <w:rFonts w:cs="Times New Roman"/>
        </w:rPr>
        <w:t xml:space="preserve"> The compound movement</w:t>
      </w:r>
      <w:r w:rsidR="001629F9">
        <w:rPr>
          <w:rFonts w:cs="Times New Roman"/>
        </w:rPr>
        <w:t xml:space="preserve"> </w:t>
      </w:r>
      <w:r w:rsidR="004579F0" w:rsidRPr="00037ACB">
        <w:rPr>
          <w:rFonts w:cs="Times New Roman"/>
        </w:rPr>
        <w:t>extends</w:t>
      </w:r>
      <w:r w:rsidRPr="00037ACB">
        <w:rPr>
          <w:rFonts w:cs="Times New Roman"/>
        </w:rPr>
        <w:t xml:space="preserve"> beyond the organ directly experiencing stress to encompass the entire plant and, in some cases, even influencing the surrounding ecosystem </w:t>
      </w:r>
      <w:r w:rsidR="00171B6F">
        <w:rPr>
          <w:rFonts w:cs="Times New Roman"/>
        </w:rPr>
        <w:fldChar w:fldCharType="begin"/>
      </w:r>
      <w:r w:rsidR="00171B6F">
        <w:rPr>
          <w:rFonts w:cs="Times New Roman"/>
        </w:rPr>
        <w:instrText xml:space="preserve"> ADDIN ZOTERO_ITEM CSL_CITATION {"citationID":"Ex4p73N8","properties":{"formattedCitation":"(Takahashi &amp; Shinozaki, 2019)","plainCitation":"(Takahashi &amp; Shinozaki, 2019)","noteIndex":0},"citationItems":[{"id":92,"uris":["http://zotero.org/users/local/kjHHoAYm/items/4IA77KKI"],"itemData":{"id":92,"type":"article-journal","container-title":"Current Opinion in Plant Biology","DOI":"10.1016/j.pbi.2018.10.006","ISSN":"13695266","journalAbbreviation":"Current Opinion in Plant Biology","language":"en","page":"106-111","source":"DOI.org (Crossref)","title":"Long-distance signaling in plant stress response","volume":"47","author":[{"family":"Takahashi","given":"Fuminori"},{"family":"Shinozaki","given":"Kazuo"}],"issued":{"date-parts":[["2019",2]]}}}],"schema":"https://github.com/citation-style-language/schema/raw/master/csl-citation.json"} </w:instrText>
      </w:r>
      <w:r w:rsidR="00171B6F">
        <w:rPr>
          <w:rFonts w:cs="Times New Roman"/>
        </w:rPr>
        <w:fldChar w:fldCharType="separate"/>
      </w:r>
      <w:r w:rsidR="00171B6F" w:rsidRPr="00171B6F">
        <w:rPr>
          <w:rFonts w:cs="Times New Roman"/>
        </w:rPr>
        <w:t>(Takahashi &amp; Shinozaki, 2019)</w:t>
      </w:r>
      <w:r w:rsidR="00171B6F">
        <w:rPr>
          <w:rFonts w:cs="Times New Roman"/>
        </w:rPr>
        <w:fldChar w:fldCharType="end"/>
      </w:r>
      <w:r w:rsidR="00171B6F">
        <w:rPr>
          <w:rFonts w:cs="Times New Roman"/>
        </w:rPr>
        <w:t>.</w:t>
      </w:r>
    </w:p>
    <w:p w14:paraId="51A5AECD" w14:textId="5867A6EA" w:rsidR="00AF1BB0" w:rsidRDefault="00AF1BB0" w:rsidP="006E1FCC">
      <w:pPr>
        <w:spacing w:line="480" w:lineRule="auto"/>
        <w:ind w:firstLine="720"/>
        <w:rPr>
          <w:rFonts w:cs="Times New Roman"/>
        </w:rPr>
      </w:pPr>
      <w:r w:rsidRPr="00037ACB">
        <w:rPr>
          <w:rFonts w:cs="Times New Roman"/>
        </w:rPr>
        <w:t>According to Glick et al</w:t>
      </w:r>
      <w:r w:rsidR="006E17DE">
        <w:rPr>
          <w:rFonts w:cs="Times New Roman"/>
        </w:rPr>
        <w:t>.</w:t>
      </w:r>
      <w:r w:rsidRPr="00037ACB">
        <w:rPr>
          <w:rFonts w:cs="Times New Roman"/>
        </w:rPr>
        <w:t xml:space="preserve"> (1997), PGPB contributes to plant growth primarily by lowering plant ethylene levels. This process starts with PGPB synthesizing IAA, the uptake of IAA by the plant can promote cell proliferation and elongation or stimulate ACC synthase to produce 1-aminocyclopropane-1-carboxylate (ACC) from S-adenosylmethionine</w:t>
      </w:r>
      <w:r w:rsidR="006B2E7A">
        <w:rPr>
          <w:rFonts w:cs="Times New Roman"/>
        </w:rPr>
        <w:t xml:space="preserve"> </w:t>
      </w:r>
      <w:r w:rsidR="00A65125">
        <w:rPr>
          <w:rFonts w:cs="Times New Roman"/>
        </w:rPr>
        <w:fldChar w:fldCharType="begin"/>
      </w:r>
      <w:r w:rsidR="00A65125">
        <w:rPr>
          <w:rFonts w:cs="Times New Roman"/>
        </w:rPr>
        <w:instrText xml:space="preserve"> ADDIN ZOTERO_ITEM CSL_CITATION {"citationID":"90qsOxVv","properties":{"formattedCitation":"(Glick et al., 1997)","plainCitation":"(Glick et al., 1997)","noteIndex":0},"citationItems":[{"id":87,"uris":["http://zotero.org/users/local/kjHHoAYm/items/NCIXUWWU"],"itemData":{"id":87,"type":"article-journal","container-title":"Soil Biology and Biochemistry","DOI":"10.1016/S0038-0717(97)00026-6","ISSN":"00380717","issue":"8","journalAbbreviation":"Soil Biology and Biochemistry","language":"en","license":"https://www.elsevier.com/tdm/userlicense/1.0/","page":"1233-1239","source":"DOI.org (Crossref)","title":"Early development of canola seedlings in the presence of the plant growth-promoting rhizobacterium Pseudomonas putida GR12-2","volume":"29","author":[{"family":"Glick","given":"Bernard R."},{"family":"Liu","given":"Changping"},{"family":"Ghosh","given":"Sibdas"},{"family":"Dumbroff","given":"Erwin B."}],"issued":{"date-parts":[["1997",8]]}}}],"schema":"https://github.com/citation-style-language/schema/raw/master/csl-citation.json"} </w:instrText>
      </w:r>
      <w:r w:rsidR="00A65125">
        <w:rPr>
          <w:rFonts w:cs="Times New Roman"/>
        </w:rPr>
        <w:fldChar w:fldCharType="separate"/>
      </w:r>
      <w:r w:rsidR="00A65125" w:rsidRPr="00A65125">
        <w:rPr>
          <w:rFonts w:cs="Times New Roman"/>
        </w:rPr>
        <w:t>(Glick et al., 1997)</w:t>
      </w:r>
      <w:r w:rsidR="00A65125">
        <w:rPr>
          <w:rFonts w:cs="Times New Roman"/>
        </w:rPr>
        <w:fldChar w:fldCharType="end"/>
      </w:r>
      <w:r w:rsidR="00A65125">
        <w:rPr>
          <w:rFonts w:cs="Times New Roman"/>
        </w:rPr>
        <w:t xml:space="preserve">. </w:t>
      </w:r>
      <w:r w:rsidRPr="00037ACB">
        <w:rPr>
          <w:rFonts w:cs="Times New Roman"/>
        </w:rPr>
        <w:t>Some ACC is exuded by the plant and taken up by PGPB, where it is broken down by ACC deaminase into ammonia and α-</w:t>
      </w:r>
      <w:proofErr w:type="spellStart"/>
      <w:r w:rsidRPr="00037ACB">
        <w:rPr>
          <w:rFonts w:cs="Times New Roman"/>
        </w:rPr>
        <w:t>ketobutyrate</w:t>
      </w:r>
      <w:proofErr w:type="spellEnd"/>
      <w:r w:rsidRPr="00037ACB">
        <w:rPr>
          <w:rFonts w:cs="Times New Roman"/>
        </w:rPr>
        <w:t>, reducing external ACC levels. To maintain equilibrium, the plant continuously exudes ACC, indirectly lowering ethylene production. This leads to reduced ethylene inhibition of root</w:t>
      </w:r>
      <w:r w:rsidRPr="00037ACB">
        <w:t xml:space="preserve"> </w:t>
      </w:r>
      <w:r w:rsidRPr="00037ACB">
        <w:rPr>
          <w:rFonts w:cs="Times New Roman"/>
        </w:rPr>
        <w:t>elongation, resulting in plants with longer roots and potentially longer shoots.</w:t>
      </w:r>
    </w:p>
    <w:p w14:paraId="589E99E5" w14:textId="10FD05D7" w:rsidR="00957461" w:rsidRDefault="00957461" w:rsidP="006E1FCC">
      <w:pPr>
        <w:spacing w:line="480" w:lineRule="auto"/>
        <w:ind w:firstLine="720"/>
        <w:rPr>
          <w:rFonts w:cs="Times New Roman"/>
        </w:rPr>
      </w:pPr>
      <w:r w:rsidRPr="00853C18">
        <w:rPr>
          <w:rFonts w:cs="Times New Roman"/>
        </w:rPr>
        <w:t>Howe</w:t>
      </w:r>
      <w:r>
        <w:rPr>
          <w:rFonts w:cs="Times New Roman"/>
        </w:rPr>
        <w:t xml:space="preserve">ver, different species of bacteria may perform differently </w:t>
      </w:r>
      <w:r w:rsidR="00B72F6A">
        <w:rPr>
          <w:rFonts w:cs="Times New Roman"/>
        </w:rPr>
        <w:t>in</w:t>
      </w:r>
      <w:r>
        <w:rPr>
          <w:rFonts w:cs="Times New Roman"/>
        </w:rPr>
        <w:t xml:space="preserve"> the environment and in what is related to plant growth</w:t>
      </w:r>
      <w:r w:rsidR="00BA74D2">
        <w:rPr>
          <w:rFonts w:cs="Times New Roman"/>
        </w:rPr>
        <w:t>.</w:t>
      </w:r>
      <w:r>
        <w:rPr>
          <w:rFonts w:cs="Times New Roman"/>
        </w:rPr>
        <w:t xml:space="preserve"> </w:t>
      </w:r>
      <w:r w:rsidR="00BA74D2">
        <w:rPr>
          <w:rFonts w:cs="Times New Roman"/>
        </w:rPr>
        <w:t>For</w:t>
      </w:r>
      <w:r>
        <w:rPr>
          <w:rFonts w:cs="Times New Roman"/>
        </w:rPr>
        <w:t xml:space="preserve"> e</w:t>
      </w:r>
      <w:r w:rsidR="00B72F6A">
        <w:rPr>
          <w:rFonts w:cs="Times New Roman"/>
        </w:rPr>
        <w:t>xample,</w:t>
      </w:r>
      <w:r>
        <w:rPr>
          <w:rFonts w:cs="Times New Roman"/>
        </w:rPr>
        <w:t xml:space="preserve"> </w:t>
      </w:r>
      <w:proofErr w:type="spellStart"/>
      <w:r w:rsidR="00B72F6A" w:rsidRPr="00B72F6A">
        <w:rPr>
          <w:rFonts w:cs="Times New Roman"/>
          <w:i/>
          <w:iCs/>
        </w:rPr>
        <w:t>Azospirillum</w:t>
      </w:r>
      <w:proofErr w:type="spellEnd"/>
      <w:r w:rsidR="00974492">
        <w:rPr>
          <w:rFonts w:cs="Times New Roman"/>
          <w:i/>
          <w:iCs/>
        </w:rPr>
        <w:t xml:space="preserve"> spp.,</w:t>
      </w:r>
      <w:r>
        <w:rPr>
          <w:rFonts w:cs="Times New Roman"/>
        </w:rPr>
        <w:t xml:space="preserve"> </w:t>
      </w:r>
      <w:r w:rsidR="00B72F6A">
        <w:rPr>
          <w:rFonts w:cs="Times New Roman"/>
        </w:rPr>
        <w:t xml:space="preserve">is able to provide N through </w:t>
      </w:r>
      <w:r w:rsidR="006E17DE">
        <w:rPr>
          <w:rFonts w:cs="Times New Roman"/>
        </w:rPr>
        <w:t>b</w:t>
      </w:r>
      <w:r w:rsidR="00B72F6A">
        <w:rPr>
          <w:rFonts w:cs="Times New Roman"/>
        </w:rPr>
        <w:t xml:space="preserve">iological </w:t>
      </w:r>
      <w:r w:rsidR="006E17DE">
        <w:rPr>
          <w:rFonts w:cs="Times New Roman"/>
        </w:rPr>
        <w:t>n</w:t>
      </w:r>
      <w:r w:rsidR="00B72F6A">
        <w:rPr>
          <w:rFonts w:cs="Times New Roman"/>
        </w:rPr>
        <w:t>itrogen</w:t>
      </w:r>
      <w:r>
        <w:rPr>
          <w:rFonts w:cs="Times New Roman"/>
        </w:rPr>
        <w:t xml:space="preserve"> fixation (BNF) to enhance plant </w:t>
      </w:r>
      <w:r w:rsidR="00BA74D2">
        <w:rPr>
          <w:rFonts w:cs="Times New Roman"/>
        </w:rPr>
        <w:t>y</w:t>
      </w:r>
      <w:r w:rsidR="00BA74D2" w:rsidRPr="00B72F6A">
        <w:rPr>
          <w:rFonts w:cs="Times New Roman"/>
        </w:rPr>
        <w:t>ield</w:t>
      </w:r>
      <w:r w:rsidR="00B72F6A">
        <w:rPr>
          <w:rFonts w:cs="Times New Roman"/>
        </w:rPr>
        <w:t xml:space="preserve"> but also can enhance phytohormone production, such as IAA </w:t>
      </w:r>
      <w:r w:rsidR="00B72F6A">
        <w:rPr>
          <w:rFonts w:cs="Times New Roman"/>
        </w:rPr>
        <w:fldChar w:fldCharType="begin"/>
      </w:r>
      <w:r w:rsidR="00B72F6A">
        <w:rPr>
          <w:rFonts w:cs="Times New Roman"/>
        </w:rPr>
        <w:instrText xml:space="preserve"> ADDIN ZOTERO_ITEM CSL_CITATION {"citationID":"dB9k2VHx","properties":{"formattedCitation":"(Guimar\\uc0\\u227{}es et al., 2022)","plainCitation":"(Guimarães et al., 2022)","noteIndex":0},"citationItems":[{"id":80,"uris":["http://zotero.org/users/local/kjHHoAYm/items/SUT2LS44"],"itemData":{"id":80,"type":"article-journal","abstract":"Estimates are that land area occupied by grass pasture far exceeds that of other crops; at least half are at some stage of degradation. The use of elite plant-growth-promoting microorganisms (PGPM) as inoculants represents an important strategy to achieve qualitative and quantitative improvements in forage biomass, increasing the productivity and sustainability of livestock production. Several studies have reported the benefits of PGPM in grass pastures, with an emphasis on bacteria of the genera Azospirillum, Pseudomonas, Bacillus, rhizobia, and on arbuscular mycorrhiza fungi (AMF). The main grasses studied are Urocholoa (syn. Brachiaria), Megathyrsus (syn. Panicum), Paspalum, Cynodon, and Agropyron. Several microbial processes associated with improvements in root and shoot growth, nutrient content in biomass, and other benefits have been described. Promotion of plant growth has been associated with the synthesis of phytohormones and enzymes regulating several steps of plant development, nutrient mineralization by release of microbial molecules, biological nitrogen fixation, nutrient uptake facilitation by means of molecules such as exopolysaccharides, amongst others. Outstanding benefits of increased root growth, resulting in higher uptake of water and nutrients, either by phytohormones released by bacteria or by expanding root surface by AMF, have been reported. Biocontrol is another important property of PGPM, by a variety of mechanisms, including the synthesis of antimicrobial molecules, lytic enzymes, siderophores, and the release of specific inhibitory compounds such as hydrogen cyanide. Although improvements in forage management can enhance microbial performance, as shown for AMF, in general, inoculation with elite strains positively impacts growth parameters. Globally, the use of microbial inoculants has significantly increased in the past few years, but their application is still modest on grass pastures, which are generally degraded and would need special use of microbial inoculants for reclamation. Efforts towards increasing the use of PGPM in pastures can have deep positive environmental, economic, and social impacts worldwide.","container-title":"Agronomy","DOI":"10.3390/agronomy12081748","ISSN":"2073-4395","issue":"8","journalAbbreviation":"Agronomy","language":"en","license":"https://creativecommons.org/licenses/by/4.0/","page":"1748","source":"DOI.org (Crossref)","title":"Pointing Out Opportunities to Increase Grassland Pastures Productivity via Microbial Inoculants: Attending the Society’s Demands for Meat Production with Sustainability","title-short":"Pointing Out Opportunities to Increase Grassland Pastures Productivity via Microbial Inoculants","volume":"12","author":[{"family":"Guimarães","given":"Gabriel Silva"},{"family":"Rondina","given":"Artur Berbel Lirio"},{"family":"Santos","given":"Mariana Sanches"},{"family":"Nogueira","given":"Marco Antonio"},{"family":"Hungria","given":"Mariangela"}],"issued":{"date-parts":[["2022",7,25]]}}}],"schema":"https://github.com/citation-style-language/schema/raw/master/csl-citation.json"} </w:instrText>
      </w:r>
      <w:r w:rsidR="00B72F6A">
        <w:rPr>
          <w:rFonts w:cs="Times New Roman"/>
        </w:rPr>
        <w:fldChar w:fldCharType="separate"/>
      </w:r>
      <w:r w:rsidR="00B72F6A" w:rsidRPr="00B72F6A">
        <w:rPr>
          <w:rFonts w:cs="Times New Roman"/>
        </w:rPr>
        <w:t>(Guimarães et al., 2022)</w:t>
      </w:r>
      <w:r w:rsidR="00B72F6A">
        <w:rPr>
          <w:rFonts w:cs="Times New Roman"/>
        </w:rPr>
        <w:fldChar w:fldCharType="end"/>
      </w:r>
      <w:r w:rsidR="00B72F6A">
        <w:rPr>
          <w:rFonts w:cs="Times New Roman"/>
        </w:rPr>
        <w:t xml:space="preserve">. Other species, including </w:t>
      </w:r>
      <w:r w:rsidR="00B72F6A" w:rsidRPr="00B72F6A">
        <w:rPr>
          <w:rFonts w:cs="Times New Roman"/>
          <w:i/>
          <w:iCs/>
        </w:rPr>
        <w:t>Bacillus</w:t>
      </w:r>
      <w:r w:rsidR="00B72F6A">
        <w:rPr>
          <w:rFonts w:cs="Times New Roman"/>
          <w:i/>
          <w:iCs/>
        </w:rPr>
        <w:t xml:space="preserve"> spp.</w:t>
      </w:r>
      <w:r w:rsidR="00974492">
        <w:rPr>
          <w:rFonts w:cs="Times New Roman"/>
          <w:i/>
          <w:iCs/>
        </w:rPr>
        <w:t>,</w:t>
      </w:r>
      <w:r w:rsidR="00B72F6A">
        <w:rPr>
          <w:rFonts w:cs="Times New Roman"/>
          <w:i/>
          <w:iCs/>
        </w:rPr>
        <w:t xml:space="preserve"> </w:t>
      </w:r>
      <w:r w:rsidR="00974492">
        <w:rPr>
          <w:rFonts w:cs="Times New Roman"/>
        </w:rPr>
        <w:t>can</w:t>
      </w:r>
      <w:r w:rsidR="00B72F6A">
        <w:rPr>
          <w:rFonts w:cs="Times New Roman"/>
        </w:rPr>
        <w:t xml:space="preserve"> enhance nutrient solubilization</w:t>
      </w:r>
      <w:r w:rsidR="00974492">
        <w:rPr>
          <w:rFonts w:cs="Times New Roman"/>
        </w:rPr>
        <w:t xml:space="preserve"> or mobilization of nutrients in the soil,</w:t>
      </w:r>
      <w:r w:rsidR="00B72F6A">
        <w:rPr>
          <w:rFonts w:cs="Times New Roman"/>
        </w:rPr>
        <w:t xml:space="preserve"> such as phosphorus</w:t>
      </w:r>
      <w:r w:rsidR="00974492">
        <w:rPr>
          <w:rFonts w:cs="Times New Roman"/>
        </w:rPr>
        <w:t xml:space="preserve">, in addition to phytohormone production and modulation </w:t>
      </w:r>
      <w:r w:rsidR="00974492">
        <w:rPr>
          <w:rFonts w:cs="Times New Roman"/>
        </w:rPr>
        <w:fldChar w:fldCharType="begin"/>
      </w:r>
      <w:r w:rsidR="00974492">
        <w:rPr>
          <w:rFonts w:cs="Times New Roman"/>
        </w:rPr>
        <w:instrText xml:space="preserve"> ADDIN ZOTERO_ITEM CSL_CITATION {"citationID":"uo4bBnDG","properties":{"formattedCitation":"(Guimar\\uc0\\u227{}es et al., 2022)","plainCitation":"(Guimarães et al., 2022)","noteIndex":0},"citationItems":[{"id":80,"uris":["http://zotero.org/users/local/kjHHoAYm/items/SUT2LS44"],"itemData":{"id":80,"type":"article-journal","abstract":"Estimates are that land area occupied by grass pasture far exceeds that of other crops; at least half are at some stage of degradation. The use of elite plant-growth-promoting microorganisms (PGPM) as inoculants represents an important strategy to achieve qualitative and quantitative improvements in forage biomass, increasing the productivity and sustainability of livestock production. Several studies have reported the benefits of PGPM in grass pastures, with an emphasis on bacteria of the genera Azospirillum, Pseudomonas, Bacillus, rhizobia, and on arbuscular mycorrhiza fungi (AMF). The main grasses studied are Urocholoa (syn. Brachiaria), Megathyrsus (syn. Panicum), Paspalum, Cynodon, and Agropyron. Several microbial processes associated with improvements in root and shoot growth, nutrient content in biomass, and other benefits have been described. Promotion of plant growth has been associated with the synthesis of phytohormones and enzymes regulating several steps of plant development, nutrient mineralization by release of microbial molecules, biological nitrogen fixation, nutrient uptake facilitation by means of molecules such as exopolysaccharides, amongst others. Outstanding benefits of increased root growth, resulting in higher uptake of water and nutrients, either by phytohormones released by bacteria or by expanding root surface by AMF, have been reported. Biocontrol is another important property of PGPM, by a variety of mechanisms, including the synthesis of antimicrobial molecules, lytic enzymes, siderophores, and the release of specific inhibitory compounds such as hydrogen cyanide. Although improvements in forage management can enhance microbial performance, as shown for AMF, in general, inoculation with elite strains positively impacts growth parameters. Globally, the use of microbial inoculants has significantly increased in the past few years, but their application is still modest on grass pastures, which are generally degraded and would need special use of microbial inoculants for reclamation. Efforts towards increasing the use of PGPM in pastures can have deep positive environmental, economic, and social impacts worldwide.","container-title":"Agronomy","DOI":"10.3390/agronomy12081748","ISSN":"2073-4395","issue":"8","journalAbbreviation":"Agronomy","language":"en","license":"https://creativecommons.org/licenses/by/4.0/","page":"1748","source":"DOI.org (Crossref)","title":"Pointing Out Opportunities to Increase Grassland Pastures Productivity via Microbial Inoculants: Attending the Society’s Demands for Meat Production with Sustainability","title-short":"Pointing Out Opportunities to Increase Grassland Pastures Productivity via Microbial Inoculants","volume":"12","author":[{"family":"Guimarães","given":"Gabriel Silva"},{"family":"Rondina","given":"Artur Berbel Lirio"},{"family":"Santos","given":"Mariana Sanches"},{"family":"Nogueira","given":"Marco Antonio"},{"family":"Hungria","given":"Mariangela"}],"issued":{"date-parts":[["2022",7,25]]}}}],"schema":"https://github.com/citation-style-language/schema/raw/master/csl-citation.json"} </w:instrText>
      </w:r>
      <w:r w:rsidR="00974492">
        <w:rPr>
          <w:rFonts w:cs="Times New Roman"/>
        </w:rPr>
        <w:fldChar w:fldCharType="separate"/>
      </w:r>
      <w:r w:rsidR="00974492" w:rsidRPr="00974492">
        <w:rPr>
          <w:rFonts w:cs="Times New Roman"/>
        </w:rPr>
        <w:t>(Guimarães et al., 2022)</w:t>
      </w:r>
      <w:r w:rsidR="00974492">
        <w:rPr>
          <w:rFonts w:cs="Times New Roman"/>
        </w:rPr>
        <w:fldChar w:fldCharType="end"/>
      </w:r>
      <w:r w:rsidR="00B72F6A">
        <w:rPr>
          <w:rFonts w:cs="Times New Roman"/>
        </w:rPr>
        <w:t xml:space="preserve">. </w:t>
      </w:r>
    </w:p>
    <w:p w14:paraId="62EEC9CA" w14:textId="55D5BE4E" w:rsidR="00853C18" w:rsidRPr="00A523C5" w:rsidRDefault="00853C18" w:rsidP="006E1FCC">
      <w:pPr>
        <w:spacing w:line="480" w:lineRule="auto"/>
        <w:ind w:firstLine="720"/>
        <w:rPr>
          <w:rFonts w:cs="Times New Roman"/>
        </w:rPr>
      </w:pPr>
      <w:r>
        <w:rPr>
          <w:rFonts w:cs="Times New Roman"/>
        </w:rPr>
        <w:lastRenderedPageBreak/>
        <w:t xml:space="preserve">The </w:t>
      </w:r>
      <w:proofErr w:type="spellStart"/>
      <w:r w:rsidRPr="00853C18">
        <w:rPr>
          <w:rFonts w:cs="Times New Roman"/>
          <w:i/>
          <w:iCs/>
        </w:rPr>
        <w:t>Paenibacillus</w:t>
      </w:r>
      <w:proofErr w:type="spellEnd"/>
      <w:r w:rsidRPr="00853C18">
        <w:rPr>
          <w:rFonts w:cs="Times New Roman"/>
          <w:i/>
          <w:iCs/>
        </w:rPr>
        <w:t xml:space="preserve"> </w:t>
      </w:r>
      <w:r w:rsidRPr="00AD029D">
        <w:rPr>
          <w:rFonts w:cs="Times New Roman"/>
          <w:i/>
          <w:iCs/>
        </w:rPr>
        <w:t>spp.</w:t>
      </w:r>
      <w:r w:rsidR="00A523C5">
        <w:rPr>
          <w:rFonts w:cs="Times New Roman"/>
          <w:i/>
          <w:iCs/>
        </w:rPr>
        <w:t xml:space="preserve"> </w:t>
      </w:r>
      <w:r w:rsidR="00A523C5">
        <w:rPr>
          <w:rFonts w:cs="Times New Roman"/>
        </w:rPr>
        <w:t xml:space="preserve">is often cited as a PGPB capable of fixing nitrogen into environments through conventional and Fe-only nitrogenases </w:t>
      </w:r>
      <w:r w:rsidR="00A523C5">
        <w:rPr>
          <w:rFonts w:cs="Times New Roman"/>
        </w:rPr>
        <w:fldChar w:fldCharType="begin"/>
      </w:r>
      <w:r w:rsidR="00A523C5">
        <w:rPr>
          <w:rFonts w:cs="Times New Roman"/>
        </w:rPr>
        <w:instrText xml:space="preserve"> ADDIN ZOTERO_ITEM CSL_CITATION {"citationID":"6HlBQSAe","properties":{"formattedCitation":"(Ribeiro et al., 2024)","plainCitation":"(Ribeiro et al., 2024)","noteIndex":0},"citationItems":[{"id":82,"uris":["http://zotero.org/users/local/kjHHoAYm/items/LVLFH726"],"itemData":{"id":82,"type":"article-journal","container-title":"Journal of Proteomics","DOI":"10.1016/j.jprot.2023.105061","ISSN":"18743919","journalAbbreviation":"Journal of Proteomics","language":"en","page":"105061","source":"DOI.org (Crossref)","title":"Proteome profiling of Paenibacillus sonchi genomovar Riograndensis SBR5T under conventional and alternative nitrogen fixation","volume":"294","author":[{"family":"Ribeiro","given":"Igor Daniel Alves"},{"family":"Paes","given":"Jéssica Andrade"},{"family":"Wendisch","given":"Volker F."},{"family":"Ferreira","given":"Henrique Bunselmeyer"},{"family":"Passaglia","given":"Luciane Maria Pereira"}],"issued":{"date-parts":[["2024",3]]}}}],"schema":"https://github.com/citation-style-language/schema/raw/master/csl-citation.json"} </w:instrText>
      </w:r>
      <w:r w:rsidR="00A523C5">
        <w:rPr>
          <w:rFonts w:cs="Times New Roman"/>
        </w:rPr>
        <w:fldChar w:fldCharType="separate"/>
      </w:r>
      <w:r w:rsidR="00A523C5" w:rsidRPr="00A523C5">
        <w:rPr>
          <w:rFonts w:cs="Times New Roman"/>
        </w:rPr>
        <w:t>(Ribeiro et al., 2024)</w:t>
      </w:r>
      <w:r w:rsidR="00A523C5">
        <w:rPr>
          <w:rFonts w:cs="Times New Roman"/>
        </w:rPr>
        <w:fldChar w:fldCharType="end"/>
      </w:r>
      <w:r w:rsidR="00A523C5">
        <w:rPr>
          <w:rFonts w:cs="Times New Roman"/>
        </w:rPr>
        <w:t xml:space="preserve">. According to </w:t>
      </w:r>
      <w:r w:rsidR="00A523C5">
        <w:rPr>
          <w:rFonts w:cs="Times New Roman"/>
        </w:rPr>
        <w:fldChar w:fldCharType="begin"/>
      </w:r>
      <w:r w:rsidR="00995C5B">
        <w:rPr>
          <w:rFonts w:cs="Times New Roman"/>
        </w:rPr>
        <w:instrText xml:space="preserve"> ADDIN ZOTERO_ITEM CSL_CITATION {"citationID":"td85Gtlt","properties":{"formattedCitation":"(Sullins et al., 2023)","plainCitation":"(Sullins et al., 2023)","dontUpdate":true,"noteIndex":0},"citationItems":[{"id":55,"uris":["http://zotero.org/users/local/kjHHoAYm/items/9HBH8ACC"],"itemData":{"id":55,"type":"article-journal","abstract":"A two-year study was conducted in bermudagrass hay fields in central Alabama to estimate the potential of plant growth-promoting rhizobacteria (PGPR) as a tool for sustainable agriculture in forage management. This study compared the effects of two treatments of PGPR, applied with and without lowered rates of nitrogen, to a full rate of nitrogen fertilizer in a hay production system. The PGPR treatments included a single-strain treatment of Paenibacillus riograndensis (DH44), and a blend including two Bacillus pumilus strains (AP7 and AP18) and a strain of Bacillus sphaericus (AP282). Data collection included estimates of forage biomass, forage quality, insect populations, soil mesofauna populations, and soil microbial respiration. Applications of PGPR with a half rate of fertilizer yielded similar forage biomass and quality results as that of a full rate of nitrogen. All PGPR treatments increased soil microbial respiration over time. Additionally, treatments containing Paenibacillus riograndensis positively influenced soil mesofauna populations. The results of this study indicated promising potential for PGPR applied with lowered nitrogen rates to reduce chemical inputs while maintaining yield and quality of forage.","container-title":"Microorganisms","DOI":"10.3390/microorganisms11040863","ISSN":"2076-2607","issue":"4","journalAbbreviation":"Microorganisms","language":"en","license":"https://creativecommons.org/licenses/by/4.0/","page":"863","source":"DOI.org (Crossref)","title":"Utility of Plant Growth-Promoting Rhizobacteria for Sustainable Production of Bermudagrass Forage","volume":"11","author":[{"family":"Sullins","given":"Kayla N."},{"family":"Dillard","given":"S. Leanne"},{"family":"Held","given":"David W."},{"family":"Carroll","given":"Elijah P."}],"issued":{"date-parts":[["2023",3,28]]}}}],"schema":"https://github.com/citation-style-language/schema/raw/master/csl-citation.json"} </w:instrText>
      </w:r>
      <w:r w:rsidR="00A523C5">
        <w:rPr>
          <w:rFonts w:cs="Times New Roman"/>
        </w:rPr>
        <w:fldChar w:fldCharType="separate"/>
      </w:r>
      <w:r w:rsidR="00A523C5" w:rsidRPr="00A523C5">
        <w:rPr>
          <w:rFonts w:cs="Times New Roman"/>
        </w:rPr>
        <w:t>Sullins et al.</w:t>
      </w:r>
      <w:r w:rsidR="00A523C5">
        <w:rPr>
          <w:rFonts w:cs="Times New Roman"/>
        </w:rPr>
        <w:t xml:space="preserve"> (</w:t>
      </w:r>
      <w:r w:rsidR="00A523C5" w:rsidRPr="00A523C5">
        <w:rPr>
          <w:rFonts w:cs="Times New Roman"/>
        </w:rPr>
        <w:t>2023)</w:t>
      </w:r>
      <w:r w:rsidR="00A523C5">
        <w:rPr>
          <w:rFonts w:cs="Times New Roman"/>
        </w:rPr>
        <w:fldChar w:fldCharType="end"/>
      </w:r>
      <w:r w:rsidR="00BA74D2">
        <w:rPr>
          <w:rFonts w:cs="Times New Roman"/>
        </w:rPr>
        <w:t>,</w:t>
      </w:r>
      <w:r w:rsidR="00A523C5">
        <w:rPr>
          <w:rFonts w:cs="Times New Roman"/>
        </w:rPr>
        <w:t xml:space="preserve"> the inoculation of bermudagrass with </w:t>
      </w:r>
      <w:proofErr w:type="spellStart"/>
      <w:r w:rsidR="00A523C5" w:rsidRPr="00A523C5">
        <w:rPr>
          <w:rFonts w:cs="Times New Roman"/>
          <w:i/>
          <w:iCs/>
        </w:rPr>
        <w:t>Paenibacillus</w:t>
      </w:r>
      <w:proofErr w:type="spellEnd"/>
      <w:r w:rsidR="00A523C5">
        <w:rPr>
          <w:rFonts w:cs="Times New Roman"/>
          <w:i/>
          <w:iCs/>
        </w:rPr>
        <w:t xml:space="preserve"> spp. </w:t>
      </w:r>
      <w:r w:rsidR="00A523C5">
        <w:rPr>
          <w:rFonts w:cs="Times New Roman"/>
        </w:rPr>
        <w:t>can enhance positive plant characteristics, such as yield, decreasing the amount of N needed throughout the growth season.</w:t>
      </w:r>
    </w:p>
    <w:p w14:paraId="10FF8B38" w14:textId="41102512" w:rsidR="0028032E" w:rsidRDefault="00B62BF2" w:rsidP="006E1FCC">
      <w:pPr>
        <w:spacing w:line="480" w:lineRule="auto"/>
        <w:ind w:firstLine="720"/>
        <w:rPr>
          <w:rFonts w:cs="Times New Roman"/>
        </w:rPr>
      </w:pPr>
      <w:r>
        <w:rPr>
          <w:rFonts w:cs="Times New Roman"/>
        </w:rPr>
        <w:t>The</w:t>
      </w:r>
      <w:r w:rsidR="00C82A4D">
        <w:rPr>
          <w:rFonts w:cs="Times New Roman"/>
        </w:rPr>
        <w:t xml:space="preserve"> possibility</w:t>
      </w:r>
      <w:r>
        <w:rPr>
          <w:rFonts w:cs="Times New Roman"/>
        </w:rPr>
        <w:t xml:space="preserve"> of enhancing plant productivity</w:t>
      </w:r>
      <w:r w:rsidR="00C82A4D">
        <w:rPr>
          <w:rFonts w:cs="Times New Roman"/>
        </w:rPr>
        <w:t xml:space="preserve"> </w:t>
      </w:r>
      <w:r w:rsidR="00421B67">
        <w:rPr>
          <w:rFonts w:cs="Times New Roman"/>
        </w:rPr>
        <w:t>by</w:t>
      </w:r>
      <w:r w:rsidR="00445628">
        <w:rPr>
          <w:rFonts w:cs="Times New Roman"/>
        </w:rPr>
        <w:t xml:space="preserve"> increasing the N</w:t>
      </w:r>
      <w:r w:rsidR="00D2696C">
        <w:rPr>
          <w:rFonts w:cs="Times New Roman"/>
        </w:rPr>
        <w:t xml:space="preserve"> </w:t>
      </w:r>
      <w:r w:rsidR="00B60C3E">
        <w:rPr>
          <w:rFonts w:cs="Times New Roman"/>
        </w:rPr>
        <w:t>availability on the system</w:t>
      </w:r>
      <w:r w:rsidR="00FB419B">
        <w:rPr>
          <w:rFonts w:cs="Times New Roman"/>
        </w:rPr>
        <w:t xml:space="preserve"> (Kong &amp; Liu, 2022</w:t>
      </w:r>
      <w:r w:rsidR="00D4743C">
        <w:rPr>
          <w:rFonts w:cs="Times New Roman"/>
        </w:rPr>
        <w:t>) or</w:t>
      </w:r>
      <w:r w:rsidR="00707EA0">
        <w:rPr>
          <w:rFonts w:cs="Times New Roman"/>
        </w:rPr>
        <w:t xml:space="preserve"> </w:t>
      </w:r>
      <w:r w:rsidR="00421B67">
        <w:rPr>
          <w:rFonts w:cs="Times New Roman"/>
        </w:rPr>
        <w:t>enhancing</w:t>
      </w:r>
      <w:r w:rsidR="00707EA0">
        <w:rPr>
          <w:rFonts w:cs="Times New Roman"/>
        </w:rPr>
        <w:t xml:space="preserve"> the stress response and subsequently increasing the </w:t>
      </w:r>
      <w:r w:rsidR="007F29DA">
        <w:rPr>
          <w:rFonts w:cs="Times New Roman"/>
        </w:rPr>
        <w:t>underground biomass (roots)</w:t>
      </w:r>
      <w:r w:rsidR="00EF4A56">
        <w:rPr>
          <w:rFonts w:cs="Times New Roman"/>
        </w:rPr>
        <w:t xml:space="preserve"> </w:t>
      </w:r>
      <w:r w:rsidR="00421B67">
        <w:rPr>
          <w:rFonts w:cs="Times New Roman"/>
        </w:rPr>
        <w:t>through</w:t>
      </w:r>
      <w:r w:rsidR="00EF4A56">
        <w:rPr>
          <w:rFonts w:cs="Times New Roman"/>
        </w:rPr>
        <w:t xml:space="preserve"> pathways as described by Glick et al</w:t>
      </w:r>
      <w:r w:rsidR="00421B67">
        <w:rPr>
          <w:rFonts w:cs="Times New Roman"/>
        </w:rPr>
        <w:t xml:space="preserve"> (1997)</w:t>
      </w:r>
      <w:r w:rsidR="000F368F">
        <w:rPr>
          <w:rFonts w:cs="Times New Roman"/>
        </w:rPr>
        <w:t xml:space="preserve">, are </w:t>
      </w:r>
      <w:r w:rsidR="003C73DD">
        <w:rPr>
          <w:rFonts w:cs="Times New Roman"/>
        </w:rPr>
        <w:t>for</w:t>
      </w:r>
      <w:r w:rsidR="00FB419B">
        <w:rPr>
          <w:rFonts w:cs="Times New Roman"/>
        </w:rPr>
        <w:t xml:space="preserve">emost to </w:t>
      </w:r>
      <w:r w:rsidR="00EC55DF">
        <w:rPr>
          <w:rFonts w:cs="Times New Roman"/>
        </w:rPr>
        <w:t xml:space="preserve">greater development in what is related to </w:t>
      </w:r>
      <w:r w:rsidR="00AE2D72">
        <w:rPr>
          <w:rFonts w:cs="Times New Roman"/>
        </w:rPr>
        <w:t>sustainability in field products.</w:t>
      </w:r>
      <w:r w:rsidR="00FB419B">
        <w:rPr>
          <w:rFonts w:cs="Times New Roman"/>
        </w:rPr>
        <w:t xml:space="preserve"> </w:t>
      </w:r>
      <w:r w:rsidR="00190192">
        <w:rPr>
          <w:rFonts w:cs="Times New Roman"/>
        </w:rPr>
        <w:t>Increasing N in the systems</w:t>
      </w:r>
      <w:r w:rsidR="006369BB">
        <w:rPr>
          <w:rFonts w:cs="Times New Roman"/>
        </w:rPr>
        <w:t xml:space="preserve"> </w:t>
      </w:r>
      <w:r w:rsidR="00087CAD">
        <w:rPr>
          <w:rFonts w:cs="Times New Roman"/>
        </w:rPr>
        <w:t>feasible</w:t>
      </w:r>
      <w:r w:rsidR="008A23E1">
        <w:rPr>
          <w:rFonts w:cs="Times New Roman"/>
        </w:rPr>
        <w:t xml:space="preserve"> greater</w:t>
      </w:r>
      <w:r w:rsidR="006369BB">
        <w:rPr>
          <w:rFonts w:cs="Times New Roman"/>
        </w:rPr>
        <w:t xml:space="preserve"> productivity </w:t>
      </w:r>
      <w:r w:rsidR="006369BB">
        <w:rPr>
          <w:rFonts w:cs="Times New Roman"/>
        </w:rPr>
        <w:fldChar w:fldCharType="begin"/>
      </w:r>
      <w:r w:rsidR="006369BB">
        <w:rPr>
          <w:rFonts w:cs="Times New Roman"/>
        </w:rPr>
        <w:instrText xml:space="preserve"> ADDIN ZOTERO_ITEM CSL_CITATION {"citationID":"3wckrtnP","properties":{"formattedCitation":"(De Almeida et al., 2024)","plainCitation":"(De Almeida et al., 2024)","noteIndex":0},"citationItems":[{"id":15,"uris":["http://zotero.org/users/local/kjHHoAYm/items/3RBFQ9I4"],"itemData":{"id":15,"type":"article-journal","abstract":"Abstract\n            \n              Grazing management and nitrogen fertilisation may affect forage accumulation (FA), nutritive value, and grazing efficiency (GE) of the highly productive ‘Zuri’ guineagrass [\n              Megathyrsus maximus\n              (Jacq.) B.K.Simon &amp; S.W.L. Jacobs syn.\n              Panicum maximum\n              Jacq.]. The objective of this study was to assess the effects of pre‐graze canopy heights [55 and 75 cm (H55 and H75, respectively)] and N fertilisation rates [150 and 300 kg N ha\n              −1\n               year\n              −1\n              (N150 and N300, respectively)] on FA, GE, grazing losses (GL), and nutritive value of Zuri under rotational stocking. The stubble height was 50% of the pre‐graze canopy height. The total FA was 20% greater under H75 than H55 (22,120 vs. 18,370 kg DM ha\n              −1\n               year\n              −1\n              ), as well as the GL was greater under H75 (85%) than under H55 (79%). Regardless of pre‐graze height, the upper stratum of the canopy was composed mostly of leaves contributing to similar crude protein (CP) (142 g kg\n              −1\n              ) and in vitro digestible organic matter (IVDOM) (559 g kg\n              −1\n              ) concentrations. Greater N rate (N300) increased FA (23,500 vs. 16,980 kg DM ha\n              −1\n               year\n              −1\n              ) and resulted in greater GE (84% vs. 80%) compared to N150. The CP and IVDOM concentrations under N300 (157 and 571 g kg\n              −1\n              , respectively) were greater than under N150 (128 and 547 g kg\n              −1\n              ). Zuri guineagrass grazed at H75 has great FA and GE, maintaining a similar forage nutritive value compared to H55.","container-title":"Grass and Forage Science","DOI":"10.1111/gfs.12672","ISSN":"0142-5242, 1365-2494","issue":"2","journalAbbreviation":"Grass and Forage Science","language":"en","page":"308-317","source":"DOI.org (Crossref)","title":"Forage accumulation, nutritive value, and grazing efficiency on rotationally stocked ‘ &lt;span style=\"font-variant:small-caps;\"&gt;Zuri&lt;/span&gt; ’ guineagrass pastures as affected by pre‐graze canopy height and &lt;span style=\"font-variant:small-caps;\"&gt;N&lt;/span&gt; rate","title-short":"Forage accumulation, nutritive value, and grazing efficiency on rotationally stocked ‘ &lt;span style=\"font-variant","volume":"79","author":[{"family":"De Almeida","given":"Otávio Goulart"},{"family":"Pedreira","given":"Carlos Guilherme Silveira"},{"family":"De Assis","given":"Juliana Aparecida"},{"family":"Da Silva","given":"Valdson José"},{"family":"Pedreira","given":"Bruno Carneiro E"}],"issued":{"date-parts":[["2024",6]]}}}],"schema":"https://github.com/citation-style-language/schema/raw/master/csl-citation.json"} </w:instrText>
      </w:r>
      <w:r w:rsidR="006369BB">
        <w:rPr>
          <w:rFonts w:cs="Times New Roman"/>
        </w:rPr>
        <w:fldChar w:fldCharType="separate"/>
      </w:r>
      <w:r w:rsidR="00B015B5" w:rsidRPr="00B015B5">
        <w:rPr>
          <w:rFonts w:cs="Times New Roman"/>
        </w:rPr>
        <w:t>(De Almeida et al., 2024)</w:t>
      </w:r>
      <w:r w:rsidR="006369BB">
        <w:rPr>
          <w:rFonts w:cs="Times New Roman"/>
        </w:rPr>
        <w:fldChar w:fldCharType="end"/>
      </w:r>
      <w:r w:rsidR="0023505A">
        <w:rPr>
          <w:rFonts w:cs="Times New Roman"/>
        </w:rPr>
        <w:t xml:space="preserve"> without the </w:t>
      </w:r>
      <w:r w:rsidR="002E63C6">
        <w:rPr>
          <w:rFonts w:cs="Times New Roman"/>
        </w:rPr>
        <w:t xml:space="preserve">industrialized process </w:t>
      </w:r>
      <w:r w:rsidR="002E63C6">
        <w:rPr>
          <w:rFonts w:cs="Times New Roman"/>
        </w:rPr>
        <w:fldChar w:fldCharType="begin"/>
      </w:r>
      <w:r w:rsidR="002E63C6">
        <w:rPr>
          <w:rFonts w:cs="Times New Roman"/>
        </w:rPr>
        <w:instrText xml:space="preserve"> ADDIN ZOTERO_ITEM CSL_CITATION {"citationID":"LCBzon9j","properties":{"formattedCitation":"(Erisman et al., 2008)","plainCitation":"(Erisman et al., 2008)","noteIndex":0},"citationItems":[{"id":21,"uris":["http://zotero.org/users/local/kjHHoAYm/items/9YZT9IDZ"],"itemData":{"id":21,"type":"article-journal","container-title":"Nature Geoscience","DOI":"10.1038/ngeo325","ISSN":"1752-0894, 1752-0908","issue":"10","journalAbbreviation":"Nature Geosci","language":"en","license":"http://www.springer.com/tdm","page":"636-639","source":"DOI.org (Crossref)","title":"How a century of ammonia synthesis changed the world","volume":"1","author":[{"family":"Erisman","given":"Jan Willem"},{"family":"Sutton","given":"Mark A."},{"family":"Galloway","given":"James"},{"family":"Klimont","given":"Zbigniew"},{"family":"Winiwarter","given":"Wilfried"}],"issued":{"date-parts":[["2008",10]]}}}],"schema":"https://github.com/citation-style-language/schema/raw/master/csl-citation.json"} </w:instrText>
      </w:r>
      <w:r w:rsidR="002E63C6">
        <w:rPr>
          <w:rFonts w:cs="Times New Roman"/>
        </w:rPr>
        <w:fldChar w:fldCharType="separate"/>
      </w:r>
      <w:r w:rsidR="00B015B5" w:rsidRPr="00B015B5">
        <w:rPr>
          <w:rFonts w:cs="Times New Roman"/>
        </w:rPr>
        <w:t>(Erisman et al., 2008)</w:t>
      </w:r>
      <w:r w:rsidR="002E63C6">
        <w:rPr>
          <w:rFonts w:cs="Times New Roman"/>
        </w:rPr>
        <w:fldChar w:fldCharType="end"/>
      </w:r>
      <w:r w:rsidR="00D06913">
        <w:rPr>
          <w:rFonts w:cs="Times New Roman"/>
        </w:rPr>
        <w:t>,</w:t>
      </w:r>
      <w:r w:rsidR="00FE3755">
        <w:rPr>
          <w:rFonts w:cs="Times New Roman"/>
        </w:rPr>
        <w:t xml:space="preserve"> </w:t>
      </w:r>
      <w:r w:rsidR="008E3A8E">
        <w:rPr>
          <w:rFonts w:cs="Times New Roman"/>
        </w:rPr>
        <w:t xml:space="preserve">or the </w:t>
      </w:r>
      <w:r w:rsidR="0035203E">
        <w:rPr>
          <w:rFonts w:cs="Times New Roman"/>
        </w:rPr>
        <w:t>increment</w:t>
      </w:r>
      <w:r w:rsidR="007D69B4">
        <w:rPr>
          <w:rFonts w:cs="Times New Roman"/>
        </w:rPr>
        <w:t xml:space="preserve"> in plant undergr</w:t>
      </w:r>
      <w:r w:rsidR="00B8539A">
        <w:rPr>
          <w:rFonts w:cs="Times New Roman"/>
        </w:rPr>
        <w:t xml:space="preserve">ound material and plant resistance to </w:t>
      </w:r>
      <w:r w:rsidR="006B2E7A">
        <w:rPr>
          <w:rFonts w:cs="Times New Roman"/>
        </w:rPr>
        <w:t xml:space="preserve">stress </w:t>
      </w:r>
      <w:r w:rsidR="00390F62" w:rsidRPr="00390F62">
        <w:rPr>
          <w:rFonts w:cs="Times New Roman"/>
        </w:rPr>
        <w:t>(Hungria &amp; Vargas, 2000)</w:t>
      </w:r>
      <w:r w:rsidR="00D06913">
        <w:rPr>
          <w:rFonts w:cs="Times New Roman"/>
        </w:rPr>
        <w:t xml:space="preserve"> </w:t>
      </w:r>
      <w:r w:rsidR="00FE3755">
        <w:rPr>
          <w:rFonts w:cs="Times New Roman"/>
        </w:rPr>
        <w:t>potentially increases systems efficiency and sustainability</w:t>
      </w:r>
      <w:r w:rsidR="003A1A31">
        <w:rPr>
          <w:rFonts w:cs="Times New Roman"/>
        </w:rPr>
        <w:t>.</w:t>
      </w:r>
    </w:p>
    <w:p w14:paraId="14570C20" w14:textId="77777777" w:rsidR="00130F45" w:rsidRPr="00037ACB" w:rsidRDefault="00130F45" w:rsidP="006E1FCC">
      <w:pPr>
        <w:spacing w:line="480" w:lineRule="auto"/>
        <w:ind w:firstLine="720"/>
        <w:rPr>
          <w:rFonts w:cs="Times New Roman"/>
        </w:rPr>
      </w:pPr>
    </w:p>
    <w:p w14:paraId="0EC561BD" w14:textId="77777777" w:rsidR="003D07F7" w:rsidRPr="00037ACB" w:rsidRDefault="00DD00DE" w:rsidP="006E1FCC">
      <w:pPr>
        <w:spacing w:line="480" w:lineRule="auto"/>
        <w:rPr>
          <w:rFonts w:cs="Times New Roman"/>
        </w:rPr>
      </w:pPr>
      <w:r w:rsidRPr="00037ACB">
        <w:rPr>
          <w:rFonts w:cs="Times New Roman"/>
        </w:rPr>
        <w:br w:type="page"/>
      </w:r>
    </w:p>
    <w:p w14:paraId="0EC561BF" w14:textId="20A8690E" w:rsidR="00060A6A" w:rsidRPr="006E1FCC" w:rsidRDefault="00D50767" w:rsidP="00776576">
      <w:pPr>
        <w:pStyle w:val="Heading1"/>
        <w:spacing w:line="480" w:lineRule="auto"/>
      </w:pPr>
      <w:bookmarkStart w:id="11" w:name="_Toc289175825"/>
      <w:bookmarkStart w:id="12" w:name="_Toc175638309"/>
      <w:bookmarkStart w:id="13" w:name="_Toc196315225"/>
      <w:r>
        <w:lastRenderedPageBreak/>
        <w:t>CHAPTER 1</w:t>
      </w:r>
      <w:r w:rsidR="00FF1665" w:rsidRPr="006E1FCC">
        <w:br/>
      </w:r>
      <w:bookmarkEnd w:id="11"/>
      <w:bookmarkEnd w:id="12"/>
      <w:r w:rsidR="007D3EA0" w:rsidRPr="00E378A0">
        <w:rPr>
          <w:i/>
          <w:iCs/>
        </w:rPr>
        <w:t>azospiri</w:t>
      </w:r>
      <w:r w:rsidR="00051C4A" w:rsidRPr="00E378A0">
        <w:rPr>
          <w:i/>
          <w:iCs/>
        </w:rPr>
        <w:t>l</w:t>
      </w:r>
      <w:r w:rsidR="007D3EA0" w:rsidRPr="00E378A0">
        <w:rPr>
          <w:i/>
          <w:iCs/>
        </w:rPr>
        <w:t>lum</w:t>
      </w:r>
      <w:r w:rsidR="007D3EA0" w:rsidRPr="006E1FCC">
        <w:t xml:space="preserve"> inoculation </w:t>
      </w:r>
      <w:r w:rsidR="00470AF9" w:rsidRPr="006E1FCC">
        <w:t>in bermudagrass under greenhouse conditions.</w:t>
      </w:r>
      <w:bookmarkEnd w:id="13"/>
    </w:p>
    <w:p w14:paraId="0EC561C6" w14:textId="538CB5EB" w:rsidR="00FA75A5" w:rsidRPr="00490DF9" w:rsidRDefault="00003F6A" w:rsidP="001540C9">
      <w:r w:rsidRPr="00037ACB">
        <w:br w:type="page"/>
      </w:r>
    </w:p>
    <w:p w14:paraId="0EC561C8" w14:textId="5E3336FC" w:rsidR="00FF1665" w:rsidRDefault="00060A6A" w:rsidP="006E1FCC">
      <w:pPr>
        <w:pStyle w:val="Heading2"/>
        <w:spacing w:before="0" w:after="0" w:line="480" w:lineRule="auto"/>
        <w:rPr>
          <w:rFonts w:cs="Times New Roman"/>
          <w:szCs w:val="24"/>
        </w:rPr>
      </w:pPr>
      <w:bookmarkStart w:id="14" w:name="_Toc289175826"/>
      <w:r w:rsidRPr="00037ACB">
        <w:rPr>
          <w:rFonts w:cs="Times New Roman"/>
          <w:szCs w:val="24"/>
        </w:rPr>
        <w:lastRenderedPageBreak/>
        <w:t xml:space="preserve">    </w:t>
      </w:r>
      <w:bookmarkStart w:id="15" w:name="_Toc175638310"/>
      <w:bookmarkStart w:id="16" w:name="_Toc196315226"/>
      <w:r w:rsidR="00FA75A5" w:rsidRPr="00037ACB">
        <w:rPr>
          <w:rFonts w:cs="Times New Roman"/>
          <w:szCs w:val="24"/>
        </w:rPr>
        <w:t>A</w:t>
      </w:r>
      <w:r w:rsidR="00FF1665" w:rsidRPr="00037ACB">
        <w:rPr>
          <w:rFonts w:cs="Times New Roman"/>
          <w:szCs w:val="24"/>
        </w:rPr>
        <w:t>bstract</w:t>
      </w:r>
      <w:bookmarkEnd w:id="14"/>
      <w:bookmarkEnd w:id="15"/>
      <w:bookmarkEnd w:id="16"/>
      <w:r w:rsidR="003C7FC5" w:rsidRPr="00037ACB">
        <w:rPr>
          <w:rFonts w:cs="Times New Roman"/>
          <w:szCs w:val="24"/>
        </w:rPr>
        <w:tab/>
      </w:r>
    </w:p>
    <w:p w14:paraId="11715C3B" w14:textId="71096CA9" w:rsidR="00332361" w:rsidRPr="001C0858" w:rsidRDefault="00332361" w:rsidP="009F3A13">
      <w:pPr>
        <w:spacing w:line="480" w:lineRule="auto"/>
        <w:ind w:firstLine="720"/>
      </w:pPr>
      <w:r>
        <w:rPr>
          <w:rFonts w:cs="Times New Roman"/>
        </w:rPr>
        <w:t xml:space="preserve">The </w:t>
      </w:r>
      <w:r w:rsidR="00143261">
        <w:rPr>
          <w:rFonts w:cs="Times New Roman"/>
        </w:rPr>
        <w:t xml:space="preserve">incorporation </w:t>
      </w:r>
      <w:r>
        <w:rPr>
          <w:rFonts w:cs="Times New Roman"/>
        </w:rPr>
        <w:t xml:space="preserve">of </w:t>
      </w:r>
      <w:r w:rsidR="00BA74D2">
        <w:rPr>
          <w:rFonts w:cs="Times New Roman"/>
        </w:rPr>
        <w:t xml:space="preserve">plant </w:t>
      </w:r>
      <w:r w:rsidR="001D5A80">
        <w:rPr>
          <w:rFonts w:cs="Times New Roman"/>
        </w:rPr>
        <w:t>growth-promoting</w:t>
      </w:r>
      <w:r>
        <w:rPr>
          <w:rFonts w:cs="Times New Roman"/>
        </w:rPr>
        <w:t xml:space="preserve"> </w:t>
      </w:r>
      <w:r w:rsidR="00BA74D2">
        <w:rPr>
          <w:rFonts w:cs="Times New Roman"/>
        </w:rPr>
        <w:t xml:space="preserve">bacteria </w:t>
      </w:r>
      <w:r>
        <w:rPr>
          <w:rFonts w:cs="Times New Roman"/>
        </w:rPr>
        <w:t xml:space="preserve">(PGPB) </w:t>
      </w:r>
      <w:r w:rsidR="00143261">
        <w:rPr>
          <w:rFonts w:cs="Times New Roman"/>
        </w:rPr>
        <w:t>in</w:t>
      </w:r>
      <w:r w:rsidR="00BA74D2">
        <w:rPr>
          <w:rFonts w:cs="Times New Roman"/>
        </w:rPr>
        <w:t>t</w:t>
      </w:r>
      <w:r>
        <w:rPr>
          <w:rFonts w:cs="Times New Roman"/>
        </w:rPr>
        <w:t xml:space="preserve">o fertility programs </w:t>
      </w:r>
      <w:r w:rsidR="00143261">
        <w:rPr>
          <w:rFonts w:cs="Times New Roman"/>
        </w:rPr>
        <w:t xml:space="preserve">has gained increased attention for its potential to enhance nutrient uptake and contribute to more sustainable agricultural systems. Among these bacteria, </w:t>
      </w:r>
      <w:proofErr w:type="spellStart"/>
      <w:r>
        <w:rPr>
          <w:rFonts w:cs="Times New Roman"/>
          <w:i/>
          <w:iCs/>
        </w:rPr>
        <w:t>A</w:t>
      </w:r>
      <w:r w:rsidRPr="00332361">
        <w:rPr>
          <w:rFonts w:cs="Times New Roman"/>
          <w:i/>
          <w:iCs/>
        </w:rPr>
        <w:t>zospirillum</w:t>
      </w:r>
      <w:proofErr w:type="spellEnd"/>
      <w:r w:rsidRPr="00332361">
        <w:rPr>
          <w:rFonts w:cs="Times New Roman"/>
          <w:i/>
          <w:iCs/>
        </w:rPr>
        <w:t xml:space="preserve"> </w:t>
      </w:r>
      <w:proofErr w:type="spellStart"/>
      <w:r w:rsidR="00575173">
        <w:rPr>
          <w:rFonts w:cs="Times New Roman"/>
          <w:i/>
          <w:iCs/>
        </w:rPr>
        <w:t>b</w:t>
      </w:r>
      <w:r>
        <w:rPr>
          <w:rFonts w:cs="Times New Roman"/>
          <w:i/>
          <w:iCs/>
        </w:rPr>
        <w:t>rasilense</w:t>
      </w:r>
      <w:proofErr w:type="spellEnd"/>
      <w:r w:rsidR="00143261">
        <w:rPr>
          <w:rFonts w:cs="Times New Roman"/>
          <w:i/>
          <w:iCs/>
        </w:rPr>
        <w:t xml:space="preserve"> </w:t>
      </w:r>
      <w:r w:rsidR="00143261">
        <w:rPr>
          <w:rFonts w:cs="Times New Roman"/>
        </w:rPr>
        <w:t>– particularly the strains Ab-V5 and Ab-V6 – has shown promise.</w:t>
      </w:r>
      <w:r>
        <w:rPr>
          <w:rFonts w:cs="Times New Roman"/>
        </w:rPr>
        <w:t xml:space="preserve"> </w:t>
      </w:r>
      <w:r w:rsidR="001D5A80">
        <w:rPr>
          <w:rFonts w:cs="Times New Roman"/>
        </w:rPr>
        <w:t xml:space="preserve">This study aimed to evaluate the effects of </w:t>
      </w:r>
      <w:proofErr w:type="spellStart"/>
      <w:r w:rsidR="001D5A80" w:rsidRPr="001D5A80">
        <w:rPr>
          <w:rFonts w:cs="Times New Roman"/>
          <w:i/>
          <w:iCs/>
        </w:rPr>
        <w:t>Azospirillum</w:t>
      </w:r>
      <w:proofErr w:type="spellEnd"/>
      <w:r w:rsidR="001D5A80">
        <w:rPr>
          <w:rFonts w:cs="Times New Roman"/>
        </w:rPr>
        <w:t xml:space="preserve"> Ab-V5 and Ab-V6 on shoot and root </w:t>
      </w:r>
      <w:r w:rsidR="00143261">
        <w:rPr>
          <w:rFonts w:cs="Times New Roman"/>
        </w:rPr>
        <w:t>weight, as well as</w:t>
      </w:r>
      <w:r w:rsidR="001D5A80">
        <w:rPr>
          <w:rFonts w:cs="Times New Roman"/>
        </w:rPr>
        <w:t xml:space="preserve"> shoot and root length of bermudagrass</w:t>
      </w:r>
      <w:r w:rsidR="006E17DE">
        <w:rPr>
          <w:rFonts w:cs="Times New Roman"/>
        </w:rPr>
        <w:t xml:space="preserve"> (</w:t>
      </w:r>
      <w:proofErr w:type="spellStart"/>
      <w:r w:rsidR="006E17DE" w:rsidRPr="006E17DE">
        <w:rPr>
          <w:rFonts w:cs="Times New Roman"/>
          <w:i/>
          <w:iCs/>
        </w:rPr>
        <w:t>Cynodon</w:t>
      </w:r>
      <w:proofErr w:type="spellEnd"/>
      <w:r w:rsidR="006E17DE" w:rsidRPr="006E17DE">
        <w:rPr>
          <w:rFonts w:cs="Times New Roman"/>
          <w:i/>
          <w:iCs/>
        </w:rPr>
        <w:t xml:space="preserve"> </w:t>
      </w:r>
      <w:proofErr w:type="spellStart"/>
      <w:r w:rsidR="006E17DE" w:rsidRPr="006E17DE">
        <w:rPr>
          <w:rFonts w:cs="Times New Roman"/>
          <w:i/>
          <w:iCs/>
        </w:rPr>
        <w:t>dactylon</w:t>
      </w:r>
      <w:proofErr w:type="spellEnd"/>
      <w:r w:rsidR="006E17DE">
        <w:rPr>
          <w:rFonts w:cs="Times New Roman"/>
        </w:rPr>
        <w:t xml:space="preserve">) </w:t>
      </w:r>
      <w:r w:rsidR="001D5A80">
        <w:rPr>
          <w:rFonts w:cs="Times New Roman"/>
        </w:rPr>
        <w:t xml:space="preserve">under greenhouse conditions. Two experiments were conducted at the University of Tennessee, Knoxville, under greenhouse conditions from September to November of 2024. The first experiment was </w:t>
      </w:r>
      <w:r w:rsidR="00143261">
        <w:rPr>
          <w:rFonts w:cs="Times New Roman"/>
        </w:rPr>
        <w:t xml:space="preserve">conducted </w:t>
      </w:r>
      <w:r w:rsidR="001D5A80">
        <w:rPr>
          <w:rFonts w:cs="Times New Roman"/>
        </w:rPr>
        <w:t>using a complete</w:t>
      </w:r>
      <w:r w:rsidR="00143261">
        <w:rPr>
          <w:rFonts w:cs="Times New Roman"/>
        </w:rPr>
        <w:t>ly</w:t>
      </w:r>
      <w:r w:rsidR="001D5A80">
        <w:rPr>
          <w:rFonts w:cs="Times New Roman"/>
        </w:rPr>
        <w:t xml:space="preserve"> randomized design (CRD) </w:t>
      </w:r>
      <w:r w:rsidR="00143261">
        <w:rPr>
          <w:rFonts w:cs="Times New Roman"/>
        </w:rPr>
        <w:t>t</w:t>
      </w:r>
      <w:r w:rsidR="001D5A80">
        <w:rPr>
          <w:rFonts w:cs="Times New Roman"/>
        </w:rPr>
        <w:t xml:space="preserve">o </w:t>
      </w:r>
      <w:r w:rsidR="00143261">
        <w:rPr>
          <w:rFonts w:cs="Times New Roman"/>
        </w:rPr>
        <w:t xml:space="preserve">evaluate </w:t>
      </w:r>
      <w:r w:rsidR="001D5A80">
        <w:rPr>
          <w:rFonts w:cs="Times New Roman"/>
        </w:rPr>
        <w:t>the effects of two commercial PGPB</w:t>
      </w:r>
      <w:r w:rsidR="00143261">
        <w:rPr>
          <w:rFonts w:cs="Times New Roman"/>
        </w:rPr>
        <w:t xml:space="preserve"> products</w:t>
      </w:r>
      <w:r w:rsidR="001D5A80">
        <w:rPr>
          <w:rFonts w:cs="Times New Roman"/>
        </w:rPr>
        <w:t xml:space="preserve"> (</w:t>
      </w:r>
      <w:proofErr w:type="spellStart"/>
      <w:r w:rsidR="001D5A80">
        <w:rPr>
          <w:rFonts w:cs="Times New Roman"/>
        </w:rPr>
        <w:t>MicroAZ</w:t>
      </w:r>
      <w:proofErr w:type="spellEnd"/>
      <w:r w:rsidR="001D5A80">
        <w:rPr>
          <w:rFonts w:cs="Times New Roman"/>
        </w:rPr>
        <w:t xml:space="preserve">-ST Dry and </w:t>
      </w:r>
      <w:proofErr w:type="spellStart"/>
      <w:r w:rsidR="001D5A80">
        <w:rPr>
          <w:rFonts w:cs="Times New Roman"/>
        </w:rPr>
        <w:t>MicroAZ</w:t>
      </w:r>
      <w:proofErr w:type="spellEnd"/>
      <w:r w:rsidR="001D5A80">
        <w:rPr>
          <w:rFonts w:cs="Times New Roman"/>
        </w:rPr>
        <w:t xml:space="preserve">-ST </w:t>
      </w:r>
      <w:r w:rsidR="00BA74D2">
        <w:rPr>
          <w:rFonts w:cs="Times New Roman"/>
        </w:rPr>
        <w:t>Liquid) on</w:t>
      </w:r>
      <w:r w:rsidR="001D5A80">
        <w:rPr>
          <w:rFonts w:cs="Times New Roman"/>
        </w:rPr>
        <w:t xml:space="preserve"> </w:t>
      </w:r>
      <w:r w:rsidR="00143261">
        <w:rPr>
          <w:rFonts w:cs="Times New Roman"/>
        </w:rPr>
        <w:t xml:space="preserve">bermudagrass </w:t>
      </w:r>
      <w:r w:rsidR="001D5A80">
        <w:rPr>
          <w:rFonts w:cs="Times New Roman"/>
        </w:rPr>
        <w:t xml:space="preserve">development. The second experiment </w:t>
      </w:r>
      <w:r w:rsidR="00143261">
        <w:rPr>
          <w:rFonts w:cs="Times New Roman"/>
        </w:rPr>
        <w:t xml:space="preserve">assessed </w:t>
      </w:r>
      <w:r w:rsidR="001D5A80">
        <w:rPr>
          <w:rFonts w:cs="Times New Roman"/>
        </w:rPr>
        <w:t xml:space="preserve">the </w:t>
      </w:r>
      <w:r w:rsidR="00143261">
        <w:rPr>
          <w:rFonts w:cs="Times New Roman"/>
        </w:rPr>
        <w:t>interaction between</w:t>
      </w:r>
      <w:r w:rsidR="001D5A80">
        <w:rPr>
          <w:rFonts w:cs="Times New Roman"/>
        </w:rPr>
        <w:t xml:space="preserve"> PGPB</w:t>
      </w:r>
      <w:r w:rsidR="00143261">
        <w:rPr>
          <w:rFonts w:cs="Times New Roman"/>
        </w:rPr>
        <w:t xml:space="preserve"> application and N fertilization rates,</w:t>
      </w:r>
      <w:r w:rsidR="001D5A80">
        <w:rPr>
          <w:rFonts w:cs="Times New Roman"/>
        </w:rPr>
        <w:t xml:space="preserve"> using a random</w:t>
      </w:r>
      <w:r w:rsidR="00575173">
        <w:rPr>
          <w:rFonts w:cs="Times New Roman"/>
        </w:rPr>
        <w:t>ized</w:t>
      </w:r>
      <w:r w:rsidR="001D5A80">
        <w:rPr>
          <w:rFonts w:cs="Times New Roman"/>
        </w:rPr>
        <w:t xml:space="preserve"> complete block design (RCBD). </w:t>
      </w:r>
      <w:r w:rsidR="001D5A80" w:rsidRPr="001D5A80">
        <w:rPr>
          <w:rFonts w:cs="Times New Roman"/>
        </w:rPr>
        <w:t xml:space="preserve">Results from the first experiment </w:t>
      </w:r>
      <w:r w:rsidR="001D5A80">
        <w:rPr>
          <w:rFonts w:cs="Times New Roman"/>
        </w:rPr>
        <w:t>showed</w:t>
      </w:r>
      <w:r w:rsidR="001D5A80" w:rsidRPr="001D5A80">
        <w:rPr>
          <w:rFonts w:cs="Times New Roman"/>
        </w:rPr>
        <w:t xml:space="preserve"> </w:t>
      </w:r>
      <w:r w:rsidR="001D5A80">
        <w:rPr>
          <w:rFonts w:cs="Times New Roman"/>
        </w:rPr>
        <w:t xml:space="preserve">greater </w:t>
      </w:r>
      <w:r w:rsidR="001D5A80" w:rsidRPr="001D5A80">
        <w:rPr>
          <w:rFonts w:cs="Times New Roman"/>
        </w:rPr>
        <w:t>(</w:t>
      </w:r>
      <w:r w:rsidR="001D5A80" w:rsidRPr="001D5A80">
        <w:rPr>
          <w:rFonts w:cs="Times New Roman"/>
          <w:i/>
          <w:iCs/>
        </w:rPr>
        <w:t>P</w:t>
      </w:r>
      <w:r w:rsidR="001D5A80" w:rsidRPr="001D5A80">
        <w:rPr>
          <w:rFonts w:cs="Times New Roman"/>
        </w:rPr>
        <w:t xml:space="preserve"> &lt; 0.05) shoot weight (16%), shoot length (9%), and number of tillers (11%) </w:t>
      </w:r>
      <w:r w:rsidR="00143261">
        <w:rPr>
          <w:rFonts w:cs="Times New Roman"/>
        </w:rPr>
        <w:t>in</w:t>
      </w:r>
      <w:r w:rsidR="00143261" w:rsidRPr="001D5A80">
        <w:rPr>
          <w:rFonts w:cs="Times New Roman"/>
        </w:rPr>
        <w:t xml:space="preserve"> </w:t>
      </w:r>
      <w:r w:rsidR="001D5A80" w:rsidRPr="001D5A80">
        <w:rPr>
          <w:rFonts w:cs="Times New Roman"/>
        </w:rPr>
        <w:t>inoculated plants compared to the control.</w:t>
      </w:r>
      <w:r w:rsidR="001D5A80">
        <w:rPr>
          <w:rFonts w:cs="Times New Roman"/>
        </w:rPr>
        <w:t xml:space="preserve"> </w:t>
      </w:r>
      <w:r w:rsidR="00143261">
        <w:rPr>
          <w:rFonts w:cs="Times New Roman"/>
        </w:rPr>
        <w:t>In contrast</w:t>
      </w:r>
      <w:r w:rsidR="001D5A80">
        <w:rPr>
          <w:rFonts w:cs="Times New Roman"/>
        </w:rPr>
        <w:t>, the second experiment showed no significant effects of inoculation on shoot</w:t>
      </w:r>
      <w:r w:rsidR="001C0858">
        <w:rPr>
          <w:rFonts w:cs="Times New Roman"/>
        </w:rPr>
        <w:t xml:space="preserve"> </w:t>
      </w:r>
      <w:r w:rsidR="00143261">
        <w:rPr>
          <w:rFonts w:cs="Times New Roman"/>
        </w:rPr>
        <w:t xml:space="preserve">or </w:t>
      </w:r>
      <w:r w:rsidR="001C0858">
        <w:rPr>
          <w:rFonts w:cs="Times New Roman"/>
        </w:rPr>
        <w:t xml:space="preserve">root </w:t>
      </w:r>
      <w:r w:rsidR="00143261">
        <w:rPr>
          <w:rFonts w:cs="Times New Roman"/>
        </w:rPr>
        <w:t xml:space="preserve">weight </w:t>
      </w:r>
      <w:r w:rsidR="001C0858">
        <w:rPr>
          <w:rFonts w:cs="Times New Roman"/>
        </w:rPr>
        <w:t xml:space="preserve">nor </w:t>
      </w:r>
      <w:r w:rsidR="00143261">
        <w:rPr>
          <w:rFonts w:cs="Times New Roman"/>
        </w:rPr>
        <w:t xml:space="preserve">on </w:t>
      </w:r>
      <w:r w:rsidR="001C0858">
        <w:rPr>
          <w:rFonts w:cs="Times New Roman"/>
        </w:rPr>
        <w:t xml:space="preserve">shoot and root length. These results suggested that </w:t>
      </w:r>
      <w:proofErr w:type="spellStart"/>
      <w:r w:rsidR="001C0858" w:rsidRPr="001C0858">
        <w:rPr>
          <w:rFonts w:cs="Times New Roman"/>
          <w:i/>
          <w:iCs/>
        </w:rPr>
        <w:t>Azospirillum</w:t>
      </w:r>
      <w:proofErr w:type="spellEnd"/>
      <w:r w:rsidR="001C0858">
        <w:rPr>
          <w:rFonts w:cs="Times New Roman"/>
          <w:i/>
          <w:iCs/>
        </w:rPr>
        <w:t xml:space="preserve"> </w:t>
      </w:r>
      <w:r w:rsidR="001C0858">
        <w:rPr>
          <w:rFonts w:cs="Times New Roman"/>
        </w:rPr>
        <w:t>inoculation may benefi</w:t>
      </w:r>
      <w:r w:rsidR="00143261">
        <w:rPr>
          <w:rFonts w:cs="Times New Roman"/>
        </w:rPr>
        <w:t>t bermudagrass</w:t>
      </w:r>
      <w:r w:rsidR="001C0858">
        <w:rPr>
          <w:rFonts w:cs="Times New Roman"/>
        </w:rPr>
        <w:t xml:space="preserve"> </w:t>
      </w:r>
      <w:r w:rsidR="00143261">
        <w:rPr>
          <w:rFonts w:cs="Times New Roman"/>
        </w:rPr>
        <w:t>during</w:t>
      </w:r>
      <w:r w:rsidR="001C0858">
        <w:rPr>
          <w:rFonts w:cs="Times New Roman"/>
        </w:rPr>
        <w:t xml:space="preserve"> early developmental stages</w:t>
      </w:r>
      <w:r w:rsidR="00143261">
        <w:rPr>
          <w:rFonts w:cs="Times New Roman"/>
        </w:rPr>
        <w:t>;</w:t>
      </w:r>
      <w:r w:rsidR="001C0858">
        <w:rPr>
          <w:rFonts w:cs="Times New Roman"/>
        </w:rPr>
        <w:t xml:space="preserve"> however</w:t>
      </w:r>
      <w:r w:rsidR="00143261">
        <w:rPr>
          <w:rFonts w:cs="Times New Roman"/>
        </w:rPr>
        <w:t>, N fertilization</w:t>
      </w:r>
      <w:r w:rsidR="001C0858">
        <w:rPr>
          <w:rFonts w:cs="Times New Roman"/>
        </w:rPr>
        <w:t xml:space="preserve"> rates may impact </w:t>
      </w:r>
      <w:r w:rsidR="00143261">
        <w:rPr>
          <w:rFonts w:cs="Times New Roman"/>
        </w:rPr>
        <w:t xml:space="preserve">the effectiveness of </w:t>
      </w:r>
      <w:r w:rsidR="001C0858">
        <w:rPr>
          <w:rFonts w:cs="Times New Roman"/>
        </w:rPr>
        <w:t xml:space="preserve">inoculation. Further </w:t>
      </w:r>
      <w:r w:rsidR="00143261">
        <w:rPr>
          <w:rFonts w:cs="Times New Roman"/>
        </w:rPr>
        <w:t>research is needed</w:t>
      </w:r>
      <w:r w:rsidR="001C0858">
        <w:rPr>
          <w:rFonts w:cs="Times New Roman"/>
        </w:rPr>
        <w:t xml:space="preserve"> to </w:t>
      </w:r>
      <w:r w:rsidR="00143261">
        <w:rPr>
          <w:rFonts w:cs="Times New Roman"/>
        </w:rPr>
        <w:t xml:space="preserve">better understand </w:t>
      </w:r>
      <w:r w:rsidR="001C0858">
        <w:rPr>
          <w:rFonts w:cs="Times New Roman"/>
        </w:rPr>
        <w:t xml:space="preserve">plant-microorganism </w:t>
      </w:r>
      <w:r w:rsidR="00143261">
        <w:rPr>
          <w:rFonts w:cs="Times New Roman"/>
        </w:rPr>
        <w:t>interactions across</w:t>
      </w:r>
      <w:r w:rsidR="001C0858">
        <w:rPr>
          <w:rFonts w:cs="Times New Roman"/>
        </w:rPr>
        <w:t xml:space="preserve"> diverse environment</w:t>
      </w:r>
      <w:r w:rsidR="00143261">
        <w:rPr>
          <w:rFonts w:cs="Times New Roman"/>
        </w:rPr>
        <w:t>al conditions</w:t>
      </w:r>
      <w:r w:rsidR="001C0858">
        <w:rPr>
          <w:rFonts w:cs="Times New Roman"/>
        </w:rPr>
        <w:t>.</w:t>
      </w:r>
    </w:p>
    <w:p w14:paraId="605BF6D3" w14:textId="77777777" w:rsidR="00F6174D" w:rsidRDefault="00F6174D">
      <w:pPr>
        <w:spacing w:line="240" w:lineRule="auto"/>
        <w:rPr>
          <w:rFonts w:cs="Times New Roman"/>
          <w:b/>
          <w:bCs/>
          <w:iCs/>
        </w:rPr>
      </w:pPr>
      <w:r>
        <w:rPr>
          <w:rFonts w:cs="Times New Roman"/>
        </w:rPr>
        <w:br w:type="page"/>
      </w:r>
    </w:p>
    <w:p w14:paraId="0EC561CB" w14:textId="210538AD" w:rsidR="003C7FC5" w:rsidRPr="00037ACB" w:rsidRDefault="00DC1693" w:rsidP="006E1FCC">
      <w:pPr>
        <w:pStyle w:val="Heading2"/>
        <w:spacing w:before="0" w:after="0" w:line="480" w:lineRule="auto"/>
        <w:rPr>
          <w:rFonts w:cs="Times New Roman"/>
          <w:szCs w:val="24"/>
        </w:rPr>
      </w:pPr>
      <w:bookmarkStart w:id="17" w:name="_Toc196315227"/>
      <w:r w:rsidRPr="00037ACB">
        <w:rPr>
          <w:rFonts w:cs="Times New Roman"/>
          <w:szCs w:val="24"/>
        </w:rPr>
        <w:lastRenderedPageBreak/>
        <w:t>Introduction</w:t>
      </w:r>
      <w:bookmarkEnd w:id="17"/>
    </w:p>
    <w:p w14:paraId="601B3497" w14:textId="238A1905" w:rsidR="008C0DA6" w:rsidRDefault="0043502E" w:rsidP="006E1FCC">
      <w:pPr>
        <w:spacing w:line="480" w:lineRule="auto"/>
        <w:ind w:firstLine="720"/>
        <w:rPr>
          <w:rFonts w:cs="Times New Roman"/>
        </w:rPr>
      </w:pPr>
      <w:r>
        <w:rPr>
          <w:rFonts w:cs="Times New Roman"/>
        </w:rPr>
        <w:t xml:space="preserve">Interest has grown </w:t>
      </w:r>
      <w:r w:rsidR="005C7E43">
        <w:rPr>
          <w:rFonts w:cs="Times New Roman"/>
        </w:rPr>
        <w:t>in</w:t>
      </w:r>
      <w:r>
        <w:rPr>
          <w:rFonts w:cs="Times New Roman"/>
        </w:rPr>
        <w:t xml:space="preserve"> exploring </w:t>
      </w:r>
      <w:r w:rsidR="003A1A31">
        <w:rPr>
          <w:rFonts w:cs="Times New Roman"/>
        </w:rPr>
        <w:t>plant growth-p</w:t>
      </w:r>
      <w:r w:rsidR="008A6472">
        <w:rPr>
          <w:rFonts w:cs="Times New Roman"/>
        </w:rPr>
        <w:t xml:space="preserve">romoting </w:t>
      </w:r>
      <w:r w:rsidR="003A1A31">
        <w:rPr>
          <w:rFonts w:cs="Times New Roman"/>
        </w:rPr>
        <w:t xml:space="preserve">bacteria </w:t>
      </w:r>
      <w:r w:rsidR="008C0DA6">
        <w:rPr>
          <w:rFonts w:cs="Times New Roman"/>
        </w:rPr>
        <w:t>(PGPB)</w:t>
      </w:r>
      <w:r w:rsidR="008A6472">
        <w:rPr>
          <w:rFonts w:cs="Times New Roman"/>
        </w:rPr>
        <w:t xml:space="preserve"> due to their </w:t>
      </w:r>
      <w:r w:rsidR="003900BA">
        <w:rPr>
          <w:rFonts w:cs="Times New Roman"/>
        </w:rPr>
        <w:t xml:space="preserve">benefits associated </w:t>
      </w:r>
      <w:r w:rsidR="00E27586">
        <w:rPr>
          <w:rFonts w:cs="Times New Roman"/>
        </w:rPr>
        <w:t>with</w:t>
      </w:r>
      <w:r w:rsidR="003900BA">
        <w:rPr>
          <w:rFonts w:cs="Times New Roman"/>
        </w:rPr>
        <w:t xml:space="preserve"> plants (Kloepper et al., 1989). </w:t>
      </w:r>
      <w:r w:rsidR="00417BE7">
        <w:rPr>
          <w:rFonts w:cs="Times New Roman"/>
        </w:rPr>
        <w:t>These benefits</w:t>
      </w:r>
      <w:r w:rsidR="009A0336">
        <w:rPr>
          <w:rFonts w:cs="Times New Roman"/>
        </w:rPr>
        <w:t xml:space="preserve"> can </w:t>
      </w:r>
      <w:r w:rsidR="00D00A4D">
        <w:rPr>
          <w:rFonts w:cs="Times New Roman"/>
        </w:rPr>
        <w:t>be unravel</w:t>
      </w:r>
      <w:r w:rsidR="003A1A31">
        <w:rPr>
          <w:rFonts w:cs="Times New Roman"/>
        </w:rPr>
        <w:t>ed</w:t>
      </w:r>
      <w:r w:rsidR="00D00A4D">
        <w:rPr>
          <w:rFonts w:cs="Times New Roman"/>
        </w:rPr>
        <w:t xml:space="preserve"> into</w:t>
      </w:r>
      <w:r w:rsidR="00417BE7">
        <w:rPr>
          <w:rFonts w:cs="Times New Roman"/>
        </w:rPr>
        <w:t xml:space="preserve"> many </w:t>
      </w:r>
      <w:r w:rsidR="005C7E43">
        <w:rPr>
          <w:rFonts w:cs="Times New Roman"/>
        </w:rPr>
        <w:t>processes</w:t>
      </w:r>
      <w:r w:rsidR="00417BE7">
        <w:rPr>
          <w:rFonts w:cs="Times New Roman"/>
        </w:rPr>
        <w:t xml:space="preserve"> associated with enhancing plant growth</w:t>
      </w:r>
      <w:r w:rsidR="00331353">
        <w:rPr>
          <w:rFonts w:cs="Times New Roman"/>
        </w:rPr>
        <w:t xml:space="preserve">, including </w:t>
      </w:r>
      <w:r w:rsidR="00575173">
        <w:rPr>
          <w:rFonts w:cs="Times New Roman"/>
        </w:rPr>
        <w:t xml:space="preserve">biological </w:t>
      </w:r>
      <w:r w:rsidR="00331353">
        <w:rPr>
          <w:rFonts w:cs="Times New Roman"/>
        </w:rPr>
        <w:t>nitrogen fixation, synthesis of hormones</w:t>
      </w:r>
      <w:r w:rsidR="005C7E43">
        <w:rPr>
          <w:rFonts w:cs="Times New Roman"/>
        </w:rPr>
        <w:t>,</w:t>
      </w:r>
      <w:r w:rsidR="00331353">
        <w:rPr>
          <w:rFonts w:cs="Times New Roman"/>
        </w:rPr>
        <w:t xml:space="preserve"> </w:t>
      </w:r>
      <w:r w:rsidR="00D6200E">
        <w:rPr>
          <w:rFonts w:cs="Times New Roman"/>
        </w:rPr>
        <w:t>and plant stress alleviation</w:t>
      </w:r>
      <w:r w:rsidR="00B57620">
        <w:rPr>
          <w:rFonts w:cs="Times New Roman"/>
        </w:rPr>
        <w:t xml:space="preserve"> </w:t>
      </w:r>
      <w:r w:rsidR="003A1011">
        <w:rPr>
          <w:rFonts w:cs="Times New Roman"/>
        </w:rPr>
        <w:fldChar w:fldCharType="begin"/>
      </w:r>
      <w:r w:rsidR="003A1011">
        <w:rPr>
          <w:rFonts w:cs="Times New Roman"/>
        </w:rPr>
        <w:instrText xml:space="preserve"> ADDIN ZOTERO_ITEM CSL_CITATION {"citationID":"oPV0IrO0","properties":{"formattedCitation":"(Perrig et al., 2007)","plainCitation":"(Perrig et al., 2007)","noteIndex":0},"citationItems":[{"id":60,"uris":["http://zotero.org/users/local/kjHHoAYm/items/A8VJUJ5P"],"itemData":{"id":60,"type":"article-journal","container-title":"Applied Microbiology and Biotechnology","DOI":"10.1007/s00253-007-0909-9","ISSN":"0175-7598, 1432-0614","issue":"5","journalAbbreviation":"Appl Microbiol Biotechnol","language":"en","license":"http://www.springer.com/tdm","page":"1143-1150","source":"DOI.org (Crossref)","title":"Plant-growth-promoting compounds produced by two agronomically important strains of Azospirillum brasilense, and implications for inoculant formulation","volume":"75","author":[{"family":"Perrig","given":"D."},{"family":"Boiero","given":"M. L."},{"family":"Masciarelli","given":"O. A."},{"family":"Penna","given":"C."},{"family":"Ruiz","given":"O. A."},{"family":"Cassán","given":"F. D."},{"family":"Luna","given":"M. V."}],"issued":{"date-parts":[["2007",7]]}}}],"schema":"https://github.com/citation-style-language/schema/raw/master/csl-citation.json"} </w:instrText>
      </w:r>
      <w:r w:rsidR="003A1011">
        <w:rPr>
          <w:rFonts w:cs="Times New Roman"/>
        </w:rPr>
        <w:fldChar w:fldCharType="separate"/>
      </w:r>
      <w:r w:rsidR="003A1011" w:rsidRPr="003A1011">
        <w:rPr>
          <w:rFonts w:cs="Times New Roman"/>
        </w:rPr>
        <w:t>(Perrig et al., 2007)</w:t>
      </w:r>
      <w:r w:rsidR="003A1011">
        <w:rPr>
          <w:rFonts w:cs="Times New Roman"/>
        </w:rPr>
        <w:fldChar w:fldCharType="end"/>
      </w:r>
      <w:r w:rsidR="003A1011">
        <w:rPr>
          <w:rFonts w:cs="Times New Roman"/>
        </w:rPr>
        <w:t>.</w:t>
      </w:r>
      <w:r w:rsidR="00F01A7F">
        <w:rPr>
          <w:rFonts w:cs="Times New Roman"/>
        </w:rPr>
        <w:t xml:space="preserve"> </w:t>
      </w:r>
      <w:r w:rsidR="009C2B09">
        <w:rPr>
          <w:rFonts w:cs="Times New Roman"/>
        </w:rPr>
        <w:t xml:space="preserve">Due to earlier research, </w:t>
      </w:r>
      <w:proofErr w:type="spellStart"/>
      <w:r w:rsidR="009C2B09" w:rsidRPr="007C6EE6">
        <w:rPr>
          <w:rFonts w:cs="Times New Roman"/>
          <w:i/>
          <w:iCs/>
        </w:rPr>
        <w:t>Azospirillum</w:t>
      </w:r>
      <w:proofErr w:type="spellEnd"/>
      <w:r w:rsidR="009C2B09">
        <w:rPr>
          <w:rFonts w:cs="Times New Roman"/>
        </w:rPr>
        <w:t xml:space="preserve"> is cons</w:t>
      </w:r>
      <w:r w:rsidR="007C6EE6">
        <w:rPr>
          <w:rFonts w:cs="Times New Roman"/>
        </w:rPr>
        <w:t>idered one of the main</w:t>
      </w:r>
      <w:r w:rsidR="001A6038">
        <w:rPr>
          <w:rFonts w:cs="Times New Roman"/>
        </w:rPr>
        <w:t xml:space="preserve"> PGPB</w:t>
      </w:r>
      <w:r w:rsidR="00182613">
        <w:rPr>
          <w:rFonts w:cs="Times New Roman"/>
        </w:rPr>
        <w:t xml:space="preserve"> </w:t>
      </w:r>
      <w:r w:rsidR="00AC7AD3">
        <w:rPr>
          <w:rFonts w:cs="Times New Roman"/>
        </w:rPr>
        <w:t xml:space="preserve">related to </w:t>
      </w:r>
      <w:r w:rsidR="005C7E43">
        <w:rPr>
          <w:rFonts w:cs="Times New Roman"/>
        </w:rPr>
        <w:t>improving</w:t>
      </w:r>
      <w:r w:rsidR="00103754">
        <w:rPr>
          <w:rFonts w:cs="Times New Roman"/>
        </w:rPr>
        <w:t xml:space="preserve"> plant growth</w:t>
      </w:r>
      <w:r w:rsidR="00182613">
        <w:rPr>
          <w:rFonts w:cs="Times New Roman"/>
        </w:rPr>
        <w:t xml:space="preserve"> </w:t>
      </w:r>
      <w:r w:rsidR="000875C6">
        <w:rPr>
          <w:rFonts w:cs="Times New Roman"/>
        </w:rPr>
        <w:fldChar w:fldCharType="begin"/>
      </w:r>
      <w:r w:rsidR="000875C6">
        <w:rPr>
          <w:rFonts w:cs="Times New Roman"/>
        </w:rPr>
        <w:instrText xml:space="preserve"> ADDIN ZOTERO_ITEM CSL_CITATION {"citationID":"EMDQQ6NJ","properties":{"formattedCitation":"(Bashan &amp; Holguin, 1997)","plainCitation":"(Bashan &amp; Holguin, 1997)","noteIndex":0},"citationItems":[{"id":61,"uris":["http://zotero.org/users/local/kjHHoAYm/items/6KVA9G42"],"itemData":{"id":61,"type":"article-journal","abstract":"This review presents a critical and comprehensive analysis of the developments in environmental and physiological studies related to Azospirillum interactions with plants based on information published between 1990 and 1996. It was designed as an update of a previous review with a similar scope. Apart from an update, this review emphasizes the central issues of Azospirillum research today, such as coinoculation with other microorganisms and hormonal studies, shows the less researched areas, and proposes possible avenues for the exploitation of this bacterium in areas other than agriculture.Key words: Azospirillum, bacterial inoculation, plant–bacteria interaction, plant growth promoting rhizobacteria, rhizosphere bacteria.","container-title":"Canadian Journal of Microbiology","DOI":"10.1139/m97-015","ISSN":"0008-4166, 1480-3275","issue":"2","journalAbbreviation":"Can. J. Microbiol.","language":"en","license":"http://www.nrcresearchpress.com/page/about/CorporateTextAndDataMining","page":"103-121","source":"DOI.org (Crossref)","title":"&lt;i&gt;Azospirillum&lt;/i&gt; – plant relationships: environmental and physiological advances (1990–1996)","title-short":"&lt;i&gt;Azospirillum&lt;/i&gt; – plant relationships","volume":"43","author":[{"family":"Bashan","given":"Yoav"},{"family":"Holguin","given":"Gina"}],"issued":{"date-parts":[["1997",2,1]]}}}],"schema":"https://github.com/citation-style-language/schema/raw/master/csl-citation.json"} </w:instrText>
      </w:r>
      <w:r w:rsidR="000875C6">
        <w:rPr>
          <w:rFonts w:cs="Times New Roman"/>
        </w:rPr>
        <w:fldChar w:fldCharType="separate"/>
      </w:r>
      <w:r w:rsidR="000875C6" w:rsidRPr="000875C6">
        <w:rPr>
          <w:rFonts w:cs="Times New Roman"/>
        </w:rPr>
        <w:t>(Bashan &amp; Holguin, 1997)</w:t>
      </w:r>
      <w:r w:rsidR="000875C6">
        <w:rPr>
          <w:rFonts w:cs="Times New Roman"/>
        </w:rPr>
        <w:fldChar w:fldCharType="end"/>
      </w:r>
      <w:r w:rsidR="00623C13">
        <w:rPr>
          <w:rFonts w:cs="Times New Roman"/>
        </w:rPr>
        <w:t>.</w:t>
      </w:r>
    </w:p>
    <w:p w14:paraId="39F965BA" w14:textId="17AA4410" w:rsidR="00EA10CF" w:rsidRDefault="00647F40" w:rsidP="006E1FCC">
      <w:pPr>
        <w:spacing w:line="480" w:lineRule="auto"/>
        <w:ind w:firstLine="720"/>
        <w:rPr>
          <w:rFonts w:cs="Times New Roman"/>
        </w:rPr>
      </w:pPr>
      <w:r>
        <w:rPr>
          <w:rFonts w:cs="Times New Roman"/>
        </w:rPr>
        <w:t xml:space="preserve">However, </w:t>
      </w:r>
      <w:r w:rsidR="00747DCB">
        <w:rPr>
          <w:rFonts w:cs="Times New Roman"/>
        </w:rPr>
        <w:t xml:space="preserve">not all reports </w:t>
      </w:r>
      <w:r w:rsidR="00D93BD9">
        <w:rPr>
          <w:rFonts w:cs="Times New Roman"/>
        </w:rPr>
        <w:t xml:space="preserve">have </w:t>
      </w:r>
      <w:r w:rsidR="003A1A31">
        <w:rPr>
          <w:rFonts w:cs="Times New Roman"/>
        </w:rPr>
        <w:t>shown increased</w:t>
      </w:r>
      <w:r w:rsidR="00D93BD9">
        <w:rPr>
          <w:rFonts w:cs="Times New Roman"/>
        </w:rPr>
        <w:t xml:space="preserve"> yield with the inoculation of different </w:t>
      </w:r>
      <w:r w:rsidR="00284840">
        <w:rPr>
          <w:rFonts w:cs="Times New Roman"/>
        </w:rPr>
        <w:t>strains of PGPB</w:t>
      </w:r>
      <w:r w:rsidR="00A2041C">
        <w:rPr>
          <w:rFonts w:cs="Times New Roman"/>
        </w:rPr>
        <w:t xml:space="preserve"> </w:t>
      </w:r>
      <w:r w:rsidR="00A2041C">
        <w:rPr>
          <w:rFonts w:cs="Times New Roman"/>
        </w:rPr>
        <w:fldChar w:fldCharType="begin"/>
      </w:r>
      <w:r w:rsidR="00A2041C">
        <w:rPr>
          <w:rFonts w:cs="Times New Roman"/>
        </w:rPr>
        <w:instrText xml:space="preserve"> ADDIN ZOTERO_ITEM CSL_CITATION {"citationID":"E8stAYf0","properties":{"formattedCitation":"(Okon &amp; Labandera-Gonzalez, 1994)","plainCitation":"(Okon &amp; Labandera-Gonzalez, 1994)","noteIndex":0},"citationItems":[{"id":62,"uris":["http://zotero.org/users/local/kjHHoAYm/items/CYMQBT7T"],"itemData":{"id":62,"type":"article-journal","container-title":"Soil Biology and Biochemistry","DOI":"10.1016/0038-0717(94)90311-5","ISSN":"00380717","issue":"12","journalAbbreviation":"Soil Biology and Biochemistry","language":"en","license":"https://www.elsevier.com/tdm/userlicense/1.0/","page":"1591-1601","source":"DOI.org (Crossref)","title":"Agronomic applications of azospirillum: An evaluation of 20 years worldwide field inoculation","title-short":"Agronomic applications of azospirillum","volume":"26","author":[{"family":"Okon","given":"Yaacov"},{"family":"Labandera-Gonzalez","given":"Carlos A."}],"issued":{"date-parts":[["1994",12]]}}}],"schema":"https://github.com/citation-style-language/schema/raw/master/csl-citation.json"} </w:instrText>
      </w:r>
      <w:r w:rsidR="00A2041C">
        <w:rPr>
          <w:rFonts w:cs="Times New Roman"/>
        </w:rPr>
        <w:fldChar w:fldCharType="separate"/>
      </w:r>
      <w:r w:rsidR="00A2041C" w:rsidRPr="00A2041C">
        <w:rPr>
          <w:rFonts w:cs="Times New Roman"/>
        </w:rPr>
        <w:t>(Okon &amp; Labandera-Gonzalez, 1994)</w:t>
      </w:r>
      <w:r w:rsidR="00A2041C">
        <w:rPr>
          <w:rFonts w:cs="Times New Roman"/>
        </w:rPr>
        <w:fldChar w:fldCharType="end"/>
      </w:r>
      <w:r w:rsidR="006E0877">
        <w:rPr>
          <w:rFonts w:cs="Times New Roman"/>
        </w:rPr>
        <w:t>.</w:t>
      </w:r>
      <w:r w:rsidR="00233230">
        <w:rPr>
          <w:rFonts w:cs="Times New Roman"/>
        </w:rPr>
        <w:t xml:space="preserve"> </w:t>
      </w:r>
      <w:r w:rsidR="006E0877">
        <w:rPr>
          <w:rFonts w:cs="Times New Roman"/>
        </w:rPr>
        <w:t xml:space="preserve">Potential reasons for </w:t>
      </w:r>
      <w:r w:rsidR="00575173">
        <w:rPr>
          <w:rFonts w:cs="Times New Roman"/>
        </w:rPr>
        <w:t>non-response</w:t>
      </w:r>
      <w:r w:rsidR="006E0877">
        <w:rPr>
          <w:rFonts w:cs="Times New Roman"/>
        </w:rPr>
        <w:t xml:space="preserve"> related to inoculation responses can be associated with environmental and biological conditions that negatively affect the inoculation efficacy </w:t>
      </w:r>
      <w:r w:rsidR="001817FC">
        <w:rPr>
          <w:rFonts w:cs="Times New Roman"/>
        </w:rPr>
        <w:fldChar w:fldCharType="begin"/>
      </w:r>
      <w:r w:rsidR="001817FC">
        <w:rPr>
          <w:rFonts w:cs="Times New Roman"/>
        </w:rPr>
        <w:instrText xml:space="preserve"> ADDIN ZOTERO_ITEM CSL_CITATION {"citationID":"WYvCaLe4","properties":{"formattedCitation":"(Okon &amp; Labandera-Gonzalez, 1994)","plainCitation":"(Okon &amp; Labandera-Gonzalez, 1994)","noteIndex":0},"citationItems":[{"id":62,"uris":["http://zotero.org/users/local/kjHHoAYm/items/CYMQBT7T"],"itemData":{"id":62,"type":"article-journal","container-title":"Soil Biology and Biochemistry","DOI":"10.1016/0038-0717(94)90311-5","ISSN":"00380717","issue":"12","journalAbbreviation":"Soil Biology and Biochemistry","language":"en","license":"https://www.elsevier.com/tdm/userlicense/1.0/","page":"1591-1601","source":"DOI.org (Crossref)","title":"Agronomic applications of azospirillum: An evaluation of 20 years worldwide field inoculation","title-short":"Agronomic applications of azospirillum","volume":"26","author":[{"family":"Okon","given":"Yaacov"},{"family":"Labandera-Gonzalez","given":"Carlos A."}],"issued":{"date-parts":[["1994",12]]}}}],"schema":"https://github.com/citation-style-language/schema/raw/master/csl-citation.json"} </w:instrText>
      </w:r>
      <w:r w:rsidR="001817FC">
        <w:rPr>
          <w:rFonts w:cs="Times New Roman"/>
        </w:rPr>
        <w:fldChar w:fldCharType="separate"/>
      </w:r>
      <w:r w:rsidR="001817FC" w:rsidRPr="001817FC">
        <w:rPr>
          <w:rFonts w:cs="Times New Roman"/>
        </w:rPr>
        <w:t>(Okon &amp; Labandera-Gonzalez, 1994)</w:t>
      </w:r>
      <w:r w:rsidR="001817FC">
        <w:rPr>
          <w:rFonts w:cs="Times New Roman"/>
        </w:rPr>
        <w:fldChar w:fldCharType="end"/>
      </w:r>
      <w:r w:rsidR="006E0877">
        <w:rPr>
          <w:rFonts w:cs="Times New Roman"/>
        </w:rPr>
        <w:t>.</w:t>
      </w:r>
      <w:r w:rsidR="001D1295">
        <w:rPr>
          <w:rFonts w:cs="Times New Roman"/>
        </w:rPr>
        <w:t xml:space="preserve"> </w:t>
      </w:r>
    </w:p>
    <w:p w14:paraId="566F82FB" w14:textId="16EA80B8" w:rsidR="001817FC" w:rsidRDefault="001817FC" w:rsidP="006E1FCC">
      <w:pPr>
        <w:spacing w:line="480" w:lineRule="auto"/>
        <w:ind w:firstLine="720"/>
        <w:rPr>
          <w:rFonts w:cs="Times New Roman"/>
        </w:rPr>
      </w:pPr>
      <w:r>
        <w:rPr>
          <w:rFonts w:cs="Times New Roman"/>
        </w:rPr>
        <w:t xml:space="preserve">In </w:t>
      </w:r>
      <w:proofErr w:type="spellStart"/>
      <w:r>
        <w:rPr>
          <w:rFonts w:cs="Times New Roman"/>
        </w:rPr>
        <w:t>Poaceae</w:t>
      </w:r>
      <w:proofErr w:type="spellEnd"/>
      <w:r>
        <w:rPr>
          <w:rFonts w:cs="Times New Roman"/>
        </w:rPr>
        <w:t xml:space="preserve"> such as maize</w:t>
      </w:r>
      <w:r w:rsidR="00AE37E5">
        <w:rPr>
          <w:rFonts w:cs="Times New Roman"/>
        </w:rPr>
        <w:t xml:space="preserve"> (</w:t>
      </w:r>
      <w:proofErr w:type="spellStart"/>
      <w:r w:rsidR="00AE37E5" w:rsidRPr="00AE37E5">
        <w:rPr>
          <w:rFonts w:cs="Times New Roman"/>
          <w:i/>
          <w:iCs/>
        </w:rPr>
        <w:t>Zea</w:t>
      </w:r>
      <w:proofErr w:type="spellEnd"/>
      <w:r w:rsidR="00AE37E5" w:rsidRPr="00AE37E5">
        <w:rPr>
          <w:rFonts w:cs="Times New Roman"/>
          <w:i/>
          <w:iCs/>
        </w:rPr>
        <w:t xml:space="preserve"> mays</w:t>
      </w:r>
      <w:r w:rsidR="00AE37E5" w:rsidRPr="00AE37E5">
        <w:rPr>
          <w:rFonts w:cs="Times New Roman"/>
        </w:rPr>
        <w:t xml:space="preserve"> L.</w:t>
      </w:r>
      <w:r w:rsidR="00AE37E5">
        <w:rPr>
          <w:rFonts w:cs="Times New Roman"/>
        </w:rPr>
        <w:t>)</w:t>
      </w:r>
      <w:r>
        <w:rPr>
          <w:rFonts w:cs="Times New Roman"/>
        </w:rPr>
        <w:t xml:space="preserve"> and wheat</w:t>
      </w:r>
      <w:r w:rsidR="00AE37E5">
        <w:rPr>
          <w:rFonts w:cs="Times New Roman"/>
        </w:rPr>
        <w:t xml:space="preserve"> (</w:t>
      </w:r>
      <w:r w:rsidR="00AE37E5" w:rsidRPr="00AE37E5">
        <w:rPr>
          <w:rFonts w:cs="Times New Roman"/>
          <w:i/>
          <w:iCs/>
        </w:rPr>
        <w:t>Triticum aestivum</w:t>
      </w:r>
      <w:r w:rsidR="00AE37E5" w:rsidRPr="00AE37E5">
        <w:rPr>
          <w:rFonts w:cs="Times New Roman"/>
        </w:rPr>
        <w:t> L.</w:t>
      </w:r>
      <w:r w:rsidR="005C7E43">
        <w:rPr>
          <w:rFonts w:cs="Times New Roman"/>
        </w:rPr>
        <w:t>),</w:t>
      </w:r>
      <w:r w:rsidR="00AE37E5">
        <w:rPr>
          <w:rFonts w:cs="Times New Roman"/>
        </w:rPr>
        <w:t xml:space="preserve"> </w:t>
      </w:r>
      <w:r>
        <w:rPr>
          <w:rFonts w:cs="Times New Roman"/>
        </w:rPr>
        <w:fldChar w:fldCharType="begin"/>
      </w:r>
      <w:r w:rsidR="0084211F">
        <w:rPr>
          <w:rFonts w:cs="Times New Roman"/>
        </w:rPr>
        <w:instrText xml:space="preserve"> ADDIN ZOTERO_ITEM CSL_CITATION {"citationID":"Qz786Rl0","properties":{"formattedCitation":"(Hungria et al., 2010)","plainCitation":"(Hungria et al., 2010)","dontUpdate":true,"noteIndex":0},"citationItems":[{"id":58,"uris":["http://zotero.org/users/local/kjHHoAYm/items/MBP92CI8"],"itemData":{"id":58,"type":"article-journal","container-title":"Plant and Soil","DOI":"10.1007/s11104-009-0262-0","ISSN":"0032-079X, 1573-5036","issue":"1-2","journalAbbreviation":"Plant Soil","language":"en","license":"http://www.springer.com/tdm","page":"413-425","source":"DOI.org (Crossref)","title":"Inoculation with selected strains of Azospirillum brasilense and A. lipoferum improves yields of maize and wheat in Brazil","volume":"331","author":[{"family":"Hungria","given":"Mariangela"},{"family":"Campo","given":"Rubens J."},{"family":"Souza","given":"Emanuel M."},{"family":"Pedrosa","given":"Fabio O."}],"issued":{"date-parts":[["2010",6]]}}}],"schema":"https://github.com/citation-style-language/schema/raw/master/csl-citation.json"} </w:instrText>
      </w:r>
      <w:r>
        <w:rPr>
          <w:rFonts w:cs="Times New Roman"/>
        </w:rPr>
        <w:fldChar w:fldCharType="separate"/>
      </w:r>
      <w:r w:rsidRPr="001817FC">
        <w:rPr>
          <w:rFonts w:cs="Times New Roman"/>
        </w:rPr>
        <w:t>Hungria et al</w:t>
      </w:r>
      <w:r w:rsidR="005C7E43">
        <w:rPr>
          <w:rFonts w:cs="Times New Roman"/>
        </w:rPr>
        <w:t>.</w:t>
      </w:r>
      <w:r w:rsidR="001E2076">
        <w:rPr>
          <w:rFonts w:cs="Times New Roman"/>
        </w:rPr>
        <w:t xml:space="preserve"> (</w:t>
      </w:r>
      <w:r w:rsidRPr="001817FC">
        <w:rPr>
          <w:rFonts w:cs="Times New Roman"/>
        </w:rPr>
        <w:t>2010)</w:t>
      </w:r>
      <w:r>
        <w:rPr>
          <w:rFonts w:cs="Times New Roman"/>
        </w:rPr>
        <w:fldChar w:fldCharType="end"/>
      </w:r>
      <w:r w:rsidR="001E2076">
        <w:rPr>
          <w:rFonts w:cs="Times New Roman"/>
        </w:rPr>
        <w:t xml:space="preserve"> </w:t>
      </w:r>
      <w:r w:rsidR="00E20F6F">
        <w:rPr>
          <w:rFonts w:cs="Times New Roman"/>
        </w:rPr>
        <w:t>showed</w:t>
      </w:r>
      <w:r w:rsidR="00732213">
        <w:rPr>
          <w:rFonts w:cs="Times New Roman"/>
        </w:rPr>
        <w:t xml:space="preserve"> inoculation with </w:t>
      </w:r>
      <w:proofErr w:type="spellStart"/>
      <w:r w:rsidR="00732213" w:rsidRPr="008A5209">
        <w:rPr>
          <w:rFonts w:cs="Times New Roman"/>
          <w:i/>
          <w:iCs/>
        </w:rPr>
        <w:t>Azospirillum</w:t>
      </w:r>
      <w:proofErr w:type="spellEnd"/>
      <w:r w:rsidR="00732213" w:rsidRPr="008A5209">
        <w:rPr>
          <w:rFonts w:cs="Times New Roman"/>
          <w:i/>
          <w:iCs/>
        </w:rPr>
        <w:t xml:space="preserve"> </w:t>
      </w:r>
      <w:r w:rsidR="00732213">
        <w:rPr>
          <w:rFonts w:cs="Times New Roman"/>
        </w:rPr>
        <w:t>stra</w:t>
      </w:r>
      <w:r w:rsidR="008A5209">
        <w:rPr>
          <w:rFonts w:cs="Times New Roman"/>
        </w:rPr>
        <w:t>ins</w:t>
      </w:r>
      <w:r w:rsidR="003E23BB">
        <w:rPr>
          <w:rFonts w:cs="Times New Roman"/>
        </w:rPr>
        <w:t xml:space="preserve"> </w:t>
      </w:r>
      <w:r w:rsidR="00E20F6F">
        <w:rPr>
          <w:rFonts w:cs="Times New Roman"/>
        </w:rPr>
        <w:t xml:space="preserve">increased </w:t>
      </w:r>
      <w:r w:rsidR="003E23BB">
        <w:rPr>
          <w:rFonts w:cs="Times New Roman"/>
        </w:rPr>
        <w:t>crop yield from 16 to 30% when compared to non-inoculated control treatments.</w:t>
      </w:r>
      <w:r w:rsidR="00706BDC">
        <w:rPr>
          <w:rFonts w:cs="Times New Roman"/>
        </w:rPr>
        <w:t xml:space="preserve"> </w:t>
      </w:r>
      <w:r w:rsidR="002D1A32">
        <w:rPr>
          <w:rFonts w:cs="Times New Roman"/>
        </w:rPr>
        <w:fldChar w:fldCharType="begin"/>
      </w:r>
      <w:r w:rsidR="0084211F">
        <w:rPr>
          <w:rFonts w:cs="Times New Roman"/>
        </w:rPr>
        <w:instrText xml:space="preserve"> ADDIN ZOTERO_ITEM CSL_CITATION {"citationID":"kN2ovKh8","properties":{"formattedCitation":"(Silva et al., 2023)","plainCitation":"(Silva et al., 2023)","dontUpdate":true,"noteIndex":0},"citationItems":[{"id":63,"uris":["http://zotero.org/users/local/kjHHoAYm/items/B9IRDYFL"],"itemData":{"id":63,"type":"article-journal","container-title":"Revista Ceres","DOI":"10.1590/0034-737x202370040007","ISSN":"2177-3491, 0034-737X","issue":"4","journalAbbreviation":"Rev. Ceres","license":"http://creativecommons.org/licenses/by/4.0/","page":"42-50","source":"DOI.org (Crossref)","title":"Productivity and nutritive value of Tifton 85 bermudagrass inoculated with Azospirillum brasilense in association with nitrogen fertilization","volume":"70","author":[{"family":"Silva","given":"Aline Rodrigues"},{"family":"Olivo","given":"Clair Jorge"},{"family":"Granada","given":"Diego Martins"},{"family":"Casagrande","given":"Lucas Giovane"},{"family":"Quatrin","given":"Mauricio Pase"},{"family":"Sauter","given":"Caroline Paim"}],"issued":{"date-parts":[["2023",8]]}}}],"schema":"https://github.com/citation-style-language/schema/raw/master/csl-citation.json"} </w:instrText>
      </w:r>
      <w:r w:rsidR="002D1A32">
        <w:rPr>
          <w:rFonts w:cs="Times New Roman"/>
        </w:rPr>
        <w:fldChar w:fldCharType="separate"/>
      </w:r>
      <w:r w:rsidR="00900771">
        <w:rPr>
          <w:rFonts w:cs="Times New Roman"/>
        </w:rPr>
        <w:t xml:space="preserve">According to </w:t>
      </w:r>
      <w:r w:rsidR="002D1A32" w:rsidRPr="002D1A32">
        <w:rPr>
          <w:rFonts w:cs="Times New Roman"/>
        </w:rPr>
        <w:t>Silva et al</w:t>
      </w:r>
      <w:r w:rsidR="005C7E43">
        <w:rPr>
          <w:rFonts w:cs="Times New Roman"/>
        </w:rPr>
        <w:t>.</w:t>
      </w:r>
      <w:r w:rsidR="00900771">
        <w:rPr>
          <w:rFonts w:cs="Times New Roman"/>
        </w:rPr>
        <w:t xml:space="preserve"> (</w:t>
      </w:r>
      <w:r w:rsidR="002D1A32" w:rsidRPr="002D1A32">
        <w:rPr>
          <w:rFonts w:cs="Times New Roman"/>
        </w:rPr>
        <w:t>2023)</w:t>
      </w:r>
      <w:r w:rsidR="002D1A32">
        <w:rPr>
          <w:rFonts w:cs="Times New Roman"/>
        </w:rPr>
        <w:fldChar w:fldCharType="end"/>
      </w:r>
      <w:r w:rsidR="00900771">
        <w:rPr>
          <w:rFonts w:cs="Times New Roman"/>
        </w:rPr>
        <w:t xml:space="preserve">, a trend associated with </w:t>
      </w:r>
      <w:proofErr w:type="spellStart"/>
      <w:r w:rsidR="00900771" w:rsidRPr="00C623B7">
        <w:rPr>
          <w:rFonts w:cs="Times New Roman"/>
          <w:i/>
          <w:iCs/>
        </w:rPr>
        <w:t>Azospirillum</w:t>
      </w:r>
      <w:proofErr w:type="spellEnd"/>
      <w:r w:rsidR="00900771">
        <w:rPr>
          <w:rFonts w:cs="Times New Roman"/>
        </w:rPr>
        <w:t xml:space="preserve"> </w:t>
      </w:r>
      <w:r w:rsidR="009A0D78">
        <w:rPr>
          <w:rFonts w:cs="Times New Roman"/>
        </w:rPr>
        <w:t>inoculation and nitrogen fertilization was observed,</w:t>
      </w:r>
      <w:r w:rsidR="00F25BA7">
        <w:rPr>
          <w:rFonts w:cs="Times New Roman"/>
        </w:rPr>
        <w:t xml:space="preserve"> </w:t>
      </w:r>
      <w:r w:rsidR="00C50195">
        <w:rPr>
          <w:rFonts w:cs="Times New Roman"/>
        </w:rPr>
        <w:t>d</w:t>
      </w:r>
      <w:r w:rsidR="00F25BA7">
        <w:rPr>
          <w:rFonts w:cs="Times New Roman"/>
        </w:rPr>
        <w:t xml:space="preserve">iffering greatly from </w:t>
      </w:r>
      <w:r w:rsidR="00C50195">
        <w:rPr>
          <w:rFonts w:cs="Times New Roman"/>
        </w:rPr>
        <w:t>non-inoculated</w:t>
      </w:r>
      <w:r w:rsidR="00F25BA7">
        <w:rPr>
          <w:rFonts w:cs="Times New Roman"/>
        </w:rPr>
        <w:t xml:space="preserve"> </w:t>
      </w:r>
      <w:r w:rsidR="00C50195">
        <w:rPr>
          <w:rFonts w:cs="Times New Roman"/>
        </w:rPr>
        <w:t>material under lower nitrogen rates.</w:t>
      </w:r>
    </w:p>
    <w:p w14:paraId="3A75927B" w14:textId="63C069DB" w:rsidR="0004557F" w:rsidRPr="00037ACB" w:rsidRDefault="00B038A9" w:rsidP="00776576">
      <w:pPr>
        <w:spacing w:line="480" w:lineRule="auto"/>
        <w:ind w:firstLine="720"/>
        <w:rPr>
          <w:rFonts w:cs="Times New Roman"/>
          <w:b/>
          <w:bCs/>
          <w:iCs/>
        </w:rPr>
      </w:pPr>
      <w:r>
        <w:rPr>
          <w:rFonts w:cs="Times New Roman"/>
        </w:rPr>
        <w:t xml:space="preserve">As mineral fertilizer </w:t>
      </w:r>
      <w:r w:rsidR="00E20F6F">
        <w:rPr>
          <w:rFonts w:cs="Times New Roman"/>
        </w:rPr>
        <w:t xml:space="preserve">prices and environmental challenges </w:t>
      </w:r>
      <w:r>
        <w:rPr>
          <w:rFonts w:cs="Times New Roman"/>
        </w:rPr>
        <w:t>are rising, technologies aiming for a</w:t>
      </w:r>
      <w:r w:rsidR="00EA0FBA">
        <w:rPr>
          <w:rFonts w:cs="Times New Roman"/>
        </w:rPr>
        <w:t xml:space="preserve"> more sustainable or climate-friendly solution are being </w:t>
      </w:r>
      <w:r w:rsidR="00E20F6F">
        <w:rPr>
          <w:rFonts w:cs="Times New Roman"/>
        </w:rPr>
        <w:t>encouraged</w:t>
      </w:r>
      <w:r w:rsidR="00EA0FBA">
        <w:rPr>
          <w:rFonts w:cs="Times New Roman"/>
        </w:rPr>
        <w:t>. However</w:t>
      </w:r>
      <w:r w:rsidR="00E20F6F">
        <w:rPr>
          <w:rFonts w:cs="Times New Roman"/>
        </w:rPr>
        <w:t>,</w:t>
      </w:r>
      <w:r w:rsidR="00EA0FBA">
        <w:rPr>
          <w:rFonts w:cs="Times New Roman"/>
        </w:rPr>
        <w:t xml:space="preserve"> </w:t>
      </w:r>
      <w:r w:rsidR="00827DE3">
        <w:rPr>
          <w:rFonts w:cs="Times New Roman"/>
        </w:rPr>
        <w:t xml:space="preserve">food security </w:t>
      </w:r>
      <w:r w:rsidR="00B13013">
        <w:rPr>
          <w:rFonts w:cs="Times New Roman"/>
        </w:rPr>
        <w:t xml:space="preserve">concerns </w:t>
      </w:r>
      <w:r w:rsidR="00E94075">
        <w:rPr>
          <w:rFonts w:cs="Times New Roman"/>
        </w:rPr>
        <w:t xml:space="preserve">are </w:t>
      </w:r>
      <w:r w:rsidR="003D7B77">
        <w:rPr>
          <w:rFonts w:cs="Times New Roman"/>
        </w:rPr>
        <w:t>of great in</w:t>
      </w:r>
      <w:r w:rsidR="00092CBA">
        <w:rPr>
          <w:rFonts w:cs="Times New Roman"/>
        </w:rPr>
        <w:t xml:space="preserve">terest to upcoming </w:t>
      </w:r>
      <w:r w:rsidR="00BF434F">
        <w:rPr>
          <w:rFonts w:cs="Times New Roman"/>
        </w:rPr>
        <w:t>technologies aiming to maintain yield but diminishing environmental problems.</w:t>
      </w:r>
      <w:r w:rsidR="008613F5">
        <w:rPr>
          <w:rFonts w:cs="Times New Roman"/>
        </w:rPr>
        <w:t xml:space="preserve"> Therefore, the objective of this </w:t>
      </w:r>
      <w:r w:rsidR="008613F5">
        <w:rPr>
          <w:rFonts w:cs="Times New Roman"/>
        </w:rPr>
        <w:lastRenderedPageBreak/>
        <w:t xml:space="preserve">experiment is to evaluate the inclusion of </w:t>
      </w:r>
      <w:proofErr w:type="spellStart"/>
      <w:r w:rsidR="008613F5" w:rsidRPr="00C623B7">
        <w:rPr>
          <w:rFonts w:cs="Times New Roman"/>
          <w:i/>
          <w:iCs/>
        </w:rPr>
        <w:t>Azospirillum</w:t>
      </w:r>
      <w:proofErr w:type="spellEnd"/>
      <w:r w:rsidR="008613F5">
        <w:rPr>
          <w:rFonts w:cs="Times New Roman"/>
        </w:rPr>
        <w:t xml:space="preserve"> </w:t>
      </w:r>
      <w:r w:rsidR="00C623B7">
        <w:rPr>
          <w:rFonts w:cs="Times New Roman"/>
        </w:rPr>
        <w:t xml:space="preserve">strains </w:t>
      </w:r>
      <w:r w:rsidR="008613F5">
        <w:rPr>
          <w:rFonts w:cs="Times New Roman"/>
        </w:rPr>
        <w:t>AB-V5 and AB-V6 in bermudagrass under greenhouse conditions.</w:t>
      </w:r>
    </w:p>
    <w:p w14:paraId="6ECEE0B2" w14:textId="534D4198" w:rsidR="00087CA7" w:rsidRPr="00037ACB" w:rsidRDefault="00FC362B" w:rsidP="00776576">
      <w:pPr>
        <w:pStyle w:val="Heading2"/>
        <w:spacing w:before="0" w:after="0" w:line="480" w:lineRule="auto"/>
        <w:rPr>
          <w:i/>
        </w:rPr>
      </w:pPr>
      <w:bookmarkStart w:id="18" w:name="_Toc196315228"/>
      <w:r>
        <w:t>Materials</w:t>
      </w:r>
      <w:r w:rsidR="008A12E7" w:rsidRPr="00037ACB">
        <w:t xml:space="preserve"> and Methods</w:t>
      </w:r>
      <w:bookmarkEnd w:id="18"/>
    </w:p>
    <w:p w14:paraId="790AFA57" w14:textId="4EC54928" w:rsidR="00356DFF" w:rsidRPr="00E378A0" w:rsidRDefault="008A12E7" w:rsidP="00776576">
      <w:pPr>
        <w:spacing w:line="480" w:lineRule="auto"/>
        <w:ind w:firstLine="720"/>
        <w:rPr>
          <w:rFonts w:cs="Times New Roman"/>
        </w:rPr>
      </w:pPr>
      <w:r w:rsidRPr="00037ACB">
        <w:rPr>
          <w:rFonts w:cs="Times New Roman"/>
        </w:rPr>
        <w:t xml:space="preserve">Two experiments were conducted </w:t>
      </w:r>
      <w:r w:rsidR="0061459B">
        <w:rPr>
          <w:rFonts w:cs="Times New Roman"/>
        </w:rPr>
        <w:t>at</w:t>
      </w:r>
      <w:r w:rsidRPr="00037ACB">
        <w:rPr>
          <w:rFonts w:cs="Times New Roman"/>
        </w:rPr>
        <w:t xml:space="preserve"> </w:t>
      </w:r>
      <w:r w:rsidR="00FC362B">
        <w:rPr>
          <w:rFonts w:cs="Times New Roman"/>
        </w:rPr>
        <w:t xml:space="preserve">the </w:t>
      </w:r>
      <w:r w:rsidRPr="00037ACB">
        <w:rPr>
          <w:rFonts w:cs="Times New Roman"/>
        </w:rPr>
        <w:t>University of Tennessee</w:t>
      </w:r>
      <w:r w:rsidR="006E555C" w:rsidRPr="00037ACB">
        <w:rPr>
          <w:rFonts w:cs="Times New Roman"/>
        </w:rPr>
        <w:t xml:space="preserve"> </w:t>
      </w:r>
      <w:r w:rsidR="00276440">
        <w:rPr>
          <w:rFonts w:cs="Times New Roman"/>
        </w:rPr>
        <w:t>in a controlled environment (</w:t>
      </w:r>
      <w:r w:rsidR="006E555C" w:rsidRPr="00037ACB">
        <w:rPr>
          <w:rFonts w:cs="Times New Roman"/>
        </w:rPr>
        <w:t>greenhouse</w:t>
      </w:r>
      <w:r w:rsidR="00276440">
        <w:rPr>
          <w:rFonts w:cs="Times New Roman"/>
        </w:rPr>
        <w:t>)</w:t>
      </w:r>
      <w:r w:rsidR="006E555C" w:rsidRPr="00037ACB">
        <w:rPr>
          <w:rFonts w:cs="Times New Roman"/>
        </w:rPr>
        <w:t xml:space="preserve"> in</w:t>
      </w:r>
      <w:r w:rsidRPr="00037ACB">
        <w:rPr>
          <w:rFonts w:cs="Times New Roman"/>
        </w:rPr>
        <w:t xml:space="preserve"> Knoxville, TN (</w:t>
      </w:r>
      <w:r w:rsidR="00087CA7" w:rsidRPr="00037ACB">
        <w:rPr>
          <w:rFonts w:cs="Times New Roman"/>
        </w:rPr>
        <w:t>35°56'39.6"N 83°56'13.4"</w:t>
      </w:r>
      <w:r w:rsidR="00101E3D" w:rsidRPr="00037ACB">
        <w:rPr>
          <w:rFonts w:cs="Times New Roman"/>
        </w:rPr>
        <w:t xml:space="preserve"> </w:t>
      </w:r>
      <w:r w:rsidR="00087CA7" w:rsidRPr="00037ACB">
        <w:rPr>
          <w:rFonts w:cs="Times New Roman"/>
        </w:rPr>
        <w:t>W)</w:t>
      </w:r>
      <w:r w:rsidR="00B72548">
        <w:rPr>
          <w:rFonts w:cs="Times New Roman"/>
        </w:rPr>
        <w:t xml:space="preserve"> from September to November of 2024</w:t>
      </w:r>
      <w:r w:rsidR="00087CA7" w:rsidRPr="00037ACB">
        <w:rPr>
          <w:rFonts w:cs="Times New Roman"/>
        </w:rPr>
        <w:t>.</w:t>
      </w:r>
      <w:r w:rsidR="006E555C" w:rsidRPr="00037ACB">
        <w:rPr>
          <w:rFonts w:cs="Times New Roman"/>
        </w:rPr>
        <w:t xml:space="preserve"> </w:t>
      </w:r>
      <w:r w:rsidR="00087CA7" w:rsidRPr="00037ACB">
        <w:rPr>
          <w:rFonts w:cs="Times New Roman"/>
        </w:rPr>
        <w:t xml:space="preserve">Both experiments were inoculated using </w:t>
      </w:r>
      <w:r w:rsidR="00611F2A" w:rsidRPr="00037ACB">
        <w:rPr>
          <w:rFonts w:cs="Times New Roman"/>
        </w:rPr>
        <w:t xml:space="preserve">two </w:t>
      </w:r>
      <w:r w:rsidR="00087CA7" w:rsidRPr="00037ACB">
        <w:rPr>
          <w:rFonts w:cs="Times New Roman"/>
        </w:rPr>
        <w:t xml:space="preserve">commercially available </w:t>
      </w:r>
      <w:proofErr w:type="spellStart"/>
      <w:r w:rsidR="00087CA7" w:rsidRPr="00C623B7">
        <w:rPr>
          <w:rFonts w:cs="Times New Roman"/>
          <w:i/>
          <w:iCs/>
        </w:rPr>
        <w:t>Azospirillum</w:t>
      </w:r>
      <w:proofErr w:type="spellEnd"/>
      <w:r w:rsidR="00087CA7" w:rsidRPr="00037ACB">
        <w:rPr>
          <w:rFonts w:cs="Times New Roman"/>
        </w:rPr>
        <w:t xml:space="preserve"> </w:t>
      </w:r>
      <w:r w:rsidR="00356DFF" w:rsidRPr="00037ACB">
        <w:rPr>
          <w:rFonts w:cs="Times New Roman"/>
        </w:rPr>
        <w:t xml:space="preserve">strains: </w:t>
      </w:r>
      <w:r w:rsidR="00087CA7" w:rsidRPr="00037ACB">
        <w:rPr>
          <w:rFonts w:cs="Times New Roman"/>
        </w:rPr>
        <w:t>AB</w:t>
      </w:r>
      <w:r w:rsidR="005164BC" w:rsidRPr="00037ACB">
        <w:rPr>
          <w:rFonts w:cs="Times New Roman"/>
        </w:rPr>
        <w:t>-</w:t>
      </w:r>
      <w:r w:rsidR="00087CA7" w:rsidRPr="00037ACB">
        <w:rPr>
          <w:rFonts w:cs="Times New Roman"/>
        </w:rPr>
        <w:t>V5 and AB</w:t>
      </w:r>
      <w:r w:rsidR="005164BC" w:rsidRPr="00037ACB">
        <w:rPr>
          <w:rFonts w:cs="Times New Roman"/>
        </w:rPr>
        <w:t>-</w:t>
      </w:r>
      <w:r w:rsidR="00087CA7" w:rsidRPr="00037ACB">
        <w:rPr>
          <w:rFonts w:cs="Times New Roman"/>
        </w:rPr>
        <w:t>V6</w:t>
      </w:r>
      <w:r w:rsidR="00356DFF" w:rsidRPr="00037ACB">
        <w:rPr>
          <w:rFonts w:cs="Times New Roman"/>
        </w:rPr>
        <w:t>,</w:t>
      </w:r>
      <w:r w:rsidR="00087CA7" w:rsidRPr="00037ACB">
        <w:rPr>
          <w:rFonts w:cs="Times New Roman"/>
        </w:rPr>
        <w:t xml:space="preserve"> </w:t>
      </w:r>
      <w:r w:rsidR="00356DFF" w:rsidRPr="00037ACB">
        <w:rPr>
          <w:rFonts w:cs="Times New Roman"/>
        </w:rPr>
        <w:t xml:space="preserve">using </w:t>
      </w:r>
      <w:proofErr w:type="spellStart"/>
      <w:r w:rsidR="00087CA7" w:rsidRPr="00037ACB">
        <w:rPr>
          <w:rFonts w:cs="Times New Roman"/>
        </w:rPr>
        <w:t>MicroAZ</w:t>
      </w:r>
      <w:proofErr w:type="spellEnd"/>
      <w:r w:rsidR="00087CA7" w:rsidRPr="00037ACB">
        <w:rPr>
          <w:rFonts w:cs="Times New Roman"/>
        </w:rPr>
        <w:t>-ST Dry</w:t>
      </w:r>
      <w:r w:rsidR="00101E3D" w:rsidRPr="00037ACB">
        <w:rPr>
          <w:rFonts w:cs="Times New Roman"/>
        </w:rPr>
        <w:t xml:space="preserve"> (</w:t>
      </w:r>
      <w:proofErr w:type="spellStart"/>
      <w:r w:rsidR="00087CA7" w:rsidRPr="00037ACB">
        <w:rPr>
          <w:rFonts w:cs="Times New Roman"/>
        </w:rPr>
        <w:t>TerraMax</w:t>
      </w:r>
      <w:proofErr w:type="spellEnd"/>
      <w:r w:rsidR="00087CA7" w:rsidRPr="00037ACB">
        <w:rPr>
          <w:rFonts w:cs="Times New Roman"/>
        </w:rPr>
        <w:t>, Eagan, MN, USA)</w:t>
      </w:r>
      <w:r w:rsidR="00101E3D" w:rsidRPr="00037ACB">
        <w:rPr>
          <w:rFonts w:cs="Times New Roman"/>
        </w:rPr>
        <w:t xml:space="preserve"> </w:t>
      </w:r>
      <w:r w:rsidR="00DC54E0" w:rsidRPr="00037ACB">
        <w:rPr>
          <w:rFonts w:cs="Times New Roman"/>
        </w:rPr>
        <w:t>and</w:t>
      </w:r>
      <w:r w:rsidR="00611F2A" w:rsidRPr="00037ACB">
        <w:rPr>
          <w:rFonts w:cs="Times New Roman"/>
        </w:rPr>
        <w:t xml:space="preserve"> </w:t>
      </w:r>
      <w:proofErr w:type="spellStart"/>
      <w:r w:rsidR="00611F2A" w:rsidRPr="00037ACB">
        <w:rPr>
          <w:rFonts w:cs="Times New Roman"/>
        </w:rPr>
        <w:t>MicroAZ</w:t>
      </w:r>
      <w:proofErr w:type="spellEnd"/>
      <w:r w:rsidR="00611F2A" w:rsidRPr="00037ACB">
        <w:rPr>
          <w:rFonts w:cs="Times New Roman"/>
        </w:rPr>
        <w:t>-ST Liquid</w:t>
      </w:r>
      <w:r w:rsidR="00DC54E0" w:rsidRPr="00037ACB">
        <w:rPr>
          <w:rFonts w:cs="Times New Roman"/>
        </w:rPr>
        <w:t xml:space="preserve"> (</w:t>
      </w:r>
      <w:proofErr w:type="spellStart"/>
      <w:r w:rsidR="00611F2A" w:rsidRPr="00037ACB">
        <w:rPr>
          <w:rFonts w:cs="Times New Roman"/>
        </w:rPr>
        <w:t>TerraMax</w:t>
      </w:r>
      <w:proofErr w:type="spellEnd"/>
      <w:r w:rsidR="00611F2A" w:rsidRPr="00037ACB">
        <w:rPr>
          <w:rFonts w:cs="Times New Roman"/>
        </w:rPr>
        <w:t>, Eagan, MN, USA)</w:t>
      </w:r>
      <w:r w:rsidR="00087CA7" w:rsidRPr="00037ACB">
        <w:rPr>
          <w:rFonts w:cs="Times New Roman"/>
        </w:rPr>
        <w:t>.</w:t>
      </w:r>
      <w:r w:rsidR="00611F2A" w:rsidRPr="00037ACB">
        <w:rPr>
          <w:rFonts w:cs="Times New Roman"/>
        </w:rPr>
        <w:t xml:space="preserve"> The inoculation rate</w:t>
      </w:r>
      <w:r w:rsidR="00B722B6">
        <w:rPr>
          <w:rFonts w:cs="Times New Roman"/>
        </w:rPr>
        <w:t>s</w:t>
      </w:r>
      <w:r w:rsidR="00611F2A" w:rsidRPr="00037ACB">
        <w:rPr>
          <w:rFonts w:cs="Times New Roman"/>
        </w:rPr>
        <w:t xml:space="preserve"> for the dry and </w:t>
      </w:r>
      <w:r w:rsidR="00356DFF" w:rsidRPr="00037ACB">
        <w:rPr>
          <w:rFonts w:cs="Times New Roman"/>
        </w:rPr>
        <w:t xml:space="preserve">liquid </w:t>
      </w:r>
      <w:r w:rsidR="00611F2A" w:rsidRPr="00037ACB">
        <w:rPr>
          <w:rFonts w:cs="Times New Roman"/>
        </w:rPr>
        <w:t>products were</w:t>
      </w:r>
      <w:r w:rsidR="00D669BE">
        <w:rPr>
          <w:rFonts w:cs="Times New Roman"/>
        </w:rPr>
        <w:t xml:space="preserve"> 4.5g kg</w:t>
      </w:r>
      <w:r w:rsidR="00D669BE" w:rsidRPr="00D669BE">
        <w:rPr>
          <w:rFonts w:cs="Times New Roman"/>
          <w:vertAlign w:val="superscript"/>
        </w:rPr>
        <w:t>-1</w:t>
      </w:r>
      <w:r w:rsidR="00611F2A" w:rsidRPr="006E17DE">
        <w:rPr>
          <w:rFonts w:cs="Times New Roman"/>
        </w:rPr>
        <w:t xml:space="preserve"> and 0.2</w:t>
      </w:r>
      <w:r w:rsidR="00356DFF" w:rsidRPr="006E17DE">
        <w:rPr>
          <w:rFonts w:cs="Times New Roman"/>
        </w:rPr>
        <w:t xml:space="preserve"> </w:t>
      </w:r>
      <w:r w:rsidR="00611F2A" w:rsidRPr="006E17DE">
        <w:rPr>
          <w:rFonts w:cs="Times New Roman"/>
        </w:rPr>
        <w:t>mL of inoculant per g</w:t>
      </w:r>
      <w:r w:rsidR="006E17DE">
        <w:rPr>
          <w:rFonts w:cs="Times New Roman"/>
        </w:rPr>
        <w:t>ram</w:t>
      </w:r>
      <w:r w:rsidR="00611F2A" w:rsidRPr="006E17DE">
        <w:rPr>
          <w:rFonts w:cs="Times New Roman"/>
        </w:rPr>
        <w:t xml:space="preserve"> of seed</w:t>
      </w:r>
      <w:r w:rsidR="00356DFF" w:rsidRPr="00037ACB">
        <w:rPr>
          <w:rFonts w:cs="Times New Roman"/>
        </w:rPr>
        <w:t>, respectively</w:t>
      </w:r>
      <w:r w:rsidR="00611F2A" w:rsidRPr="00037ACB">
        <w:rPr>
          <w:rFonts w:cs="Times New Roman"/>
        </w:rPr>
        <w:t>.</w:t>
      </w:r>
    </w:p>
    <w:p w14:paraId="3E39ED0D" w14:textId="2E2C6AD3" w:rsidR="00101E3D" w:rsidRPr="00037ACB" w:rsidRDefault="00101E3D" w:rsidP="00776576">
      <w:pPr>
        <w:pStyle w:val="Heading3"/>
        <w:spacing w:before="0" w:after="0" w:line="480" w:lineRule="auto"/>
      </w:pPr>
      <w:bookmarkStart w:id="19" w:name="_Toc196315229"/>
      <w:r w:rsidRPr="00037ACB">
        <w:t>Experiment 1</w:t>
      </w:r>
      <w:bookmarkEnd w:id="19"/>
    </w:p>
    <w:p w14:paraId="3E3E1AC6" w14:textId="5BA812F7" w:rsidR="00101E3D" w:rsidRPr="00037ACB" w:rsidRDefault="00101E3D" w:rsidP="00776576">
      <w:pPr>
        <w:numPr>
          <w:ilvl w:val="12"/>
          <w:numId w:val="0"/>
        </w:numPr>
        <w:spacing w:line="480" w:lineRule="auto"/>
        <w:ind w:firstLine="720"/>
        <w:rPr>
          <w:rFonts w:cs="Times New Roman"/>
        </w:rPr>
      </w:pPr>
      <w:r w:rsidRPr="00037ACB">
        <w:rPr>
          <w:rFonts w:cs="Times New Roman"/>
        </w:rPr>
        <w:t xml:space="preserve">The experiment was conducted using a completely randomized design (CRD) </w:t>
      </w:r>
      <w:r w:rsidR="00356DFF" w:rsidRPr="00037ACB">
        <w:rPr>
          <w:rFonts w:cs="Times New Roman"/>
        </w:rPr>
        <w:t xml:space="preserve">with </w:t>
      </w:r>
      <w:r w:rsidR="004B0774" w:rsidRPr="00037ACB">
        <w:rPr>
          <w:rFonts w:cs="Times New Roman"/>
        </w:rPr>
        <w:t xml:space="preserve">42 replications in </w:t>
      </w:r>
      <w:r w:rsidRPr="00037ACB">
        <w:rPr>
          <w:rFonts w:cs="Times New Roman"/>
        </w:rPr>
        <w:t>six polystyrene trays</w:t>
      </w:r>
      <w:r w:rsidR="00356DFF" w:rsidRPr="00037ACB">
        <w:rPr>
          <w:rFonts w:cs="Times New Roman"/>
        </w:rPr>
        <w:t>, each</w:t>
      </w:r>
      <w:r w:rsidRPr="00037ACB">
        <w:rPr>
          <w:rFonts w:cs="Times New Roman"/>
        </w:rPr>
        <w:t xml:space="preserve"> containing 42 cells</w:t>
      </w:r>
      <w:r w:rsidR="00356DFF" w:rsidRPr="00037ACB">
        <w:rPr>
          <w:rFonts w:cs="Times New Roman"/>
        </w:rPr>
        <w:t>. The t</w:t>
      </w:r>
      <w:r w:rsidRPr="00037ACB">
        <w:rPr>
          <w:rFonts w:cs="Times New Roman"/>
        </w:rPr>
        <w:t>reatments were</w:t>
      </w:r>
      <w:r w:rsidR="00356DFF" w:rsidRPr="00037ACB">
        <w:rPr>
          <w:rFonts w:cs="Times New Roman"/>
        </w:rPr>
        <w:t>:</w:t>
      </w:r>
      <w:r w:rsidRPr="00037ACB">
        <w:rPr>
          <w:rFonts w:cs="Times New Roman"/>
        </w:rPr>
        <w:t xml:space="preserve"> </w:t>
      </w:r>
      <w:r w:rsidR="00514E2B" w:rsidRPr="00037ACB">
        <w:rPr>
          <w:rFonts w:cs="Times New Roman"/>
        </w:rPr>
        <w:t xml:space="preserve">control </w:t>
      </w:r>
      <w:r w:rsidRPr="00037ACB">
        <w:rPr>
          <w:rFonts w:cs="Times New Roman"/>
        </w:rPr>
        <w:t>(no inoculation), POW</w:t>
      </w:r>
      <w:r w:rsidR="00B72548">
        <w:rPr>
          <w:rFonts w:cs="Times New Roman"/>
        </w:rPr>
        <w:t xml:space="preserve"> </w:t>
      </w:r>
      <w:r w:rsidR="00B96F57" w:rsidRPr="00037ACB">
        <w:rPr>
          <w:rFonts w:cs="Times New Roman"/>
        </w:rPr>
        <w:t>(Powder)</w:t>
      </w:r>
      <w:r w:rsidRPr="00037ACB">
        <w:rPr>
          <w:rFonts w:cs="Times New Roman"/>
        </w:rPr>
        <w:t xml:space="preserve"> (inoculation with </w:t>
      </w:r>
      <w:proofErr w:type="spellStart"/>
      <w:r w:rsidRPr="00037ACB">
        <w:rPr>
          <w:rFonts w:cs="Times New Roman"/>
        </w:rPr>
        <w:t>MicroAZ</w:t>
      </w:r>
      <w:proofErr w:type="spellEnd"/>
      <w:r w:rsidRPr="00037ACB">
        <w:rPr>
          <w:rFonts w:cs="Times New Roman"/>
        </w:rPr>
        <w:t xml:space="preserve">- ST dry), and </w:t>
      </w:r>
      <w:r w:rsidR="00C623B7" w:rsidRPr="00037ACB">
        <w:rPr>
          <w:rFonts w:cs="Times New Roman"/>
        </w:rPr>
        <w:t>LIQ (</w:t>
      </w:r>
      <w:r w:rsidR="00B96F57" w:rsidRPr="00037ACB">
        <w:rPr>
          <w:rFonts w:cs="Times New Roman"/>
        </w:rPr>
        <w:t>Liquid)</w:t>
      </w:r>
      <w:r w:rsidR="004B0774" w:rsidRPr="00037ACB">
        <w:rPr>
          <w:rFonts w:cs="Times New Roman"/>
        </w:rPr>
        <w:t xml:space="preserve"> </w:t>
      </w:r>
      <w:r w:rsidRPr="00037ACB">
        <w:rPr>
          <w:rFonts w:cs="Times New Roman"/>
        </w:rPr>
        <w:t xml:space="preserve">(inoculation with </w:t>
      </w:r>
      <w:proofErr w:type="spellStart"/>
      <w:r w:rsidRPr="00037ACB">
        <w:rPr>
          <w:rFonts w:cs="Times New Roman"/>
        </w:rPr>
        <w:t>MicroAZ</w:t>
      </w:r>
      <w:proofErr w:type="spellEnd"/>
      <w:r w:rsidRPr="00037ACB">
        <w:rPr>
          <w:rFonts w:cs="Times New Roman"/>
        </w:rPr>
        <w:t xml:space="preserve">- ST </w:t>
      </w:r>
      <w:proofErr w:type="spellStart"/>
      <w:r w:rsidRPr="00037ACB">
        <w:rPr>
          <w:rFonts w:cs="Times New Roman"/>
        </w:rPr>
        <w:t>liq</w:t>
      </w:r>
      <w:proofErr w:type="spellEnd"/>
      <w:r w:rsidRPr="00037ACB">
        <w:rPr>
          <w:rFonts w:cs="Times New Roman"/>
        </w:rPr>
        <w:t xml:space="preserve">). The substrate used was a </w:t>
      </w:r>
      <w:r w:rsidR="00DC54E0" w:rsidRPr="00037ACB">
        <w:rPr>
          <w:rFonts w:cs="Times New Roman"/>
        </w:rPr>
        <w:t>Miracle-Gro</w:t>
      </w:r>
      <w:r w:rsidRPr="00037ACB">
        <w:rPr>
          <w:rFonts w:cs="Times New Roman"/>
        </w:rPr>
        <w:t xml:space="preserve"> potting </w:t>
      </w:r>
      <w:r w:rsidR="006E17DE">
        <w:rPr>
          <w:rFonts w:cs="Times New Roman"/>
        </w:rPr>
        <w:t>m</w:t>
      </w:r>
      <w:r w:rsidRPr="00037ACB">
        <w:rPr>
          <w:rFonts w:cs="Times New Roman"/>
        </w:rPr>
        <w:t>ix (</w:t>
      </w:r>
      <w:r w:rsidR="00DC54E0" w:rsidRPr="00037ACB">
        <w:rPr>
          <w:rFonts w:cs="Times New Roman"/>
        </w:rPr>
        <w:t xml:space="preserve">Miracle-Gro, Marysville, OH, USA). Polystyrene trays were seeded with </w:t>
      </w:r>
      <w:r w:rsidR="00356DFF" w:rsidRPr="00037ACB">
        <w:rPr>
          <w:rFonts w:cs="Times New Roman"/>
        </w:rPr>
        <w:t xml:space="preserve">three </w:t>
      </w:r>
      <w:r w:rsidR="00DC54E0" w:rsidRPr="00037ACB">
        <w:rPr>
          <w:rFonts w:cs="Times New Roman"/>
        </w:rPr>
        <w:t>seeds per cell,</w:t>
      </w:r>
      <w:r w:rsidR="00356DFF" w:rsidRPr="00037ACB">
        <w:rPr>
          <w:rFonts w:cs="Times New Roman"/>
        </w:rPr>
        <w:t xml:space="preserve"> and thinning was performed, retaining </w:t>
      </w:r>
      <w:r w:rsidR="00DC54E0" w:rsidRPr="00037ACB">
        <w:rPr>
          <w:rFonts w:cs="Times New Roman"/>
        </w:rPr>
        <w:t xml:space="preserve">the best-fitted plant in </w:t>
      </w:r>
      <w:r w:rsidR="00356DFF" w:rsidRPr="00037ACB">
        <w:rPr>
          <w:rFonts w:cs="Times New Roman"/>
        </w:rPr>
        <w:t xml:space="preserve">each </w:t>
      </w:r>
      <w:r w:rsidR="00DC54E0" w:rsidRPr="00037ACB">
        <w:rPr>
          <w:rFonts w:cs="Times New Roman"/>
        </w:rPr>
        <w:t>cell. Throughout the experiment</w:t>
      </w:r>
      <w:r w:rsidR="00433FF5" w:rsidRPr="00037ACB">
        <w:rPr>
          <w:rFonts w:cs="Times New Roman"/>
        </w:rPr>
        <w:t>,</w:t>
      </w:r>
      <w:r w:rsidR="00DC54E0" w:rsidRPr="00037ACB">
        <w:rPr>
          <w:rFonts w:cs="Times New Roman"/>
        </w:rPr>
        <w:t xml:space="preserve"> the </w:t>
      </w:r>
      <w:r w:rsidR="00356DFF" w:rsidRPr="00037ACB">
        <w:rPr>
          <w:rFonts w:cs="Times New Roman"/>
        </w:rPr>
        <w:t>trays</w:t>
      </w:r>
      <w:r w:rsidR="00DC54E0" w:rsidRPr="00037ACB">
        <w:rPr>
          <w:rFonts w:cs="Times New Roman"/>
        </w:rPr>
        <w:t xml:space="preserve"> </w:t>
      </w:r>
      <w:r w:rsidR="00356DFF" w:rsidRPr="00037ACB">
        <w:rPr>
          <w:rFonts w:cs="Times New Roman"/>
        </w:rPr>
        <w:t>were</w:t>
      </w:r>
      <w:r w:rsidR="00DC54E0" w:rsidRPr="00037ACB">
        <w:rPr>
          <w:rFonts w:cs="Times New Roman"/>
        </w:rPr>
        <w:t xml:space="preserve"> placed </w:t>
      </w:r>
      <w:r w:rsidR="00433FF5" w:rsidRPr="00037ACB">
        <w:rPr>
          <w:rFonts w:cs="Times New Roman"/>
        </w:rPr>
        <w:t>in</w:t>
      </w:r>
      <w:r w:rsidR="00DC54E0" w:rsidRPr="00037ACB">
        <w:rPr>
          <w:rFonts w:cs="Times New Roman"/>
        </w:rPr>
        <w:t xml:space="preserve"> a</w:t>
      </w:r>
      <w:r w:rsidR="00433FF5" w:rsidRPr="00037ACB">
        <w:rPr>
          <w:rFonts w:cs="Times New Roman"/>
        </w:rPr>
        <w:t xml:space="preserve"> water tank to float.</w:t>
      </w:r>
    </w:p>
    <w:p w14:paraId="60C494F3" w14:textId="58150252" w:rsidR="00433FF5" w:rsidRPr="00037ACB" w:rsidRDefault="00433FF5" w:rsidP="00776576">
      <w:pPr>
        <w:numPr>
          <w:ilvl w:val="12"/>
          <w:numId w:val="0"/>
        </w:numPr>
        <w:spacing w:line="480" w:lineRule="auto"/>
        <w:ind w:firstLine="720"/>
        <w:rPr>
          <w:rFonts w:cs="Times New Roman"/>
        </w:rPr>
      </w:pPr>
      <w:r w:rsidRPr="00037ACB">
        <w:rPr>
          <w:rFonts w:cs="Times New Roman"/>
        </w:rPr>
        <w:t>Thirty-five days after emergence (DAE)</w:t>
      </w:r>
      <w:r w:rsidR="00276440">
        <w:rPr>
          <w:rFonts w:cs="Times New Roman"/>
        </w:rPr>
        <w:t>,</w:t>
      </w:r>
      <w:r w:rsidRPr="00037ACB">
        <w:rPr>
          <w:rFonts w:cs="Times New Roman"/>
        </w:rPr>
        <w:t xml:space="preserve"> the plants were </w:t>
      </w:r>
      <w:r w:rsidR="00276440">
        <w:rPr>
          <w:rFonts w:cs="Times New Roman"/>
        </w:rPr>
        <w:t>hand-plucked from each individual cell</w:t>
      </w:r>
      <w:r w:rsidRPr="00037ACB">
        <w:rPr>
          <w:rFonts w:cs="Times New Roman"/>
        </w:rPr>
        <w:t xml:space="preserve"> from the trays, </w:t>
      </w:r>
      <w:r w:rsidR="00276440">
        <w:rPr>
          <w:rFonts w:cs="Times New Roman"/>
        </w:rPr>
        <w:t xml:space="preserve">the substrate was washed from the roots using tap water, </w:t>
      </w:r>
      <w:r w:rsidRPr="00037ACB">
        <w:rPr>
          <w:rFonts w:cs="Times New Roman"/>
        </w:rPr>
        <w:t>and shoots and roots were separated</w:t>
      </w:r>
      <w:r w:rsidR="00276440">
        <w:rPr>
          <w:rFonts w:cs="Times New Roman"/>
        </w:rPr>
        <w:t xml:space="preserve"> were hand separated using a scissor cutting on the base of the plant stem</w:t>
      </w:r>
      <w:r w:rsidRPr="00037ACB">
        <w:rPr>
          <w:rFonts w:cs="Times New Roman"/>
        </w:rPr>
        <w:t xml:space="preserve">. </w:t>
      </w:r>
      <w:r w:rsidR="00276440">
        <w:rPr>
          <w:rFonts w:cs="Times New Roman"/>
        </w:rPr>
        <w:t>R</w:t>
      </w:r>
      <w:r w:rsidRPr="00037ACB">
        <w:rPr>
          <w:rFonts w:cs="Times New Roman"/>
        </w:rPr>
        <w:t>oots and shoots were measured (length)</w:t>
      </w:r>
      <w:r w:rsidR="00276440">
        <w:rPr>
          <w:rFonts w:cs="Times New Roman"/>
        </w:rPr>
        <w:t xml:space="preserve"> on a flat surface</w:t>
      </w:r>
      <w:r w:rsidRPr="00037ACB">
        <w:rPr>
          <w:rFonts w:cs="Times New Roman"/>
        </w:rPr>
        <w:t xml:space="preserve"> and the </w:t>
      </w:r>
      <w:r w:rsidRPr="00037ACB">
        <w:rPr>
          <w:rFonts w:cs="Times New Roman"/>
        </w:rPr>
        <w:lastRenderedPageBreak/>
        <w:t xml:space="preserve">number of tillers was registered. The harvested samples from the greenhouse (shoots and roots) </w:t>
      </w:r>
      <w:r w:rsidR="00276440">
        <w:rPr>
          <w:rFonts w:cs="Times New Roman"/>
        </w:rPr>
        <w:t>were put in an aluminum foil tray and placed inside an air-forced ventilation oven dryer, at 55ºC to reach constant weight.</w:t>
      </w:r>
    </w:p>
    <w:p w14:paraId="6117A26F" w14:textId="76286614" w:rsidR="00433FF5" w:rsidRPr="00037ACB" w:rsidRDefault="00433FF5" w:rsidP="00776576">
      <w:pPr>
        <w:pStyle w:val="Heading3"/>
        <w:spacing w:before="0" w:after="0" w:line="480" w:lineRule="auto"/>
      </w:pPr>
      <w:bookmarkStart w:id="20" w:name="_Toc196315230"/>
      <w:r w:rsidRPr="00037ACB">
        <w:t>Experiment 2</w:t>
      </w:r>
      <w:bookmarkEnd w:id="20"/>
    </w:p>
    <w:p w14:paraId="1D3B74E5" w14:textId="308A71E0" w:rsidR="00087CA7" w:rsidRPr="00037ACB" w:rsidRDefault="00433FF5" w:rsidP="00776576">
      <w:pPr>
        <w:numPr>
          <w:ilvl w:val="12"/>
          <w:numId w:val="0"/>
        </w:numPr>
        <w:spacing w:line="480" w:lineRule="auto"/>
        <w:ind w:firstLine="720"/>
        <w:rPr>
          <w:rFonts w:cs="Times New Roman"/>
        </w:rPr>
      </w:pPr>
      <w:r w:rsidRPr="00037ACB">
        <w:rPr>
          <w:rFonts w:cs="Times New Roman"/>
        </w:rPr>
        <w:t xml:space="preserve">The experiment was conducted using a </w:t>
      </w:r>
      <w:r w:rsidR="00356DFF" w:rsidRPr="00037ACB">
        <w:rPr>
          <w:rFonts w:cs="Times New Roman"/>
        </w:rPr>
        <w:t xml:space="preserve">randomized complete block </w:t>
      </w:r>
      <w:r w:rsidR="00B115D7" w:rsidRPr="00037ACB">
        <w:rPr>
          <w:rFonts w:cs="Times New Roman"/>
        </w:rPr>
        <w:t>design (</w:t>
      </w:r>
      <w:r w:rsidRPr="00037ACB">
        <w:rPr>
          <w:rFonts w:cs="Times New Roman"/>
        </w:rPr>
        <w:t>RCBD)</w:t>
      </w:r>
      <w:r w:rsidR="005164BC" w:rsidRPr="00037ACB">
        <w:rPr>
          <w:rFonts w:cs="Times New Roman"/>
        </w:rPr>
        <w:t xml:space="preserve"> with six replicates per treatment. It was performed using a pot-in-pot system </w:t>
      </w:r>
      <w:r w:rsidR="002079EC" w:rsidRPr="00037ACB">
        <w:rPr>
          <w:rFonts w:cs="Times New Roman"/>
        </w:rPr>
        <w:t>with</w:t>
      </w:r>
      <w:r w:rsidR="005164BC" w:rsidRPr="00037ACB">
        <w:rPr>
          <w:rFonts w:cs="Times New Roman"/>
        </w:rPr>
        <w:t xml:space="preserve"> </w:t>
      </w:r>
      <w:r w:rsidR="002079EC" w:rsidRPr="00037ACB">
        <w:rPr>
          <w:rFonts w:cs="Times New Roman"/>
        </w:rPr>
        <w:t>b</w:t>
      </w:r>
      <w:r w:rsidR="005164BC" w:rsidRPr="00037ACB">
        <w:rPr>
          <w:rFonts w:cs="Times New Roman"/>
        </w:rPr>
        <w:t xml:space="preserve">lack </w:t>
      </w:r>
      <w:r w:rsidR="002079EC" w:rsidRPr="00037ACB">
        <w:rPr>
          <w:rFonts w:cs="Times New Roman"/>
        </w:rPr>
        <w:t>r</w:t>
      </w:r>
      <w:r w:rsidR="005164BC" w:rsidRPr="00037ACB">
        <w:rPr>
          <w:rFonts w:cs="Times New Roman"/>
        </w:rPr>
        <w:t xml:space="preserve">ecycled </w:t>
      </w:r>
      <w:r w:rsidR="002079EC" w:rsidRPr="00037ACB">
        <w:rPr>
          <w:rFonts w:cs="Times New Roman"/>
        </w:rPr>
        <w:t>p</w:t>
      </w:r>
      <w:r w:rsidR="005164BC" w:rsidRPr="00037ACB">
        <w:rPr>
          <w:rFonts w:cs="Times New Roman"/>
        </w:rPr>
        <w:t xml:space="preserve">lastic </w:t>
      </w:r>
      <w:r w:rsidR="002079EC" w:rsidRPr="00037ACB">
        <w:rPr>
          <w:rFonts w:cs="Times New Roman"/>
        </w:rPr>
        <w:t>p</w:t>
      </w:r>
      <w:r w:rsidR="005164BC" w:rsidRPr="00037ACB">
        <w:rPr>
          <w:rFonts w:cs="Times New Roman"/>
        </w:rPr>
        <w:t xml:space="preserve">lant </w:t>
      </w:r>
      <w:r w:rsidR="002079EC" w:rsidRPr="00037ACB">
        <w:rPr>
          <w:rFonts w:cs="Times New Roman"/>
        </w:rPr>
        <w:t>p</w:t>
      </w:r>
      <w:r w:rsidR="005164BC" w:rsidRPr="00037ACB">
        <w:rPr>
          <w:rFonts w:cs="Times New Roman"/>
        </w:rPr>
        <w:t>ots (9</w:t>
      </w:r>
      <w:r w:rsidR="00E154D9">
        <w:rPr>
          <w:rFonts w:cs="Times New Roman"/>
        </w:rPr>
        <w:t xml:space="preserve"> </w:t>
      </w:r>
      <w:r w:rsidR="005164BC" w:rsidRPr="00037ACB">
        <w:rPr>
          <w:rFonts w:cs="Times New Roman"/>
        </w:rPr>
        <w:t>cm x 9</w:t>
      </w:r>
      <w:r w:rsidR="00E154D9">
        <w:rPr>
          <w:rFonts w:cs="Times New Roman"/>
        </w:rPr>
        <w:t xml:space="preserve"> </w:t>
      </w:r>
      <w:r w:rsidR="005164BC" w:rsidRPr="00037ACB">
        <w:rPr>
          <w:rFonts w:cs="Times New Roman"/>
        </w:rPr>
        <w:t>cm x 10</w:t>
      </w:r>
      <w:r w:rsidR="00E154D9">
        <w:rPr>
          <w:rFonts w:cs="Times New Roman"/>
        </w:rPr>
        <w:t xml:space="preserve"> </w:t>
      </w:r>
      <w:r w:rsidR="005164BC" w:rsidRPr="00037ACB">
        <w:rPr>
          <w:rFonts w:cs="Times New Roman"/>
        </w:rPr>
        <w:t xml:space="preserve">cm), </w:t>
      </w:r>
      <w:r w:rsidR="002079EC" w:rsidRPr="00037ACB">
        <w:rPr>
          <w:rFonts w:cs="Times New Roman"/>
        </w:rPr>
        <w:t xml:space="preserve">each </w:t>
      </w:r>
      <w:r w:rsidR="005164BC" w:rsidRPr="00037ACB">
        <w:rPr>
          <w:rFonts w:cs="Times New Roman"/>
        </w:rPr>
        <w:t xml:space="preserve">containing </w:t>
      </w:r>
      <w:r w:rsidR="002079EC" w:rsidRPr="00037ACB">
        <w:rPr>
          <w:rFonts w:cs="Times New Roman"/>
        </w:rPr>
        <w:t xml:space="preserve">approximately </w:t>
      </w:r>
      <w:r w:rsidR="005164BC" w:rsidRPr="00037ACB">
        <w:rPr>
          <w:rFonts w:cs="Times New Roman"/>
        </w:rPr>
        <w:t xml:space="preserve">415g of peat moss </w:t>
      </w:r>
      <w:r w:rsidR="00D669BE">
        <w:rPr>
          <w:rFonts w:cs="Times New Roman"/>
        </w:rPr>
        <w:t xml:space="preserve">and perlite </w:t>
      </w:r>
      <w:r w:rsidR="005164BC" w:rsidRPr="00037ACB">
        <w:rPr>
          <w:rFonts w:cs="Times New Roman"/>
        </w:rPr>
        <w:t>substrate</w:t>
      </w:r>
      <w:r w:rsidR="00D669BE">
        <w:rPr>
          <w:rFonts w:cs="Times New Roman"/>
        </w:rPr>
        <w:t xml:space="preserve"> (3 to 1 mixture, respectively)</w:t>
      </w:r>
      <w:r w:rsidR="005164BC" w:rsidRPr="00037ACB">
        <w:rPr>
          <w:rFonts w:cs="Times New Roman"/>
        </w:rPr>
        <w:t>.</w:t>
      </w:r>
      <w:r w:rsidR="00514E2B" w:rsidRPr="00037ACB">
        <w:rPr>
          <w:rFonts w:cs="Times New Roman"/>
        </w:rPr>
        <w:t xml:space="preserve"> Pots were seeded with three seeds per cell, and thinning was performed, retaining the best-fitted plant in each cell.</w:t>
      </w:r>
    </w:p>
    <w:p w14:paraId="6C17311D" w14:textId="0EC5C9F6" w:rsidR="005164BC" w:rsidRPr="00037ACB" w:rsidRDefault="00514E2B" w:rsidP="00776576">
      <w:pPr>
        <w:numPr>
          <w:ilvl w:val="12"/>
          <w:numId w:val="0"/>
        </w:numPr>
        <w:spacing w:line="480" w:lineRule="auto"/>
        <w:ind w:firstLine="720"/>
        <w:rPr>
          <w:rFonts w:cs="Times New Roman"/>
        </w:rPr>
      </w:pPr>
      <w:r w:rsidRPr="00037ACB">
        <w:rPr>
          <w:rFonts w:cs="Times New Roman"/>
        </w:rPr>
        <w:t>The t</w:t>
      </w:r>
      <w:r w:rsidR="005164BC" w:rsidRPr="00037ACB">
        <w:rPr>
          <w:rFonts w:cs="Times New Roman"/>
        </w:rPr>
        <w:t>reatments were</w:t>
      </w:r>
      <w:r w:rsidR="00276440">
        <w:rPr>
          <w:rFonts w:cs="Times New Roman"/>
        </w:rPr>
        <w:t xml:space="preserve"> assigned as: </w:t>
      </w:r>
      <w:r w:rsidRPr="00037ACB">
        <w:rPr>
          <w:rFonts w:cs="Times New Roman"/>
        </w:rPr>
        <w:t>c</w:t>
      </w:r>
      <w:r w:rsidR="005164BC" w:rsidRPr="00037ACB">
        <w:rPr>
          <w:rFonts w:cs="Times New Roman"/>
        </w:rPr>
        <w:t>ontrol (no inoculation), POW (inoculat</w:t>
      </w:r>
      <w:r w:rsidRPr="00037ACB">
        <w:rPr>
          <w:rFonts w:cs="Times New Roman"/>
        </w:rPr>
        <w:t>ed</w:t>
      </w:r>
      <w:r w:rsidR="005164BC" w:rsidRPr="00037ACB">
        <w:rPr>
          <w:rFonts w:cs="Times New Roman"/>
        </w:rPr>
        <w:t xml:space="preserve"> with </w:t>
      </w:r>
      <w:proofErr w:type="spellStart"/>
      <w:r w:rsidR="005164BC" w:rsidRPr="00037ACB">
        <w:rPr>
          <w:rFonts w:cs="Times New Roman"/>
        </w:rPr>
        <w:t>MicroAZ</w:t>
      </w:r>
      <w:proofErr w:type="spellEnd"/>
      <w:r w:rsidR="005164BC" w:rsidRPr="00037ACB">
        <w:rPr>
          <w:rFonts w:cs="Times New Roman"/>
        </w:rPr>
        <w:t>- ST dry), and LIQ (inoculat</w:t>
      </w:r>
      <w:r w:rsidRPr="00037ACB">
        <w:rPr>
          <w:rFonts w:cs="Times New Roman"/>
        </w:rPr>
        <w:t>ed</w:t>
      </w:r>
      <w:r w:rsidR="005164BC" w:rsidRPr="00037ACB">
        <w:rPr>
          <w:rFonts w:cs="Times New Roman"/>
        </w:rPr>
        <w:t xml:space="preserve"> with </w:t>
      </w:r>
      <w:proofErr w:type="spellStart"/>
      <w:r w:rsidR="005164BC" w:rsidRPr="00037ACB">
        <w:rPr>
          <w:rFonts w:cs="Times New Roman"/>
        </w:rPr>
        <w:t>MicroAZ</w:t>
      </w:r>
      <w:proofErr w:type="spellEnd"/>
      <w:r w:rsidR="005164BC" w:rsidRPr="00037ACB">
        <w:rPr>
          <w:rFonts w:cs="Times New Roman"/>
        </w:rPr>
        <w:t xml:space="preserve">- ST </w:t>
      </w:r>
      <w:proofErr w:type="spellStart"/>
      <w:r w:rsidR="005164BC" w:rsidRPr="00037ACB">
        <w:rPr>
          <w:rFonts w:cs="Times New Roman"/>
        </w:rPr>
        <w:t>liq</w:t>
      </w:r>
      <w:proofErr w:type="spellEnd"/>
      <w:r w:rsidR="005164BC" w:rsidRPr="00037ACB">
        <w:rPr>
          <w:rFonts w:cs="Times New Roman"/>
        </w:rPr>
        <w:t>)</w:t>
      </w:r>
      <w:r w:rsidRPr="00037ACB">
        <w:rPr>
          <w:rFonts w:cs="Times New Roman"/>
        </w:rPr>
        <w:t>,</w:t>
      </w:r>
      <w:r w:rsidR="005164BC" w:rsidRPr="00037ACB">
        <w:rPr>
          <w:rFonts w:cs="Times New Roman"/>
        </w:rPr>
        <w:t xml:space="preserve"> </w:t>
      </w:r>
      <w:r w:rsidRPr="00037ACB">
        <w:rPr>
          <w:rFonts w:cs="Times New Roman"/>
        </w:rPr>
        <w:t xml:space="preserve">with </w:t>
      </w:r>
      <w:r w:rsidR="005164BC" w:rsidRPr="00037ACB">
        <w:rPr>
          <w:rFonts w:cs="Times New Roman"/>
        </w:rPr>
        <w:t xml:space="preserve">two </w:t>
      </w:r>
      <w:r w:rsidRPr="00037ACB">
        <w:rPr>
          <w:rFonts w:cs="Times New Roman"/>
        </w:rPr>
        <w:t xml:space="preserve">nitrogen </w:t>
      </w:r>
      <w:r w:rsidR="005164BC" w:rsidRPr="00037ACB">
        <w:rPr>
          <w:rFonts w:cs="Times New Roman"/>
        </w:rPr>
        <w:t>rates in a nutritive solution</w:t>
      </w:r>
      <w:r w:rsidRPr="00037ACB">
        <w:rPr>
          <w:rFonts w:cs="Times New Roman"/>
        </w:rPr>
        <w:t xml:space="preserve"> of</w:t>
      </w:r>
      <w:r w:rsidR="005164BC" w:rsidRPr="00037ACB">
        <w:rPr>
          <w:rFonts w:cs="Times New Roman"/>
        </w:rPr>
        <w:t xml:space="preserve"> 100% </w:t>
      </w:r>
      <w:r w:rsidRPr="00037ACB">
        <w:rPr>
          <w:rFonts w:cs="Times New Roman"/>
        </w:rPr>
        <w:t>(</w:t>
      </w:r>
      <w:r w:rsidR="005164BC" w:rsidRPr="00037ACB">
        <w:rPr>
          <w:rFonts w:cs="Times New Roman"/>
        </w:rPr>
        <w:t>3</w:t>
      </w:r>
      <w:r w:rsidR="006E17DE">
        <w:rPr>
          <w:rFonts w:cs="Times New Roman"/>
        </w:rPr>
        <w:t xml:space="preserve"> </w:t>
      </w:r>
      <w:r w:rsidR="005164BC" w:rsidRPr="00037ACB">
        <w:rPr>
          <w:rFonts w:cs="Times New Roman"/>
        </w:rPr>
        <w:t xml:space="preserve">ml per 3.8 </w:t>
      </w:r>
      <w:r w:rsidR="006E17DE">
        <w:rPr>
          <w:rFonts w:cs="Times New Roman"/>
        </w:rPr>
        <w:t>L</w:t>
      </w:r>
      <w:r w:rsidR="005164BC" w:rsidRPr="00037ACB">
        <w:rPr>
          <w:rFonts w:cs="Times New Roman"/>
        </w:rPr>
        <w:t xml:space="preserve"> water</w:t>
      </w:r>
      <w:r w:rsidRPr="00037ACB">
        <w:rPr>
          <w:rFonts w:cs="Times New Roman"/>
        </w:rPr>
        <w:t>)</w:t>
      </w:r>
      <w:r w:rsidR="005164BC" w:rsidRPr="00037ACB">
        <w:rPr>
          <w:rFonts w:cs="Times New Roman"/>
        </w:rPr>
        <w:t xml:space="preserve"> and 75% </w:t>
      </w:r>
      <w:r w:rsidRPr="00037ACB">
        <w:rPr>
          <w:rFonts w:cs="Times New Roman"/>
        </w:rPr>
        <w:t>(</w:t>
      </w:r>
      <w:r w:rsidR="005164BC" w:rsidRPr="00037ACB">
        <w:rPr>
          <w:rFonts w:cs="Times New Roman"/>
        </w:rPr>
        <w:t xml:space="preserve">2.25 ml per 3.8 </w:t>
      </w:r>
      <w:r w:rsidR="006E17DE">
        <w:rPr>
          <w:rFonts w:cs="Times New Roman"/>
        </w:rPr>
        <w:t>L</w:t>
      </w:r>
      <w:r w:rsidR="005164BC" w:rsidRPr="00037ACB">
        <w:rPr>
          <w:rFonts w:cs="Times New Roman"/>
        </w:rPr>
        <w:t xml:space="preserve"> of water</w:t>
      </w:r>
      <w:r w:rsidRPr="00037ACB">
        <w:rPr>
          <w:rFonts w:cs="Times New Roman"/>
        </w:rPr>
        <w:t>)</w:t>
      </w:r>
      <w:r w:rsidR="00276440">
        <w:rPr>
          <w:rFonts w:cs="Times New Roman"/>
        </w:rPr>
        <w:t xml:space="preserve"> totaling 36</w:t>
      </w:r>
      <w:r w:rsidR="00887328">
        <w:rPr>
          <w:rFonts w:cs="Times New Roman"/>
        </w:rPr>
        <w:t xml:space="preserve"> experimental units</w:t>
      </w:r>
      <w:r w:rsidRPr="00037ACB">
        <w:rPr>
          <w:rFonts w:cs="Times New Roman"/>
        </w:rPr>
        <w:t>.</w:t>
      </w:r>
      <w:r w:rsidR="00061974" w:rsidRPr="00037ACB">
        <w:rPr>
          <w:rFonts w:cs="Times New Roman"/>
        </w:rPr>
        <w:t xml:space="preserve"> </w:t>
      </w:r>
      <w:r w:rsidRPr="00037ACB">
        <w:rPr>
          <w:rFonts w:cs="Times New Roman"/>
        </w:rPr>
        <w:t xml:space="preserve">The solution was </w:t>
      </w:r>
      <w:r w:rsidR="00061974" w:rsidRPr="00037ACB">
        <w:rPr>
          <w:rFonts w:cs="Times New Roman"/>
        </w:rPr>
        <w:t>applied</w:t>
      </w:r>
      <w:r w:rsidR="00887328">
        <w:rPr>
          <w:rFonts w:cs="Times New Roman"/>
        </w:rPr>
        <w:t xml:space="preserve"> to each individual pot </w:t>
      </w:r>
      <w:r w:rsidR="00061974" w:rsidRPr="00037ACB">
        <w:rPr>
          <w:rFonts w:cs="Times New Roman"/>
        </w:rPr>
        <w:t xml:space="preserve">every </w:t>
      </w:r>
      <w:r w:rsidR="006E17DE">
        <w:rPr>
          <w:rFonts w:cs="Times New Roman"/>
        </w:rPr>
        <w:t>seven</w:t>
      </w:r>
      <w:r w:rsidR="00061974" w:rsidRPr="00037ACB">
        <w:rPr>
          <w:rFonts w:cs="Times New Roman"/>
        </w:rPr>
        <w:t xml:space="preserve"> days (Monday</w:t>
      </w:r>
      <w:r w:rsidRPr="00037ACB">
        <w:rPr>
          <w:rFonts w:cs="Times New Roman"/>
        </w:rPr>
        <w:t>s</w:t>
      </w:r>
      <w:r w:rsidR="00061974" w:rsidRPr="00037ACB">
        <w:rPr>
          <w:rFonts w:cs="Times New Roman"/>
        </w:rPr>
        <w:t>) at a rate of 200 ml per pot</w:t>
      </w:r>
      <w:r w:rsidRPr="00037ACB">
        <w:rPr>
          <w:rFonts w:cs="Times New Roman"/>
        </w:rPr>
        <w:t>. Additionally,</w:t>
      </w:r>
      <w:r w:rsidR="00061974" w:rsidRPr="00037ACB">
        <w:rPr>
          <w:rFonts w:cs="Times New Roman"/>
        </w:rPr>
        <w:t xml:space="preserve"> water was applied to the pots </w:t>
      </w:r>
      <w:r w:rsidRPr="00037ACB">
        <w:rPr>
          <w:rFonts w:cs="Times New Roman"/>
        </w:rPr>
        <w:t xml:space="preserve">every </w:t>
      </w:r>
      <w:r w:rsidR="006E17DE">
        <w:rPr>
          <w:rFonts w:cs="Times New Roman"/>
        </w:rPr>
        <w:t>three</w:t>
      </w:r>
      <w:r w:rsidRPr="00037ACB">
        <w:rPr>
          <w:rFonts w:cs="Times New Roman"/>
        </w:rPr>
        <w:t xml:space="preserve"> and </w:t>
      </w:r>
      <w:r w:rsidR="006E17DE">
        <w:rPr>
          <w:rFonts w:cs="Times New Roman"/>
        </w:rPr>
        <w:t>five</w:t>
      </w:r>
      <w:r w:rsidRPr="00037ACB">
        <w:rPr>
          <w:rFonts w:cs="Times New Roman"/>
        </w:rPr>
        <w:t xml:space="preserve"> days </w:t>
      </w:r>
      <w:r w:rsidR="00061974" w:rsidRPr="00037ACB">
        <w:rPr>
          <w:rFonts w:cs="Times New Roman"/>
        </w:rPr>
        <w:t>(Wednesday and Friday)</w:t>
      </w:r>
      <w:r w:rsidRPr="00037ACB">
        <w:rPr>
          <w:rFonts w:cs="Times New Roman"/>
        </w:rPr>
        <w:t xml:space="preserve"> at a rate of 200 ml per pot</w:t>
      </w:r>
      <w:r w:rsidR="00887328">
        <w:rPr>
          <w:rFonts w:cs="Times New Roman"/>
        </w:rPr>
        <w:t>, aiming to attend to plant needs</w:t>
      </w:r>
      <w:r w:rsidRPr="00037ACB">
        <w:rPr>
          <w:rFonts w:cs="Times New Roman"/>
        </w:rPr>
        <w:t>.</w:t>
      </w:r>
    </w:p>
    <w:p w14:paraId="0148F52A" w14:textId="561C46FB" w:rsidR="00061974" w:rsidRPr="00037ACB" w:rsidRDefault="00514E2B" w:rsidP="00776576">
      <w:pPr>
        <w:numPr>
          <w:ilvl w:val="12"/>
          <w:numId w:val="0"/>
        </w:numPr>
        <w:spacing w:line="480" w:lineRule="auto"/>
        <w:ind w:firstLine="720"/>
        <w:rPr>
          <w:rFonts w:cs="Times New Roman"/>
        </w:rPr>
      </w:pPr>
      <w:r w:rsidRPr="00037ACB">
        <w:rPr>
          <w:rFonts w:cs="Times New Roman"/>
        </w:rPr>
        <w:t>Forty-two</w:t>
      </w:r>
      <w:r w:rsidR="00061974" w:rsidRPr="00037ACB">
        <w:rPr>
          <w:rFonts w:cs="Times New Roman"/>
        </w:rPr>
        <w:t xml:space="preserve"> </w:t>
      </w:r>
      <w:r w:rsidR="00234E5A">
        <w:rPr>
          <w:rFonts w:cs="Times New Roman"/>
        </w:rPr>
        <w:t>d</w:t>
      </w:r>
      <w:r w:rsidR="00D669BE">
        <w:rPr>
          <w:rFonts w:cs="Times New Roman"/>
        </w:rPr>
        <w:t>ays after emergence</w:t>
      </w:r>
      <w:r w:rsidR="00B722B6">
        <w:rPr>
          <w:rFonts w:cs="Times New Roman"/>
        </w:rPr>
        <w:t>,</w:t>
      </w:r>
      <w:r w:rsidR="00061974" w:rsidRPr="00037ACB">
        <w:rPr>
          <w:rFonts w:cs="Times New Roman"/>
        </w:rPr>
        <w:t xml:space="preserve"> the plants were </w:t>
      </w:r>
      <w:r w:rsidR="00276440">
        <w:rPr>
          <w:rFonts w:cs="Times New Roman"/>
        </w:rPr>
        <w:t>hand-plucked</w:t>
      </w:r>
      <w:r w:rsidR="00061974" w:rsidRPr="00037ACB">
        <w:rPr>
          <w:rFonts w:cs="Times New Roman"/>
        </w:rPr>
        <w:t xml:space="preserve"> from the pots, and shoots and roots were separated. The root system was washed</w:t>
      </w:r>
      <w:r w:rsidRPr="00037ACB">
        <w:rPr>
          <w:rFonts w:cs="Times New Roman"/>
        </w:rPr>
        <w:t xml:space="preserve"> using</w:t>
      </w:r>
      <w:r w:rsidR="00061974" w:rsidRPr="00037ACB">
        <w:rPr>
          <w:rFonts w:cs="Times New Roman"/>
        </w:rPr>
        <w:t xml:space="preserve"> tap water, roots and shoots</w:t>
      </w:r>
      <w:r w:rsidR="00276440">
        <w:rPr>
          <w:rFonts w:cs="Times New Roman"/>
        </w:rPr>
        <w:t xml:space="preserve"> were separated and</w:t>
      </w:r>
      <w:r w:rsidR="00061974" w:rsidRPr="00037ACB">
        <w:rPr>
          <w:rFonts w:cs="Times New Roman"/>
        </w:rPr>
        <w:t xml:space="preserve"> measured (length) </w:t>
      </w:r>
      <w:r w:rsidR="00276440">
        <w:rPr>
          <w:rFonts w:cs="Times New Roman"/>
        </w:rPr>
        <w:t xml:space="preserve">on a flat surface, </w:t>
      </w:r>
      <w:r w:rsidR="00061974" w:rsidRPr="00037ACB">
        <w:rPr>
          <w:rFonts w:cs="Times New Roman"/>
        </w:rPr>
        <w:t>and the number of tillers was registered</w:t>
      </w:r>
      <w:r w:rsidR="00276440">
        <w:rPr>
          <w:rFonts w:cs="Times New Roman"/>
        </w:rPr>
        <w:t xml:space="preserve"> for each plot</w:t>
      </w:r>
      <w:r w:rsidR="00061974" w:rsidRPr="00037ACB">
        <w:rPr>
          <w:rFonts w:cs="Times New Roman"/>
        </w:rPr>
        <w:t>. The harvested samples from the greenhouse (shoots and roots)</w:t>
      </w:r>
      <w:r w:rsidRPr="00037ACB">
        <w:rPr>
          <w:rFonts w:cs="Times New Roman"/>
        </w:rPr>
        <w:t xml:space="preserve"> </w:t>
      </w:r>
      <w:r w:rsidR="00061974" w:rsidRPr="00037ACB">
        <w:rPr>
          <w:rFonts w:cs="Times New Roman"/>
        </w:rPr>
        <w:t xml:space="preserve">of each replicate were put in paper bags and oven-dried at 55°C for 72 h until </w:t>
      </w:r>
      <w:r w:rsidR="00061974" w:rsidRPr="00037ACB">
        <w:rPr>
          <w:rFonts w:cs="Times New Roman"/>
        </w:rPr>
        <w:lastRenderedPageBreak/>
        <w:t xml:space="preserve">reaching a constant weight. Dry </w:t>
      </w:r>
      <w:r w:rsidR="00D231CE">
        <w:rPr>
          <w:rFonts w:cs="Times New Roman"/>
        </w:rPr>
        <w:t>material was then weighed on a precision scale, and weight values were further</w:t>
      </w:r>
      <w:r w:rsidR="00061974" w:rsidRPr="00037ACB">
        <w:rPr>
          <w:rFonts w:cs="Times New Roman"/>
        </w:rPr>
        <w:t xml:space="preserve"> recorded</w:t>
      </w:r>
      <w:r w:rsidR="00D231CE">
        <w:rPr>
          <w:rFonts w:cs="Times New Roman"/>
        </w:rPr>
        <w:t xml:space="preserve"> for statistical analysis</w:t>
      </w:r>
      <w:r w:rsidR="00061974" w:rsidRPr="00037ACB">
        <w:rPr>
          <w:rFonts w:cs="Times New Roman"/>
        </w:rPr>
        <w:t>.</w:t>
      </w:r>
    </w:p>
    <w:p w14:paraId="7C36FFCC" w14:textId="2261319D" w:rsidR="001157BC" w:rsidRDefault="001157BC" w:rsidP="00776576">
      <w:pPr>
        <w:pStyle w:val="Heading3"/>
        <w:spacing w:before="0" w:after="0" w:line="480" w:lineRule="auto"/>
      </w:pPr>
      <w:bookmarkStart w:id="21" w:name="_Toc196315231"/>
      <w:r>
        <w:t>Statistical Analysis</w:t>
      </w:r>
      <w:bookmarkEnd w:id="21"/>
    </w:p>
    <w:p w14:paraId="56802647" w14:textId="669AC741" w:rsidR="001157BC" w:rsidRDefault="001157BC" w:rsidP="00776576">
      <w:pPr>
        <w:pStyle w:val="NormalWeb"/>
        <w:shd w:val="clear" w:color="auto" w:fill="FFFFFF"/>
        <w:spacing w:before="0" w:beforeAutospacing="0" w:after="0" w:afterAutospacing="0" w:line="480" w:lineRule="auto"/>
        <w:ind w:firstLine="709"/>
        <w:rPr>
          <w:lang w:val="en"/>
        </w:rPr>
      </w:pPr>
      <w:r>
        <w:rPr>
          <w:lang w:val="en"/>
        </w:rPr>
        <w:t>For experiment one</w:t>
      </w:r>
      <w:r w:rsidR="00C623B7">
        <w:rPr>
          <w:lang w:val="en"/>
        </w:rPr>
        <w:t>,</w:t>
      </w:r>
      <w:r>
        <w:rPr>
          <w:lang w:val="en"/>
        </w:rPr>
        <w:t xml:space="preserve"> </w:t>
      </w:r>
      <w:r w:rsidRPr="001157BC">
        <w:rPr>
          <w:lang w:val="en"/>
        </w:rPr>
        <w:t xml:space="preserve">data </w:t>
      </w:r>
      <w:r w:rsidR="00773081">
        <w:rPr>
          <w:lang w:val="en"/>
        </w:rPr>
        <w:t>were</w:t>
      </w:r>
      <w:r w:rsidRPr="001157BC">
        <w:rPr>
          <w:lang w:val="en"/>
        </w:rPr>
        <w:t xml:space="preserve"> statistically analyzed by one-way analysis of variance (ANOVA). Differences between means were evaluated for significance using the </w:t>
      </w:r>
      <w:r>
        <w:rPr>
          <w:lang w:val="en"/>
        </w:rPr>
        <w:t xml:space="preserve">“LSMEANS” and the comparisons between them were made by the probability of the difference "PDIFF", using Student's "t" test at the level of α = </w:t>
      </w:r>
      <w:r w:rsidRPr="001157BC">
        <w:rPr>
          <w:lang w:val="en"/>
        </w:rPr>
        <w:t xml:space="preserve">0.05 </w:t>
      </w:r>
      <w:r>
        <w:rPr>
          <w:lang w:val="en"/>
        </w:rPr>
        <w:t>significance.</w:t>
      </w:r>
      <w:r w:rsidRPr="001157BC">
        <w:rPr>
          <w:lang w:val="en"/>
        </w:rPr>
        <w:t xml:space="preserve"> All statistical procedures were done using </w:t>
      </w:r>
      <w:r w:rsidR="00C623B7">
        <w:rPr>
          <w:lang w:val="en"/>
        </w:rPr>
        <w:t xml:space="preserve">the </w:t>
      </w:r>
      <w:r>
        <w:rPr>
          <w:lang w:val="en"/>
        </w:rPr>
        <w:t>statistical program SAS</w:t>
      </w:r>
      <w:r w:rsidRPr="00D76075">
        <w:rPr>
          <w:vertAlign w:val="superscript"/>
          <w:lang w:val="en"/>
        </w:rPr>
        <w:t>®</w:t>
      </w:r>
      <w:r>
        <w:rPr>
          <w:lang w:val="en"/>
        </w:rPr>
        <w:t xml:space="preserve"> (Statistical Analyses System)</w:t>
      </w:r>
      <w:r w:rsidRPr="001157BC">
        <w:rPr>
          <w:lang w:val="en"/>
        </w:rPr>
        <w:t xml:space="preserve">. </w:t>
      </w:r>
    </w:p>
    <w:p w14:paraId="5B969B8D" w14:textId="2B4180FC" w:rsidR="008A12E7" w:rsidRPr="00E378A0" w:rsidRDefault="001157BC" w:rsidP="00776576">
      <w:pPr>
        <w:pStyle w:val="NormalWeb"/>
        <w:shd w:val="clear" w:color="auto" w:fill="FFFFFF"/>
        <w:spacing w:before="0" w:beforeAutospacing="0" w:after="0" w:afterAutospacing="0" w:line="480" w:lineRule="auto"/>
        <w:ind w:firstLine="709"/>
        <w:rPr>
          <w:color w:val="252525"/>
          <w:lang w:val="en-US"/>
        </w:rPr>
      </w:pPr>
      <w:r>
        <w:rPr>
          <w:lang w:val="en"/>
        </w:rPr>
        <w:t>For experiment two</w:t>
      </w:r>
      <w:r w:rsidR="00C623B7">
        <w:rPr>
          <w:lang w:val="en"/>
        </w:rPr>
        <w:t>,</w:t>
      </w:r>
      <w:r>
        <w:rPr>
          <w:lang w:val="en"/>
        </w:rPr>
        <w:t xml:space="preserve"> the data were analyzed using the MIXED procedure of the statistical program SAS</w:t>
      </w:r>
      <w:r w:rsidRPr="00D76075">
        <w:rPr>
          <w:vertAlign w:val="superscript"/>
          <w:lang w:val="en"/>
        </w:rPr>
        <w:t>®</w:t>
      </w:r>
      <w:r>
        <w:rPr>
          <w:lang w:val="en"/>
        </w:rPr>
        <w:t xml:space="preserve"> (Statistical Analyses System) (Littel et al., 2006). The Akaike Information Criterion (AIC) (Wolfinger, 1993) was used to choose the matrix of variance and covariance. The treatment effect was considered fixed, while the block effect was considered random. The means of treatment were </w:t>
      </w:r>
      <w:r w:rsidR="00FC362B">
        <w:rPr>
          <w:lang w:val="en"/>
        </w:rPr>
        <w:t>assessed</w:t>
      </w:r>
      <w:r>
        <w:rPr>
          <w:lang w:val="en"/>
        </w:rPr>
        <w:t xml:space="preserve"> by the "LSMEANS" and the comparisons between them were made by the probability of the difference "PDIFF", using the </w:t>
      </w:r>
      <w:proofErr w:type="gramStart"/>
      <w:r>
        <w:rPr>
          <w:lang w:val="en"/>
        </w:rPr>
        <w:t>Student's</w:t>
      </w:r>
      <w:proofErr w:type="gramEnd"/>
      <w:r>
        <w:rPr>
          <w:lang w:val="en"/>
        </w:rPr>
        <w:t xml:space="preserve"> "t" test at the level of 5% significance.</w:t>
      </w:r>
    </w:p>
    <w:p w14:paraId="35771531" w14:textId="1995B6F6" w:rsidR="00AA090A" w:rsidRPr="00037ACB" w:rsidRDefault="00AA090A" w:rsidP="00776576">
      <w:pPr>
        <w:pStyle w:val="Heading2"/>
        <w:spacing w:before="0" w:after="0" w:line="480" w:lineRule="auto"/>
        <w:rPr>
          <w:i/>
        </w:rPr>
      </w:pPr>
      <w:bookmarkStart w:id="22" w:name="_Toc196315232"/>
      <w:r>
        <w:t>Results</w:t>
      </w:r>
      <w:bookmarkEnd w:id="22"/>
      <w:r w:rsidR="00766034">
        <w:t xml:space="preserve"> </w:t>
      </w:r>
    </w:p>
    <w:p w14:paraId="71A8BBAA" w14:textId="03C09335" w:rsidR="00766034" w:rsidRDefault="00766034" w:rsidP="00776576">
      <w:pPr>
        <w:pStyle w:val="Heading3"/>
        <w:spacing w:before="0" w:after="0" w:line="480" w:lineRule="auto"/>
      </w:pPr>
      <w:bookmarkStart w:id="23" w:name="_Toc196315233"/>
      <w:r w:rsidRPr="00037ACB">
        <w:t>Experiment 1</w:t>
      </w:r>
      <w:bookmarkEnd w:id="23"/>
    </w:p>
    <w:p w14:paraId="608F4482" w14:textId="5FE01710" w:rsidR="00AA090A" w:rsidRPr="00E96EE0" w:rsidRDefault="005C3A53" w:rsidP="00776576">
      <w:pPr>
        <w:pStyle w:val="Heading3"/>
        <w:spacing w:before="0" w:after="0" w:line="480" w:lineRule="auto"/>
      </w:pPr>
      <w:bookmarkStart w:id="24" w:name="_Toc196315234"/>
      <w:r w:rsidRPr="00E96EE0">
        <w:t>Shoot weight</w:t>
      </w:r>
      <w:bookmarkEnd w:id="24"/>
    </w:p>
    <w:p w14:paraId="73442456" w14:textId="4E23AC6C" w:rsidR="00AA090A" w:rsidRPr="00AA090A" w:rsidRDefault="00AA090A" w:rsidP="00776576">
      <w:pPr>
        <w:numPr>
          <w:ilvl w:val="12"/>
          <w:numId w:val="0"/>
        </w:numPr>
        <w:spacing w:line="480" w:lineRule="auto"/>
        <w:ind w:firstLine="720"/>
        <w:rPr>
          <w:rFonts w:cs="Times New Roman"/>
        </w:rPr>
      </w:pPr>
      <w:r w:rsidRPr="00AA090A">
        <w:rPr>
          <w:rFonts w:cs="Times New Roman"/>
        </w:rPr>
        <w:t xml:space="preserve">The </w:t>
      </w:r>
      <w:r w:rsidR="00766034">
        <w:rPr>
          <w:rFonts w:cs="Times New Roman"/>
        </w:rPr>
        <w:t xml:space="preserve">shoot </w:t>
      </w:r>
      <w:r w:rsidR="00AC2776">
        <w:rPr>
          <w:rFonts w:cs="Times New Roman"/>
        </w:rPr>
        <w:t>weight</w:t>
      </w:r>
      <w:r w:rsidR="002012CB">
        <w:rPr>
          <w:rFonts w:cs="Times New Roman"/>
        </w:rPr>
        <w:t xml:space="preserve"> </w:t>
      </w:r>
      <w:r w:rsidRPr="00AA090A">
        <w:rPr>
          <w:rFonts w:cs="Times New Roman"/>
        </w:rPr>
        <w:t xml:space="preserve">was affected by </w:t>
      </w:r>
      <w:r w:rsidR="008A0296">
        <w:rPr>
          <w:rFonts w:cs="Times New Roman"/>
        </w:rPr>
        <w:t xml:space="preserve">inoculation </w:t>
      </w:r>
      <w:r w:rsidR="001036ED">
        <w:rPr>
          <w:rFonts w:cs="Times New Roman"/>
        </w:rPr>
        <w:t>methods</w:t>
      </w:r>
      <w:r w:rsidRPr="00AA090A">
        <w:rPr>
          <w:rFonts w:cs="Times New Roman"/>
        </w:rPr>
        <w:t xml:space="preserve"> (</w:t>
      </w:r>
      <w:r w:rsidRPr="00B72548">
        <w:rPr>
          <w:rFonts w:cs="Times New Roman"/>
          <w:i/>
          <w:iCs/>
        </w:rPr>
        <w:t>P</w:t>
      </w:r>
      <w:r w:rsidRPr="00AA090A">
        <w:rPr>
          <w:rFonts w:cs="Times New Roman"/>
        </w:rPr>
        <w:t xml:space="preserve"> = .0</w:t>
      </w:r>
      <w:r w:rsidR="001036ED">
        <w:rPr>
          <w:rFonts w:cs="Times New Roman"/>
        </w:rPr>
        <w:t>027). Ino</w:t>
      </w:r>
      <w:r w:rsidR="00125457">
        <w:rPr>
          <w:rFonts w:cs="Times New Roman"/>
        </w:rPr>
        <w:t>culation with POW or LIQ showed a</w:t>
      </w:r>
      <w:r w:rsidR="00416510">
        <w:rPr>
          <w:rFonts w:cs="Times New Roman"/>
        </w:rPr>
        <w:t xml:space="preserve"> </w:t>
      </w:r>
      <w:r w:rsidR="00416510" w:rsidRPr="002012CB">
        <w:rPr>
          <w:rFonts w:cs="Times New Roman"/>
        </w:rPr>
        <w:t>16% and 10</w:t>
      </w:r>
      <w:r w:rsidR="006C1DF1" w:rsidRPr="002012CB">
        <w:rPr>
          <w:rFonts w:cs="Times New Roman"/>
        </w:rPr>
        <w:t>% increase</w:t>
      </w:r>
      <w:r w:rsidR="002012CB" w:rsidRPr="002012CB">
        <w:rPr>
          <w:rFonts w:cs="Times New Roman"/>
        </w:rPr>
        <w:t>, respectively,</w:t>
      </w:r>
      <w:r w:rsidR="00125457" w:rsidRPr="002012CB">
        <w:rPr>
          <w:rFonts w:cs="Times New Roman"/>
        </w:rPr>
        <w:t xml:space="preserve"> in plant </w:t>
      </w:r>
      <w:r w:rsidR="00587BD3" w:rsidRPr="002012CB">
        <w:rPr>
          <w:rFonts w:cs="Times New Roman"/>
        </w:rPr>
        <w:t>shoot weight</w:t>
      </w:r>
      <w:r w:rsidR="00587BD3">
        <w:rPr>
          <w:rFonts w:cs="Times New Roman"/>
        </w:rPr>
        <w:t xml:space="preserve"> compared to control</w:t>
      </w:r>
      <w:r w:rsidR="00636F0B">
        <w:rPr>
          <w:rFonts w:cs="Times New Roman"/>
        </w:rPr>
        <w:t xml:space="preserve"> </w:t>
      </w:r>
      <w:r w:rsidR="00416510">
        <w:rPr>
          <w:rFonts w:cs="Times New Roman"/>
        </w:rPr>
        <w:t>treatments without inoculation</w:t>
      </w:r>
      <w:r w:rsidR="009A5776">
        <w:rPr>
          <w:rFonts w:cs="Times New Roman"/>
        </w:rPr>
        <w:t xml:space="preserve"> (</w:t>
      </w:r>
      <w:r w:rsidR="008A0296" w:rsidRPr="00767A67">
        <w:rPr>
          <w:rFonts w:cs="Times New Roman"/>
          <w:b/>
          <w:bCs/>
        </w:rPr>
        <w:t xml:space="preserve">Table </w:t>
      </w:r>
      <w:r w:rsidR="009A5776" w:rsidRPr="00767A67">
        <w:rPr>
          <w:rFonts w:cs="Times New Roman"/>
          <w:b/>
          <w:bCs/>
        </w:rPr>
        <w:t>1.1</w:t>
      </w:r>
      <w:r w:rsidR="009A5776">
        <w:rPr>
          <w:rFonts w:cs="Times New Roman"/>
        </w:rPr>
        <w:t>)</w:t>
      </w:r>
      <w:r w:rsidR="00416510">
        <w:rPr>
          <w:rFonts w:cs="Times New Roman"/>
        </w:rPr>
        <w:t>.</w:t>
      </w:r>
    </w:p>
    <w:p w14:paraId="4A78F1B5" w14:textId="3D7E7753" w:rsidR="00416510" w:rsidRPr="00E96EE0" w:rsidRDefault="00416510" w:rsidP="00776576">
      <w:pPr>
        <w:pStyle w:val="Heading3"/>
        <w:spacing w:before="0" w:after="0" w:line="480" w:lineRule="auto"/>
      </w:pPr>
      <w:bookmarkStart w:id="25" w:name="_Toc196315235"/>
      <w:r w:rsidRPr="00E96EE0">
        <w:lastRenderedPageBreak/>
        <w:t>Root weight</w:t>
      </w:r>
      <w:bookmarkEnd w:id="25"/>
    </w:p>
    <w:p w14:paraId="44539952" w14:textId="378A7178" w:rsidR="009B57A5" w:rsidRPr="00037ACB" w:rsidRDefault="008A0296" w:rsidP="00776576">
      <w:pPr>
        <w:numPr>
          <w:ilvl w:val="12"/>
          <w:numId w:val="0"/>
        </w:numPr>
        <w:spacing w:line="480" w:lineRule="auto"/>
        <w:rPr>
          <w:rFonts w:cs="Times New Roman"/>
        </w:rPr>
      </w:pPr>
      <w:r>
        <w:rPr>
          <w:rFonts w:cs="Times New Roman"/>
        </w:rPr>
        <w:t>R</w:t>
      </w:r>
      <w:r w:rsidR="00416510">
        <w:rPr>
          <w:rFonts w:cs="Times New Roman"/>
        </w:rPr>
        <w:t>oot weight</w:t>
      </w:r>
      <w:r w:rsidR="00416510" w:rsidRPr="00AA090A">
        <w:rPr>
          <w:rFonts w:cs="Times New Roman"/>
        </w:rPr>
        <w:t xml:space="preserve"> was</w:t>
      </w:r>
      <w:r w:rsidR="00DE572B">
        <w:rPr>
          <w:rFonts w:cs="Times New Roman"/>
        </w:rPr>
        <w:t xml:space="preserve"> not</w:t>
      </w:r>
      <w:r w:rsidR="00416510" w:rsidRPr="00AA090A">
        <w:rPr>
          <w:rFonts w:cs="Times New Roman"/>
        </w:rPr>
        <w:t xml:space="preserve"> affected by </w:t>
      </w:r>
      <w:r w:rsidR="00EA4DBE">
        <w:rPr>
          <w:rFonts w:cs="Times New Roman"/>
        </w:rPr>
        <w:t xml:space="preserve">different </w:t>
      </w:r>
      <w:r>
        <w:rPr>
          <w:rFonts w:cs="Times New Roman"/>
        </w:rPr>
        <w:t xml:space="preserve">inoculation </w:t>
      </w:r>
      <w:r w:rsidR="00416510">
        <w:rPr>
          <w:rFonts w:cs="Times New Roman"/>
        </w:rPr>
        <w:t>methods</w:t>
      </w:r>
      <w:r w:rsidR="00EA4DBE">
        <w:rPr>
          <w:rFonts w:cs="Times New Roman"/>
        </w:rPr>
        <w:t xml:space="preserve"> containing AB-V5 and AB-V6 </w:t>
      </w:r>
      <w:proofErr w:type="spellStart"/>
      <w:r w:rsidR="00EA4DBE" w:rsidRPr="00EA4DBE">
        <w:rPr>
          <w:rFonts w:cs="Times New Roman"/>
          <w:i/>
          <w:iCs/>
        </w:rPr>
        <w:t>Azospirillum</w:t>
      </w:r>
      <w:proofErr w:type="spellEnd"/>
      <w:r w:rsidR="00EA4DBE">
        <w:rPr>
          <w:rFonts w:cs="Times New Roman"/>
        </w:rPr>
        <w:t xml:space="preserve"> strains</w:t>
      </w:r>
      <w:r w:rsidR="00EA4DBE" w:rsidRPr="00AA090A">
        <w:rPr>
          <w:rFonts w:cs="Times New Roman"/>
        </w:rPr>
        <w:t xml:space="preserve"> (</w:t>
      </w:r>
      <w:r w:rsidR="00416510" w:rsidRPr="00E96EE0">
        <w:rPr>
          <w:rFonts w:cs="Times New Roman"/>
          <w:i/>
          <w:iCs/>
        </w:rPr>
        <w:t>P</w:t>
      </w:r>
      <w:r w:rsidR="00416510" w:rsidRPr="00AA090A">
        <w:rPr>
          <w:rFonts w:cs="Times New Roman"/>
        </w:rPr>
        <w:t xml:space="preserve"> = .</w:t>
      </w:r>
      <w:r w:rsidR="00DE572B">
        <w:rPr>
          <w:rFonts w:cs="Times New Roman"/>
        </w:rPr>
        <w:t>798</w:t>
      </w:r>
      <w:r w:rsidR="00416510">
        <w:rPr>
          <w:rFonts w:cs="Times New Roman"/>
        </w:rPr>
        <w:t>)</w:t>
      </w:r>
      <w:r w:rsidR="009A5776">
        <w:rPr>
          <w:rFonts w:cs="Times New Roman"/>
        </w:rPr>
        <w:t xml:space="preserve"> (</w:t>
      </w:r>
      <w:r w:rsidRPr="00767A67">
        <w:rPr>
          <w:rFonts w:cs="Times New Roman"/>
          <w:b/>
          <w:bCs/>
        </w:rPr>
        <w:t xml:space="preserve">Table </w:t>
      </w:r>
      <w:r w:rsidR="009A5776" w:rsidRPr="00767A67">
        <w:rPr>
          <w:rFonts w:cs="Times New Roman"/>
          <w:b/>
          <w:bCs/>
        </w:rPr>
        <w:t>1.1</w:t>
      </w:r>
      <w:r w:rsidR="009A5776">
        <w:rPr>
          <w:rFonts w:cs="Times New Roman"/>
        </w:rPr>
        <w:t>).</w:t>
      </w:r>
      <w:r w:rsidR="00416510">
        <w:rPr>
          <w:rFonts w:cs="Times New Roman"/>
        </w:rPr>
        <w:t xml:space="preserve"> </w:t>
      </w:r>
    </w:p>
    <w:p w14:paraId="0A735952" w14:textId="4A995CD0" w:rsidR="00EA4DBE" w:rsidRPr="00E96EE0" w:rsidRDefault="00EA4DBE" w:rsidP="00776576">
      <w:pPr>
        <w:pStyle w:val="Heading3"/>
        <w:spacing w:before="0" w:after="0" w:line="480" w:lineRule="auto"/>
      </w:pPr>
      <w:bookmarkStart w:id="26" w:name="_Toc196315236"/>
      <w:r w:rsidRPr="00E96EE0">
        <w:t xml:space="preserve">Shoot </w:t>
      </w:r>
      <w:r w:rsidR="009F080A" w:rsidRPr="00E96EE0">
        <w:t>length</w:t>
      </w:r>
      <w:bookmarkEnd w:id="26"/>
    </w:p>
    <w:p w14:paraId="06364D79" w14:textId="07782D8C" w:rsidR="00EA4DBE" w:rsidRDefault="00EA4DBE" w:rsidP="00776576">
      <w:pPr>
        <w:numPr>
          <w:ilvl w:val="12"/>
          <w:numId w:val="0"/>
        </w:numPr>
        <w:spacing w:line="480" w:lineRule="auto"/>
        <w:ind w:firstLine="720"/>
        <w:rPr>
          <w:rFonts w:cs="Times New Roman"/>
        </w:rPr>
      </w:pPr>
      <w:r w:rsidRPr="00AA090A">
        <w:rPr>
          <w:rFonts w:cs="Times New Roman"/>
        </w:rPr>
        <w:t xml:space="preserve">The </w:t>
      </w:r>
      <w:r w:rsidR="009F080A">
        <w:rPr>
          <w:rFonts w:cs="Times New Roman"/>
        </w:rPr>
        <w:t>shoot length</w:t>
      </w:r>
      <w:r w:rsidR="002012CB">
        <w:rPr>
          <w:rFonts w:cs="Times New Roman"/>
        </w:rPr>
        <w:t xml:space="preserve"> </w:t>
      </w:r>
      <w:r w:rsidRPr="00AA090A">
        <w:rPr>
          <w:rFonts w:cs="Times New Roman"/>
        </w:rPr>
        <w:t xml:space="preserve">was affected by </w:t>
      </w:r>
      <w:r w:rsidR="009F080A">
        <w:rPr>
          <w:rFonts w:cs="Times New Roman"/>
        </w:rPr>
        <w:t xml:space="preserve">inoculation </w:t>
      </w:r>
      <w:r>
        <w:rPr>
          <w:rFonts w:cs="Times New Roman"/>
        </w:rPr>
        <w:t>methods</w:t>
      </w:r>
      <w:r w:rsidRPr="00AA090A">
        <w:rPr>
          <w:rFonts w:cs="Times New Roman"/>
        </w:rPr>
        <w:t xml:space="preserve"> (</w:t>
      </w:r>
      <w:r w:rsidRPr="00E96EE0">
        <w:rPr>
          <w:rFonts w:cs="Times New Roman"/>
          <w:i/>
          <w:iCs/>
        </w:rPr>
        <w:t xml:space="preserve">P </w:t>
      </w:r>
      <w:r w:rsidRPr="00AA090A">
        <w:rPr>
          <w:rFonts w:cs="Times New Roman"/>
        </w:rPr>
        <w:t>= .0</w:t>
      </w:r>
      <w:r w:rsidR="003D5BD0">
        <w:rPr>
          <w:rFonts w:cs="Times New Roman"/>
        </w:rPr>
        <w:t>351</w:t>
      </w:r>
      <w:r>
        <w:rPr>
          <w:rFonts w:cs="Times New Roman"/>
        </w:rPr>
        <w:t xml:space="preserve">). Inoculation with POW or LIQ showed a </w:t>
      </w:r>
      <w:r w:rsidR="006A4DAC">
        <w:rPr>
          <w:rFonts w:cs="Times New Roman"/>
        </w:rPr>
        <w:t>9</w:t>
      </w:r>
      <w:r>
        <w:rPr>
          <w:rFonts w:cs="Times New Roman"/>
        </w:rPr>
        <w:t xml:space="preserve">% and </w:t>
      </w:r>
      <w:r w:rsidR="00F35E7B">
        <w:rPr>
          <w:rFonts w:cs="Times New Roman"/>
        </w:rPr>
        <w:t>8.7</w:t>
      </w:r>
      <w:r>
        <w:rPr>
          <w:rFonts w:cs="Times New Roman"/>
        </w:rPr>
        <w:t>% increase</w:t>
      </w:r>
      <w:r w:rsidR="002012CB" w:rsidRPr="002012CB">
        <w:rPr>
          <w:rFonts w:cs="Times New Roman"/>
        </w:rPr>
        <w:t>, respectively</w:t>
      </w:r>
      <w:r w:rsidR="002012CB">
        <w:rPr>
          <w:rFonts w:cs="Times New Roman"/>
        </w:rPr>
        <w:t>,</w:t>
      </w:r>
      <w:r>
        <w:rPr>
          <w:rFonts w:cs="Times New Roman"/>
        </w:rPr>
        <w:t xml:space="preserve"> in plant shoot </w:t>
      </w:r>
      <w:r w:rsidR="009F080A">
        <w:rPr>
          <w:rFonts w:cs="Times New Roman"/>
        </w:rPr>
        <w:t>length</w:t>
      </w:r>
      <w:r>
        <w:rPr>
          <w:rFonts w:cs="Times New Roman"/>
        </w:rPr>
        <w:t xml:space="preserve"> compared to control treatments without inoculation</w:t>
      </w:r>
      <w:r w:rsidR="009A5776">
        <w:rPr>
          <w:rFonts w:cs="Times New Roman"/>
        </w:rPr>
        <w:t xml:space="preserve"> (</w:t>
      </w:r>
      <w:r w:rsidR="009F080A" w:rsidRPr="00767A67">
        <w:rPr>
          <w:rFonts w:cs="Times New Roman"/>
          <w:b/>
          <w:bCs/>
        </w:rPr>
        <w:t xml:space="preserve">Table </w:t>
      </w:r>
      <w:r w:rsidR="009A5776" w:rsidRPr="00767A67">
        <w:rPr>
          <w:rFonts w:cs="Times New Roman"/>
          <w:b/>
          <w:bCs/>
        </w:rPr>
        <w:t>1.1</w:t>
      </w:r>
      <w:r w:rsidR="009A5776">
        <w:rPr>
          <w:rFonts w:cs="Times New Roman"/>
        </w:rPr>
        <w:t>).</w:t>
      </w:r>
    </w:p>
    <w:p w14:paraId="4D797296" w14:textId="767A462B" w:rsidR="009A5776" w:rsidRPr="00E96EE0" w:rsidRDefault="009A5776" w:rsidP="00776576">
      <w:pPr>
        <w:pStyle w:val="Heading3"/>
        <w:spacing w:before="0" w:after="0" w:line="480" w:lineRule="auto"/>
      </w:pPr>
      <w:bookmarkStart w:id="27" w:name="_Toc196315237"/>
      <w:r w:rsidRPr="00E96EE0">
        <w:t>Number of tillers</w:t>
      </w:r>
      <w:bookmarkEnd w:id="27"/>
    </w:p>
    <w:p w14:paraId="479C2D0F" w14:textId="3D2D4914" w:rsidR="009A5776" w:rsidRDefault="009A5776" w:rsidP="00776576">
      <w:pPr>
        <w:numPr>
          <w:ilvl w:val="12"/>
          <w:numId w:val="0"/>
        </w:numPr>
        <w:spacing w:line="480" w:lineRule="auto"/>
        <w:ind w:firstLine="720"/>
        <w:rPr>
          <w:rFonts w:cs="Times New Roman"/>
        </w:rPr>
      </w:pPr>
      <w:r w:rsidRPr="00AA090A">
        <w:rPr>
          <w:rFonts w:cs="Times New Roman"/>
        </w:rPr>
        <w:t xml:space="preserve">The </w:t>
      </w:r>
      <w:r w:rsidR="009F080A">
        <w:rPr>
          <w:rFonts w:cs="Times New Roman"/>
        </w:rPr>
        <w:t xml:space="preserve">number </w:t>
      </w:r>
      <w:r>
        <w:rPr>
          <w:rFonts w:cs="Times New Roman"/>
        </w:rPr>
        <w:t>of tillers</w:t>
      </w:r>
      <w:r w:rsidRPr="00AA090A">
        <w:rPr>
          <w:rFonts w:cs="Times New Roman"/>
        </w:rPr>
        <w:t xml:space="preserve"> was affected by </w:t>
      </w:r>
      <w:r w:rsidR="009F080A">
        <w:rPr>
          <w:rFonts w:cs="Times New Roman"/>
        </w:rPr>
        <w:t xml:space="preserve">inoculation </w:t>
      </w:r>
      <w:r>
        <w:rPr>
          <w:rFonts w:cs="Times New Roman"/>
        </w:rPr>
        <w:t>methods</w:t>
      </w:r>
      <w:r w:rsidRPr="00AA090A">
        <w:rPr>
          <w:rFonts w:cs="Times New Roman"/>
        </w:rPr>
        <w:t xml:space="preserve"> (</w:t>
      </w:r>
      <w:r w:rsidRPr="00E96EE0">
        <w:rPr>
          <w:rFonts w:cs="Times New Roman"/>
          <w:i/>
          <w:iCs/>
        </w:rPr>
        <w:t>P</w:t>
      </w:r>
      <w:r w:rsidRPr="00AA090A">
        <w:rPr>
          <w:rFonts w:cs="Times New Roman"/>
        </w:rPr>
        <w:t xml:space="preserve"> = .0</w:t>
      </w:r>
      <w:r>
        <w:rPr>
          <w:rFonts w:cs="Times New Roman"/>
        </w:rPr>
        <w:t xml:space="preserve">266). Inoculation with POW or LIQ showed </w:t>
      </w:r>
      <w:r w:rsidR="00C623B7">
        <w:rPr>
          <w:rFonts w:cs="Times New Roman"/>
        </w:rPr>
        <w:t>an</w:t>
      </w:r>
      <w:r>
        <w:rPr>
          <w:rFonts w:cs="Times New Roman"/>
        </w:rPr>
        <w:t xml:space="preserve"> 1</w:t>
      </w:r>
      <w:r w:rsidR="00833523">
        <w:rPr>
          <w:rFonts w:cs="Times New Roman"/>
        </w:rPr>
        <w:t>1</w:t>
      </w:r>
      <w:r>
        <w:rPr>
          <w:rFonts w:cs="Times New Roman"/>
        </w:rPr>
        <w:t xml:space="preserve">% and </w:t>
      </w:r>
      <w:r w:rsidR="008765B0">
        <w:rPr>
          <w:rFonts w:cs="Times New Roman"/>
        </w:rPr>
        <w:t>3.7</w:t>
      </w:r>
      <w:r>
        <w:rPr>
          <w:rFonts w:cs="Times New Roman"/>
        </w:rPr>
        <w:t>% increase</w:t>
      </w:r>
      <w:r w:rsidR="002012CB" w:rsidRPr="002012CB">
        <w:rPr>
          <w:rFonts w:cs="Times New Roman"/>
        </w:rPr>
        <w:t>, respectively</w:t>
      </w:r>
      <w:r w:rsidR="002012CB">
        <w:rPr>
          <w:rFonts w:cs="Times New Roman"/>
        </w:rPr>
        <w:t>,</w:t>
      </w:r>
      <w:r>
        <w:rPr>
          <w:rFonts w:cs="Times New Roman"/>
        </w:rPr>
        <w:t xml:space="preserve"> in </w:t>
      </w:r>
      <w:r w:rsidR="00C623B7">
        <w:rPr>
          <w:rFonts w:cs="Times New Roman"/>
        </w:rPr>
        <w:t>the number</w:t>
      </w:r>
      <w:r w:rsidR="008765B0">
        <w:rPr>
          <w:rFonts w:cs="Times New Roman"/>
        </w:rPr>
        <w:t xml:space="preserve"> of tillers</w:t>
      </w:r>
      <w:r>
        <w:rPr>
          <w:rFonts w:cs="Times New Roman"/>
        </w:rPr>
        <w:t xml:space="preserve"> compared to control treatments without inoculation (</w:t>
      </w:r>
      <w:r w:rsidR="009F080A" w:rsidRPr="00767A67">
        <w:rPr>
          <w:rFonts w:cs="Times New Roman"/>
          <w:b/>
          <w:bCs/>
        </w:rPr>
        <w:t xml:space="preserve">Table </w:t>
      </w:r>
      <w:r w:rsidRPr="00767A67">
        <w:rPr>
          <w:rFonts w:cs="Times New Roman"/>
          <w:b/>
          <w:bCs/>
        </w:rPr>
        <w:t>1.1</w:t>
      </w:r>
      <w:r>
        <w:rPr>
          <w:rFonts w:cs="Times New Roman"/>
        </w:rPr>
        <w:t>).</w:t>
      </w:r>
    </w:p>
    <w:p w14:paraId="39BDF4FF" w14:textId="77777777" w:rsidR="00776576" w:rsidRPr="00AA090A" w:rsidRDefault="00776576" w:rsidP="00776576">
      <w:pPr>
        <w:numPr>
          <w:ilvl w:val="12"/>
          <w:numId w:val="0"/>
        </w:numPr>
        <w:spacing w:line="480" w:lineRule="auto"/>
        <w:ind w:firstLine="720"/>
        <w:rPr>
          <w:rFonts w:cs="Times New Roman"/>
        </w:rPr>
      </w:pPr>
    </w:p>
    <w:p w14:paraId="409BAE1C" w14:textId="39A0DEAE" w:rsidR="006A0D69" w:rsidRDefault="006A0D69" w:rsidP="000D1083">
      <w:pPr>
        <w:pStyle w:val="mytables"/>
      </w:pPr>
      <w:bookmarkStart w:id="28" w:name="_Toc196315443"/>
      <w:r w:rsidRPr="002012CB">
        <w:t xml:space="preserve">Table </w:t>
      </w:r>
      <w:r w:rsidR="002012CB" w:rsidRPr="002012CB">
        <w:t>1</w:t>
      </w:r>
      <w:r w:rsidR="003E1EE7" w:rsidRPr="002012CB">
        <w:t>.</w:t>
      </w:r>
      <w:fldSimple w:instr=" SEQ Table \* ARABIC \s 7 ">
        <w:r w:rsidR="00F56900">
          <w:rPr>
            <w:noProof/>
          </w:rPr>
          <w:t>1</w:t>
        </w:r>
      </w:fldSimple>
      <w:r w:rsidRPr="002012CB">
        <w:t xml:space="preserve"> </w:t>
      </w:r>
      <w:r w:rsidRPr="002012CB">
        <w:rPr>
          <w:b w:val="0"/>
          <w:bCs w:val="0"/>
        </w:rPr>
        <w:t xml:space="preserve">Variable response of shoot weight, root weight, shoot length, and number </w:t>
      </w:r>
      <w:r w:rsidR="006E17DE">
        <w:rPr>
          <w:b w:val="0"/>
          <w:bCs w:val="0"/>
        </w:rPr>
        <w:t xml:space="preserve">of </w:t>
      </w:r>
      <w:r w:rsidRPr="002012CB">
        <w:rPr>
          <w:b w:val="0"/>
          <w:bCs w:val="0"/>
        </w:rPr>
        <w:t>tillers between inoculation of powder (</w:t>
      </w:r>
      <w:proofErr w:type="spellStart"/>
      <w:r w:rsidRPr="002012CB">
        <w:rPr>
          <w:b w:val="0"/>
          <w:bCs w:val="0"/>
        </w:rPr>
        <w:t>MicroAZ</w:t>
      </w:r>
      <w:proofErr w:type="spellEnd"/>
      <w:r w:rsidRPr="002012CB">
        <w:rPr>
          <w:b w:val="0"/>
          <w:bCs w:val="0"/>
        </w:rPr>
        <w:t>-ST dry) and liquid (</w:t>
      </w:r>
      <w:proofErr w:type="spellStart"/>
      <w:r w:rsidRPr="002012CB">
        <w:rPr>
          <w:b w:val="0"/>
          <w:bCs w:val="0"/>
        </w:rPr>
        <w:t>MicroAz</w:t>
      </w:r>
      <w:proofErr w:type="spellEnd"/>
      <w:r w:rsidRPr="002012CB">
        <w:rPr>
          <w:b w:val="0"/>
          <w:bCs w:val="0"/>
        </w:rPr>
        <w:t xml:space="preserve">-ST </w:t>
      </w:r>
      <w:proofErr w:type="spellStart"/>
      <w:r w:rsidRPr="002012CB">
        <w:rPr>
          <w:b w:val="0"/>
          <w:bCs w:val="0"/>
        </w:rPr>
        <w:t>liq</w:t>
      </w:r>
      <w:proofErr w:type="spellEnd"/>
      <w:r w:rsidRPr="002012CB">
        <w:rPr>
          <w:b w:val="0"/>
          <w:bCs w:val="0"/>
        </w:rPr>
        <w:t xml:space="preserve">) </w:t>
      </w:r>
      <w:proofErr w:type="spellStart"/>
      <w:r w:rsidRPr="006E17DE">
        <w:rPr>
          <w:b w:val="0"/>
          <w:bCs w:val="0"/>
          <w:i/>
          <w:iCs/>
        </w:rPr>
        <w:t>Azospirillum</w:t>
      </w:r>
      <w:proofErr w:type="spellEnd"/>
      <w:r w:rsidRPr="002012CB">
        <w:rPr>
          <w:b w:val="0"/>
          <w:bCs w:val="0"/>
        </w:rPr>
        <w:t xml:space="preserve"> in </w:t>
      </w:r>
      <w:r w:rsidR="006E17DE">
        <w:rPr>
          <w:b w:val="0"/>
          <w:bCs w:val="0"/>
        </w:rPr>
        <w:t>b</w:t>
      </w:r>
      <w:r w:rsidRPr="002012CB">
        <w:rPr>
          <w:b w:val="0"/>
          <w:bCs w:val="0"/>
        </w:rPr>
        <w:t xml:space="preserve">ermudagrass in </w:t>
      </w:r>
      <w:r w:rsidR="00F2430B" w:rsidRPr="002012CB">
        <w:rPr>
          <w:b w:val="0"/>
          <w:bCs w:val="0"/>
        </w:rPr>
        <w:t xml:space="preserve">the </w:t>
      </w:r>
      <w:r w:rsidRPr="002012CB">
        <w:rPr>
          <w:b w:val="0"/>
          <w:bCs w:val="0"/>
        </w:rPr>
        <w:t>greenhouse.</w:t>
      </w:r>
      <w:bookmarkEnd w:id="28"/>
    </w:p>
    <w:tbl>
      <w:tblPr>
        <w:tblW w:w="8540" w:type="dxa"/>
        <w:tblLook w:val="04A0" w:firstRow="1" w:lastRow="0" w:firstColumn="1" w:lastColumn="0" w:noHBand="0" w:noVBand="1"/>
      </w:tblPr>
      <w:tblGrid>
        <w:gridCol w:w="1390"/>
        <w:gridCol w:w="1400"/>
        <w:gridCol w:w="1080"/>
        <w:gridCol w:w="2340"/>
        <w:gridCol w:w="2330"/>
      </w:tblGrid>
      <w:tr w:rsidR="00985CAA" w:rsidRPr="00772E58" w14:paraId="71E92276" w14:textId="77777777" w:rsidTr="008E4869">
        <w:trPr>
          <w:trHeight w:val="315"/>
        </w:trPr>
        <w:tc>
          <w:tcPr>
            <w:tcW w:w="1390" w:type="dxa"/>
            <w:vMerge w:val="restart"/>
            <w:tcBorders>
              <w:top w:val="single" w:sz="4" w:space="0" w:color="auto"/>
              <w:left w:val="nil"/>
              <w:bottom w:val="nil"/>
              <w:right w:val="nil"/>
            </w:tcBorders>
            <w:shd w:val="clear" w:color="auto" w:fill="auto"/>
            <w:noWrap/>
            <w:vAlign w:val="center"/>
            <w:hideMark/>
          </w:tcPr>
          <w:p w14:paraId="5793DAFE" w14:textId="77777777" w:rsidR="00985CAA" w:rsidRPr="00772E58" w:rsidRDefault="00985CAA" w:rsidP="00A05F5B">
            <w:pPr>
              <w:spacing w:line="240" w:lineRule="auto"/>
              <w:jc w:val="center"/>
              <w:rPr>
                <w:rFonts w:cs="Times New Roman"/>
                <w:color w:val="000000"/>
              </w:rPr>
            </w:pPr>
            <w:r w:rsidRPr="00772E58">
              <w:rPr>
                <w:rFonts w:cs="Times New Roman"/>
                <w:color w:val="000000"/>
              </w:rPr>
              <w:t>Treatments</w:t>
            </w:r>
          </w:p>
        </w:tc>
        <w:tc>
          <w:tcPr>
            <w:tcW w:w="1400" w:type="dxa"/>
            <w:tcBorders>
              <w:top w:val="single" w:sz="4" w:space="0" w:color="auto"/>
              <w:left w:val="nil"/>
              <w:bottom w:val="nil"/>
              <w:right w:val="nil"/>
            </w:tcBorders>
            <w:shd w:val="clear" w:color="auto" w:fill="auto"/>
            <w:noWrap/>
            <w:vAlign w:val="bottom"/>
            <w:hideMark/>
          </w:tcPr>
          <w:p w14:paraId="5E452135" w14:textId="77777777" w:rsidR="00985CAA" w:rsidRPr="00772E58" w:rsidRDefault="00985CAA" w:rsidP="00A05F5B">
            <w:pPr>
              <w:spacing w:line="240" w:lineRule="auto"/>
              <w:jc w:val="center"/>
              <w:rPr>
                <w:rFonts w:cs="Times New Roman"/>
                <w:color w:val="000000"/>
              </w:rPr>
            </w:pPr>
            <w:r w:rsidRPr="00772E58">
              <w:rPr>
                <w:rFonts w:cs="Times New Roman"/>
                <w:color w:val="000000"/>
              </w:rPr>
              <w:t>Shoot Weight</w:t>
            </w:r>
          </w:p>
        </w:tc>
        <w:tc>
          <w:tcPr>
            <w:tcW w:w="1080" w:type="dxa"/>
            <w:tcBorders>
              <w:top w:val="single" w:sz="4" w:space="0" w:color="auto"/>
              <w:left w:val="nil"/>
              <w:bottom w:val="nil"/>
              <w:right w:val="nil"/>
            </w:tcBorders>
            <w:shd w:val="clear" w:color="auto" w:fill="auto"/>
            <w:noWrap/>
            <w:vAlign w:val="bottom"/>
            <w:hideMark/>
          </w:tcPr>
          <w:p w14:paraId="1D17CD6A" w14:textId="77777777" w:rsidR="00985CAA" w:rsidRPr="00772E58" w:rsidRDefault="00985CAA" w:rsidP="00A05F5B">
            <w:pPr>
              <w:spacing w:line="240" w:lineRule="auto"/>
              <w:jc w:val="center"/>
              <w:rPr>
                <w:rFonts w:cs="Times New Roman"/>
                <w:color w:val="000000"/>
              </w:rPr>
            </w:pPr>
            <w:r w:rsidRPr="00772E58">
              <w:rPr>
                <w:rFonts w:cs="Times New Roman"/>
                <w:color w:val="000000"/>
              </w:rPr>
              <w:t>Root Weight</w:t>
            </w:r>
          </w:p>
        </w:tc>
        <w:tc>
          <w:tcPr>
            <w:tcW w:w="2340" w:type="dxa"/>
            <w:tcBorders>
              <w:top w:val="single" w:sz="4" w:space="0" w:color="auto"/>
              <w:left w:val="nil"/>
              <w:bottom w:val="nil"/>
              <w:right w:val="nil"/>
            </w:tcBorders>
            <w:shd w:val="clear" w:color="auto" w:fill="auto"/>
            <w:noWrap/>
            <w:vAlign w:val="bottom"/>
            <w:hideMark/>
          </w:tcPr>
          <w:p w14:paraId="6FF2630A" w14:textId="77777777" w:rsidR="008E4869" w:rsidRDefault="00985CAA" w:rsidP="00A05F5B">
            <w:pPr>
              <w:spacing w:line="240" w:lineRule="auto"/>
              <w:jc w:val="center"/>
              <w:rPr>
                <w:rFonts w:cs="Times New Roman"/>
                <w:color w:val="000000"/>
              </w:rPr>
            </w:pPr>
            <w:r w:rsidRPr="00772E58">
              <w:rPr>
                <w:rFonts w:cs="Times New Roman"/>
                <w:color w:val="000000"/>
              </w:rPr>
              <w:t xml:space="preserve">Shoot </w:t>
            </w:r>
          </w:p>
          <w:p w14:paraId="35302936" w14:textId="3C890786" w:rsidR="00985CAA" w:rsidRPr="00772E58" w:rsidRDefault="00985CAA" w:rsidP="00A05F5B">
            <w:pPr>
              <w:spacing w:line="240" w:lineRule="auto"/>
              <w:jc w:val="center"/>
              <w:rPr>
                <w:rFonts w:cs="Times New Roman"/>
                <w:color w:val="000000"/>
              </w:rPr>
            </w:pPr>
            <w:r w:rsidRPr="00772E58">
              <w:rPr>
                <w:rFonts w:cs="Times New Roman"/>
                <w:color w:val="000000"/>
              </w:rPr>
              <w:t>Length</w:t>
            </w:r>
          </w:p>
        </w:tc>
        <w:tc>
          <w:tcPr>
            <w:tcW w:w="2330" w:type="dxa"/>
            <w:tcBorders>
              <w:top w:val="single" w:sz="4" w:space="0" w:color="auto"/>
              <w:left w:val="nil"/>
              <w:bottom w:val="nil"/>
              <w:right w:val="nil"/>
            </w:tcBorders>
            <w:shd w:val="clear" w:color="auto" w:fill="auto"/>
            <w:noWrap/>
            <w:vAlign w:val="bottom"/>
            <w:hideMark/>
          </w:tcPr>
          <w:p w14:paraId="47A41040" w14:textId="77777777" w:rsidR="008E4869" w:rsidRDefault="00985CAA" w:rsidP="00A05F5B">
            <w:pPr>
              <w:spacing w:line="240" w:lineRule="auto"/>
              <w:jc w:val="center"/>
              <w:rPr>
                <w:rFonts w:cs="Times New Roman"/>
                <w:color w:val="000000"/>
              </w:rPr>
            </w:pPr>
            <w:r w:rsidRPr="00772E58">
              <w:rPr>
                <w:rFonts w:cs="Times New Roman"/>
                <w:color w:val="000000"/>
              </w:rPr>
              <w:t xml:space="preserve">Number </w:t>
            </w:r>
          </w:p>
          <w:p w14:paraId="13A9BDF5" w14:textId="40CE5BC9" w:rsidR="00985CAA" w:rsidRPr="00772E58" w:rsidRDefault="00985CAA" w:rsidP="00A05F5B">
            <w:pPr>
              <w:spacing w:line="240" w:lineRule="auto"/>
              <w:jc w:val="center"/>
              <w:rPr>
                <w:rFonts w:cs="Times New Roman"/>
                <w:color w:val="000000"/>
              </w:rPr>
            </w:pPr>
            <w:r w:rsidRPr="00772E58">
              <w:rPr>
                <w:rFonts w:cs="Times New Roman"/>
                <w:color w:val="000000"/>
              </w:rPr>
              <w:t>of Tillers</w:t>
            </w:r>
          </w:p>
        </w:tc>
      </w:tr>
      <w:tr w:rsidR="00985CAA" w:rsidRPr="00772E58" w14:paraId="0B8DF750" w14:textId="77777777" w:rsidTr="008E4869">
        <w:trPr>
          <w:trHeight w:val="315"/>
        </w:trPr>
        <w:tc>
          <w:tcPr>
            <w:tcW w:w="1390" w:type="dxa"/>
            <w:vMerge/>
            <w:tcBorders>
              <w:top w:val="nil"/>
              <w:left w:val="nil"/>
              <w:bottom w:val="nil"/>
              <w:right w:val="nil"/>
            </w:tcBorders>
            <w:vAlign w:val="center"/>
            <w:hideMark/>
          </w:tcPr>
          <w:p w14:paraId="17DC0D7E" w14:textId="77777777" w:rsidR="00985CAA" w:rsidRPr="00772E58" w:rsidRDefault="00985CAA" w:rsidP="00A05F5B">
            <w:pPr>
              <w:spacing w:line="240" w:lineRule="auto"/>
              <w:rPr>
                <w:rFonts w:cs="Times New Roman"/>
                <w:color w:val="000000"/>
              </w:rPr>
            </w:pPr>
          </w:p>
        </w:tc>
        <w:tc>
          <w:tcPr>
            <w:tcW w:w="2480" w:type="dxa"/>
            <w:gridSpan w:val="2"/>
            <w:tcBorders>
              <w:top w:val="nil"/>
              <w:left w:val="nil"/>
              <w:bottom w:val="nil"/>
              <w:right w:val="nil"/>
            </w:tcBorders>
            <w:shd w:val="clear" w:color="auto" w:fill="auto"/>
            <w:noWrap/>
            <w:vAlign w:val="bottom"/>
            <w:hideMark/>
          </w:tcPr>
          <w:p w14:paraId="6FFE61BA" w14:textId="1881861E" w:rsidR="00985CAA" w:rsidRPr="00772E58" w:rsidRDefault="00985CAA" w:rsidP="00A05F5B">
            <w:pPr>
              <w:spacing w:line="240" w:lineRule="auto"/>
              <w:jc w:val="center"/>
              <w:rPr>
                <w:rFonts w:cs="Times New Roman"/>
                <w:color w:val="000000"/>
              </w:rPr>
            </w:pPr>
            <w:r w:rsidRPr="00772E58">
              <w:rPr>
                <w:rFonts w:cs="Times New Roman"/>
                <w:color w:val="000000"/>
              </w:rPr>
              <w:t xml:space="preserve">-- g </w:t>
            </w:r>
            <w:r w:rsidR="00575173">
              <w:rPr>
                <w:rFonts w:cs="Times New Roman"/>
                <w:color w:val="000000"/>
              </w:rPr>
              <w:t>plant</w:t>
            </w:r>
            <w:r w:rsidR="00575173" w:rsidRPr="00575173">
              <w:rPr>
                <w:rFonts w:cs="Times New Roman"/>
                <w:color w:val="000000"/>
                <w:vertAlign w:val="superscript"/>
              </w:rPr>
              <w:t>-1</w:t>
            </w:r>
            <w:r w:rsidR="00575173">
              <w:rPr>
                <w:rFonts w:cs="Times New Roman"/>
                <w:color w:val="000000"/>
              </w:rPr>
              <w:t xml:space="preserve"> pot</w:t>
            </w:r>
            <w:r w:rsidR="00575173" w:rsidRPr="00575173">
              <w:rPr>
                <w:rFonts w:cs="Times New Roman"/>
                <w:color w:val="000000"/>
                <w:vertAlign w:val="superscript"/>
              </w:rPr>
              <w:t>-1</w:t>
            </w:r>
            <w:r w:rsidR="00575173">
              <w:rPr>
                <w:rFonts w:cs="Times New Roman"/>
                <w:color w:val="000000"/>
                <w:vertAlign w:val="superscript"/>
              </w:rPr>
              <w:t xml:space="preserve"> </w:t>
            </w:r>
            <w:r w:rsidRPr="00772E58">
              <w:rPr>
                <w:rFonts w:cs="Times New Roman"/>
                <w:color w:val="000000"/>
              </w:rPr>
              <w:t>-</w:t>
            </w:r>
            <w:r w:rsidR="00575173">
              <w:rPr>
                <w:rFonts w:cs="Times New Roman"/>
                <w:color w:val="000000"/>
              </w:rPr>
              <w:t>-</w:t>
            </w:r>
          </w:p>
        </w:tc>
        <w:tc>
          <w:tcPr>
            <w:tcW w:w="2340" w:type="dxa"/>
            <w:tcBorders>
              <w:top w:val="nil"/>
              <w:left w:val="nil"/>
              <w:bottom w:val="nil"/>
              <w:right w:val="nil"/>
            </w:tcBorders>
            <w:shd w:val="clear" w:color="auto" w:fill="auto"/>
            <w:noWrap/>
            <w:vAlign w:val="bottom"/>
            <w:hideMark/>
          </w:tcPr>
          <w:p w14:paraId="0CF81D4D" w14:textId="0A15F24E" w:rsidR="00985CAA" w:rsidRPr="00772E58" w:rsidRDefault="00985CAA" w:rsidP="00A05F5B">
            <w:pPr>
              <w:spacing w:line="240" w:lineRule="auto"/>
              <w:jc w:val="center"/>
              <w:rPr>
                <w:rFonts w:cs="Times New Roman"/>
                <w:color w:val="000000"/>
              </w:rPr>
            </w:pPr>
            <w:r w:rsidRPr="00772E58">
              <w:rPr>
                <w:rFonts w:cs="Times New Roman"/>
                <w:color w:val="000000"/>
              </w:rPr>
              <w:t xml:space="preserve">-- cm </w:t>
            </w:r>
            <w:r w:rsidR="00575173">
              <w:rPr>
                <w:rFonts w:cs="Times New Roman"/>
                <w:color w:val="000000"/>
              </w:rPr>
              <w:t>plant</w:t>
            </w:r>
            <w:r w:rsidR="00575173" w:rsidRPr="00575173">
              <w:rPr>
                <w:rFonts w:cs="Times New Roman"/>
                <w:color w:val="000000"/>
                <w:vertAlign w:val="superscript"/>
              </w:rPr>
              <w:t>-1</w:t>
            </w:r>
            <w:r w:rsidR="00575173">
              <w:rPr>
                <w:rFonts w:cs="Times New Roman"/>
                <w:color w:val="000000"/>
              </w:rPr>
              <w:t xml:space="preserve"> pot</w:t>
            </w:r>
            <w:r w:rsidR="00575173" w:rsidRPr="00575173">
              <w:rPr>
                <w:rFonts w:cs="Times New Roman"/>
                <w:color w:val="000000"/>
                <w:vertAlign w:val="superscript"/>
              </w:rPr>
              <w:t>-1</w:t>
            </w:r>
            <w:r w:rsidRPr="00772E58">
              <w:rPr>
                <w:rFonts w:cs="Times New Roman"/>
                <w:color w:val="000000"/>
              </w:rPr>
              <w:t>--</w:t>
            </w:r>
          </w:p>
        </w:tc>
        <w:tc>
          <w:tcPr>
            <w:tcW w:w="2330" w:type="dxa"/>
            <w:tcBorders>
              <w:top w:val="nil"/>
              <w:left w:val="nil"/>
              <w:bottom w:val="nil"/>
              <w:right w:val="nil"/>
            </w:tcBorders>
            <w:shd w:val="clear" w:color="auto" w:fill="auto"/>
            <w:noWrap/>
            <w:vAlign w:val="bottom"/>
            <w:hideMark/>
          </w:tcPr>
          <w:p w14:paraId="2588C8D9" w14:textId="399161D6" w:rsidR="00985CAA" w:rsidRPr="00421F15" w:rsidRDefault="00421F15" w:rsidP="00421F15">
            <w:pPr>
              <w:spacing w:line="240" w:lineRule="auto"/>
              <w:jc w:val="center"/>
              <w:rPr>
                <w:rFonts w:cs="Times New Roman"/>
                <w:color w:val="000000"/>
              </w:rPr>
            </w:pPr>
            <w:r w:rsidRPr="00421F15">
              <w:rPr>
                <w:rFonts w:cs="Times New Roman"/>
                <w:color w:val="000000"/>
              </w:rPr>
              <w:t xml:space="preserve">-- </w:t>
            </w:r>
            <w:r w:rsidR="00985CAA" w:rsidRPr="00421F15">
              <w:rPr>
                <w:rFonts w:cs="Times New Roman"/>
                <w:color w:val="000000"/>
              </w:rPr>
              <w:t>count</w:t>
            </w:r>
            <w:r w:rsidRPr="00421F15">
              <w:rPr>
                <w:rFonts w:cs="Times New Roman"/>
                <w:color w:val="000000"/>
              </w:rPr>
              <w:t xml:space="preserve"> </w:t>
            </w:r>
            <w:r w:rsidR="008E4869">
              <w:rPr>
                <w:rFonts w:cs="Times New Roman"/>
                <w:color w:val="000000"/>
              </w:rPr>
              <w:t>plant</w:t>
            </w:r>
            <w:r w:rsidR="008E4869" w:rsidRPr="00575173">
              <w:rPr>
                <w:rFonts w:cs="Times New Roman"/>
                <w:color w:val="000000"/>
                <w:vertAlign w:val="superscript"/>
              </w:rPr>
              <w:t>-1</w:t>
            </w:r>
            <w:r w:rsidR="008E4869">
              <w:rPr>
                <w:rFonts w:cs="Times New Roman"/>
                <w:color w:val="000000"/>
              </w:rPr>
              <w:t xml:space="preserve"> pot</w:t>
            </w:r>
            <w:r w:rsidR="008E4869" w:rsidRPr="00575173">
              <w:rPr>
                <w:rFonts w:cs="Times New Roman"/>
                <w:color w:val="000000"/>
                <w:vertAlign w:val="superscript"/>
              </w:rPr>
              <w:t>-1</w:t>
            </w:r>
            <w:r w:rsidRPr="00421F15">
              <w:rPr>
                <w:rFonts w:cs="Times New Roman"/>
                <w:color w:val="000000"/>
              </w:rPr>
              <w:t>--</w:t>
            </w:r>
          </w:p>
        </w:tc>
      </w:tr>
      <w:tr w:rsidR="00985CAA" w:rsidRPr="00772E58" w14:paraId="29E14F1F" w14:textId="77777777" w:rsidTr="008E4869">
        <w:trPr>
          <w:trHeight w:val="375"/>
        </w:trPr>
        <w:tc>
          <w:tcPr>
            <w:tcW w:w="1390" w:type="dxa"/>
            <w:tcBorders>
              <w:top w:val="single" w:sz="4" w:space="0" w:color="auto"/>
              <w:left w:val="nil"/>
              <w:bottom w:val="nil"/>
              <w:right w:val="nil"/>
            </w:tcBorders>
            <w:shd w:val="clear" w:color="auto" w:fill="auto"/>
            <w:noWrap/>
            <w:vAlign w:val="bottom"/>
            <w:hideMark/>
          </w:tcPr>
          <w:p w14:paraId="605580AB" w14:textId="77777777" w:rsidR="00985CAA" w:rsidRPr="00772E58" w:rsidRDefault="00985CAA" w:rsidP="00A05F5B">
            <w:pPr>
              <w:spacing w:line="240" w:lineRule="auto"/>
              <w:rPr>
                <w:rFonts w:cs="Times New Roman"/>
                <w:color w:val="000000"/>
              </w:rPr>
            </w:pPr>
            <w:r w:rsidRPr="00772E58">
              <w:rPr>
                <w:rFonts w:cs="Times New Roman"/>
                <w:color w:val="000000"/>
              </w:rPr>
              <w:t>Control</w:t>
            </w:r>
          </w:p>
        </w:tc>
        <w:tc>
          <w:tcPr>
            <w:tcW w:w="1400" w:type="dxa"/>
            <w:tcBorders>
              <w:top w:val="single" w:sz="4" w:space="0" w:color="auto"/>
              <w:left w:val="nil"/>
              <w:bottom w:val="nil"/>
              <w:right w:val="nil"/>
            </w:tcBorders>
            <w:shd w:val="clear" w:color="auto" w:fill="auto"/>
            <w:noWrap/>
            <w:vAlign w:val="bottom"/>
            <w:hideMark/>
          </w:tcPr>
          <w:p w14:paraId="4B35FA56" w14:textId="02EE3035" w:rsidR="00985CAA" w:rsidRPr="00772E58" w:rsidRDefault="00985CAA" w:rsidP="00A05F5B">
            <w:pPr>
              <w:spacing w:line="240" w:lineRule="auto"/>
              <w:jc w:val="center"/>
              <w:rPr>
                <w:rFonts w:cs="Times New Roman"/>
                <w:color w:val="000000"/>
              </w:rPr>
            </w:pPr>
            <w:r w:rsidRPr="00772E58">
              <w:rPr>
                <w:rFonts w:cs="Times New Roman"/>
                <w:color w:val="000000"/>
              </w:rPr>
              <w:t>0.</w:t>
            </w:r>
            <w:r w:rsidR="00371F8F" w:rsidRPr="00772E58">
              <w:rPr>
                <w:rFonts w:cs="Times New Roman"/>
                <w:color w:val="000000"/>
              </w:rPr>
              <w:t xml:space="preserve">6 </w:t>
            </w:r>
            <w:r w:rsidRPr="00772E58">
              <w:rPr>
                <w:rFonts w:cs="Times New Roman"/>
                <w:color w:val="000000"/>
                <w:vertAlign w:val="superscript"/>
              </w:rPr>
              <w:t>B</w:t>
            </w:r>
          </w:p>
        </w:tc>
        <w:tc>
          <w:tcPr>
            <w:tcW w:w="1080" w:type="dxa"/>
            <w:tcBorders>
              <w:top w:val="single" w:sz="4" w:space="0" w:color="auto"/>
              <w:left w:val="nil"/>
              <w:bottom w:val="nil"/>
              <w:right w:val="nil"/>
            </w:tcBorders>
            <w:shd w:val="clear" w:color="auto" w:fill="auto"/>
            <w:noWrap/>
            <w:vAlign w:val="bottom"/>
            <w:hideMark/>
          </w:tcPr>
          <w:p w14:paraId="70D18364" w14:textId="43BD0BD4" w:rsidR="00985CAA" w:rsidRPr="00772E58" w:rsidRDefault="00985CAA" w:rsidP="00A05F5B">
            <w:pPr>
              <w:spacing w:line="240" w:lineRule="auto"/>
              <w:jc w:val="center"/>
              <w:rPr>
                <w:rFonts w:cs="Times New Roman"/>
                <w:color w:val="000000"/>
              </w:rPr>
            </w:pPr>
            <w:r w:rsidRPr="00772E58">
              <w:rPr>
                <w:rFonts w:cs="Times New Roman"/>
                <w:color w:val="000000"/>
              </w:rPr>
              <w:t>0.2</w:t>
            </w:r>
          </w:p>
        </w:tc>
        <w:tc>
          <w:tcPr>
            <w:tcW w:w="2340" w:type="dxa"/>
            <w:tcBorders>
              <w:top w:val="single" w:sz="4" w:space="0" w:color="auto"/>
              <w:left w:val="nil"/>
              <w:bottom w:val="nil"/>
              <w:right w:val="nil"/>
            </w:tcBorders>
            <w:shd w:val="clear" w:color="auto" w:fill="auto"/>
            <w:noWrap/>
            <w:vAlign w:val="bottom"/>
            <w:hideMark/>
          </w:tcPr>
          <w:p w14:paraId="30AA7E7A" w14:textId="06BC0ED0" w:rsidR="00985CAA" w:rsidRPr="00772E58" w:rsidRDefault="00985CAA" w:rsidP="00A05F5B">
            <w:pPr>
              <w:spacing w:line="240" w:lineRule="auto"/>
              <w:jc w:val="center"/>
              <w:rPr>
                <w:rFonts w:cs="Times New Roman"/>
                <w:color w:val="000000"/>
              </w:rPr>
            </w:pPr>
            <w:r w:rsidRPr="00772E58">
              <w:rPr>
                <w:rFonts w:cs="Times New Roman"/>
                <w:color w:val="000000"/>
              </w:rPr>
              <w:t>23.</w:t>
            </w:r>
            <w:r w:rsidR="006E17DE">
              <w:rPr>
                <w:rFonts w:cs="Times New Roman"/>
                <w:color w:val="000000"/>
              </w:rPr>
              <w:t>2</w:t>
            </w:r>
            <w:r w:rsidRPr="00772E58">
              <w:rPr>
                <w:rFonts w:cs="Times New Roman"/>
                <w:color w:val="000000"/>
              </w:rPr>
              <w:t xml:space="preserve"> </w:t>
            </w:r>
            <w:r w:rsidRPr="00772E58">
              <w:rPr>
                <w:rFonts w:cs="Times New Roman"/>
                <w:color w:val="000000"/>
                <w:vertAlign w:val="superscript"/>
              </w:rPr>
              <w:t>B</w:t>
            </w:r>
          </w:p>
        </w:tc>
        <w:tc>
          <w:tcPr>
            <w:tcW w:w="2330" w:type="dxa"/>
            <w:tcBorders>
              <w:top w:val="single" w:sz="4" w:space="0" w:color="auto"/>
              <w:left w:val="nil"/>
              <w:bottom w:val="nil"/>
              <w:right w:val="nil"/>
            </w:tcBorders>
            <w:shd w:val="clear" w:color="auto" w:fill="auto"/>
            <w:noWrap/>
            <w:vAlign w:val="bottom"/>
            <w:hideMark/>
          </w:tcPr>
          <w:p w14:paraId="17C2DE92" w14:textId="33D3CE7C" w:rsidR="00985CAA" w:rsidRPr="00772E58" w:rsidRDefault="00985CAA" w:rsidP="00A05F5B">
            <w:pPr>
              <w:spacing w:line="240" w:lineRule="auto"/>
              <w:jc w:val="center"/>
              <w:rPr>
                <w:rFonts w:cs="Times New Roman"/>
                <w:color w:val="000000"/>
              </w:rPr>
            </w:pPr>
            <w:r w:rsidRPr="00772E58">
              <w:rPr>
                <w:rFonts w:cs="Times New Roman"/>
                <w:color w:val="000000"/>
              </w:rPr>
              <w:t xml:space="preserve">4.9 </w:t>
            </w:r>
            <w:r w:rsidRPr="00772E58">
              <w:rPr>
                <w:rFonts w:cs="Times New Roman"/>
                <w:color w:val="000000"/>
                <w:vertAlign w:val="superscript"/>
              </w:rPr>
              <w:t>B</w:t>
            </w:r>
          </w:p>
        </w:tc>
      </w:tr>
      <w:tr w:rsidR="00985CAA" w:rsidRPr="00772E58" w14:paraId="103B699E" w14:textId="77777777" w:rsidTr="008E4869">
        <w:trPr>
          <w:trHeight w:val="375"/>
        </w:trPr>
        <w:tc>
          <w:tcPr>
            <w:tcW w:w="1390" w:type="dxa"/>
            <w:tcBorders>
              <w:top w:val="nil"/>
              <w:left w:val="nil"/>
              <w:bottom w:val="nil"/>
              <w:right w:val="nil"/>
            </w:tcBorders>
            <w:shd w:val="clear" w:color="auto" w:fill="auto"/>
            <w:noWrap/>
            <w:vAlign w:val="bottom"/>
            <w:hideMark/>
          </w:tcPr>
          <w:p w14:paraId="43A5280F" w14:textId="77777777" w:rsidR="00985CAA" w:rsidRPr="00772E58" w:rsidRDefault="00985CAA" w:rsidP="00A05F5B">
            <w:pPr>
              <w:spacing w:line="240" w:lineRule="auto"/>
              <w:rPr>
                <w:rFonts w:cs="Times New Roman"/>
                <w:color w:val="000000"/>
              </w:rPr>
            </w:pPr>
            <w:r w:rsidRPr="00772E58">
              <w:rPr>
                <w:rFonts w:cs="Times New Roman"/>
                <w:color w:val="000000"/>
              </w:rPr>
              <w:t>Powder</w:t>
            </w:r>
          </w:p>
        </w:tc>
        <w:tc>
          <w:tcPr>
            <w:tcW w:w="1400" w:type="dxa"/>
            <w:tcBorders>
              <w:top w:val="nil"/>
              <w:left w:val="nil"/>
              <w:bottom w:val="nil"/>
              <w:right w:val="nil"/>
            </w:tcBorders>
            <w:shd w:val="clear" w:color="auto" w:fill="auto"/>
            <w:noWrap/>
            <w:vAlign w:val="bottom"/>
            <w:hideMark/>
          </w:tcPr>
          <w:p w14:paraId="31FEB273" w14:textId="1FDD2C03" w:rsidR="00985CAA" w:rsidRPr="00772E58" w:rsidRDefault="00985CAA" w:rsidP="00A05F5B">
            <w:pPr>
              <w:spacing w:line="240" w:lineRule="auto"/>
              <w:jc w:val="center"/>
              <w:rPr>
                <w:rFonts w:cs="Times New Roman"/>
                <w:color w:val="000000"/>
              </w:rPr>
            </w:pPr>
            <w:r w:rsidRPr="00772E58">
              <w:rPr>
                <w:rFonts w:cs="Times New Roman"/>
                <w:color w:val="000000"/>
              </w:rPr>
              <w:t xml:space="preserve">0.7 </w:t>
            </w:r>
            <w:r w:rsidRPr="00772E58">
              <w:rPr>
                <w:rFonts w:cs="Times New Roman"/>
                <w:color w:val="000000"/>
                <w:vertAlign w:val="superscript"/>
              </w:rPr>
              <w:t>A</w:t>
            </w:r>
          </w:p>
        </w:tc>
        <w:tc>
          <w:tcPr>
            <w:tcW w:w="1080" w:type="dxa"/>
            <w:tcBorders>
              <w:top w:val="nil"/>
              <w:left w:val="nil"/>
              <w:bottom w:val="nil"/>
              <w:right w:val="nil"/>
            </w:tcBorders>
            <w:shd w:val="clear" w:color="auto" w:fill="auto"/>
            <w:noWrap/>
            <w:vAlign w:val="bottom"/>
            <w:hideMark/>
          </w:tcPr>
          <w:p w14:paraId="1310A7F1" w14:textId="11FBAE5C" w:rsidR="00985CAA" w:rsidRPr="00772E58" w:rsidRDefault="00985CAA" w:rsidP="00A05F5B">
            <w:pPr>
              <w:spacing w:line="240" w:lineRule="auto"/>
              <w:jc w:val="center"/>
              <w:rPr>
                <w:rFonts w:cs="Times New Roman"/>
                <w:color w:val="000000"/>
              </w:rPr>
            </w:pPr>
            <w:r w:rsidRPr="00772E58">
              <w:rPr>
                <w:rFonts w:cs="Times New Roman"/>
                <w:color w:val="000000"/>
              </w:rPr>
              <w:t>0.</w:t>
            </w:r>
            <w:r w:rsidR="006E17DE">
              <w:rPr>
                <w:rFonts w:cs="Times New Roman"/>
                <w:color w:val="000000"/>
              </w:rPr>
              <w:t>2</w:t>
            </w:r>
          </w:p>
        </w:tc>
        <w:tc>
          <w:tcPr>
            <w:tcW w:w="2340" w:type="dxa"/>
            <w:tcBorders>
              <w:top w:val="nil"/>
              <w:left w:val="nil"/>
              <w:bottom w:val="nil"/>
              <w:right w:val="nil"/>
            </w:tcBorders>
            <w:shd w:val="clear" w:color="auto" w:fill="auto"/>
            <w:noWrap/>
            <w:vAlign w:val="bottom"/>
            <w:hideMark/>
          </w:tcPr>
          <w:p w14:paraId="01078AF1" w14:textId="4340AC31" w:rsidR="00985CAA" w:rsidRPr="00772E58" w:rsidRDefault="00985CAA" w:rsidP="00A05F5B">
            <w:pPr>
              <w:spacing w:line="240" w:lineRule="auto"/>
              <w:jc w:val="center"/>
              <w:rPr>
                <w:rFonts w:cs="Times New Roman"/>
                <w:color w:val="000000"/>
              </w:rPr>
            </w:pPr>
            <w:r w:rsidRPr="00772E58">
              <w:rPr>
                <w:rFonts w:cs="Times New Roman"/>
                <w:color w:val="000000"/>
              </w:rPr>
              <w:t xml:space="preserve">25.2 </w:t>
            </w:r>
            <w:r w:rsidRPr="00772E58">
              <w:rPr>
                <w:rFonts w:cs="Times New Roman"/>
                <w:color w:val="000000"/>
                <w:vertAlign w:val="superscript"/>
              </w:rPr>
              <w:t>A</w:t>
            </w:r>
          </w:p>
        </w:tc>
        <w:tc>
          <w:tcPr>
            <w:tcW w:w="2330" w:type="dxa"/>
            <w:tcBorders>
              <w:top w:val="nil"/>
              <w:left w:val="nil"/>
              <w:bottom w:val="nil"/>
              <w:right w:val="nil"/>
            </w:tcBorders>
            <w:shd w:val="clear" w:color="auto" w:fill="auto"/>
            <w:noWrap/>
            <w:vAlign w:val="bottom"/>
            <w:hideMark/>
          </w:tcPr>
          <w:p w14:paraId="1969F07B" w14:textId="3F055F16" w:rsidR="00985CAA" w:rsidRPr="00772E58" w:rsidRDefault="00985CAA" w:rsidP="00A05F5B">
            <w:pPr>
              <w:spacing w:line="240" w:lineRule="auto"/>
              <w:jc w:val="center"/>
              <w:rPr>
                <w:rFonts w:cs="Times New Roman"/>
                <w:color w:val="000000"/>
              </w:rPr>
            </w:pPr>
            <w:r w:rsidRPr="00772E58">
              <w:rPr>
                <w:rFonts w:cs="Times New Roman"/>
                <w:color w:val="000000"/>
              </w:rPr>
              <w:t xml:space="preserve">5.4 </w:t>
            </w:r>
            <w:r w:rsidRPr="00772E58">
              <w:rPr>
                <w:rFonts w:cs="Times New Roman"/>
                <w:color w:val="000000"/>
                <w:vertAlign w:val="superscript"/>
              </w:rPr>
              <w:t>A</w:t>
            </w:r>
          </w:p>
        </w:tc>
      </w:tr>
      <w:tr w:rsidR="00985CAA" w:rsidRPr="00772E58" w14:paraId="73B644A1" w14:textId="77777777" w:rsidTr="008E4869">
        <w:trPr>
          <w:trHeight w:val="375"/>
        </w:trPr>
        <w:tc>
          <w:tcPr>
            <w:tcW w:w="1390" w:type="dxa"/>
            <w:tcBorders>
              <w:top w:val="nil"/>
              <w:left w:val="nil"/>
              <w:bottom w:val="nil"/>
              <w:right w:val="nil"/>
            </w:tcBorders>
            <w:shd w:val="clear" w:color="auto" w:fill="auto"/>
            <w:noWrap/>
            <w:vAlign w:val="bottom"/>
            <w:hideMark/>
          </w:tcPr>
          <w:p w14:paraId="524F8397" w14:textId="77777777" w:rsidR="00985CAA" w:rsidRPr="00772E58" w:rsidRDefault="00985CAA" w:rsidP="00A05F5B">
            <w:pPr>
              <w:spacing w:line="240" w:lineRule="auto"/>
              <w:rPr>
                <w:rFonts w:cs="Times New Roman"/>
                <w:color w:val="000000"/>
              </w:rPr>
            </w:pPr>
            <w:r w:rsidRPr="00772E58">
              <w:rPr>
                <w:rFonts w:cs="Times New Roman"/>
                <w:color w:val="000000"/>
              </w:rPr>
              <w:t>Liquid</w:t>
            </w:r>
          </w:p>
        </w:tc>
        <w:tc>
          <w:tcPr>
            <w:tcW w:w="1400" w:type="dxa"/>
            <w:tcBorders>
              <w:top w:val="nil"/>
              <w:left w:val="nil"/>
              <w:bottom w:val="nil"/>
              <w:right w:val="nil"/>
            </w:tcBorders>
            <w:shd w:val="clear" w:color="auto" w:fill="auto"/>
            <w:noWrap/>
            <w:vAlign w:val="bottom"/>
            <w:hideMark/>
          </w:tcPr>
          <w:p w14:paraId="4F7807FE" w14:textId="13C5A1CF" w:rsidR="00985CAA" w:rsidRPr="00772E58" w:rsidRDefault="00985CAA" w:rsidP="00A05F5B">
            <w:pPr>
              <w:spacing w:line="240" w:lineRule="auto"/>
              <w:jc w:val="center"/>
              <w:rPr>
                <w:rFonts w:cs="Times New Roman"/>
                <w:color w:val="000000"/>
              </w:rPr>
            </w:pPr>
            <w:r w:rsidRPr="00772E58">
              <w:rPr>
                <w:rFonts w:cs="Times New Roman"/>
                <w:color w:val="000000"/>
              </w:rPr>
              <w:t>0.</w:t>
            </w:r>
            <w:r w:rsidR="006E17DE">
              <w:rPr>
                <w:rFonts w:cs="Times New Roman"/>
                <w:color w:val="000000"/>
              </w:rPr>
              <w:t>7</w:t>
            </w:r>
            <w:r w:rsidRPr="00772E58">
              <w:rPr>
                <w:rFonts w:cs="Times New Roman"/>
                <w:color w:val="000000"/>
              </w:rPr>
              <w:t xml:space="preserve"> </w:t>
            </w:r>
            <w:r w:rsidRPr="00772E58">
              <w:rPr>
                <w:rFonts w:cs="Times New Roman"/>
                <w:color w:val="000000"/>
                <w:vertAlign w:val="superscript"/>
              </w:rPr>
              <w:t>A</w:t>
            </w:r>
          </w:p>
        </w:tc>
        <w:tc>
          <w:tcPr>
            <w:tcW w:w="1080" w:type="dxa"/>
            <w:tcBorders>
              <w:top w:val="nil"/>
              <w:left w:val="nil"/>
              <w:bottom w:val="nil"/>
              <w:right w:val="nil"/>
            </w:tcBorders>
            <w:shd w:val="clear" w:color="auto" w:fill="auto"/>
            <w:noWrap/>
            <w:vAlign w:val="bottom"/>
            <w:hideMark/>
          </w:tcPr>
          <w:p w14:paraId="4AD76C0C" w14:textId="7F5CB990" w:rsidR="00985CAA" w:rsidRPr="00772E58" w:rsidRDefault="00985CAA" w:rsidP="00A05F5B">
            <w:pPr>
              <w:spacing w:line="240" w:lineRule="auto"/>
              <w:jc w:val="center"/>
              <w:rPr>
                <w:rFonts w:cs="Times New Roman"/>
                <w:color w:val="000000"/>
              </w:rPr>
            </w:pPr>
            <w:r w:rsidRPr="00772E58">
              <w:rPr>
                <w:rFonts w:cs="Times New Roman"/>
                <w:color w:val="000000"/>
              </w:rPr>
              <w:t>0.2</w:t>
            </w:r>
          </w:p>
        </w:tc>
        <w:tc>
          <w:tcPr>
            <w:tcW w:w="2340" w:type="dxa"/>
            <w:tcBorders>
              <w:top w:val="nil"/>
              <w:left w:val="nil"/>
              <w:bottom w:val="nil"/>
              <w:right w:val="nil"/>
            </w:tcBorders>
            <w:shd w:val="clear" w:color="auto" w:fill="auto"/>
            <w:noWrap/>
            <w:vAlign w:val="bottom"/>
            <w:hideMark/>
          </w:tcPr>
          <w:p w14:paraId="4558DADB" w14:textId="4878BCF2" w:rsidR="00985CAA" w:rsidRPr="00772E58" w:rsidRDefault="00985CAA" w:rsidP="00A05F5B">
            <w:pPr>
              <w:spacing w:line="240" w:lineRule="auto"/>
              <w:jc w:val="center"/>
              <w:rPr>
                <w:rFonts w:cs="Times New Roman"/>
                <w:color w:val="000000"/>
              </w:rPr>
            </w:pPr>
            <w:r w:rsidRPr="00772E58">
              <w:rPr>
                <w:rFonts w:cs="Times New Roman"/>
                <w:color w:val="000000"/>
              </w:rPr>
              <w:t>25.</w:t>
            </w:r>
            <w:r w:rsidR="00371F8F">
              <w:rPr>
                <w:rFonts w:cs="Times New Roman"/>
                <w:color w:val="000000"/>
              </w:rPr>
              <w:t>1</w:t>
            </w:r>
            <w:r w:rsidRPr="00772E58">
              <w:rPr>
                <w:rFonts w:cs="Times New Roman"/>
                <w:color w:val="000000"/>
              </w:rPr>
              <w:t xml:space="preserve"> </w:t>
            </w:r>
            <w:r w:rsidRPr="00772E58">
              <w:rPr>
                <w:rFonts w:cs="Times New Roman"/>
                <w:color w:val="000000"/>
                <w:vertAlign w:val="superscript"/>
              </w:rPr>
              <w:t>A</w:t>
            </w:r>
          </w:p>
        </w:tc>
        <w:tc>
          <w:tcPr>
            <w:tcW w:w="2330" w:type="dxa"/>
            <w:tcBorders>
              <w:top w:val="nil"/>
              <w:left w:val="nil"/>
              <w:bottom w:val="nil"/>
              <w:right w:val="nil"/>
            </w:tcBorders>
            <w:shd w:val="clear" w:color="auto" w:fill="auto"/>
            <w:noWrap/>
            <w:vAlign w:val="bottom"/>
            <w:hideMark/>
          </w:tcPr>
          <w:p w14:paraId="7CD0DCDF" w14:textId="51DB3901" w:rsidR="00985CAA" w:rsidRPr="00772E58" w:rsidRDefault="00985CAA" w:rsidP="00A05F5B">
            <w:pPr>
              <w:spacing w:line="240" w:lineRule="auto"/>
              <w:jc w:val="center"/>
              <w:rPr>
                <w:rFonts w:cs="Times New Roman"/>
                <w:color w:val="000000"/>
              </w:rPr>
            </w:pPr>
            <w:r w:rsidRPr="00772E58">
              <w:rPr>
                <w:rFonts w:cs="Times New Roman"/>
                <w:color w:val="000000"/>
              </w:rPr>
              <w:t>5.</w:t>
            </w:r>
            <w:r w:rsidR="00371F8F">
              <w:rPr>
                <w:rFonts w:cs="Times New Roman"/>
                <w:color w:val="000000"/>
              </w:rPr>
              <w:t>1</w:t>
            </w:r>
            <w:r w:rsidRPr="00772E58">
              <w:rPr>
                <w:rFonts w:cs="Times New Roman"/>
                <w:color w:val="000000"/>
              </w:rPr>
              <w:t xml:space="preserve"> </w:t>
            </w:r>
            <w:r w:rsidRPr="00772E58">
              <w:rPr>
                <w:rFonts w:cs="Times New Roman"/>
                <w:color w:val="000000"/>
                <w:vertAlign w:val="superscript"/>
              </w:rPr>
              <w:t>AB</w:t>
            </w:r>
          </w:p>
        </w:tc>
      </w:tr>
      <w:tr w:rsidR="00985CAA" w:rsidRPr="00772E58" w14:paraId="55FE3096" w14:textId="77777777" w:rsidTr="008E4869">
        <w:trPr>
          <w:trHeight w:val="315"/>
        </w:trPr>
        <w:tc>
          <w:tcPr>
            <w:tcW w:w="1390" w:type="dxa"/>
            <w:tcBorders>
              <w:top w:val="single" w:sz="4" w:space="0" w:color="auto"/>
              <w:left w:val="nil"/>
              <w:bottom w:val="nil"/>
              <w:right w:val="nil"/>
            </w:tcBorders>
            <w:shd w:val="clear" w:color="auto" w:fill="auto"/>
            <w:noWrap/>
            <w:vAlign w:val="bottom"/>
            <w:hideMark/>
          </w:tcPr>
          <w:p w14:paraId="3273CACD" w14:textId="3510CF93" w:rsidR="00985CAA" w:rsidRPr="00772E58" w:rsidRDefault="00421F15" w:rsidP="00A05F5B">
            <w:pPr>
              <w:spacing w:line="240" w:lineRule="auto"/>
              <w:rPr>
                <w:rFonts w:cs="Times New Roman"/>
                <w:color w:val="000000"/>
              </w:rPr>
            </w:pPr>
            <w:r w:rsidRPr="00421F15">
              <w:rPr>
                <w:rFonts w:cs="Times New Roman"/>
                <w:color w:val="000000"/>
                <w:vertAlign w:val="superscript"/>
              </w:rPr>
              <w:t>Ϟ</w:t>
            </w:r>
            <w:r w:rsidR="00985CAA" w:rsidRPr="00772E58">
              <w:rPr>
                <w:rFonts w:cs="Times New Roman"/>
                <w:color w:val="000000"/>
              </w:rPr>
              <w:t>SEM</w:t>
            </w:r>
          </w:p>
        </w:tc>
        <w:tc>
          <w:tcPr>
            <w:tcW w:w="1400" w:type="dxa"/>
            <w:tcBorders>
              <w:top w:val="single" w:sz="4" w:space="0" w:color="auto"/>
              <w:left w:val="nil"/>
              <w:bottom w:val="nil"/>
              <w:right w:val="nil"/>
            </w:tcBorders>
            <w:shd w:val="clear" w:color="auto" w:fill="auto"/>
            <w:noWrap/>
            <w:vAlign w:val="bottom"/>
            <w:hideMark/>
          </w:tcPr>
          <w:p w14:paraId="1F37ED1F" w14:textId="77777777" w:rsidR="00985CAA" w:rsidRPr="00772E58" w:rsidRDefault="00985CAA" w:rsidP="00A05F5B">
            <w:pPr>
              <w:spacing w:line="240" w:lineRule="auto"/>
              <w:jc w:val="center"/>
              <w:rPr>
                <w:rFonts w:cs="Times New Roman"/>
                <w:i/>
                <w:iCs/>
                <w:color w:val="000000"/>
              </w:rPr>
            </w:pPr>
            <w:r w:rsidRPr="00772E58">
              <w:rPr>
                <w:rFonts w:cs="Times New Roman"/>
                <w:i/>
                <w:iCs/>
                <w:color w:val="000000"/>
              </w:rPr>
              <w:t>0.02</w:t>
            </w:r>
          </w:p>
        </w:tc>
        <w:tc>
          <w:tcPr>
            <w:tcW w:w="1080" w:type="dxa"/>
            <w:tcBorders>
              <w:top w:val="single" w:sz="4" w:space="0" w:color="auto"/>
              <w:left w:val="nil"/>
              <w:bottom w:val="nil"/>
              <w:right w:val="nil"/>
            </w:tcBorders>
            <w:shd w:val="clear" w:color="auto" w:fill="auto"/>
            <w:noWrap/>
            <w:vAlign w:val="bottom"/>
            <w:hideMark/>
          </w:tcPr>
          <w:p w14:paraId="3F907F26" w14:textId="77777777" w:rsidR="00985CAA" w:rsidRPr="00772E58" w:rsidRDefault="00985CAA" w:rsidP="00A05F5B">
            <w:pPr>
              <w:spacing w:line="240" w:lineRule="auto"/>
              <w:jc w:val="center"/>
              <w:rPr>
                <w:rFonts w:cs="Times New Roman"/>
                <w:i/>
                <w:iCs/>
                <w:color w:val="000000"/>
              </w:rPr>
            </w:pPr>
            <w:r w:rsidRPr="00772E58">
              <w:rPr>
                <w:rFonts w:cs="Times New Roman"/>
                <w:i/>
                <w:iCs/>
                <w:color w:val="000000"/>
              </w:rPr>
              <w:t>0.01</w:t>
            </w:r>
          </w:p>
        </w:tc>
        <w:tc>
          <w:tcPr>
            <w:tcW w:w="2340" w:type="dxa"/>
            <w:tcBorders>
              <w:top w:val="single" w:sz="4" w:space="0" w:color="auto"/>
              <w:left w:val="nil"/>
              <w:bottom w:val="nil"/>
              <w:right w:val="nil"/>
            </w:tcBorders>
            <w:shd w:val="clear" w:color="auto" w:fill="auto"/>
            <w:noWrap/>
            <w:vAlign w:val="bottom"/>
            <w:hideMark/>
          </w:tcPr>
          <w:p w14:paraId="256ABA2F" w14:textId="77777777" w:rsidR="00985CAA" w:rsidRPr="00772E58" w:rsidRDefault="00985CAA" w:rsidP="00A05F5B">
            <w:pPr>
              <w:spacing w:line="240" w:lineRule="auto"/>
              <w:jc w:val="center"/>
              <w:rPr>
                <w:rFonts w:cs="Times New Roman"/>
                <w:i/>
                <w:iCs/>
                <w:color w:val="000000"/>
              </w:rPr>
            </w:pPr>
            <w:r w:rsidRPr="00772E58">
              <w:rPr>
                <w:rFonts w:cs="Times New Roman"/>
                <w:i/>
                <w:iCs/>
                <w:color w:val="000000"/>
              </w:rPr>
              <w:t>0.67</w:t>
            </w:r>
          </w:p>
        </w:tc>
        <w:tc>
          <w:tcPr>
            <w:tcW w:w="2330" w:type="dxa"/>
            <w:tcBorders>
              <w:top w:val="single" w:sz="4" w:space="0" w:color="auto"/>
              <w:left w:val="nil"/>
              <w:bottom w:val="nil"/>
              <w:right w:val="nil"/>
            </w:tcBorders>
            <w:shd w:val="clear" w:color="auto" w:fill="auto"/>
            <w:noWrap/>
            <w:vAlign w:val="bottom"/>
            <w:hideMark/>
          </w:tcPr>
          <w:p w14:paraId="0A756DB3" w14:textId="77777777" w:rsidR="00985CAA" w:rsidRPr="00772E58" w:rsidRDefault="00985CAA" w:rsidP="00A05F5B">
            <w:pPr>
              <w:spacing w:line="240" w:lineRule="auto"/>
              <w:jc w:val="center"/>
              <w:rPr>
                <w:rFonts w:cs="Times New Roman"/>
                <w:i/>
                <w:iCs/>
                <w:color w:val="000000"/>
              </w:rPr>
            </w:pPr>
            <w:r w:rsidRPr="00772E58">
              <w:rPr>
                <w:rFonts w:cs="Times New Roman"/>
                <w:i/>
                <w:iCs/>
                <w:color w:val="000000"/>
              </w:rPr>
              <w:t>0.15</w:t>
            </w:r>
          </w:p>
        </w:tc>
      </w:tr>
      <w:tr w:rsidR="00985CAA" w:rsidRPr="00772E58" w14:paraId="53BD1CB2" w14:textId="77777777" w:rsidTr="008E4869">
        <w:trPr>
          <w:trHeight w:val="315"/>
        </w:trPr>
        <w:tc>
          <w:tcPr>
            <w:tcW w:w="1390" w:type="dxa"/>
            <w:tcBorders>
              <w:top w:val="nil"/>
              <w:left w:val="nil"/>
              <w:bottom w:val="single" w:sz="4" w:space="0" w:color="auto"/>
              <w:right w:val="nil"/>
            </w:tcBorders>
            <w:shd w:val="clear" w:color="auto" w:fill="auto"/>
            <w:noWrap/>
            <w:vAlign w:val="bottom"/>
            <w:hideMark/>
          </w:tcPr>
          <w:p w14:paraId="139ACC0D" w14:textId="77777777" w:rsidR="00985CAA" w:rsidRPr="00772E58" w:rsidRDefault="00985CAA" w:rsidP="00A05F5B">
            <w:pPr>
              <w:spacing w:line="240" w:lineRule="auto"/>
              <w:rPr>
                <w:rFonts w:cs="Times New Roman"/>
                <w:color w:val="000000"/>
              </w:rPr>
            </w:pPr>
            <w:r w:rsidRPr="00772E58">
              <w:rPr>
                <w:rFonts w:cs="Times New Roman"/>
                <w:i/>
                <w:iCs/>
                <w:color w:val="000000"/>
              </w:rPr>
              <w:t>P</w:t>
            </w:r>
            <w:r w:rsidRPr="00772E58">
              <w:rPr>
                <w:rFonts w:cs="Times New Roman"/>
                <w:color w:val="000000"/>
              </w:rPr>
              <w:t>-value</w:t>
            </w:r>
          </w:p>
        </w:tc>
        <w:tc>
          <w:tcPr>
            <w:tcW w:w="1400" w:type="dxa"/>
            <w:tcBorders>
              <w:top w:val="nil"/>
              <w:left w:val="nil"/>
              <w:bottom w:val="single" w:sz="4" w:space="0" w:color="auto"/>
              <w:right w:val="nil"/>
            </w:tcBorders>
            <w:shd w:val="clear" w:color="auto" w:fill="auto"/>
            <w:noWrap/>
            <w:vAlign w:val="bottom"/>
            <w:hideMark/>
          </w:tcPr>
          <w:p w14:paraId="3492D53B" w14:textId="77777777" w:rsidR="00985CAA" w:rsidRPr="00772E58" w:rsidRDefault="00985CAA" w:rsidP="00A05F5B">
            <w:pPr>
              <w:spacing w:line="240" w:lineRule="auto"/>
              <w:jc w:val="center"/>
              <w:rPr>
                <w:rFonts w:cs="Times New Roman"/>
                <w:i/>
                <w:iCs/>
                <w:color w:val="000000"/>
              </w:rPr>
            </w:pPr>
            <w:r w:rsidRPr="00772E58">
              <w:rPr>
                <w:rFonts w:cs="Times New Roman"/>
                <w:i/>
                <w:iCs/>
                <w:color w:val="000000"/>
              </w:rPr>
              <w:t>0.0027</w:t>
            </w:r>
          </w:p>
        </w:tc>
        <w:tc>
          <w:tcPr>
            <w:tcW w:w="1080" w:type="dxa"/>
            <w:tcBorders>
              <w:top w:val="nil"/>
              <w:left w:val="nil"/>
              <w:bottom w:val="single" w:sz="4" w:space="0" w:color="auto"/>
              <w:right w:val="nil"/>
            </w:tcBorders>
            <w:shd w:val="clear" w:color="auto" w:fill="auto"/>
            <w:noWrap/>
            <w:vAlign w:val="bottom"/>
            <w:hideMark/>
          </w:tcPr>
          <w:p w14:paraId="000B0F5B" w14:textId="77777777" w:rsidR="00985CAA" w:rsidRPr="00772E58" w:rsidRDefault="00985CAA" w:rsidP="00A05F5B">
            <w:pPr>
              <w:spacing w:line="240" w:lineRule="auto"/>
              <w:jc w:val="center"/>
              <w:rPr>
                <w:rFonts w:cs="Times New Roman"/>
                <w:i/>
                <w:iCs/>
                <w:color w:val="000000"/>
              </w:rPr>
            </w:pPr>
            <w:r w:rsidRPr="00772E58">
              <w:rPr>
                <w:rFonts w:cs="Times New Roman"/>
                <w:i/>
                <w:iCs/>
                <w:color w:val="000000"/>
              </w:rPr>
              <w:t>0.7980</w:t>
            </w:r>
          </w:p>
        </w:tc>
        <w:tc>
          <w:tcPr>
            <w:tcW w:w="2340" w:type="dxa"/>
            <w:tcBorders>
              <w:top w:val="nil"/>
              <w:left w:val="nil"/>
              <w:bottom w:val="single" w:sz="4" w:space="0" w:color="auto"/>
              <w:right w:val="nil"/>
            </w:tcBorders>
            <w:shd w:val="clear" w:color="auto" w:fill="auto"/>
            <w:noWrap/>
            <w:vAlign w:val="bottom"/>
            <w:hideMark/>
          </w:tcPr>
          <w:p w14:paraId="4358BE25" w14:textId="77777777" w:rsidR="00985CAA" w:rsidRPr="00772E58" w:rsidRDefault="00985CAA" w:rsidP="00A05F5B">
            <w:pPr>
              <w:spacing w:line="240" w:lineRule="auto"/>
              <w:jc w:val="center"/>
              <w:rPr>
                <w:rFonts w:cs="Times New Roman"/>
                <w:i/>
                <w:iCs/>
                <w:color w:val="000000"/>
              </w:rPr>
            </w:pPr>
            <w:r w:rsidRPr="00772E58">
              <w:rPr>
                <w:rFonts w:cs="Times New Roman"/>
                <w:i/>
                <w:iCs/>
                <w:color w:val="000000"/>
              </w:rPr>
              <w:t>0.0351</w:t>
            </w:r>
          </w:p>
        </w:tc>
        <w:tc>
          <w:tcPr>
            <w:tcW w:w="2330" w:type="dxa"/>
            <w:tcBorders>
              <w:top w:val="nil"/>
              <w:left w:val="nil"/>
              <w:bottom w:val="single" w:sz="4" w:space="0" w:color="auto"/>
              <w:right w:val="nil"/>
            </w:tcBorders>
            <w:shd w:val="clear" w:color="auto" w:fill="auto"/>
            <w:noWrap/>
            <w:vAlign w:val="bottom"/>
            <w:hideMark/>
          </w:tcPr>
          <w:p w14:paraId="3E83721A" w14:textId="77777777" w:rsidR="00985CAA" w:rsidRPr="00772E58" w:rsidRDefault="00985CAA" w:rsidP="00A05F5B">
            <w:pPr>
              <w:spacing w:line="240" w:lineRule="auto"/>
              <w:jc w:val="center"/>
              <w:rPr>
                <w:rFonts w:cs="Times New Roman"/>
                <w:i/>
                <w:iCs/>
                <w:color w:val="000000"/>
              </w:rPr>
            </w:pPr>
            <w:r w:rsidRPr="00772E58">
              <w:rPr>
                <w:rFonts w:cs="Times New Roman"/>
                <w:i/>
                <w:iCs/>
                <w:color w:val="000000"/>
              </w:rPr>
              <w:t>0.0266</w:t>
            </w:r>
          </w:p>
        </w:tc>
      </w:tr>
      <w:tr w:rsidR="00985CAA" w:rsidRPr="00772E58" w14:paraId="19165E90" w14:textId="77777777" w:rsidTr="00A05F5B">
        <w:trPr>
          <w:trHeight w:val="315"/>
        </w:trPr>
        <w:tc>
          <w:tcPr>
            <w:tcW w:w="8540" w:type="dxa"/>
            <w:gridSpan w:val="5"/>
            <w:tcBorders>
              <w:top w:val="nil"/>
              <w:left w:val="nil"/>
              <w:bottom w:val="nil"/>
              <w:right w:val="nil"/>
            </w:tcBorders>
            <w:shd w:val="clear" w:color="auto" w:fill="auto"/>
            <w:noWrap/>
            <w:vAlign w:val="bottom"/>
            <w:hideMark/>
          </w:tcPr>
          <w:p w14:paraId="1902BCEC" w14:textId="2B0FF900" w:rsidR="00985CAA" w:rsidRPr="00772E58" w:rsidRDefault="00985CAA" w:rsidP="00A05F5B">
            <w:pPr>
              <w:spacing w:line="240" w:lineRule="auto"/>
              <w:rPr>
                <w:rFonts w:cs="Times New Roman"/>
                <w:color w:val="000000"/>
              </w:rPr>
            </w:pPr>
            <w:r w:rsidRPr="00772E58">
              <w:rPr>
                <w:rFonts w:cs="Times New Roman"/>
                <w:color w:val="000000"/>
              </w:rPr>
              <w:t xml:space="preserve">Means with a common uppercase letter are not significant at an </w:t>
            </w:r>
            <w:r w:rsidR="006E17DE">
              <w:rPr>
                <w:rFonts w:cs="Times New Roman"/>
                <w:color w:val="000000"/>
              </w:rPr>
              <w:t xml:space="preserve">α = </w:t>
            </w:r>
            <w:r w:rsidRPr="00772E58">
              <w:rPr>
                <w:rFonts w:cs="Times New Roman"/>
                <w:color w:val="000000"/>
              </w:rPr>
              <w:t>0.05</w:t>
            </w:r>
          </w:p>
        </w:tc>
      </w:tr>
      <w:tr w:rsidR="00985CAA" w:rsidRPr="00772E58" w14:paraId="6426466C" w14:textId="77777777" w:rsidTr="008E4869">
        <w:trPr>
          <w:trHeight w:val="315"/>
        </w:trPr>
        <w:tc>
          <w:tcPr>
            <w:tcW w:w="3870" w:type="dxa"/>
            <w:gridSpan w:val="3"/>
            <w:tcBorders>
              <w:top w:val="nil"/>
              <w:left w:val="nil"/>
              <w:bottom w:val="nil"/>
              <w:right w:val="nil"/>
            </w:tcBorders>
            <w:shd w:val="clear" w:color="auto" w:fill="auto"/>
            <w:noWrap/>
            <w:vAlign w:val="bottom"/>
            <w:hideMark/>
          </w:tcPr>
          <w:p w14:paraId="0A366FF7" w14:textId="720E9902" w:rsidR="00985CAA" w:rsidRPr="00772E58" w:rsidRDefault="00421F15" w:rsidP="00A05F5B">
            <w:pPr>
              <w:spacing w:line="240" w:lineRule="auto"/>
              <w:rPr>
                <w:rFonts w:cs="Times New Roman"/>
                <w:color w:val="000000"/>
              </w:rPr>
            </w:pPr>
            <w:r w:rsidRPr="00421F15">
              <w:rPr>
                <w:rFonts w:cs="Times New Roman"/>
                <w:color w:val="000000"/>
                <w:vertAlign w:val="superscript"/>
              </w:rPr>
              <w:t>Ϟ</w:t>
            </w:r>
            <w:r w:rsidR="00985CAA" w:rsidRPr="00772E58">
              <w:rPr>
                <w:rFonts w:cs="Times New Roman"/>
                <w:color w:val="000000"/>
              </w:rPr>
              <w:t>SEM, Standard Error of the Mean</w:t>
            </w:r>
          </w:p>
        </w:tc>
        <w:tc>
          <w:tcPr>
            <w:tcW w:w="2340" w:type="dxa"/>
            <w:tcBorders>
              <w:top w:val="nil"/>
              <w:left w:val="nil"/>
              <w:bottom w:val="nil"/>
              <w:right w:val="nil"/>
            </w:tcBorders>
            <w:shd w:val="clear" w:color="auto" w:fill="auto"/>
            <w:noWrap/>
            <w:vAlign w:val="bottom"/>
            <w:hideMark/>
          </w:tcPr>
          <w:p w14:paraId="65720C4D" w14:textId="77777777" w:rsidR="00985CAA" w:rsidRPr="00772E58" w:rsidRDefault="00985CAA" w:rsidP="00A05F5B">
            <w:pPr>
              <w:spacing w:line="240" w:lineRule="auto"/>
              <w:rPr>
                <w:rFonts w:cs="Times New Roman"/>
                <w:color w:val="000000"/>
              </w:rPr>
            </w:pPr>
          </w:p>
        </w:tc>
        <w:tc>
          <w:tcPr>
            <w:tcW w:w="2330" w:type="dxa"/>
            <w:tcBorders>
              <w:top w:val="nil"/>
              <w:left w:val="nil"/>
              <w:bottom w:val="nil"/>
              <w:right w:val="nil"/>
            </w:tcBorders>
            <w:shd w:val="clear" w:color="auto" w:fill="auto"/>
            <w:noWrap/>
            <w:vAlign w:val="bottom"/>
            <w:hideMark/>
          </w:tcPr>
          <w:p w14:paraId="634EE14E" w14:textId="77777777" w:rsidR="00985CAA" w:rsidRPr="00772E58" w:rsidRDefault="00985CAA" w:rsidP="00A05F5B">
            <w:pPr>
              <w:spacing w:line="240" w:lineRule="auto"/>
              <w:rPr>
                <w:rFonts w:cs="Times New Roman"/>
                <w:sz w:val="20"/>
                <w:szCs w:val="20"/>
              </w:rPr>
            </w:pPr>
          </w:p>
        </w:tc>
      </w:tr>
      <w:tr w:rsidR="00985CAA" w:rsidRPr="00772E58" w14:paraId="57A3A573" w14:textId="77777777" w:rsidTr="00A05F5B">
        <w:trPr>
          <w:trHeight w:val="600"/>
        </w:trPr>
        <w:tc>
          <w:tcPr>
            <w:tcW w:w="8540" w:type="dxa"/>
            <w:gridSpan w:val="5"/>
            <w:tcBorders>
              <w:top w:val="nil"/>
              <w:left w:val="nil"/>
              <w:bottom w:val="nil"/>
              <w:right w:val="nil"/>
            </w:tcBorders>
            <w:shd w:val="clear" w:color="auto" w:fill="auto"/>
            <w:vAlign w:val="bottom"/>
            <w:hideMark/>
          </w:tcPr>
          <w:p w14:paraId="2B689C50" w14:textId="77777777" w:rsidR="00985CAA" w:rsidRDefault="00985CAA" w:rsidP="00A05F5B">
            <w:pPr>
              <w:spacing w:line="240" w:lineRule="auto"/>
              <w:rPr>
                <w:rFonts w:cs="Times New Roman"/>
                <w:color w:val="000000"/>
              </w:rPr>
            </w:pPr>
            <w:r w:rsidRPr="00772E58">
              <w:rPr>
                <w:rFonts w:cs="Times New Roman"/>
                <w:i/>
                <w:iCs/>
                <w:color w:val="000000"/>
              </w:rPr>
              <w:t>Note:</w:t>
            </w:r>
            <w:r w:rsidRPr="00772E58">
              <w:rPr>
                <w:rFonts w:cs="Times New Roman"/>
                <w:color w:val="000000"/>
              </w:rPr>
              <w:t xml:space="preserve"> Control </w:t>
            </w:r>
            <w:r>
              <w:rPr>
                <w:rFonts w:cs="Times New Roman"/>
                <w:color w:val="000000"/>
              </w:rPr>
              <w:t>=</w:t>
            </w:r>
            <w:r w:rsidRPr="00772E58">
              <w:rPr>
                <w:rFonts w:cs="Times New Roman"/>
                <w:color w:val="000000"/>
              </w:rPr>
              <w:t xml:space="preserve"> no inoculation, Powder = dry inoculation/</w:t>
            </w:r>
            <w:proofErr w:type="spellStart"/>
            <w:r w:rsidRPr="00772E58">
              <w:rPr>
                <w:rFonts w:cs="Times New Roman"/>
                <w:color w:val="000000"/>
              </w:rPr>
              <w:t>MicroAZ</w:t>
            </w:r>
            <w:proofErr w:type="spellEnd"/>
            <w:r w:rsidRPr="00772E58">
              <w:rPr>
                <w:rFonts w:cs="Times New Roman"/>
                <w:color w:val="000000"/>
              </w:rPr>
              <w:t xml:space="preserve">-ST dry, </w:t>
            </w:r>
          </w:p>
          <w:p w14:paraId="6741854C" w14:textId="77777777" w:rsidR="00985CAA" w:rsidRPr="00772E58" w:rsidRDefault="00985CAA" w:rsidP="00A05F5B">
            <w:pPr>
              <w:spacing w:line="240" w:lineRule="auto"/>
              <w:rPr>
                <w:rFonts w:cs="Times New Roman"/>
                <w:color w:val="000000"/>
              </w:rPr>
            </w:pPr>
            <w:r w:rsidRPr="00772E58">
              <w:rPr>
                <w:rFonts w:cs="Times New Roman"/>
                <w:color w:val="000000"/>
              </w:rPr>
              <w:t>Liquid = liquid inoculation/</w:t>
            </w:r>
            <w:proofErr w:type="spellStart"/>
            <w:r w:rsidRPr="00772E58">
              <w:rPr>
                <w:rFonts w:cs="Times New Roman"/>
                <w:color w:val="000000"/>
              </w:rPr>
              <w:t>MicroAZ</w:t>
            </w:r>
            <w:proofErr w:type="spellEnd"/>
            <w:r w:rsidRPr="00772E58">
              <w:rPr>
                <w:rFonts w:cs="Times New Roman"/>
                <w:color w:val="000000"/>
              </w:rPr>
              <w:t xml:space="preserve">-ST - </w:t>
            </w:r>
            <w:proofErr w:type="spellStart"/>
            <w:r w:rsidRPr="00772E58">
              <w:rPr>
                <w:rFonts w:cs="Times New Roman"/>
                <w:color w:val="000000"/>
              </w:rPr>
              <w:t>liq</w:t>
            </w:r>
            <w:proofErr w:type="spellEnd"/>
          </w:p>
        </w:tc>
      </w:tr>
    </w:tbl>
    <w:p w14:paraId="53747A8B" w14:textId="3F7A4616" w:rsidR="009B1D17" w:rsidRDefault="009B1D17" w:rsidP="009B1D17">
      <w:pPr>
        <w:keepNext/>
        <w:numPr>
          <w:ilvl w:val="2"/>
          <w:numId w:val="0"/>
        </w:numPr>
        <w:spacing w:line="480" w:lineRule="auto"/>
        <w:outlineLvl w:val="2"/>
        <w:rPr>
          <w:rFonts w:cs="Times New Roman"/>
          <w:b/>
          <w:bCs/>
          <w:i/>
        </w:rPr>
      </w:pPr>
      <w:r>
        <w:rPr>
          <w:rFonts w:cs="Times New Roman"/>
          <w:b/>
          <w:bCs/>
          <w:i/>
        </w:rPr>
        <w:br w:type="page"/>
      </w:r>
    </w:p>
    <w:p w14:paraId="59633AD4" w14:textId="0F2D2F19" w:rsidR="00766034" w:rsidRDefault="00766034" w:rsidP="00776576">
      <w:pPr>
        <w:keepNext/>
        <w:numPr>
          <w:ilvl w:val="2"/>
          <w:numId w:val="0"/>
        </w:numPr>
        <w:spacing w:line="480" w:lineRule="auto"/>
        <w:outlineLvl w:val="2"/>
        <w:rPr>
          <w:rFonts w:cs="Times New Roman"/>
          <w:b/>
          <w:bCs/>
          <w:i/>
        </w:rPr>
      </w:pPr>
      <w:bookmarkStart w:id="29" w:name="_Toc196315238"/>
      <w:r w:rsidRPr="00037ACB">
        <w:rPr>
          <w:rFonts w:cs="Times New Roman"/>
          <w:b/>
          <w:bCs/>
          <w:i/>
        </w:rPr>
        <w:lastRenderedPageBreak/>
        <w:t xml:space="preserve">Experiment </w:t>
      </w:r>
      <w:r>
        <w:rPr>
          <w:rFonts w:cs="Times New Roman"/>
          <w:b/>
          <w:bCs/>
          <w:i/>
        </w:rPr>
        <w:t>2</w:t>
      </w:r>
      <w:bookmarkEnd w:id="29"/>
    </w:p>
    <w:p w14:paraId="3341CB32" w14:textId="481C3080" w:rsidR="00A27164" w:rsidRPr="002012CB" w:rsidRDefault="00A27164" w:rsidP="00776576">
      <w:pPr>
        <w:pStyle w:val="Heading3"/>
        <w:spacing w:before="0" w:after="0" w:line="480" w:lineRule="auto"/>
      </w:pPr>
      <w:bookmarkStart w:id="30" w:name="_Toc196315239"/>
      <w:r w:rsidRPr="002012CB">
        <w:t>Shoot weight</w:t>
      </w:r>
      <w:bookmarkEnd w:id="30"/>
    </w:p>
    <w:p w14:paraId="1F72AF22" w14:textId="2FBEF7F8" w:rsidR="00A27164" w:rsidRPr="00037ACB" w:rsidRDefault="00A27164" w:rsidP="00776576">
      <w:pPr>
        <w:numPr>
          <w:ilvl w:val="12"/>
          <w:numId w:val="0"/>
        </w:numPr>
        <w:spacing w:line="480" w:lineRule="auto"/>
        <w:ind w:firstLine="720"/>
        <w:rPr>
          <w:rFonts w:cs="Times New Roman"/>
        </w:rPr>
      </w:pPr>
      <w:r w:rsidRPr="002012CB">
        <w:rPr>
          <w:rFonts w:cs="Times New Roman"/>
        </w:rPr>
        <w:t>The values for shoot weight</w:t>
      </w:r>
      <w:r w:rsidRPr="00AA090A">
        <w:rPr>
          <w:rFonts w:cs="Times New Roman"/>
        </w:rPr>
        <w:t xml:space="preserve"> w</w:t>
      </w:r>
      <w:r w:rsidR="00F2430B">
        <w:rPr>
          <w:rFonts w:cs="Times New Roman"/>
        </w:rPr>
        <w:t>ere</w:t>
      </w:r>
      <w:r>
        <w:rPr>
          <w:rFonts w:cs="Times New Roman"/>
        </w:rPr>
        <w:t xml:space="preserve"> not</w:t>
      </w:r>
      <w:r w:rsidRPr="00AA090A">
        <w:rPr>
          <w:rFonts w:cs="Times New Roman"/>
        </w:rPr>
        <w:t xml:space="preserve"> affected by </w:t>
      </w:r>
      <w:r>
        <w:rPr>
          <w:rFonts w:cs="Times New Roman"/>
        </w:rPr>
        <w:t xml:space="preserve">different </w:t>
      </w:r>
      <w:r w:rsidR="00766034">
        <w:rPr>
          <w:rFonts w:cs="Times New Roman"/>
        </w:rPr>
        <w:t xml:space="preserve">inoculation </w:t>
      </w:r>
      <w:r>
        <w:rPr>
          <w:rFonts w:cs="Times New Roman"/>
        </w:rPr>
        <w:t xml:space="preserve">methods containing AB-V5 and AB-V6 </w:t>
      </w:r>
      <w:proofErr w:type="spellStart"/>
      <w:r w:rsidRPr="00EA4DBE">
        <w:rPr>
          <w:rFonts w:cs="Times New Roman"/>
          <w:i/>
          <w:iCs/>
        </w:rPr>
        <w:t>Azospirillum</w:t>
      </w:r>
      <w:proofErr w:type="spellEnd"/>
      <w:r>
        <w:rPr>
          <w:rFonts w:cs="Times New Roman"/>
        </w:rPr>
        <w:t xml:space="preserve"> strains</w:t>
      </w:r>
      <w:r w:rsidRPr="00AA090A">
        <w:rPr>
          <w:rFonts w:cs="Times New Roman"/>
        </w:rPr>
        <w:t xml:space="preserve"> </w:t>
      </w:r>
      <w:r>
        <w:rPr>
          <w:rFonts w:cs="Times New Roman"/>
        </w:rPr>
        <w:t xml:space="preserve">and </w:t>
      </w:r>
      <w:r w:rsidR="00BF331C">
        <w:rPr>
          <w:rFonts w:cs="Times New Roman"/>
        </w:rPr>
        <w:t xml:space="preserve">rates of nitrogen </w:t>
      </w:r>
      <w:r w:rsidRPr="00AA090A">
        <w:rPr>
          <w:rFonts w:cs="Times New Roman"/>
        </w:rPr>
        <w:t>(</w:t>
      </w:r>
      <w:r w:rsidRPr="00E96EE0">
        <w:rPr>
          <w:rFonts w:cs="Times New Roman"/>
          <w:i/>
          <w:iCs/>
        </w:rPr>
        <w:t>P</w:t>
      </w:r>
      <w:r w:rsidRPr="00AA090A">
        <w:rPr>
          <w:rFonts w:cs="Times New Roman"/>
        </w:rPr>
        <w:t xml:space="preserve"> = .</w:t>
      </w:r>
      <w:r w:rsidR="00BF331C">
        <w:rPr>
          <w:rFonts w:cs="Times New Roman"/>
        </w:rPr>
        <w:t>3614</w:t>
      </w:r>
      <w:r>
        <w:rPr>
          <w:rFonts w:cs="Times New Roman"/>
        </w:rPr>
        <w:t>) (</w:t>
      </w:r>
      <w:r w:rsidR="00766034" w:rsidRPr="00A87B24">
        <w:rPr>
          <w:rFonts w:cs="Times New Roman"/>
          <w:b/>
          <w:bCs/>
        </w:rPr>
        <w:t>T</w:t>
      </w:r>
      <w:r w:rsidRPr="00A87B24">
        <w:rPr>
          <w:rFonts w:cs="Times New Roman"/>
          <w:b/>
          <w:bCs/>
        </w:rPr>
        <w:t>able 1.2</w:t>
      </w:r>
      <w:r>
        <w:rPr>
          <w:rFonts w:cs="Times New Roman"/>
        </w:rPr>
        <w:t xml:space="preserve">). </w:t>
      </w:r>
    </w:p>
    <w:p w14:paraId="3CA0D7B1" w14:textId="425404EE" w:rsidR="00A27164" w:rsidRPr="002012CB" w:rsidRDefault="00A27164" w:rsidP="00776576">
      <w:pPr>
        <w:pStyle w:val="Heading3"/>
        <w:spacing w:before="0" w:after="0" w:line="480" w:lineRule="auto"/>
      </w:pPr>
      <w:bookmarkStart w:id="31" w:name="_Toc196315240"/>
      <w:r w:rsidRPr="002012CB">
        <w:t>Root weight</w:t>
      </w:r>
      <w:bookmarkEnd w:id="31"/>
    </w:p>
    <w:p w14:paraId="017F75C0" w14:textId="0D874D07" w:rsidR="00A27164" w:rsidRPr="00037ACB" w:rsidRDefault="00A27164" w:rsidP="00776576">
      <w:pPr>
        <w:numPr>
          <w:ilvl w:val="12"/>
          <w:numId w:val="0"/>
        </w:numPr>
        <w:spacing w:line="480" w:lineRule="auto"/>
        <w:ind w:firstLine="720"/>
        <w:rPr>
          <w:rFonts w:cs="Times New Roman"/>
        </w:rPr>
      </w:pPr>
      <w:r w:rsidRPr="002012CB">
        <w:rPr>
          <w:rFonts w:cs="Times New Roman"/>
        </w:rPr>
        <w:t>The values for root weight</w:t>
      </w:r>
      <w:r w:rsidRPr="00AA090A">
        <w:rPr>
          <w:rFonts w:cs="Times New Roman"/>
        </w:rPr>
        <w:t xml:space="preserve"> w</w:t>
      </w:r>
      <w:r w:rsidR="00F2430B">
        <w:rPr>
          <w:rFonts w:cs="Times New Roman"/>
        </w:rPr>
        <w:t>ere</w:t>
      </w:r>
      <w:r>
        <w:rPr>
          <w:rFonts w:cs="Times New Roman"/>
        </w:rPr>
        <w:t xml:space="preserve"> not</w:t>
      </w:r>
      <w:r w:rsidRPr="00AA090A">
        <w:rPr>
          <w:rFonts w:cs="Times New Roman"/>
        </w:rPr>
        <w:t xml:space="preserve"> affected by </w:t>
      </w:r>
      <w:r>
        <w:rPr>
          <w:rFonts w:cs="Times New Roman"/>
        </w:rPr>
        <w:t xml:space="preserve">different </w:t>
      </w:r>
      <w:r w:rsidR="00766034">
        <w:rPr>
          <w:rFonts w:cs="Times New Roman"/>
        </w:rPr>
        <w:t xml:space="preserve">inoculation </w:t>
      </w:r>
      <w:r>
        <w:rPr>
          <w:rFonts w:cs="Times New Roman"/>
        </w:rPr>
        <w:t xml:space="preserve">methods containing AB-V5 and AB-V6 </w:t>
      </w:r>
      <w:proofErr w:type="spellStart"/>
      <w:r w:rsidRPr="00EA4DBE">
        <w:rPr>
          <w:rFonts w:cs="Times New Roman"/>
          <w:i/>
          <w:iCs/>
        </w:rPr>
        <w:t>Azospirillum</w:t>
      </w:r>
      <w:proofErr w:type="spellEnd"/>
      <w:r>
        <w:rPr>
          <w:rFonts w:cs="Times New Roman"/>
        </w:rPr>
        <w:t xml:space="preserve"> strains</w:t>
      </w:r>
      <w:r w:rsidR="00BF331C">
        <w:rPr>
          <w:rFonts w:cs="Times New Roman"/>
        </w:rPr>
        <w:t xml:space="preserve"> and rates of nitrogen</w:t>
      </w:r>
      <w:r w:rsidRPr="00AA090A">
        <w:rPr>
          <w:rFonts w:cs="Times New Roman"/>
        </w:rPr>
        <w:t xml:space="preserve"> (P = .</w:t>
      </w:r>
      <w:r w:rsidR="00BF331C">
        <w:rPr>
          <w:rFonts w:cs="Times New Roman"/>
        </w:rPr>
        <w:t>6943</w:t>
      </w:r>
      <w:r>
        <w:rPr>
          <w:rFonts w:cs="Times New Roman"/>
        </w:rPr>
        <w:t>) (</w:t>
      </w:r>
      <w:r w:rsidR="00766034" w:rsidRPr="00A87B24">
        <w:rPr>
          <w:rFonts w:cs="Times New Roman"/>
          <w:b/>
          <w:bCs/>
        </w:rPr>
        <w:t>T</w:t>
      </w:r>
      <w:r w:rsidRPr="00A87B24">
        <w:rPr>
          <w:rFonts w:cs="Times New Roman"/>
          <w:b/>
          <w:bCs/>
        </w:rPr>
        <w:t>able 1.</w:t>
      </w:r>
      <w:r w:rsidR="004444C5" w:rsidRPr="00A87B24">
        <w:rPr>
          <w:rFonts w:cs="Times New Roman"/>
          <w:b/>
          <w:bCs/>
        </w:rPr>
        <w:t>2</w:t>
      </w:r>
      <w:r>
        <w:rPr>
          <w:rFonts w:cs="Times New Roman"/>
        </w:rPr>
        <w:t xml:space="preserve">). </w:t>
      </w:r>
    </w:p>
    <w:p w14:paraId="11D4EF11" w14:textId="1AD40D02" w:rsidR="00A27164" w:rsidRPr="002012CB" w:rsidRDefault="00A27164" w:rsidP="00776576">
      <w:pPr>
        <w:pStyle w:val="Heading3"/>
        <w:spacing w:before="0" w:after="0" w:line="480" w:lineRule="auto"/>
      </w:pPr>
      <w:bookmarkStart w:id="32" w:name="_Toc196315241"/>
      <w:r w:rsidRPr="002012CB">
        <w:t xml:space="preserve">Shoot </w:t>
      </w:r>
      <w:r w:rsidR="00766034" w:rsidRPr="002012CB">
        <w:t>length</w:t>
      </w:r>
      <w:bookmarkEnd w:id="32"/>
    </w:p>
    <w:p w14:paraId="60802269" w14:textId="7C80F00B" w:rsidR="00F2430B" w:rsidRDefault="00A27164" w:rsidP="00776576">
      <w:pPr>
        <w:numPr>
          <w:ilvl w:val="12"/>
          <w:numId w:val="0"/>
        </w:numPr>
        <w:spacing w:line="480" w:lineRule="auto"/>
        <w:ind w:firstLine="720"/>
        <w:rPr>
          <w:rFonts w:cs="Times New Roman"/>
        </w:rPr>
      </w:pPr>
      <w:r w:rsidRPr="002012CB">
        <w:rPr>
          <w:rFonts w:cs="Times New Roman"/>
        </w:rPr>
        <w:t xml:space="preserve">The </w:t>
      </w:r>
      <w:r w:rsidR="004444C5" w:rsidRPr="002012CB">
        <w:rPr>
          <w:rFonts w:cs="Times New Roman"/>
        </w:rPr>
        <w:t>value for shoot length</w:t>
      </w:r>
      <w:r w:rsidR="00F2430B">
        <w:rPr>
          <w:rFonts w:cs="Times New Roman"/>
        </w:rPr>
        <w:t xml:space="preserve"> </w:t>
      </w:r>
      <w:r w:rsidR="000774A9">
        <w:rPr>
          <w:rFonts w:cs="Times New Roman"/>
        </w:rPr>
        <w:t>was not affected b</w:t>
      </w:r>
      <w:r w:rsidR="00766034">
        <w:rPr>
          <w:rFonts w:cs="Times New Roman"/>
        </w:rPr>
        <w:t>y</w:t>
      </w:r>
      <w:r w:rsidR="000774A9">
        <w:rPr>
          <w:rFonts w:cs="Times New Roman"/>
        </w:rPr>
        <w:t xml:space="preserve"> the </w:t>
      </w:r>
      <w:r w:rsidR="00766034">
        <w:rPr>
          <w:rFonts w:cs="Times New Roman"/>
        </w:rPr>
        <w:t>inoculation</w:t>
      </w:r>
      <w:r w:rsidR="000774A9">
        <w:rPr>
          <w:rFonts w:cs="Times New Roman"/>
        </w:rPr>
        <w:t xml:space="preserve"> methods containing AB-V5 and AB-V6 </w:t>
      </w:r>
      <w:proofErr w:type="spellStart"/>
      <w:r w:rsidR="000774A9" w:rsidRPr="000774A9">
        <w:rPr>
          <w:rFonts w:cs="Times New Roman"/>
          <w:i/>
          <w:iCs/>
        </w:rPr>
        <w:t>Azospirillum</w:t>
      </w:r>
      <w:proofErr w:type="spellEnd"/>
      <w:r w:rsidR="000774A9" w:rsidRPr="000774A9">
        <w:rPr>
          <w:rFonts w:cs="Times New Roman"/>
          <w:i/>
          <w:iCs/>
        </w:rPr>
        <w:t xml:space="preserve"> </w:t>
      </w:r>
      <w:r w:rsidR="000774A9">
        <w:rPr>
          <w:rFonts w:cs="Times New Roman"/>
        </w:rPr>
        <w:t>strains and rates of nitrogen (P = .</w:t>
      </w:r>
      <w:r w:rsidR="00E378A0">
        <w:rPr>
          <w:rFonts w:cs="Times New Roman"/>
        </w:rPr>
        <w:t>3794</w:t>
      </w:r>
      <w:r w:rsidR="000774A9">
        <w:rPr>
          <w:rFonts w:cs="Times New Roman"/>
        </w:rPr>
        <w:t xml:space="preserve">) </w:t>
      </w:r>
      <w:r>
        <w:rPr>
          <w:rFonts w:cs="Times New Roman"/>
        </w:rPr>
        <w:t>(</w:t>
      </w:r>
      <w:r w:rsidR="00766034" w:rsidRPr="00767A67">
        <w:rPr>
          <w:rFonts w:cs="Times New Roman"/>
          <w:b/>
          <w:bCs/>
        </w:rPr>
        <w:t>T</w:t>
      </w:r>
      <w:r w:rsidRPr="00767A67">
        <w:rPr>
          <w:rFonts w:cs="Times New Roman"/>
          <w:b/>
          <w:bCs/>
        </w:rPr>
        <w:t>able 1.</w:t>
      </w:r>
      <w:r w:rsidR="000774A9" w:rsidRPr="00767A67">
        <w:rPr>
          <w:rFonts w:cs="Times New Roman"/>
          <w:b/>
          <w:bCs/>
        </w:rPr>
        <w:t>2</w:t>
      </w:r>
      <w:r>
        <w:rPr>
          <w:rFonts w:cs="Times New Roman"/>
        </w:rPr>
        <w:t>).</w:t>
      </w:r>
    </w:p>
    <w:p w14:paraId="628075E1" w14:textId="386919E1" w:rsidR="00E378A0" w:rsidRPr="002012CB" w:rsidRDefault="00E378A0" w:rsidP="00776576">
      <w:pPr>
        <w:pStyle w:val="Heading3"/>
        <w:spacing w:before="0" w:after="0" w:line="480" w:lineRule="auto"/>
      </w:pPr>
      <w:bookmarkStart w:id="33" w:name="_Toc196315242"/>
      <w:r>
        <w:t>Roo</w:t>
      </w:r>
      <w:r w:rsidRPr="002012CB">
        <w:t>t length</w:t>
      </w:r>
      <w:bookmarkEnd w:id="33"/>
    </w:p>
    <w:p w14:paraId="1FDC9167" w14:textId="7985CFFA" w:rsidR="00E378A0" w:rsidRPr="002012CB" w:rsidRDefault="00E378A0" w:rsidP="00776576">
      <w:pPr>
        <w:numPr>
          <w:ilvl w:val="12"/>
          <w:numId w:val="0"/>
        </w:numPr>
        <w:spacing w:line="480" w:lineRule="auto"/>
        <w:ind w:firstLine="720"/>
        <w:rPr>
          <w:rFonts w:cs="Times New Roman"/>
        </w:rPr>
      </w:pPr>
      <w:r w:rsidRPr="002012CB">
        <w:rPr>
          <w:rFonts w:cs="Times New Roman"/>
        </w:rPr>
        <w:t xml:space="preserve">The value for </w:t>
      </w:r>
      <w:r>
        <w:rPr>
          <w:rFonts w:cs="Times New Roman"/>
        </w:rPr>
        <w:t>r</w:t>
      </w:r>
      <w:r w:rsidRPr="002012CB">
        <w:rPr>
          <w:rFonts w:cs="Times New Roman"/>
        </w:rPr>
        <w:t>oot length</w:t>
      </w:r>
      <w:r>
        <w:rPr>
          <w:rFonts w:cs="Times New Roman"/>
        </w:rPr>
        <w:t xml:space="preserve"> was not affected by the inoculation methods containing AB-V5 and AB-V6 </w:t>
      </w:r>
      <w:proofErr w:type="spellStart"/>
      <w:r w:rsidRPr="000774A9">
        <w:rPr>
          <w:rFonts w:cs="Times New Roman"/>
          <w:i/>
          <w:iCs/>
        </w:rPr>
        <w:t>Azospirillum</w:t>
      </w:r>
      <w:proofErr w:type="spellEnd"/>
      <w:r w:rsidRPr="000774A9">
        <w:rPr>
          <w:rFonts w:cs="Times New Roman"/>
          <w:i/>
          <w:iCs/>
        </w:rPr>
        <w:t xml:space="preserve"> </w:t>
      </w:r>
      <w:r>
        <w:rPr>
          <w:rFonts w:cs="Times New Roman"/>
        </w:rPr>
        <w:t>strains and rates of nitrogen (P = .661) (</w:t>
      </w:r>
      <w:r w:rsidRPr="00767A67">
        <w:rPr>
          <w:rFonts w:cs="Times New Roman"/>
          <w:b/>
          <w:bCs/>
        </w:rPr>
        <w:t>Table 1.2</w:t>
      </w:r>
      <w:r>
        <w:rPr>
          <w:rFonts w:cs="Times New Roman"/>
        </w:rPr>
        <w:t>).</w:t>
      </w:r>
    </w:p>
    <w:p w14:paraId="37144035" w14:textId="1371A4E7" w:rsidR="00A27164" w:rsidRPr="00E96EE0" w:rsidRDefault="00A27164" w:rsidP="00776576">
      <w:pPr>
        <w:pStyle w:val="Heading3"/>
        <w:spacing w:before="0" w:after="0" w:line="480" w:lineRule="auto"/>
      </w:pPr>
      <w:bookmarkStart w:id="34" w:name="_Toc196315243"/>
      <w:r w:rsidRPr="00E96EE0">
        <w:t>Number of tillers</w:t>
      </w:r>
      <w:bookmarkEnd w:id="34"/>
    </w:p>
    <w:p w14:paraId="2670B86D" w14:textId="77777777" w:rsidR="00776576" w:rsidRDefault="000774A9" w:rsidP="00776576">
      <w:pPr>
        <w:widowControl w:val="0"/>
        <w:numPr>
          <w:ilvl w:val="12"/>
          <w:numId w:val="0"/>
        </w:numPr>
        <w:spacing w:line="480" w:lineRule="auto"/>
        <w:ind w:firstLine="720"/>
        <w:rPr>
          <w:rFonts w:cs="Times New Roman"/>
        </w:rPr>
      </w:pPr>
      <w:r w:rsidRPr="00AA090A">
        <w:rPr>
          <w:rFonts w:cs="Times New Roman"/>
        </w:rPr>
        <w:t xml:space="preserve">The </w:t>
      </w:r>
      <w:r>
        <w:rPr>
          <w:rFonts w:cs="Times New Roman"/>
        </w:rPr>
        <w:t>number of tillers was not affected b</w:t>
      </w:r>
      <w:r w:rsidR="00766034">
        <w:rPr>
          <w:rFonts w:cs="Times New Roman"/>
        </w:rPr>
        <w:t>y</w:t>
      </w:r>
      <w:r>
        <w:rPr>
          <w:rFonts w:cs="Times New Roman"/>
        </w:rPr>
        <w:t xml:space="preserve"> the </w:t>
      </w:r>
      <w:r w:rsidR="00766034">
        <w:rPr>
          <w:rFonts w:cs="Times New Roman"/>
        </w:rPr>
        <w:t>i</w:t>
      </w:r>
      <w:r>
        <w:rPr>
          <w:rFonts w:cs="Times New Roman"/>
        </w:rPr>
        <w:t>n</w:t>
      </w:r>
      <w:r w:rsidR="00766034">
        <w:rPr>
          <w:rFonts w:cs="Times New Roman"/>
        </w:rPr>
        <w:t>o</w:t>
      </w:r>
      <w:r>
        <w:rPr>
          <w:rFonts w:cs="Times New Roman"/>
        </w:rPr>
        <w:t xml:space="preserve">culation methods containing AB-V5 and AB-V6 </w:t>
      </w:r>
      <w:proofErr w:type="spellStart"/>
      <w:r w:rsidRPr="000774A9">
        <w:rPr>
          <w:rFonts w:cs="Times New Roman"/>
          <w:i/>
          <w:iCs/>
        </w:rPr>
        <w:t>Azospirillum</w:t>
      </w:r>
      <w:proofErr w:type="spellEnd"/>
      <w:r w:rsidRPr="000774A9">
        <w:rPr>
          <w:rFonts w:cs="Times New Roman"/>
          <w:i/>
          <w:iCs/>
        </w:rPr>
        <w:t xml:space="preserve"> </w:t>
      </w:r>
      <w:r>
        <w:rPr>
          <w:rFonts w:cs="Times New Roman"/>
        </w:rPr>
        <w:t>strains and rates of nitrogen (P = .7676) (</w:t>
      </w:r>
      <w:r w:rsidR="00766034" w:rsidRPr="00767A67">
        <w:rPr>
          <w:rFonts w:cs="Times New Roman"/>
          <w:b/>
          <w:bCs/>
        </w:rPr>
        <w:t>T</w:t>
      </w:r>
      <w:r w:rsidRPr="00767A67">
        <w:rPr>
          <w:rFonts w:cs="Times New Roman"/>
          <w:b/>
          <w:bCs/>
        </w:rPr>
        <w:t>able 1.2</w:t>
      </w:r>
      <w:r w:rsidR="00A27164">
        <w:rPr>
          <w:rFonts w:cs="Times New Roman"/>
        </w:rPr>
        <w:t>).</w:t>
      </w:r>
    </w:p>
    <w:p w14:paraId="08151127" w14:textId="77777777" w:rsidR="00776576" w:rsidRPr="00776576" w:rsidRDefault="00776576" w:rsidP="00776576">
      <w:pPr>
        <w:widowControl w:val="0"/>
        <w:numPr>
          <w:ilvl w:val="12"/>
          <w:numId w:val="0"/>
        </w:numPr>
        <w:spacing w:line="480" w:lineRule="auto"/>
        <w:ind w:firstLine="720"/>
        <w:rPr>
          <w:b/>
          <w:bCs/>
        </w:rPr>
      </w:pPr>
      <w:r w:rsidRPr="00776576">
        <w:rPr>
          <w:b/>
          <w:bCs/>
        </w:rPr>
        <w:t>Discussion</w:t>
      </w:r>
      <w:bookmarkStart w:id="35" w:name="_Toc196315245"/>
    </w:p>
    <w:p w14:paraId="2C72D2B7" w14:textId="77777777" w:rsidR="00776576" w:rsidRPr="00776576" w:rsidRDefault="00776576" w:rsidP="00776576">
      <w:pPr>
        <w:widowControl w:val="0"/>
        <w:numPr>
          <w:ilvl w:val="12"/>
          <w:numId w:val="0"/>
        </w:numPr>
        <w:spacing w:line="480" w:lineRule="auto"/>
        <w:ind w:firstLine="720"/>
        <w:rPr>
          <w:rFonts w:cs="Times New Roman"/>
          <w:b/>
          <w:bCs/>
        </w:rPr>
      </w:pPr>
      <w:r w:rsidRPr="00776576">
        <w:rPr>
          <w:b/>
          <w:bCs/>
        </w:rPr>
        <w:t>Experiment 1</w:t>
      </w:r>
      <w:bookmarkEnd w:id="35"/>
    </w:p>
    <w:p w14:paraId="54F3205E" w14:textId="09916C12" w:rsidR="009B1D17" w:rsidRPr="00776576" w:rsidRDefault="00776576" w:rsidP="00776576">
      <w:pPr>
        <w:widowControl w:val="0"/>
        <w:numPr>
          <w:ilvl w:val="12"/>
          <w:numId w:val="0"/>
        </w:numPr>
        <w:spacing w:line="480" w:lineRule="auto"/>
        <w:ind w:firstLine="720"/>
        <w:rPr>
          <w:rFonts w:cs="Times New Roman"/>
        </w:rPr>
      </w:pPr>
      <w:r>
        <w:rPr>
          <w:rFonts w:cs="Times New Roman"/>
        </w:rPr>
        <w:t>The effect of positive inoculation was observed for the POW and LIQ treatments for shoot length, root length, and the number of tillers, indicating increased plant</w:t>
      </w:r>
      <w:r w:rsidR="009B1D17">
        <w:rPr>
          <w:b/>
          <w:bCs/>
        </w:rPr>
        <w:br w:type="page"/>
      </w:r>
    </w:p>
    <w:tbl>
      <w:tblPr>
        <w:tblpPr w:leftFromText="180" w:rightFromText="180" w:vertAnchor="text" w:horzAnchor="margin" w:tblpY="-7304"/>
        <w:tblW w:w="8910" w:type="dxa"/>
        <w:tblLayout w:type="fixed"/>
        <w:tblLook w:val="04A0" w:firstRow="1" w:lastRow="0" w:firstColumn="1" w:lastColumn="0" w:noHBand="0" w:noVBand="1"/>
      </w:tblPr>
      <w:tblGrid>
        <w:gridCol w:w="1800"/>
        <w:gridCol w:w="1350"/>
        <w:gridCol w:w="990"/>
        <w:gridCol w:w="1350"/>
        <w:gridCol w:w="1080"/>
        <w:gridCol w:w="2340"/>
      </w:tblGrid>
      <w:tr w:rsidR="00995917" w:rsidRPr="00963DCE" w14:paraId="09AAA216" w14:textId="77777777" w:rsidTr="00995917">
        <w:trPr>
          <w:trHeight w:val="1185"/>
        </w:trPr>
        <w:tc>
          <w:tcPr>
            <w:tcW w:w="8910" w:type="dxa"/>
            <w:gridSpan w:val="6"/>
            <w:tcBorders>
              <w:top w:val="nil"/>
              <w:left w:val="nil"/>
              <w:bottom w:val="nil"/>
              <w:right w:val="nil"/>
            </w:tcBorders>
            <w:shd w:val="clear" w:color="auto" w:fill="auto"/>
            <w:vAlign w:val="bottom"/>
            <w:hideMark/>
          </w:tcPr>
          <w:p w14:paraId="10BE9BF1" w14:textId="77777777" w:rsidR="00267477" w:rsidRDefault="00267477" w:rsidP="00995917">
            <w:pPr>
              <w:pStyle w:val="mytables"/>
            </w:pPr>
            <w:bookmarkStart w:id="36" w:name="_Toc196315444"/>
            <w:bookmarkStart w:id="37" w:name="_Toc196315244"/>
          </w:p>
          <w:p w14:paraId="404502ED" w14:textId="77777777" w:rsidR="00267477" w:rsidRDefault="00267477" w:rsidP="00995917">
            <w:pPr>
              <w:pStyle w:val="mytables"/>
            </w:pPr>
          </w:p>
          <w:p w14:paraId="12164E65" w14:textId="77777777" w:rsidR="00267477" w:rsidRDefault="00267477" w:rsidP="00995917">
            <w:pPr>
              <w:pStyle w:val="mytables"/>
            </w:pPr>
          </w:p>
          <w:p w14:paraId="73F334F2" w14:textId="77777777" w:rsidR="00267477" w:rsidRDefault="00267477" w:rsidP="00995917">
            <w:pPr>
              <w:pStyle w:val="mytables"/>
            </w:pPr>
          </w:p>
          <w:p w14:paraId="18EAFAF7" w14:textId="7CCA3228" w:rsidR="00995917" w:rsidRPr="002012CB" w:rsidRDefault="00995917" w:rsidP="00995917">
            <w:pPr>
              <w:pStyle w:val="mytables"/>
            </w:pPr>
            <w:r w:rsidRPr="002012CB">
              <w:t xml:space="preserve">Table 1.2 - </w:t>
            </w:r>
            <w:r w:rsidRPr="002012CB">
              <w:rPr>
                <w:b w:val="0"/>
                <w:bCs w:val="0"/>
              </w:rPr>
              <w:t>Variable response of shoot weight, root weight, shoot length, and number tillers between inoculation of powder (</w:t>
            </w:r>
            <w:proofErr w:type="spellStart"/>
            <w:r w:rsidRPr="002012CB">
              <w:rPr>
                <w:b w:val="0"/>
                <w:bCs w:val="0"/>
              </w:rPr>
              <w:t>MicroAZ</w:t>
            </w:r>
            <w:proofErr w:type="spellEnd"/>
            <w:r w:rsidRPr="002012CB">
              <w:rPr>
                <w:b w:val="0"/>
                <w:bCs w:val="0"/>
              </w:rPr>
              <w:t>-ST dry) and liquid (</w:t>
            </w:r>
            <w:proofErr w:type="spellStart"/>
            <w:r w:rsidRPr="002012CB">
              <w:rPr>
                <w:b w:val="0"/>
                <w:bCs w:val="0"/>
              </w:rPr>
              <w:t>MicroAz</w:t>
            </w:r>
            <w:proofErr w:type="spellEnd"/>
            <w:r w:rsidRPr="002012CB">
              <w:rPr>
                <w:b w:val="0"/>
                <w:bCs w:val="0"/>
              </w:rPr>
              <w:t xml:space="preserve">-ST </w:t>
            </w:r>
            <w:proofErr w:type="spellStart"/>
            <w:r w:rsidRPr="002012CB">
              <w:rPr>
                <w:b w:val="0"/>
                <w:bCs w:val="0"/>
              </w:rPr>
              <w:t>liq</w:t>
            </w:r>
            <w:proofErr w:type="spellEnd"/>
            <w:r w:rsidRPr="002012CB">
              <w:rPr>
                <w:b w:val="0"/>
                <w:bCs w:val="0"/>
              </w:rPr>
              <w:t xml:space="preserve">) </w:t>
            </w:r>
            <w:proofErr w:type="spellStart"/>
            <w:r w:rsidRPr="00E378A0">
              <w:rPr>
                <w:b w:val="0"/>
                <w:bCs w:val="0"/>
                <w:i/>
                <w:iCs/>
              </w:rPr>
              <w:t>Azospirillum</w:t>
            </w:r>
            <w:proofErr w:type="spellEnd"/>
            <w:r w:rsidRPr="00E378A0">
              <w:rPr>
                <w:b w:val="0"/>
                <w:bCs w:val="0"/>
                <w:i/>
                <w:iCs/>
              </w:rPr>
              <w:t xml:space="preserve"> </w:t>
            </w:r>
            <w:r w:rsidRPr="002012CB">
              <w:rPr>
                <w:b w:val="0"/>
                <w:bCs w:val="0"/>
              </w:rPr>
              <w:t xml:space="preserve">and two nitrogen rates (75%, 100%) in </w:t>
            </w:r>
            <w:r>
              <w:rPr>
                <w:b w:val="0"/>
                <w:bCs w:val="0"/>
              </w:rPr>
              <w:t>b</w:t>
            </w:r>
            <w:r w:rsidRPr="002012CB">
              <w:rPr>
                <w:b w:val="0"/>
                <w:bCs w:val="0"/>
              </w:rPr>
              <w:t xml:space="preserve">ermudagrass in </w:t>
            </w:r>
            <w:r>
              <w:rPr>
                <w:b w:val="0"/>
                <w:bCs w:val="0"/>
              </w:rPr>
              <w:t xml:space="preserve">a </w:t>
            </w:r>
            <w:r w:rsidRPr="002012CB">
              <w:rPr>
                <w:b w:val="0"/>
                <w:bCs w:val="0"/>
              </w:rPr>
              <w:t>greenhouse experiment.</w:t>
            </w:r>
            <w:bookmarkEnd w:id="36"/>
          </w:p>
        </w:tc>
      </w:tr>
      <w:tr w:rsidR="00995917" w:rsidRPr="00963DCE" w14:paraId="53A3786F" w14:textId="77777777" w:rsidTr="00995917">
        <w:trPr>
          <w:trHeight w:val="315"/>
        </w:trPr>
        <w:tc>
          <w:tcPr>
            <w:tcW w:w="1800" w:type="dxa"/>
            <w:vMerge w:val="restart"/>
            <w:tcBorders>
              <w:top w:val="single" w:sz="4" w:space="0" w:color="auto"/>
              <w:left w:val="nil"/>
              <w:bottom w:val="single" w:sz="4" w:space="0" w:color="000000"/>
              <w:right w:val="nil"/>
            </w:tcBorders>
            <w:shd w:val="clear" w:color="auto" w:fill="auto"/>
            <w:noWrap/>
            <w:vAlign w:val="center"/>
            <w:hideMark/>
          </w:tcPr>
          <w:p w14:paraId="7218DCFD" w14:textId="77777777" w:rsidR="00995917" w:rsidRPr="00963DCE" w:rsidRDefault="00995917" w:rsidP="00995917">
            <w:pPr>
              <w:spacing w:line="240" w:lineRule="auto"/>
              <w:jc w:val="center"/>
              <w:rPr>
                <w:rFonts w:cs="Times New Roman"/>
                <w:color w:val="000000"/>
              </w:rPr>
            </w:pPr>
            <w:r w:rsidRPr="00963DCE">
              <w:rPr>
                <w:rFonts w:cs="Times New Roman"/>
                <w:color w:val="000000"/>
              </w:rPr>
              <w:t>Treatments</w:t>
            </w:r>
          </w:p>
        </w:tc>
        <w:tc>
          <w:tcPr>
            <w:tcW w:w="1350" w:type="dxa"/>
            <w:tcBorders>
              <w:top w:val="single" w:sz="4" w:space="0" w:color="auto"/>
              <w:left w:val="nil"/>
              <w:bottom w:val="nil"/>
              <w:right w:val="nil"/>
            </w:tcBorders>
            <w:shd w:val="clear" w:color="auto" w:fill="auto"/>
            <w:noWrap/>
            <w:vAlign w:val="bottom"/>
            <w:hideMark/>
          </w:tcPr>
          <w:p w14:paraId="3EE2BC30" w14:textId="77777777" w:rsidR="00995917" w:rsidRPr="00963DCE" w:rsidRDefault="00995917" w:rsidP="00995917">
            <w:pPr>
              <w:spacing w:line="240" w:lineRule="auto"/>
              <w:jc w:val="center"/>
              <w:rPr>
                <w:rFonts w:cs="Times New Roman"/>
                <w:color w:val="000000"/>
              </w:rPr>
            </w:pPr>
            <w:r w:rsidRPr="00963DCE">
              <w:rPr>
                <w:rFonts w:cs="Times New Roman"/>
                <w:color w:val="000000"/>
              </w:rPr>
              <w:t>Shoot Weight</w:t>
            </w:r>
          </w:p>
        </w:tc>
        <w:tc>
          <w:tcPr>
            <w:tcW w:w="990" w:type="dxa"/>
            <w:tcBorders>
              <w:top w:val="single" w:sz="4" w:space="0" w:color="auto"/>
              <w:left w:val="nil"/>
              <w:bottom w:val="nil"/>
              <w:right w:val="nil"/>
            </w:tcBorders>
            <w:shd w:val="clear" w:color="auto" w:fill="auto"/>
            <w:noWrap/>
            <w:vAlign w:val="bottom"/>
            <w:hideMark/>
          </w:tcPr>
          <w:p w14:paraId="1B5A5508" w14:textId="77777777" w:rsidR="00995917" w:rsidRPr="00963DCE" w:rsidRDefault="00995917" w:rsidP="00995917">
            <w:pPr>
              <w:spacing w:line="240" w:lineRule="auto"/>
              <w:jc w:val="center"/>
              <w:rPr>
                <w:rFonts w:cs="Times New Roman"/>
                <w:color w:val="000000"/>
              </w:rPr>
            </w:pPr>
            <w:r w:rsidRPr="00963DCE">
              <w:rPr>
                <w:rFonts w:cs="Times New Roman"/>
                <w:color w:val="000000"/>
              </w:rPr>
              <w:t>Root Weight</w:t>
            </w:r>
          </w:p>
        </w:tc>
        <w:tc>
          <w:tcPr>
            <w:tcW w:w="1350" w:type="dxa"/>
            <w:tcBorders>
              <w:top w:val="single" w:sz="4" w:space="0" w:color="auto"/>
              <w:left w:val="nil"/>
              <w:bottom w:val="nil"/>
              <w:right w:val="nil"/>
            </w:tcBorders>
            <w:shd w:val="clear" w:color="auto" w:fill="auto"/>
            <w:noWrap/>
            <w:vAlign w:val="bottom"/>
            <w:hideMark/>
          </w:tcPr>
          <w:p w14:paraId="737CD457" w14:textId="77777777" w:rsidR="00995917" w:rsidRPr="00963DCE" w:rsidRDefault="00995917" w:rsidP="00995917">
            <w:pPr>
              <w:spacing w:line="240" w:lineRule="auto"/>
              <w:jc w:val="center"/>
              <w:rPr>
                <w:rFonts w:cs="Times New Roman"/>
                <w:color w:val="000000"/>
              </w:rPr>
            </w:pPr>
            <w:r w:rsidRPr="00963DCE">
              <w:rPr>
                <w:rFonts w:cs="Times New Roman"/>
                <w:color w:val="000000"/>
              </w:rPr>
              <w:t>Shoot Length</w:t>
            </w:r>
          </w:p>
        </w:tc>
        <w:tc>
          <w:tcPr>
            <w:tcW w:w="1080" w:type="dxa"/>
            <w:tcBorders>
              <w:top w:val="single" w:sz="4" w:space="0" w:color="auto"/>
              <w:left w:val="nil"/>
              <w:bottom w:val="nil"/>
              <w:right w:val="nil"/>
            </w:tcBorders>
            <w:shd w:val="clear" w:color="auto" w:fill="auto"/>
            <w:noWrap/>
            <w:vAlign w:val="bottom"/>
            <w:hideMark/>
          </w:tcPr>
          <w:p w14:paraId="16EB15E7" w14:textId="77777777" w:rsidR="00995917" w:rsidRPr="00963DCE" w:rsidRDefault="00995917" w:rsidP="00995917">
            <w:pPr>
              <w:spacing w:line="240" w:lineRule="auto"/>
              <w:jc w:val="center"/>
              <w:rPr>
                <w:rFonts w:cs="Times New Roman"/>
                <w:color w:val="000000"/>
              </w:rPr>
            </w:pPr>
            <w:r w:rsidRPr="00963DCE">
              <w:rPr>
                <w:rFonts w:cs="Times New Roman"/>
                <w:color w:val="000000"/>
              </w:rPr>
              <w:t>Root Length</w:t>
            </w:r>
          </w:p>
        </w:tc>
        <w:tc>
          <w:tcPr>
            <w:tcW w:w="2340" w:type="dxa"/>
            <w:tcBorders>
              <w:top w:val="single" w:sz="4" w:space="0" w:color="auto"/>
              <w:left w:val="nil"/>
              <w:bottom w:val="nil"/>
              <w:right w:val="nil"/>
            </w:tcBorders>
            <w:shd w:val="clear" w:color="auto" w:fill="auto"/>
            <w:noWrap/>
            <w:vAlign w:val="bottom"/>
            <w:hideMark/>
          </w:tcPr>
          <w:p w14:paraId="53B401FA" w14:textId="77777777" w:rsidR="00995917" w:rsidRDefault="00995917" w:rsidP="00995917">
            <w:pPr>
              <w:spacing w:line="240" w:lineRule="auto"/>
              <w:jc w:val="center"/>
              <w:rPr>
                <w:rFonts w:cs="Times New Roman"/>
                <w:color w:val="000000"/>
              </w:rPr>
            </w:pPr>
            <w:r w:rsidRPr="00963DCE">
              <w:rPr>
                <w:rFonts w:cs="Times New Roman"/>
                <w:color w:val="000000"/>
              </w:rPr>
              <w:t xml:space="preserve">Number </w:t>
            </w:r>
          </w:p>
          <w:p w14:paraId="3BBCC377" w14:textId="77777777" w:rsidR="00995917" w:rsidRPr="00963DCE" w:rsidRDefault="00995917" w:rsidP="00995917">
            <w:pPr>
              <w:spacing w:line="240" w:lineRule="auto"/>
              <w:jc w:val="center"/>
              <w:rPr>
                <w:rFonts w:cs="Times New Roman"/>
                <w:color w:val="000000"/>
              </w:rPr>
            </w:pPr>
            <w:r w:rsidRPr="00963DCE">
              <w:rPr>
                <w:rFonts w:cs="Times New Roman"/>
                <w:color w:val="000000"/>
              </w:rPr>
              <w:t>of Tillers</w:t>
            </w:r>
          </w:p>
        </w:tc>
      </w:tr>
      <w:tr w:rsidR="00995917" w:rsidRPr="00963DCE" w14:paraId="1BBCBAB3" w14:textId="77777777" w:rsidTr="00995917">
        <w:trPr>
          <w:trHeight w:val="315"/>
        </w:trPr>
        <w:tc>
          <w:tcPr>
            <w:tcW w:w="1800" w:type="dxa"/>
            <w:vMerge/>
            <w:tcBorders>
              <w:top w:val="single" w:sz="4" w:space="0" w:color="auto"/>
              <w:left w:val="nil"/>
              <w:bottom w:val="single" w:sz="4" w:space="0" w:color="000000"/>
              <w:right w:val="nil"/>
            </w:tcBorders>
            <w:vAlign w:val="center"/>
            <w:hideMark/>
          </w:tcPr>
          <w:p w14:paraId="415009C0" w14:textId="77777777" w:rsidR="00995917" w:rsidRPr="00963DCE" w:rsidRDefault="00995917" w:rsidP="00995917">
            <w:pPr>
              <w:spacing w:line="240" w:lineRule="auto"/>
              <w:rPr>
                <w:rFonts w:cs="Times New Roman"/>
                <w:color w:val="000000"/>
              </w:rPr>
            </w:pPr>
          </w:p>
        </w:tc>
        <w:tc>
          <w:tcPr>
            <w:tcW w:w="2340" w:type="dxa"/>
            <w:gridSpan w:val="2"/>
            <w:tcBorders>
              <w:top w:val="nil"/>
              <w:left w:val="nil"/>
              <w:bottom w:val="single" w:sz="4" w:space="0" w:color="auto"/>
              <w:right w:val="nil"/>
            </w:tcBorders>
            <w:shd w:val="clear" w:color="auto" w:fill="auto"/>
            <w:noWrap/>
            <w:vAlign w:val="bottom"/>
            <w:hideMark/>
          </w:tcPr>
          <w:p w14:paraId="3692D2E8" w14:textId="77777777" w:rsidR="00995917" w:rsidRPr="00963DCE" w:rsidRDefault="00995917" w:rsidP="00995917">
            <w:pPr>
              <w:spacing w:line="240" w:lineRule="auto"/>
              <w:jc w:val="center"/>
              <w:rPr>
                <w:rFonts w:cs="Times New Roman"/>
                <w:color w:val="000000"/>
              </w:rPr>
            </w:pPr>
            <w:r w:rsidRPr="00963DCE">
              <w:rPr>
                <w:rFonts w:cs="Times New Roman"/>
                <w:color w:val="000000"/>
              </w:rPr>
              <w:t>-- g</w:t>
            </w:r>
            <w:r>
              <w:rPr>
                <w:rFonts w:cs="Times New Roman"/>
                <w:color w:val="000000"/>
              </w:rPr>
              <w:t xml:space="preserve"> plant</w:t>
            </w:r>
            <w:r w:rsidRPr="00575173">
              <w:rPr>
                <w:rFonts w:cs="Times New Roman"/>
                <w:color w:val="000000"/>
                <w:vertAlign w:val="superscript"/>
              </w:rPr>
              <w:t>-1</w:t>
            </w:r>
            <w:r>
              <w:rPr>
                <w:rFonts w:cs="Times New Roman"/>
                <w:color w:val="000000"/>
              </w:rPr>
              <w:t xml:space="preserve"> pot</w:t>
            </w:r>
            <w:r w:rsidRPr="00575173">
              <w:rPr>
                <w:rFonts w:cs="Times New Roman"/>
                <w:color w:val="000000"/>
                <w:vertAlign w:val="superscript"/>
              </w:rPr>
              <w:t>-</w:t>
            </w:r>
            <w:r>
              <w:rPr>
                <w:rFonts w:cs="Times New Roman"/>
                <w:color w:val="000000"/>
                <w:vertAlign w:val="superscript"/>
              </w:rPr>
              <w:t>1</w:t>
            </w:r>
            <w:r w:rsidRPr="00963DCE">
              <w:rPr>
                <w:rFonts w:cs="Times New Roman"/>
                <w:color w:val="000000"/>
              </w:rPr>
              <w:t>--</w:t>
            </w:r>
          </w:p>
        </w:tc>
        <w:tc>
          <w:tcPr>
            <w:tcW w:w="2430" w:type="dxa"/>
            <w:gridSpan w:val="2"/>
            <w:tcBorders>
              <w:top w:val="nil"/>
              <w:left w:val="nil"/>
              <w:bottom w:val="single" w:sz="4" w:space="0" w:color="auto"/>
              <w:right w:val="nil"/>
            </w:tcBorders>
            <w:shd w:val="clear" w:color="auto" w:fill="auto"/>
            <w:noWrap/>
            <w:vAlign w:val="bottom"/>
            <w:hideMark/>
          </w:tcPr>
          <w:p w14:paraId="39B1E50D" w14:textId="77777777" w:rsidR="00995917" w:rsidRPr="00963DCE" w:rsidRDefault="00995917" w:rsidP="00995917">
            <w:pPr>
              <w:spacing w:line="240" w:lineRule="auto"/>
              <w:jc w:val="center"/>
              <w:rPr>
                <w:rFonts w:cs="Times New Roman"/>
                <w:color w:val="000000"/>
              </w:rPr>
            </w:pPr>
            <w:r w:rsidRPr="00963DCE">
              <w:rPr>
                <w:rFonts w:cs="Times New Roman"/>
                <w:color w:val="000000"/>
              </w:rPr>
              <w:t>--</w:t>
            </w:r>
            <w:r>
              <w:rPr>
                <w:rFonts w:cs="Times New Roman"/>
                <w:color w:val="000000"/>
              </w:rPr>
              <w:t xml:space="preserve"> </w:t>
            </w:r>
            <w:r w:rsidRPr="00963DCE">
              <w:rPr>
                <w:rFonts w:cs="Times New Roman"/>
                <w:color w:val="000000"/>
              </w:rPr>
              <w:t xml:space="preserve">cm </w:t>
            </w:r>
            <w:r>
              <w:rPr>
                <w:rFonts w:cs="Times New Roman"/>
                <w:color w:val="000000"/>
              </w:rPr>
              <w:t>plant</w:t>
            </w:r>
            <w:r w:rsidRPr="00575173">
              <w:rPr>
                <w:rFonts w:cs="Times New Roman"/>
                <w:color w:val="000000"/>
                <w:vertAlign w:val="superscript"/>
              </w:rPr>
              <w:t>-1</w:t>
            </w:r>
            <w:r>
              <w:rPr>
                <w:rFonts w:cs="Times New Roman"/>
                <w:color w:val="000000"/>
              </w:rPr>
              <w:t xml:space="preserve"> pot</w:t>
            </w:r>
            <w:r w:rsidRPr="00575173">
              <w:rPr>
                <w:rFonts w:cs="Times New Roman"/>
                <w:color w:val="000000"/>
                <w:vertAlign w:val="superscript"/>
              </w:rPr>
              <w:t>-</w:t>
            </w:r>
            <w:r>
              <w:rPr>
                <w:rFonts w:cs="Times New Roman"/>
                <w:color w:val="000000"/>
                <w:vertAlign w:val="superscript"/>
              </w:rPr>
              <w:t>1</w:t>
            </w:r>
            <w:r w:rsidRPr="00963DCE">
              <w:rPr>
                <w:rFonts w:cs="Times New Roman"/>
                <w:color w:val="000000"/>
              </w:rPr>
              <w:t>--</w:t>
            </w:r>
          </w:p>
        </w:tc>
        <w:tc>
          <w:tcPr>
            <w:tcW w:w="2340" w:type="dxa"/>
            <w:tcBorders>
              <w:top w:val="nil"/>
              <w:left w:val="nil"/>
              <w:bottom w:val="single" w:sz="4" w:space="0" w:color="auto"/>
              <w:right w:val="nil"/>
            </w:tcBorders>
            <w:shd w:val="clear" w:color="auto" w:fill="auto"/>
            <w:noWrap/>
            <w:vAlign w:val="bottom"/>
            <w:hideMark/>
          </w:tcPr>
          <w:p w14:paraId="78ACE43C" w14:textId="77777777" w:rsidR="00995917" w:rsidRPr="00963DCE" w:rsidRDefault="00995917" w:rsidP="00995917">
            <w:pPr>
              <w:spacing w:line="240" w:lineRule="auto"/>
              <w:jc w:val="center"/>
              <w:rPr>
                <w:rFonts w:cs="Times New Roman"/>
                <w:color w:val="000000"/>
              </w:rPr>
            </w:pPr>
            <w:r>
              <w:rPr>
                <w:rFonts w:cs="Times New Roman"/>
                <w:color w:val="000000"/>
              </w:rPr>
              <w:t xml:space="preserve">-- </w:t>
            </w:r>
            <w:r w:rsidRPr="00963DCE">
              <w:rPr>
                <w:rFonts w:cs="Times New Roman"/>
                <w:color w:val="000000"/>
              </w:rPr>
              <w:t>count</w:t>
            </w:r>
            <w:r>
              <w:rPr>
                <w:rFonts w:cs="Times New Roman"/>
                <w:color w:val="000000"/>
              </w:rPr>
              <w:t xml:space="preserve"> plant</w:t>
            </w:r>
            <w:r w:rsidRPr="00575173">
              <w:rPr>
                <w:rFonts w:cs="Times New Roman"/>
                <w:color w:val="000000"/>
                <w:vertAlign w:val="superscript"/>
              </w:rPr>
              <w:t>-1</w:t>
            </w:r>
            <w:r>
              <w:rPr>
                <w:rFonts w:cs="Times New Roman"/>
                <w:color w:val="000000"/>
              </w:rPr>
              <w:t xml:space="preserve"> pot</w:t>
            </w:r>
            <w:r w:rsidRPr="00575173">
              <w:rPr>
                <w:rFonts w:cs="Times New Roman"/>
                <w:color w:val="000000"/>
                <w:vertAlign w:val="superscript"/>
              </w:rPr>
              <w:t>-</w:t>
            </w:r>
            <w:r>
              <w:rPr>
                <w:rFonts w:cs="Times New Roman"/>
                <w:color w:val="000000"/>
                <w:vertAlign w:val="superscript"/>
              </w:rPr>
              <w:t>1</w:t>
            </w:r>
            <w:r>
              <w:rPr>
                <w:rFonts w:cs="Times New Roman"/>
                <w:color w:val="000000"/>
              </w:rPr>
              <w:t>--</w:t>
            </w:r>
          </w:p>
        </w:tc>
      </w:tr>
      <w:tr w:rsidR="00995917" w:rsidRPr="00963DCE" w14:paraId="35333444" w14:textId="77777777" w:rsidTr="00995917">
        <w:trPr>
          <w:trHeight w:val="315"/>
        </w:trPr>
        <w:tc>
          <w:tcPr>
            <w:tcW w:w="1800" w:type="dxa"/>
            <w:tcBorders>
              <w:top w:val="nil"/>
              <w:left w:val="nil"/>
              <w:bottom w:val="nil"/>
              <w:right w:val="nil"/>
            </w:tcBorders>
            <w:shd w:val="clear" w:color="auto" w:fill="auto"/>
            <w:noWrap/>
            <w:vAlign w:val="center"/>
            <w:hideMark/>
          </w:tcPr>
          <w:p w14:paraId="325323E5" w14:textId="77777777" w:rsidR="00995917" w:rsidRPr="00963DCE" w:rsidRDefault="00995917" w:rsidP="00995917">
            <w:pPr>
              <w:spacing w:line="240" w:lineRule="auto"/>
              <w:jc w:val="center"/>
              <w:rPr>
                <w:rFonts w:cs="Times New Roman"/>
                <w:color w:val="000000"/>
              </w:rPr>
            </w:pPr>
            <w:r w:rsidRPr="00963DCE">
              <w:rPr>
                <w:rFonts w:cs="Times New Roman"/>
                <w:color w:val="000000"/>
              </w:rPr>
              <w:t>75 N + Control</w:t>
            </w:r>
          </w:p>
        </w:tc>
        <w:tc>
          <w:tcPr>
            <w:tcW w:w="1350" w:type="dxa"/>
            <w:tcBorders>
              <w:top w:val="nil"/>
              <w:left w:val="nil"/>
              <w:bottom w:val="nil"/>
              <w:right w:val="nil"/>
            </w:tcBorders>
            <w:shd w:val="clear" w:color="auto" w:fill="auto"/>
            <w:noWrap/>
            <w:vAlign w:val="bottom"/>
            <w:hideMark/>
          </w:tcPr>
          <w:p w14:paraId="3A94CAE1" w14:textId="77777777" w:rsidR="00995917" w:rsidRPr="00963DCE" w:rsidRDefault="00995917" w:rsidP="00995917">
            <w:pPr>
              <w:spacing w:line="240" w:lineRule="auto"/>
              <w:jc w:val="center"/>
              <w:rPr>
                <w:rFonts w:cs="Times New Roman"/>
                <w:color w:val="000000"/>
              </w:rPr>
            </w:pPr>
            <w:r w:rsidRPr="00963DCE">
              <w:rPr>
                <w:rFonts w:cs="Times New Roman"/>
                <w:color w:val="000000"/>
              </w:rPr>
              <w:t>0.</w:t>
            </w:r>
            <w:r>
              <w:rPr>
                <w:rFonts w:cs="Times New Roman"/>
                <w:color w:val="000000"/>
              </w:rPr>
              <w:t>2</w:t>
            </w:r>
          </w:p>
        </w:tc>
        <w:tc>
          <w:tcPr>
            <w:tcW w:w="990" w:type="dxa"/>
            <w:tcBorders>
              <w:top w:val="nil"/>
              <w:left w:val="nil"/>
              <w:bottom w:val="nil"/>
              <w:right w:val="nil"/>
            </w:tcBorders>
            <w:shd w:val="clear" w:color="auto" w:fill="auto"/>
            <w:noWrap/>
            <w:vAlign w:val="bottom"/>
            <w:hideMark/>
          </w:tcPr>
          <w:p w14:paraId="7937E689" w14:textId="77777777" w:rsidR="00995917" w:rsidRPr="00963DCE" w:rsidRDefault="00995917" w:rsidP="00995917">
            <w:pPr>
              <w:spacing w:line="240" w:lineRule="auto"/>
              <w:jc w:val="center"/>
              <w:rPr>
                <w:rFonts w:cs="Times New Roman"/>
                <w:color w:val="000000"/>
              </w:rPr>
            </w:pPr>
            <w:r w:rsidRPr="00963DCE">
              <w:rPr>
                <w:rFonts w:cs="Times New Roman"/>
                <w:color w:val="000000"/>
              </w:rPr>
              <w:t>0.0</w:t>
            </w:r>
            <w:r>
              <w:rPr>
                <w:rFonts w:cs="Times New Roman"/>
                <w:color w:val="000000"/>
              </w:rPr>
              <w:t>3</w:t>
            </w:r>
          </w:p>
        </w:tc>
        <w:tc>
          <w:tcPr>
            <w:tcW w:w="1350" w:type="dxa"/>
            <w:tcBorders>
              <w:top w:val="nil"/>
              <w:left w:val="nil"/>
              <w:bottom w:val="nil"/>
              <w:right w:val="nil"/>
            </w:tcBorders>
            <w:shd w:val="clear" w:color="auto" w:fill="auto"/>
            <w:noWrap/>
            <w:vAlign w:val="bottom"/>
            <w:hideMark/>
          </w:tcPr>
          <w:p w14:paraId="70941CF0" w14:textId="77777777" w:rsidR="00995917" w:rsidRPr="00963DCE" w:rsidRDefault="00995917" w:rsidP="00995917">
            <w:pPr>
              <w:spacing w:line="240" w:lineRule="auto"/>
              <w:jc w:val="center"/>
              <w:rPr>
                <w:rFonts w:cs="Times New Roman"/>
                <w:color w:val="000000"/>
              </w:rPr>
            </w:pPr>
            <w:r w:rsidRPr="00963DCE">
              <w:rPr>
                <w:rFonts w:cs="Times New Roman"/>
                <w:color w:val="000000"/>
              </w:rPr>
              <w:t>14.</w:t>
            </w:r>
            <w:r>
              <w:rPr>
                <w:rFonts w:cs="Times New Roman"/>
                <w:color w:val="000000"/>
              </w:rPr>
              <w:t>4</w:t>
            </w:r>
          </w:p>
        </w:tc>
        <w:tc>
          <w:tcPr>
            <w:tcW w:w="1080" w:type="dxa"/>
            <w:tcBorders>
              <w:top w:val="nil"/>
              <w:left w:val="nil"/>
              <w:bottom w:val="nil"/>
              <w:right w:val="nil"/>
            </w:tcBorders>
            <w:shd w:val="clear" w:color="auto" w:fill="auto"/>
            <w:noWrap/>
            <w:vAlign w:val="bottom"/>
            <w:hideMark/>
          </w:tcPr>
          <w:p w14:paraId="7D271719" w14:textId="77777777" w:rsidR="00995917" w:rsidRPr="00963DCE" w:rsidRDefault="00995917" w:rsidP="00995917">
            <w:pPr>
              <w:spacing w:line="240" w:lineRule="auto"/>
              <w:jc w:val="center"/>
              <w:rPr>
                <w:rFonts w:cs="Times New Roman"/>
                <w:color w:val="000000"/>
              </w:rPr>
            </w:pPr>
            <w:r w:rsidRPr="00963DCE">
              <w:rPr>
                <w:rFonts w:cs="Times New Roman"/>
                <w:color w:val="000000"/>
              </w:rPr>
              <w:t>4.</w:t>
            </w:r>
            <w:r>
              <w:rPr>
                <w:rFonts w:cs="Times New Roman"/>
                <w:color w:val="000000"/>
              </w:rPr>
              <w:t>1</w:t>
            </w:r>
          </w:p>
        </w:tc>
        <w:tc>
          <w:tcPr>
            <w:tcW w:w="2340" w:type="dxa"/>
            <w:tcBorders>
              <w:top w:val="nil"/>
              <w:left w:val="nil"/>
              <w:bottom w:val="nil"/>
              <w:right w:val="nil"/>
            </w:tcBorders>
            <w:shd w:val="clear" w:color="auto" w:fill="auto"/>
            <w:noWrap/>
            <w:vAlign w:val="bottom"/>
            <w:hideMark/>
          </w:tcPr>
          <w:p w14:paraId="5FAE1A48" w14:textId="77777777" w:rsidR="00995917" w:rsidRPr="00963DCE" w:rsidRDefault="00995917" w:rsidP="00995917">
            <w:pPr>
              <w:spacing w:line="240" w:lineRule="auto"/>
              <w:jc w:val="center"/>
              <w:rPr>
                <w:rFonts w:cs="Times New Roman"/>
                <w:color w:val="000000"/>
              </w:rPr>
            </w:pPr>
            <w:r w:rsidRPr="00963DCE">
              <w:rPr>
                <w:rFonts w:cs="Times New Roman"/>
                <w:color w:val="000000"/>
              </w:rPr>
              <w:t>5.5</w:t>
            </w:r>
          </w:p>
        </w:tc>
      </w:tr>
      <w:tr w:rsidR="00995917" w:rsidRPr="00963DCE" w14:paraId="46279142" w14:textId="77777777" w:rsidTr="00995917">
        <w:trPr>
          <w:trHeight w:val="315"/>
        </w:trPr>
        <w:tc>
          <w:tcPr>
            <w:tcW w:w="1800" w:type="dxa"/>
            <w:tcBorders>
              <w:top w:val="nil"/>
              <w:left w:val="nil"/>
              <w:bottom w:val="nil"/>
              <w:right w:val="nil"/>
            </w:tcBorders>
            <w:shd w:val="clear" w:color="auto" w:fill="auto"/>
            <w:noWrap/>
            <w:vAlign w:val="center"/>
            <w:hideMark/>
          </w:tcPr>
          <w:p w14:paraId="0868F511" w14:textId="77777777" w:rsidR="00995917" w:rsidRPr="00963DCE" w:rsidRDefault="00995917" w:rsidP="00995917">
            <w:pPr>
              <w:spacing w:line="240" w:lineRule="auto"/>
              <w:jc w:val="center"/>
              <w:rPr>
                <w:rFonts w:cs="Times New Roman"/>
                <w:color w:val="000000"/>
              </w:rPr>
            </w:pPr>
            <w:r w:rsidRPr="00963DCE">
              <w:rPr>
                <w:rFonts w:cs="Times New Roman"/>
                <w:color w:val="000000"/>
              </w:rPr>
              <w:t>75 N + Powder</w:t>
            </w:r>
          </w:p>
        </w:tc>
        <w:tc>
          <w:tcPr>
            <w:tcW w:w="1350" w:type="dxa"/>
            <w:tcBorders>
              <w:top w:val="nil"/>
              <w:left w:val="nil"/>
              <w:bottom w:val="nil"/>
              <w:right w:val="nil"/>
            </w:tcBorders>
            <w:shd w:val="clear" w:color="auto" w:fill="auto"/>
            <w:noWrap/>
            <w:vAlign w:val="bottom"/>
            <w:hideMark/>
          </w:tcPr>
          <w:p w14:paraId="3D8E30EB" w14:textId="77777777" w:rsidR="00995917" w:rsidRPr="00963DCE" w:rsidRDefault="00995917" w:rsidP="00995917">
            <w:pPr>
              <w:spacing w:line="240" w:lineRule="auto"/>
              <w:jc w:val="center"/>
              <w:rPr>
                <w:rFonts w:cs="Times New Roman"/>
                <w:color w:val="000000"/>
              </w:rPr>
            </w:pPr>
            <w:r w:rsidRPr="00963DCE">
              <w:rPr>
                <w:rFonts w:cs="Times New Roman"/>
                <w:color w:val="000000"/>
              </w:rPr>
              <w:t>0.</w:t>
            </w:r>
            <w:r>
              <w:rPr>
                <w:rFonts w:cs="Times New Roman"/>
                <w:color w:val="000000"/>
              </w:rPr>
              <w:t>2</w:t>
            </w:r>
          </w:p>
        </w:tc>
        <w:tc>
          <w:tcPr>
            <w:tcW w:w="990" w:type="dxa"/>
            <w:tcBorders>
              <w:top w:val="nil"/>
              <w:left w:val="nil"/>
              <w:bottom w:val="nil"/>
              <w:right w:val="nil"/>
            </w:tcBorders>
            <w:shd w:val="clear" w:color="auto" w:fill="auto"/>
            <w:noWrap/>
            <w:vAlign w:val="bottom"/>
            <w:hideMark/>
          </w:tcPr>
          <w:p w14:paraId="12F77380" w14:textId="77777777" w:rsidR="00995917" w:rsidRPr="00963DCE" w:rsidRDefault="00995917" w:rsidP="00995917">
            <w:pPr>
              <w:spacing w:line="240" w:lineRule="auto"/>
              <w:jc w:val="center"/>
              <w:rPr>
                <w:rFonts w:cs="Times New Roman"/>
                <w:color w:val="000000"/>
              </w:rPr>
            </w:pPr>
            <w:r w:rsidRPr="00963DCE">
              <w:rPr>
                <w:rFonts w:cs="Times New Roman"/>
                <w:color w:val="000000"/>
              </w:rPr>
              <w:t>0.02</w:t>
            </w:r>
          </w:p>
        </w:tc>
        <w:tc>
          <w:tcPr>
            <w:tcW w:w="1350" w:type="dxa"/>
            <w:tcBorders>
              <w:top w:val="nil"/>
              <w:left w:val="nil"/>
              <w:bottom w:val="nil"/>
              <w:right w:val="nil"/>
            </w:tcBorders>
            <w:shd w:val="clear" w:color="auto" w:fill="auto"/>
            <w:noWrap/>
            <w:vAlign w:val="bottom"/>
            <w:hideMark/>
          </w:tcPr>
          <w:p w14:paraId="3A16BDF5" w14:textId="77777777" w:rsidR="00995917" w:rsidRPr="00963DCE" w:rsidRDefault="00995917" w:rsidP="00995917">
            <w:pPr>
              <w:spacing w:line="240" w:lineRule="auto"/>
              <w:jc w:val="center"/>
              <w:rPr>
                <w:rFonts w:cs="Times New Roman"/>
                <w:color w:val="000000"/>
              </w:rPr>
            </w:pPr>
            <w:r w:rsidRPr="00963DCE">
              <w:rPr>
                <w:rFonts w:cs="Times New Roman"/>
                <w:color w:val="000000"/>
              </w:rPr>
              <w:t>12.5</w:t>
            </w:r>
          </w:p>
        </w:tc>
        <w:tc>
          <w:tcPr>
            <w:tcW w:w="1080" w:type="dxa"/>
            <w:tcBorders>
              <w:top w:val="nil"/>
              <w:left w:val="nil"/>
              <w:bottom w:val="nil"/>
              <w:right w:val="nil"/>
            </w:tcBorders>
            <w:shd w:val="clear" w:color="auto" w:fill="auto"/>
            <w:noWrap/>
            <w:vAlign w:val="bottom"/>
            <w:hideMark/>
          </w:tcPr>
          <w:p w14:paraId="15822C49" w14:textId="77777777" w:rsidR="00995917" w:rsidRPr="00963DCE" w:rsidRDefault="00995917" w:rsidP="00995917">
            <w:pPr>
              <w:spacing w:line="240" w:lineRule="auto"/>
              <w:jc w:val="center"/>
              <w:rPr>
                <w:rFonts w:cs="Times New Roman"/>
                <w:color w:val="000000"/>
              </w:rPr>
            </w:pPr>
            <w:r w:rsidRPr="00963DCE">
              <w:rPr>
                <w:rFonts w:cs="Times New Roman"/>
                <w:color w:val="000000"/>
              </w:rPr>
              <w:t>3.8</w:t>
            </w:r>
          </w:p>
        </w:tc>
        <w:tc>
          <w:tcPr>
            <w:tcW w:w="2340" w:type="dxa"/>
            <w:tcBorders>
              <w:top w:val="nil"/>
              <w:left w:val="nil"/>
              <w:bottom w:val="nil"/>
              <w:right w:val="nil"/>
            </w:tcBorders>
            <w:shd w:val="clear" w:color="auto" w:fill="auto"/>
            <w:noWrap/>
            <w:vAlign w:val="bottom"/>
            <w:hideMark/>
          </w:tcPr>
          <w:p w14:paraId="3DE99C8D" w14:textId="77777777" w:rsidR="00995917" w:rsidRPr="00963DCE" w:rsidRDefault="00995917" w:rsidP="00995917">
            <w:pPr>
              <w:spacing w:line="240" w:lineRule="auto"/>
              <w:jc w:val="center"/>
              <w:rPr>
                <w:rFonts w:cs="Times New Roman"/>
                <w:color w:val="000000"/>
              </w:rPr>
            </w:pPr>
            <w:r w:rsidRPr="00963DCE">
              <w:rPr>
                <w:rFonts w:cs="Times New Roman"/>
                <w:color w:val="000000"/>
              </w:rPr>
              <w:t>4.7</w:t>
            </w:r>
          </w:p>
        </w:tc>
      </w:tr>
      <w:tr w:rsidR="00995917" w:rsidRPr="00963DCE" w14:paraId="2A2EEFD6" w14:textId="77777777" w:rsidTr="00995917">
        <w:trPr>
          <w:trHeight w:val="315"/>
        </w:trPr>
        <w:tc>
          <w:tcPr>
            <w:tcW w:w="1800" w:type="dxa"/>
            <w:tcBorders>
              <w:top w:val="nil"/>
              <w:left w:val="nil"/>
              <w:bottom w:val="nil"/>
              <w:right w:val="nil"/>
            </w:tcBorders>
            <w:shd w:val="clear" w:color="auto" w:fill="auto"/>
            <w:noWrap/>
            <w:vAlign w:val="bottom"/>
            <w:hideMark/>
          </w:tcPr>
          <w:p w14:paraId="76FC681D" w14:textId="77777777" w:rsidR="00995917" w:rsidRPr="00963DCE" w:rsidRDefault="00995917" w:rsidP="00995917">
            <w:pPr>
              <w:spacing w:line="240" w:lineRule="auto"/>
              <w:jc w:val="center"/>
              <w:rPr>
                <w:rFonts w:cs="Times New Roman"/>
                <w:color w:val="000000"/>
              </w:rPr>
            </w:pPr>
            <w:r w:rsidRPr="00963DCE">
              <w:rPr>
                <w:rFonts w:cs="Times New Roman"/>
                <w:color w:val="000000"/>
              </w:rPr>
              <w:t>75 N + Liquid</w:t>
            </w:r>
          </w:p>
        </w:tc>
        <w:tc>
          <w:tcPr>
            <w:tcW w:w="1350" w:type="dxa"/>
            <w:tcBorders>
              <w:top w:val="nil"/>
              <w:left w:val="nil"/>
              <w:bottom w:val="nil"/>
              <w:right w:val="nil"/>
            </w:tcBorders>
            <w:shd w:val="clear" w:color="auto" w:fill="auto"/>
            <w:noWrap/>
            <w:vAlign w:val="bottom"/>
            <w:hideMark/>
          </w:tcPr>
          <w:p w14:paraId="4C332A41" w14:textId="77777777" w:rsidR="00995917" w:rsidRPr="00963DCE" w:rsidRDefault="00995917" w:rsidP="00995917">
            <w:pPr>
              <w:spacing w:line="240" w:lineRule="auto"/>
              <w:jc w:val="center"/>
              <w:rPr>
                <w:rFonts w:cs="Times New Roman"/>
                <w:color w:val="000000"/>
              </w:rPr>
            </w:pPr>
            <w:r w:rsidRPr="00963DCE">
              <w:rPr>
                <w:rFonts w:cs="Times New Roman"/>
                <w:color w:val="000000"/>
              </w:rPr>
              <w:t>0.</w:t>
            </w:r>
            <w:r>
              <w:rPr>
                <w:rFonts w:cs="Times New Roman"/>
                <w:color w:val="000000"/>
              </w:rPr>
              <w:t>2</w:t>
            </w:r>
          </w:p>
        </w:tc>
        <w:tc>
          <w:tcPr>
            <w:tcW w:w="990" w:type="dxa"/>
            <w:tcBorders>
              <w:top w:val="nil"/>
              <w:left w:val="nil"/>
              <w:bottom w:val="nil"/>
              <w:right w:val="nil"/>
            </w:tcBorders>
            <w:shd w:val="clear" w:color="auto" w:fill="auto"/>
            <w:noWrap/>
            <w:vAlign w:val="bottom"/>
            <w:hideMark/>
          </w:tcPr>
          <w:p w14:paraId="61E8D40E" w14:textId="77777777" w:rsidR="00995917" w:rsidRPr="00963DCE" w:rsidRDefault="00995917" w:rsidP="00995917">
            <w:pPr>
              <w:spacing w:line="240" w:lineRule="auto"/>
              <w:jc w:val="center"/>
              <w:rPr>
                <w:rFonts w:cs="Times New Roman"/>
                <w:color w:val="000000"/>
              </w:rPr>
            </w:pPr>
            <w:r w:rsidRPr="00963DCE">
              <w:rPr>
                <w:rFonts w:cs="Times New Roman"/>
                <w:color w:val="000000"/>
              </w:rPr>
              <w:t>0.0</w:t>
            </w:r>
            <w:r>
              <w:rPr>
                <w:rFonts w:cs="Times New Roman"/>
                <w:color w:val="000000"/>
              </w:rPr>
              <w:t>2</w:t>
            </w:r>
          </w:p>
        </w:tc>
        <w:tc>
          <w:tcPr>
            <w:tcW w:w="1350" w:type="dxa"/>
            <w:tcBorders>
              <w:top w:val="nil"/>
              <w:left w:val="nil"/>
              <w:bottom w:val="nil"/>
              <w:right w:val="nil"/>
            </w:tcBorders>
            <w:shd w:val="clear" w:color="auto" w:fill="auto"/>
            <w:noWrap/>
            <w:vAlign w:val="bottom"/>
            <w:hideMark/>
          </w:tcPr>
          <w:p w14:paraId="3C1C1220" w14:textId="77777777" w:rsidR="00995917" w:rsidRPr="00963DCE" w:rsidRDefault="00995917" w:rsidP="00995917">
            <w:pPr>
              <w:spacing w:line="240" w:lineRule="auto"/>
              <w:jc w:val="center"/>
              <w:rPr>
                <w:rFonts w:cs="Times New Roman"/>
                <w:color w:val="000000"/>
              </w:rPr>
            </w:pPr>
            <w:r w:rsidRPr="00963DCE">
              <w:rPr>
                <w:rFonts w:cs="Times New Roman"/>
                <w:color w:val="000000"/>
              </w:rPr>
              <w:t>12.</w:t>
            </w:r>
            <w:r>
              <w:rPr>
                <w:rFonts w:cs="Times New Roman"/>
                <w:color w:val="000000"/>
              </w:rPr>
              <w:t>9</w:t>
            </w:r>
          </w:p>
        </w:tc>
        <w:tc>
          <w:tcPr>
            <w:tcW w:w="1080" w:type="dxa"/>
            <w:tcBorders>
              <w:top w:val="nil"/>
              <w:left w:val="nil"/>
              <w:bottom w:val="nil"/>
              <w:right w:val="nil"/>
            </w:tcBorders>
            <w:shd w:val="clear" w:color="auto" w:fill="auto"/>
            <w:noWrap/>
            <w:vAlign w:val="bottom"/>
            <w:hideMark/>
          </w:tcPr>
          <w:p w14:paraId="1BF024D4" w14:textId="77777777" w:rsidR="00995917" w:rsidRPr="00963DCE" w:rsidRDefault="00995917" w:rsidP="00995917">
            <w:pPr>
              <w:spacing w:line="240" w:lineRule="auto"/>
              <w:jc w:val="center"/>
              <w:rPr>
                <w:rFonts w:cs="Times New Roman"/>
                <w:color w:val="000000"/>
              </w:rPr>
            </w:pPr>
            <w:r w:rsidRPr="00963DCE">
              <w:rPr>
                <w:rFonts w:cs="Times New Roman"/>
                <w:color w:val="000000"/>
              </w:rPr>
              <w:t>3.</w:t>
            </w:r>
            <w:r>
              <w:rPr>
                <w:rFonts w:cs="Times New Roman"/>
                <w:color w:val="000000"/>
              </w:rPr>
              <w:t>8</w:t>
            </w:r>
          </w:p>
        </w:tc>
        <w:tc>
          <w:tcPr>
            <w:tcW w:w="2340" w:type="dxa"/>
            <w:tcBorders>
              <w:top w:val="nil"/>
              <w:left w:val="nil"/>
              <w:bottom w:val="nil"/>
              <w:right w:val="nil"/>
            </w:tcBorders>
            <w:shd w:val="clear" w:color="auto" w:fill="auto"/>
            <w:noWrap/>
            <w:vAlign w:val="bottom"/>
            <w:hideMark/>
          </w:tcPr>
          <w:p w14:paraId="66C18C44" w14:textId="77777777" w:rsidR="00995917" w:rsidRPr="00963DCE" w:rsidRDefault="00995917" w:rsidP="00995917">
            <w:pPr>
              <w:spacing w:line="240" w:lineRule="auto"/>
              <w:jc w:val="center"/>
              <w:rPr>
                <w:rFonts w:cs="Times New Roman"/>
                <w:color w:val="000000"/>
              </w:rPr>
            </w:pPr>
            <w:r w:rsidRPr="00963DCE">
              <w:rPr>
                <w:rFonts w:cs="Times New Roman"/>
                <w:color w:val="000000"/>
              </w:rPr>
              <w:t>4.8</w:t>
            </w:r>
          </w:p>
        </w:tc>
      </w:tr>
      <w:tr w:rsidR="00995917" w:rsidRPr="00963DCE" w14:paraId="1B4C2851" w14:textId="77777777" w:rsidTr="00995917">
        <w:trPr>
          <w:trHeight w:val="315"/>
        </w:trPr>
        <w:tc>
          <w:tcPr>
            <w:tcW w:w="1800" w:type="dxa"/>
            <w:tcBorders>
              <w:top w:val="nil"/>
              <w:left w:val="nil"/>
              <w:bottom w:val="nil"/>
              <w:right w:val="nil"/>
            </w:tcBorders>
            <w:shd w:val="clear" w:color="auto" w:fill="auto"/>
            <w:noWrap/>
            <w:vAlign w:val="center"/>
            <w:hideMark/>
          </w:tcPr>
          <w:p w14:paraId="65B3A421" w14:textId="77777777" w:rsidR="00995917" w:rsidRPr="00963DCE" w:rsidRDefault="00995917" w:rsidP="00995917">
            <w:pPr>
              <w:spacing w:line="240" w:lineRule="auto"/>
              <w:jc w:val="center"/>
              <w:rPr>
                <w:rFonts w:cs="Times New Roman"/>
                <w:color w:val="000000"/>
              </w:rPr>
            </w:pPr>
            <w:r w:rsidRPr="00963DCE">
              <w:rPr>
                <w:rFonts w:cs="Times New Roman"/>
                <w:color w:val="000000"/>
              </w:rPr>
              <w:t>100 N + Control</w:t>
            </w:r>
          </w:p>
        </w:tc>
        <w:tc>
          <w:tcPr>
            <w:tcW w:w="1350" w:type="dxa"/>
            <w:tcBorders>
              <w:top w:val="nil"/>
              <w:left w:val="nil"/>
              <w:bottom w:val="nil"/>
              <w:right w:val="nil"/>
            </w:tcBorders>
            <w:shd w:val="clear" w:color="auto" w:fill="auto"/>
            <w:noWrap/>
            <w:vAlign w:val="bottom"/>
            <w:hideMark/>
          </w:tcPr>
          <w:p w14:paraId="37AC7974" w14:textId="77777777" w:rsidR="00995917" w:rsidRPr="00963DCE" w:rsidRDefault="00995917" w:rsidP="00995917">
            <w:pPr>
              <w:spacing w:line="240" w:lineRule="auto"/>
              <w:jc w:val="center"/>
              <w:rPr>
                <w:rFonts w:cs="Times New Roman"/>
                <w:color w:val="000000"/>
              </w:rPr>
            </w:pPr>
            <w:r w:rsidRPr="00963DCE">
              <w:rPr>
                <w:rFonts w:cs="Times New Roman"/>
                <w:color w:val="000000"/>
              </w:rPr>
              <w:t>0.2</w:t>
            </w:r>
          </w:p>
        </w:tc>
        <w:tc>
          <w:tcPr>
            <w:tcW w:w="990" w:type="dxa"/>
            <w:tcBorders>
              <w:top w:val="nil"/>
              <w:left w:val="nil"/>
              <w:bottom w:val="nil"/>
              <w:right w:val="nil"/>
            </w:tcBorders>
            <w:shd w:val="clear" w:color="auto" w:fill="auto"/>
            <w:noWrap/>
            <w:vAlign w:val="bottom"/>
            <w:hideMark/>
          </w:tcPr>
          <w:p w14:paraId="6EBC2D75" w14:textId="77777777" w:rsidR="00995917" w:rsidRPr="00963DCE" w:rsidRDefault="00995917" w:rsidP="00995917">
            <w:pPr>
              <w:spacing w:line="240" w:lineRule="auto"/>
              <w:jc w:val="center"/>
              <w:rPr>
                <w:rFonts w:cs="Times New Roman"/>
                <w:color w:val="000000"/>
              </w:rPr>
            </w:pPr>
            <w:r w:rsidRPr="00963DCE">
              <w:rPr>
                <w:rFonts w:cs="Times New Roman"/>
                <w:color w:val="000000"/>
              </w:rPr>
              <w:t>0.02</w:t>
            </w:r>
          </w:p>
        </w:tc>
        <w:tc>
          <w:tcPr>
            <w:tcW w:w="1350" w:type="dxa"/>
            <w:tcBorders>
              <w:top w:val="nil"/>
              <w:left w:val="nil"/>
              <w:bottom w:val="nil"/>
              <w:right w:val="nil"/>
            </w:tcBorders>
            <w:shd w:val="clear" w:color="auto" w:fill="auto"/>
            <w:noWrap/>
            <w:vAlign w:val="bottom"/>
            <w:hideMark/>
          </w:tcPr>
          <w:p w14:paraId="4428C4EF" w14:textId="77777777" w:rsidR="00995917" w:rsidRPr="00963DCE" w:rsidRDefault="00995917" w:rsidP="00995917">
            <w:pPr>
              <w:spacing w:line="240" w:lineRule="auto"/>
              <w:jc w:val="center"/>
              <w:rPr>
                <w:rFonts w:cs="Times New Roman"/>
                <w:color w:val="000000"/>
              </w:rPr>
            </w:pPr>
            <w:r w:rsidRPr="00963DCE">
              <w:rPr>
                <w:rFonts w:cs="Times New Roman"/>
                <w:color w:val="000000"/>
              </w:rPr>
              <w:t>14.9</w:t>
            </w:r>
          </w:p>
        </w:tc>
        <w:tc>
          <w:tcPr>
            <w:tcW w:w="1080" w:type="dxa"/>
            <w:tcBorders>
              <w:top w:val="nil"/>
              <w:left w:val="nil"/>
              <w:bottom w:val="nil"/>
              <w:right w:val="nil"/>
            </w:tcBorders>
            <w:shd w:val="clear" w:color="auto" w:fill="auto"/>
            <w:noWrap/>
            <w:vAlign w:val="bottom"/>
            <w:hideMark/>
          </w:tcPr>
          <w:p w14:paraId="6B17E029" w14:textId="77777777" w:rsidR="00995917" w:rsidRPr="00963DCE" w:rsidRDefault="00995917" w:rsidP="00995917">
            <w:pPr>
              <w:spacing w:line="240" w:lineRule="auto"/>
              <w:jc w:val="center"/>
              <w:rPr>
                <w:rFonts w:cs="Times New Roman"/>
                <w:color w:val="000000"/>
              </w:rPr>
            </w:pPr>
            <w:r w:rsidRPr="00963DCE">
              <w:rPr>
                <w:rFonts w:cs="Times New Roman"/>
                <w:color w:val="000000"/>
              </w:rPr>
              <w:t>4.</w:t>
            </w:r>
            <w:r>
              <w:rPr>
                <w:rFonts w:cs="Times New Roman"/>
                <w:color w:val="000000"/>
              </w:rPr>
              <w:t>3</w:t>
            </w:r>
          </w:p>
        </w:tc>
        <w:tc>
          <w:tcPr>
            <w:tcW w:w="2340" w:type="dxa"/>
            <w:tcBorders>
              <w:top w:val="nil"/>
              <w:left w:val="nil"/>
              <w:bottom w:val="nil"/>
              <w:right w:val="nil"/>
            </w:tcBorders>
            <w:shd w:val="clear" w:color="auto" w:fill="auto"/>
            <w:noWrap/>
            <w:vAlign w:val="bottom"/>
            <w:hideMark/>
          </w:tcPr>
          <w:p w14:paraId="0DFF6ED9" w14:textId="77777777" w:rsidR="00995917" w:rsidRPr="00963DCE" w:rsidRDefault="00995917" w:rsidP="00995917">
            <w:pPr>
              <w:spacing w:line="240" w:lineRule="auto"/>
              <w:jc w:val="center"/>
              <w:rPr>
                <w:rFonts w:cs="Times New Roman"/>
                <w:color w:val="000000"/>
              </w:rPr>
            </w:pPr>
            <w:r w:rsidRPr="00963DCE">
              <w:rPr>
                <w:rFonts w:cs="Times New Roman"/>
                <w:color w:val="000000"/>
              </w:rPr>
              <w:t>5.</w:t>
            </w:r>
            <w:r>
              <w:rPr>
                <w:rFonts w:cs="Times New Roman"/>
                <w:color w:val="000000"/>
              </w:rPr>
              <w:t>1</w:t>
            </w:r>
          </w:p>
        </w:tc>
      </w:tr>
      <w:tr w:rsidR="00995917" w:rsidRPr="00963DCE" w14:paraId="7314511C" w14:textId="77777777" w:rsidTr="00995917">
        <w:trPr>
          <w:trHeight w:val="315"/>
        </w:trPr>
        <w:tc>
          <w:tcPr>
            <w:tcW w:w="1800" w:type="dxa"/>
            <w:tcBorders>
              <w:top w:val="nil"/>
              <w:left w:val="nil"/>
              <w:bottom w:val="nil"/>
              <w:right w:val="nil"/>
            </w:tcBorders>
            <w:shd w:val="clear" w:color="auto" w:fill="auto"/>
            <w:noWrap/>
            <w:vAlign w:val="bottom"/>
            <w:hideMark/>
          </w:tcPr>
          <w:p w14:paraId="53B368B7" w14:textId="77777777" w:rsidR="00995917" w:rsidRPr="00963DCE" w:rsidRDefault="00995917" w:rsidP="00995917">
            <w:pPr>
              <w:spacing w:line="240" w:lineRule="auto"/>
              <w:jc w:val="center"/>
              <w:rPr>
                <w:rFonts w:cs="Times New Roman"/>
                <w:color w:val="000000"/>
              </w:rPr>
            </w:pPr>
            <w:r w:rsidRPr="00963DCE">
              <w:rPr>
                <w:rFonts w:cs="Times New Roman"/>
                <w:color w:val="000000"/>
              </w:rPr>
              <w:t>100 N + Powder</w:t>
            </w:r>
          </w:p>
        </w:tc>
        <w:tc>
          <w:tcPr>
            <w:tcW w:w="1350" w:type="dxa"/>
            <w:tcBorders>
              <w:top w:val="nil"/>
              <w:left w:val="nil"/>
              <w:bottom w:val="nil"/>
              <w:right w:val="nil"/>
            </w:tcBorders>
            <w:shd w:val="clear" w:color="auto" w:fill="auto"/>
            <w:noWrap/>
            <w:vAlign w:val="bottom"/>
            <w:hideMark/>
          </w:tcPr>
          <w:p w14:paraId="24C524A6" w14:textId="77777777" w:rsidR="00995917" w:rsidRPr="00963DCE" w:rsidRDefault="00995917" w:rsidP="00995917">
            <w:pPr>
              <w:spacing w:line="240" w:lineRule="auto"/>
              <w:jc w:val="center"/>
              <w:rPr>
                <w:rFonts w:cs="Times New Roman"/>
                <w:color w:val="000000"/>
              </w:rPr>
            </w:pPr>
            <w:r w:rsidRPr="00963DCE">
              <w:rPr>
                <w:rFonts w:cs="Times New Roman"/>
                <w:color w:val="000000"/>
              </w:rPr>
              <w:t>0.</w:t>
            </w:r>
            <w:r>
              <w:rPr>
                <w:rFonts w:cs="Times New Roman"/>
                <w:color w:val="000000"/>
              </w:rPr>
              <w:t>2</w:t>
            </w:r>
          </w:p>
        </w:tc>
        <w:tc>
          <w:tcPr>
            <w:tcW w:w="990" w:type="dxa"/>
            <w:tcBorders>
              <w:top w:val="nil"/>
              <w:left w:val="nil"/>
              <w:bottom w:val="nil"/>
              <w:right w:val="nil"/>
            </w:tcBorders>
            <w:shd w:val="clear" w:color="auto" w:fill="auto"/>
            <w:noWrap/>
            <w:vAlign w:val="bottom"/>
            <w:hideMark/>
          </w:tcPr>
          <w:p w14:paraId="3A1BCAEC" w14:textId="77777777" w:rsidR="00995917" w:rsidRPr="00963DCE" w:rsidRDefault="00995917" w:rsidP="00995917">
            <w:pPr>
              <w:spacing w:line="240" w:lineRule="auto"/>
              <w:jc w:val="center"/>
              <w:rPr>
                <w:rFonts w:cs="Times New Roman"/>
                <w:color w:val="000000"/>
              </w:rPr>
            </w:pPr>
            <w:r w:rsidRPr="00963DCE">
              <w:rPr>
                <w:rFonts w:cs="Times New Roman"/>
                <w:color w:val="000000"/>
              </w:rPr>
              <w:t>0.03</w:t>
            </w:r>
          </w:p>
        </w:tc>
        <w:tc>
          <w:tcPr>
            <w:tcW w:w="1350" w:type="dxa"/>
            <w:tcBorders>
              <w:top w:val="nil"/>
              <w:left w:val="nil"/>
              <w:bottom w:val="nil"/>
              <w:right w:val="nil"/>
            </w:tcBorders>
            <w:shd w:val="clear" w:color="auto" w:fill="auto"/>
            <w:noWrap/>
            <w:vAlign w:val="bottom"/>
            <w:hideMark/>
          </w:tcPr>
          <w:p w14:paraId="574498AC" w14:textId="77777777" w:rsidR="00995917" w:rsidRPr="00963DCE" w:rsidRDefault="00995917" w:rsidP="00995917">
            <w:pPr>
              <w:spacing w:line="240" w:lineRule="auto"/>
              <w:jc w:val="center"/>
              <w:rPr>
                <w:rFonts w:cs="Times New Roman"/>
                <w:color w:val="000000"/>
              </w:rPr>
            </w:pPr>
            <w:r w:rsidRPr="00963DCE">
              <w:rPr>
                <w:rFonts w:cs="Times New Roman"/>
                <w:color w:val="000000"/>
              </w:rPr>
              <w:t>14.6</w:t>
            </w:r>
          </w:p>
        </w:tc>
        <w:tc>
          <w:tcPr>
            <w:tcW w:w="1080" w:type="dxa"/>
            <w:tcBorders>
              <w:top w:val="nil"/>
              <w:left w:val="nil"/>
              <w:bottom w:val="nil"/>
              <w:right w:val="nil"/>
            </w:tcBorders>
            <w:shd w:val="clear" w:color="auto" w:fill="auto"/>
            <w:noWrap/>
            <w:vAlign w:val="bottom"/>
            <w:hideMark/>
          </w:tcPr>
          <w:p w14:paraId="7DA1EF9F" w14:textId="77777777" w:rsidR="00995917" w:rsidRPr="00963DCE" w:rsidRDefault="00995917" w:rsidP="00995917">
            <w:pPr>
              <w:spacing w:line="240" w:lineRule="auto"/>
              <w:jc w:val="center"/>
              <w:rPr>
                <w:rFonts w:cs="Times New Roman"/>
                <w:color w:val="000000"/>
              </w:rPr>
            </w:pPr>
            <w:r w:rsidRPr="00963DCE">
              <w:rPr>
                <w:rFonts w:cs="Times New Roman"/>
                <w:color w:val="000000"/>
              </w:rPr>
              <w:t>4.</w:t>
            </w:r>
            <w:r>
              <w:rPr>
                <w:rFonts w:cs="Times New Roman"/>
                <w:color w:val="000000"/>
              </w:rPr>
              <w:t>4</w:t>
            </w:r>
          </w:p>
        </w:tc>
        <w:tc>
          <w:tcPr>
            <w:tcW w:w="2340" w:type="dxa"/>
            <w:tcBorders>
              <w:top w:val="nil"/>
              <w:left w:val="nil"/>
              <w:bottom w:val="nil"/>
              <w:right w:val="nil"/>
            </w:tcBorders>
            <w:shd w:val="clear" w:color="auto" w:fill="auto"/>
            <w:noWrap/>
            <w:vAlign w:val="bottom"/>
            <w:hideMark/>
          </w:tcPr>
          <w:p w14:paraId="4872B19B" w14:textId="77777777" w:rsidR="00995917" w:rsidRPr="00963DCE" w:rsidRDefault="00995917" w:rsidP="00995917">
            <w:pPr>
              <w:spacing w:line="240" w:lineRule="auto"/>
              <w:jc w:val="center"/>
              <w:rPr>
                <w:rFonts w:cs="Times New Roman"/>
                <w:color w:val="000000"/>
              </w:rPr>
            </w:pPr>
            <w:r w:rsidRPr="00963DCE">
              <w:rPr>
                <w:rFonts w:cs="Times New Roman"/>
                <w:color w:val="000000"/>
              </w:rPr>
              <w:t>5.</w:t>
            </w:r>
            <w:r>
              <w:rPr>
                <w:rFonts w:cs="Times New Roman"/>
                <w:color w:val="000000"/>
              </w:rPr>
              <w:t>7</w:t>
            </w:r>
          </w:p>
        </w:tc>
      </w:tr>
      <w:tr w:rsidR="00995917" w:rsidRPr="00963DCE" w14:paraId="051D295A" w14:textId="77777777" w:rsidTr="00995917">
        <w:trPr>
          <w:trHeight w:val="315"/>
        </w:trPr>
        <w:tc>
          <w:tcPr>
            <w:tcW w:w="1800" w:type="dxa"/>
            <w:tcBorders>
              <w:top w:val="nil"/>
              <w:left w:val="nil"/>
              <w:bottom w:val="nil"/>
              <w:right w:val="nil"/>
            </w:tcBorders>
            <w:shd w:val="clear" w:color="auto" w:fill="auto"/>
            <w:noWrap/>
            <w:vAlign w:val="bottom"/>
            <w:hideMark/>
          </w:tcPr>
          <w:p w14:paraId="6D789C26" w14:textId="77777777" w:rsidR="00995917" w:rsidRPr="00963DCE" w:rsidRDefault="00995917" w:rsidP="00995917">
            <w:pPr>
              <w:spacing w:line="240" w:lineRule="auto"/>
              <w:jc w:val="center"/>
              <w:rPr>
                <w:rFonts w:cs="Times New Roman"/>
                <w:color w:val="000000"/>
              </w:rPr>
            </w:pPr>
            <w:r w:rsidRPr="00963DCE">
              <w:rPr>
                <w:rFonts w:cs="Times New Roman"/>
                <w:color w:val="000000"/>
              </w:rPr>
              <w:t>100 N + Liquid</w:t>
            </w:r>
          </w:p>
        </w:tc>
        <w:tc>
          <w:tcPr>
            <w:tcW w:w="1350" w:type="dxa"/>
            <w:tcBorders>
              <w:top w:val="nil"/>
              <w:left w:val="nil"/>
              <w:bottom w:val="nil"/>
              <w:right w:val="nil"/>
            </w:tcBorders>
            <w:shd w:val="clear" w:color="auto" w:fill="auto"/>
            <w:noWrap/>
            <w:vAlign w:val="bottom"/>
            <w:hideMark/>
          </w:tcPr>
          <w:p w14:paraId="470B5D1C" w14:textId="77777777" w:rsidR="00995917" w:rsidRPr="00963DCE" w:rsidRDefault="00995917" w:rsidP="00995917">
            <w:pPr>
              <w:spacing w:line="240" w:lineRule="auto"/>
              <w:jc w:val="center"/>
              <w:rPr>
                <w:rFonts w:cs="Times New Roman"/>
                <w:color w:val="000000"/>
              </w:rPr>
            </w:pPr>
            <w:r w:rsidRPr="00963DCE">
              <w:rPr>
                <w:rFonts w:cs="Times New Roman"/>
                <w:color w:val="000000"/>
              </w:rPr>
              <w:t>0.</w:t>
            </w:r>
            <w:r>
              <w:rPr>
                <w:rFonts w:cs="Times New Roman"/>
                <w:color w:val="000000"/>
              </w:rPr>
              <w:t>2</w:t>
            </w:r>
          </w:p>
        </w:tc>
        <w:tc>
          <w:tcPr>
            <w:tcW w:w="990" w:type="dxa"/>
            <w:tcBorders>
              <w:top w:val="nil"/>
              <w:left w:val="nil"/>
              <w:bottom w:val="nil"/>
              <w:right w:val="nil"/>
            </w:tcBorders>
            <w:shd w:val="clear" w:color="auto" w:fill="auto"/>
            <w:noWrap/>
            <w:vAlign w:val="bottom"/>
            <w:hideMark/>
          </w:tcPr>
          <w:p w14:paraId="19FFC607" w14:textId="77777777" w:rsidR="00995917" w:rsidRPr="00963DCE" w:rsidRDefault="00995917" w:rsidP="00995917">
            <w:pPr>
              <w:spacing w:line="240" w:lineRule="auto"/>
              <w:jc w:val="center"/>
              <w:rPr>
                <w:rFonts w:cs="Times New Roman"/>
                <w:color w:val="000000"/>
              </w:rPr>
            </w:pPr>
            <w:r w:rsidRPr="00963DCE">
              <w:rPr>
                <w:rFonts w:cs="Times New Roman"/>
                <w:color w:val="000000"/>
              </w:rPr>
              <w:t>0.02</w:t>
            </w:r>
          </w:p>
        </w:tc>
        <w:tc>
          <w:tcPr>
            <w:tcW w:w="1350" w:type="dxa"/>
            <w:tcBorders>
              <w:top w:val="nil"/>
              <w:left w:val="nil"/>
              <w:bottom w:val="nil"/>
              <w:right w:val="nil"/>
            </w:tcBorders>
            <w:shd w:val="clear" w:color="auto" w:fill="auto"/>
            <w:noWrap/>
            <w:vAlign w:val="bottom"/>
            <w:hideMark/>
          </w:tcPr>
          <w:p w14:paraId="045CBFA1" w14:textId="77777777" w:rsidR="00995917" w:rsidRPr="00963DCE" w:rsidRDefault="00995917" w:rsidP="00995917">
            <w:pPr>
              <w:spacing w:line="240" w:lineRule="auto"/>
              <w:jc w:val="center"/>
              <w:rPr>
                <w:rFonts w:cs="Times New Roman"/>
                <w:color w:val="000000"/>
              </w:rPr>
            </w:pPr>
            <w:r w:rsidRPr="00963DCE">
              <w:rPr>
                <w:rFonts w:cs="Times New Roman"/>
                <w:color w:val="000000"/>
              </w:rPr>
              <w:t>13.</w:t>
            </w:r>
            <w:r>
              <w:rPr>
                <w:rFonts w:cs="Times New Roman"/>
                <w:color w:val="000000"/>
              </w:rPr>
              <w:t>5</w:t>
            </w:r>
          </w:p>
        </w:tc>
        <w:tc>
          <w:tcPr>
            <w:tcW w:w="1080" w:type="dxa"/>
            <w:tcBorders>
              <w:top w:val="nil"/>
              <w:left w:val="nil"/>
              <w:bottom w:val="nil"/>
              <w:right w:val="nil"/>
            </w:tcBorders>
            <w:shd w:val="clear" w:color="auto" w:fill="auto"/>
            <w:noWrap/>
            <w:vAlign w:val="bottom"/>
            <w:hideMark/>
          </w:tcPr>
          <w:p w14:paraId="75304918" w14:textId="77777777" w:rsidR="00995917" w:rsidRPr="00963DCE" w:rsidRDefault="00995917" w:rsidP="00995917">
            <w:pPr>
              <w:spacing w:line="240" w:lineRule="auto"/>
              <w:jc w:val="center"/>
              <w:rPr>
                <w:rFonts w:cs="Times New Roman"/>
                <w:color w:val="000000"/>
              </w:rPr>
            </w:pPr>
            <w:r w:rsidRPr="00963DCE">
              <w:rPr>
                <w:rFonts w:cs="Times New Roman"/>
                <w:color w:val="000000"/>
              </w:rPr>
              <w:t>3.</w:t>
            </w:r>
            <w:r>
              <w:rPr>
                <w:rFonts w:cs="Times New Roman"/>
                <w:color w:val="000000"/>
              </w:rPr>
              <w:t>7</w:t>
            </w:r>
          </w:p>
        </w:tc>
        <w:tc>
          <w:tcPr>
            <w:tcW w:w="2340" w:type="dxa"/>
            <w:tcBorders>
              <w:top w:val="nil"/>
              <w:left w:val="nil"/>
              <w:bottom w:val="nil"/>
              <w:right w:val="nil"/>
            </w:tcBorders>
            <w:shd w:val="clear" w:color="auto" w:fill="auto"/>
            <w:noWrap/>
            <w:vAlign w:val="bottom"/>
            <w:hideMark/>
          </w:tcPr>
          <w:p w14:paraId="5871141B" w14:textId="77777777" w:rsidR="00995917" w:rsidRPr="00963DCE" w:rsidRDefault="00995917" w:rsidP="00995917">
            <w:pPr>
              <w:spacing w:line="240" w:lineRule="auto"/>
              <w:jc w:val="center"/>
              <w:rPr>
                <w:rFonts w:cs="Times New Roman"/>
                <w:color w:val="000000"/>
              </w:rPr>
            </w:pPr>
            <w:r w:rsidRPr="00963DCE">
              <w:rPr>
                <w:rFonts w:cs="Times New Roman"/>
                <w:color w:val="000000"/>
              </w:rPr>
              <w:t>4.5</w:t>
            </w:r>
          </w:p>
        </w:tc>
      </w:tr>
      <w:tr w:rsidR="00995917" w:rsidRPr="00963DCE" w14:paraId="01F01E56" w14:textId="77777777" w:rsidTr="00995917">
        <w:trPr>
          <w:trHeight w:val="315"/>
        </w:trPr>
        <w:tc>
          <w:tcPr>
            <w:tcW w:w="1800" w:type="dxa"/>
            <w:tcBorders>
              <w:top w:val="single" w:sz="4" w:space="0" w:color="auto"/>
              <w:left w:val="nil"/>
              <w:bottom w:val="nil"/>
              <w:right w:val="nil"/>
            </w:tcBorders>
            <w:shd w:val="clear" w:color="auto" w:fill="auto"/>
            <w:noWrap/>
            <w:vAlign w:val="bottom"/>
            <w:hideMark/>
          </w:tcPr>
          <w:p w14:paraId="4AC8177E" w14:textId="77777777" w:rsidR="00995917" w:rsidRPr="00963DCE" w:rsidRDefault="00995917" w:rsidP="00995917">
            <w:pPr>
              <w:spacing w:line="240" w:lineRule="auto"/>
              <w:jc w:val="center"/>
              <w:rPr>
                <w:rFonts w:cs="Times New Roman"/>
                <w:color w:val="000000"/>
              </w:rPr>
            </w:pPr>
            <w:r w:rsidRPr="00421F15">
              <w:rPr>
                <w:rFonts w:cs="Times New Roman"/>
                <w:color w:val="000000"/>
                <w:vertAlign w:val="superscript"/>
              </w:rPr>
              <w:t>Ϟ</w:t>
            </w:r>
            <w:r w:rsidRPr="00963DCE">
              <w:rPr>
                <w:rFonts w:cs="Times New Roman"/>
                <w:color w:val="000000"/>
              </w:rPr>
              <w:t>SEM</w:t>
            </w:r>
          </w:p>
        </w:tc>
        <w:tc>
          <w:tcPr>
            <w:tcW w:w="1350" w:type="dxa"/>
            <w:tcBorders>
              <w:top w:val="single" w:sz="4" w:space="0" w:color="auto"/>
              <w:left w:val="nil"/>
              <w:bottom w:val="nil"/>
              <w:right w:val="nil"/>
            </w:tcBorders>
            <w:shd w:val="clear" w:color="auto" w:fill="auto"/>
            <w:noWrap/>
            <w:vAlign w:val="bottom"/>
            <w:hideMark/>
          </w:tcPr>
          <w:p w14:paraId="793A26A5" w14:textId="77777777" w:rsidR="00995917" w:rsidRPr="00963DCE" w:rsidRDefault="00995917" w:rsidP="00995917">
            <w:pPr>
              <w:spacing w:line="240" w:lineRule="auto"/>
              <w:jc w:val="center"/>
              <w:rPr>
                <w:rFonts w:cs="Times New Roman"/>
                <w:i/>
                <w:iCs/>
                <w:color w:val="000000"/>
              </w:rPr>
            </w:pPr>
            <w:r w:rsidRPr="00963DCE">
              <w:rPr>
                <w:rFonts w:cs="Times New Roman"/>
                <w:i/>
                <w:iCs/>
                <w:color w:val="000000"/>
              </w:rPr>
              <w:t>0.0392</w:t>
            </w:r>
          </w:p>
        </w:tc>
        <w:tc>
          <w:tcPr>
            <w:tcW w:w="990" w:type="dxa"/>
            <w:tcBorders>
              <w:top w:val="single" w:sz="4" w:space="0" w:color="auto"/>
              <w:left w:val="nil"/>
              <w:bottom w:val="nil"/>
              <w:right w:val="nil"/>
            </w:tcBorders>
            <w:shd w:val="clear" w:color="auto" w:fill="auto"/>
            <w:noWrap/>
            <w:vAlign w:val="bottom"/>
            <w:hideMark/>
          </w:tcPr>
          <w:p w14:paraId="46E97B08" w14:textId="77777777" w:rsidR="00995917" w:rsidRPr="00963DCE" w:rsidRDefault="00995917" w:rsidP="00995917">
            <w:pPr>
              <w:spacing w:line="240" w:lineRule="auto"/>
              <w:jc w:val="center"/>
              <w:rPr>
                <w:rFonts w:cs="Times New Roman"/>
                <w:i/>
                <w:iCs/>
                <w:color w:val="000000"/>
              </w:rPr>
            </w:pPr>
            <w:r w:rsidRPr="00963DCE">
              <w:rPr>
                <w:rFonts w:cs="Times New Roman"/>
                <w:i/>
                <w:iCs/>
                <w:color w:val="000000"/>
              </w:rPr>
              <w:t>0.0052</w:t>
            </w:r>
          </w:p>
        </w:tc>
        <w:tc>
          <w:tcPr>
            <w:tcW w:w="1350" w:type="dxa"/>
            <w:tcBorders>
              <w:top w:val="single" w:sz="4" w:space="0" w:color="auto"/>
              <w:left w:val="nil"/>
              <w:bottom w:val="nil"/>
              <w:right w:val="nil"/>
            </w:tcBorders>
            <w:shd w:val="clear" w:color="auto" w:fill="auto"/>
            <w:noWrap/>
            <w:vAlign w:val="bottom"/>
            <w:hideMark/>
          </w:tcPr>
          <w:p w14:paraId="0621BBC0" w14:textId="77777777" w:rsidR="00995917" w:rsidRPr="00963DCE" w:rsidRDefault="00995917" w:rsidP="00995917">
            <w:pPr>
              <w:spacing w:line="240" w:lineRule="auto"/>
              <w:jc w:val="center"/>
              <w:rPr>
                <w:rFonts w:cs="Times New Roman"/>
                <w:i/>
                <w:iCs/>
                <w:color w:val="000000"/>
              </w:rPr>
            </w:pPr>
            <w:r w:rsidRPr="00963DCE">
              <w:rPr>
                <w:rFonts w:cs="Times New Roman"/>
                <w:i/>
                <w:iCs/>
                <w:color w:val="000000"/>
              </w:rPr>
              <w:t>0.9418</w:t>
            </w:r>
          </w:p>
        </w:tc>
        <w:tc>
          <w:tcPr>
            <w:tcW w:w="1080" w:type="dxa"/>
            <w:tcBorders>
              <w:top w:val="single" w:sz="4" w:space="0" w:color="auto"/>
              <w:left w:val="nil"/>
              <w:bottom w:val="nil"/>
              <w:right w:val="nil"/>
            </w:tcBorders>
            <w:shd w:val="clear" w:color="auto" w:fill="auto"/>
            <w:noWrap/>
            <w:vAlign w:val="bottom"/>
            <w:hideMark/>
          </w:tcPr>
          <w:p w14:paraId="572C600F" w14:textId="77777777" w:rsidR="00995917" w:rsidRPr="00963DCE" w:rsidRDefault="00995917" w:rsidP="00995917">
            <w:pPr>
              <w:spacing w:line="240" w:lineRule="auto"/>
              <w:jc w:val="center"/>
              <w:rPr>
                <w:rFonts w:cs="Times New Roman"/>
                <w:i/>
                <w:iCs/>
                <w:color w:val="000000"/>
              </w:rPr>
            </w:pPr>
            <w:r w:rsidRPr="00963DCE">
              <w:rPr>
                <w:rFonts w:cs="Times New Roman"/>
                <w:i/>
                <w:iCs/>
                <w:color w:val="000000"/>
              </w:rPr>
              <w:t>0.3748</w:t>
            </w:r>
          </w:p>
        </w:tc>
        <w:tc>
          <w:tcPr>
            <w:tcW w:w="2340" w:type="dxa"/>
            <w:tcBorders>
              <w:top w:val="single" w:sz="4" w:space="0" w:color="auto"/>
              <w:left w:val="nil"/>
              <w:bottom w:val="nil"/>
              <w:right w:val="nil"/>
            </w:tcBorders>
            <w:shd w:val="clear" w:color="auto" w:fill="auto"/>
            <w:noWrap/>
            <w:vAlign w:val="bottom"/>
            <w:hideMark/>
          </w:tcPr>
          <w:p w14:paraId="5C6DF8D6" w14:textId="77777777" w:rsidR="00995917" w:rsidRPr="00963DCE" w:rsidRDefault="00995917" w:rsidP="00995917">
            <w:pPr>
              <w:spacing w:line="240" w:lineRule="auto"/>
              <w:jc w:val="center"/>
              <w:rPr>
                <w:rFonts w:cs="Times New Roman"/>
                <w:i/>
                <w:iCs/>
                <w:color w:val="000000"/>
              </w:rPr>
            </w:pPr>
            <w:r w:rsidRPr="00963DCE">
              <w:rPr>
                <w:rFonts w:cs="Times New Roman"/>
                <w:i/>
                <w:iCs/>
                <w:color w:val="000000"/>
              </w:rPr>
              <w:t>0.6487</w:t>
            </w:r>
          </w:p>
        </w:tc>
      </w:tr>
      <w:tr w:rsidR="00995917" w:rsidRPr="00963DCE" w14:paraId="532D70EB" w14:textId="77777777" w:rsidTr="00995917">
        <w:trPr>
          <w:trHeight w:val="315"/>
        </w:trPr>
        <w:tc>
          <w:tcPr>
            <w:tcW w:w="1800" w:type="dxa"/>
            <w:tcBorders>
              <w:top w:val="nil"/>
              <w:left w:val="nil"/>
              <w:bottom w:val="single" w:sz="4" w:space="0" w:color="auto"/>
              <w:right w:val="nil"/>
            </w:tcBorders>
            <w:shd w:val="clear" w:color="auto" w:fill="auto"/>
            <w:noWrap/>
            <w:vAlign w:val="bottom"/>
            <w:hideMark/>
          </w:tcPr>
          <w:p w14:paraId="73C86EA1" w14:textId="77777777" w:rsidR="00995917" w:rsidRPr="00963DCE" w:rsidRDefault="00995917" w:rsidP="00995917">
            <w:pPr>
              <w:spacing w:line="240" w:lineRule="auto"/>
              <w:jc w:val="center"/>
              <w:rPr>
                <w:rFonts w:cs="Times New Roman"/>
                <w:color w:val="000000"/>
              </w:rPr>
            </w:pPr>
            <w:r w:rsidRPr="00963DCE">
              <w:rPr>
                <w:rFonts w:cs="Times New Roman"/>
                <w:i/>
                <w:iCs/>
                <w:color w:val="000000"/>
              </w:rPr>
              <w:t>P</w:t>
            </w:r>
            <w:r w:rsidRPr="00963DCE">
              <w:rPr>
                <w:rFonts w:cs="Times New Roman"/>
                <w:color w:val="000000"/>
              </w:rPr>
              <w:t>-value</w:t>
            </w:r>
          </w:p>
        </w:tc>
        <w:tc>
          <w:tcPr>
            <w:tcW w:w="1350" w:type="dxa"/>
            <w:tcBorders>
              <w:top w:val="nil"/>
              <w:left w:val="nil"/>
              <w:bottom w:val="single" w:sz="4" w:space="0" w:color="auto"/>
              <w:right w:val="nil"/>
            </w:tcBorders>
            <w:shd w:val="clear" w:color="auto" w:fill="auto"/>
            <w:noWrap/>
            <w:vAlign w:val="bottom"/>
            <w:hideMark/>
          </w:tcPr>
          <w:p w14:paraId="6B4908D4" w14:textId="77777777" w:rsidR="00995917" w:rsidRPr="00963DCE" w:rsidRDefault="00995917" w:rsidP="00995917">
            <w:pPr>
              <w:spacing w:line="240" w:lineRule="auto"/>
              <w:jc w:val="center"/>
              <w:rPr>
                <w:rFonts w:cs="Times New Roman"/>
                <w:i/>
                <w:iCs/>
                <w:color w:val="000000"/>
              </w:rPr>
            </w:pPr>
            <w:r w:rsidRPr="00963DCE">
              <w:rPr>
                <w:rFonts w:cs="Times New Roman"/>
                <w:i/>
                <w:iCs/>
                <w:color w:val="000000"/>
              </w:rPr>
              <w:t>0.3614</w:t>
            </w:r>
          </w:p>
        </w:tc>
        <w:tc>
          <w:tcPr>
            <w:tcW w:w="990" w:type="dxa"/>
            <w:tcBorders>
              <w:top w:val="nil"/>
              <w:left w:val="nil"/>
              <w:bottom w:val="single" w:sz="4" w:space="0" w:color="auto"/>
              <w:right w:val="nil"/>
            </w:tcBorders>
            <w:shd w:val="clear" w:color="auto" w:fill="auto"/>
            <w:noWrap/>
            <w:vAlign w:val="bottom"/>
            <w:hideMark/>
          </w:tcPr>
          <w:p w14:paraId="6BE4A4F9" w14:textId="77777777" w:rsidR="00995917" w:rsidRPr="00963DCE" w:rsidRDefault="00995917" w:rsidP="00995917">
            <w:pPr>
              <w:spacing w:line="240" w:lineRule="auto"/>
              <w:jc w:val="center"/>
              <w:rPr>
                <w:rFonts w:cs="Times New Roman"/>
                <w:i/>
                <w:iCs/>
                <w:color w:val="000000"/>
              </w:rPr>
            </w:pPr>
            <w:r w:rsidRPr="00963DCE">
              <w:rPr>
                <w:rFonts w:cs="Times New Roman"/>
                <w:i/>
                <w:iCs/>
                <w:color w:val="000000"/>
              </w:rPr>
              <w:t>0.6943</w:t>
            </w:r>
          </w:p>
        </w:tc>
        <w:tc>
          <w:tcPr>
            <w:tcW w:w="1350" w:type="dxa"/>
            <w:tcBorders>
              <w:top w:val="nil"/>
              <w:left w:val="nil"/>
              <w:bottom w:val="single" w:sz="4" w:space="0" w:color="auto"/>
              <w:right w:val="nil"/>
            </w:tcBorders>
            <w:shd w:val="clear" w:color="auto" w:fill="auto"/>
            <w:noWrap/>
            <w:vAlign w:val="bottom"/>
            <w:hideMark/>
          </w:tcPr>
          <w:p w14:paraId="3D99DD51" w14:textId="77777777" w:rsidR="00995917" w:rsidRPr="00963DCE" w:rsidRDefault="00995917" w:rsidP="00995917">
            <w:pPr>
              <w:spacing w:line="240" w:lineRule="auto"/>
              <w:jc w:val="center"/>
              <w:rPr>
                <w:rFonts w:cs="Times New Roman"/>
                <w:i/>
                <w:iCs/>
                <w:color w:val="000000"/>
              </w:rPr>
            </w:pPr>
            <w:r w:rsidRPr="00963DCE">
              <w:rPr>
                <w:rFonts w:cs="Times New Roman"/>
                <w:i/>
                <w:iCs/>
                <w:color w:val="000000"/>
              </w:rPr>
              <w:t>0.3794</w:t>
            </w:r>
          </w:p>
        </w:tc>
        <w:tc>
          <w:tcPr>
            <w:tcW w:w="1080" w:type="dxa"/>
            <w:tcBorders>
              <w:top w:val="nil"/>
              <w:left w:val="nil"/>
              <w:bottom w:val="single" w:sz="4" w:space="0" w:color="auto"/>
              <w:right w:val="nil"/>
            </w:tcBorders>
            <w:shd w:val="clear" w:color="auto" w:fill="auto"/>
            <w:noWrap/>
            <w:vAlign w:val="bottom"/>
            <w:hideMark/>
          </w:tcPr>
          <w:p w14:paraId="52CC45D0" w14:textId="77777777" w:rsidR="00995917" w:rsidRPr="00963DCE" w:rsidRDefault="00995917" w:rsidP="00995917">
            <w:pPr>
              <w:spacing w:line="240" w:lineRule="auto"/>
              <w:jc w:val="center"/>
              <w:rPr>
                <w:rFonts w:cs="Times New Roman"/>
                <w:i/>
                <w:iCs/>
                <w:color w:val="000000"/>
              </w:rPr>
            </w:pPr>
            <w:r w:rsidRPr="00963DCE">
              <w:rPr>
                <w:rFonts w:cs="Times New Roman"/>
                <w:i/>
                <w:iCs/>
                <w:color w:val="000000"/>
              </w:rPr>
              <w:t>0.6610</w:t>
            </w:r>
          </w:p>
        </w:tc>
        <w:tc>
          <w:tcPr>
            <w:tcW w:w="2340" w:type="dxa"/>
            <w:tcBorders>
              <w:top w:val="nil"/>
              <w:left w:val="nil"/>
              <w:bottom w:val="single" w:sz="4" w:space="0" w:color="auto"/>
              <w:right w:val="nil"/>
            </w:tcBorders>
            <w:shd w:val="clear" w:color="auto" w:fill="auto"/>
            <w:noWrap/>
            <w:vAlign w:val="bottom"/>
            <w:hideMark/>
          </w:tcPr>
          <w:p w14:paraId="019F3128" w14:textId="77777777" w:rsidR="00995917" w:rsidRPr="00963DCE" w:rsidRDefault="00995917" w:rsidP="00995917">
            <w:pPr>
              <w:spacing w:line="240" w:lineRule="auto"/>
              <w:jc w:val="center"/>
              <w:rPr>
                <w:rFonts w:cs="Times New Roman"/>
                <w:i/>
                <w:iCs/>
                <w:color w:val="000000"/>
              </w:rPr>
            </w:pPr>
            <w:r w:rsidRPr="00963DCE">
              <w:rPr>
                <w:rFonts w:cs="Times New Roman"/>
                <w:i/>
                <w:iCs/>
                <w:color w:val="000000"/>
              </w:rPr>
              <w:t>0.7676</w:t>
            </w:r>
          </w:p>
        </w:tc>
      </w:tr>
      <w:tr w:rsidR="00995917" w:rsidRPr="00963DCE" w14:paraId="0C1A0778" w14:textId="77777777" w:rsidTr="00995917">
        <w:trPr>
          <w:trHeight w:val="315"/>
        </w:trPr>
        <w:tc>
          <w:tcPr>
            <w:tcW w:w="8910" w:type="dxa"/>
            <w:gridSpan w:val="6"/>
            <w:tcBorders>
              <w:top w:val="nil"/>
              <w:left w:val="nil"/>
              <w:bottom w:val="nil"/>
              <w:right w:val="nil"/>
            </w:tcBorders>
            <w:shd w:val="clear" w:color="auto" w:fill="auto"/>
            <w:noWrap/>
            <w:vAlign w:val="bottom"/>
            <w:hideMark/>
          </w:tcPr>
          <w:p w14:paraId="1151D9B7" w14:textId="77777777" w:rsidR="00995917" w:rsidRPr="00963DCE" w:rsidRDefault="00995917" w:rsidP="00995917">
            <w:pPr>
              <w:spacing w:line="240" w:lineRule="auto"/>
              <w:rPr>
                <w:rFonts w:cs="Times New Roman"/>
                <w:color w:val="000000"/>
              </w:rPr>
            </w:pPr>
            <w:r w:rsidRPr="00963DCE">
              <w:rPr>
                <w:rFonts w:cs="Times New Roman"/>
                <w:color w:val="000000"/>
              </w:rPr>
              <w:t xml:space="preserve">Means with a common uppercase letter are not significant at an </w:t>
            </w:r>
            <w:r>
              <w:rPr>
                <w:rFonts w:cs="Times New Roman"/>
                <w:color w:val="000000"/>
              </w:rPr>
              <w:t xml:space="preserve">α = </w:t>
            </w:r>
            <w:r w:rsidRPr="00963DCE">
              <w:rPr>
                <w:rFonts w:cs="Times New Roman"/>
                <w:color w:val="000000"/>
              </w:rPr>
              <w:t>0.05</w:t>
            </w:r>
          </w:p>
        </w:tc>
      </w:tr>
      <w:tr w:rsidR="00995917" w:rsidRPr="00963DCE" w14:paraId="71C9ED3A" w14:textId="77777777" w:rsidTr="00995917">
        <w:trPr>
          <w:trHeight w:val="315"/>
        </w:trPr>
        <w:tc>
          <w:tcPr>
            <w:tcW w:w="8910" w:type="dxa"/>
            <w:gridSpan w:val="6"/>
            <w:tcBorders>
              <w:top w:val="nil"/>
              <w:left w:val="nil"/>
              <w:bottom w:val="nil"/>
              <w:right w:val="nil"/>
            </w:tcBorders>
            <w:shd w:val="clear" w:color="auto" w:fill="auto"/>
            <w:noWrap/>
            <w:vAlign w:val="bottom"/>
            <w:hideMark/>
          </w:tcPr>
          <w:p w14:paraId="5D9D2CBB" w14:textId="77777777" w:rsidR="00995917" w:rsidRPr="00963DCE" w:rsidRDefault="00995917" w:rsidP="00995917">
            <w:pPr>
              <w:spacing w:line="240" w:lineRule="auto"/>
              <w:rPr>
                <w:rFonts w:cs="Times New Roman"/>
                <w:color w:val="000000"/>
              </w:rPr>
            </w:pPr>
            <w:r w:rsidRPr="00421F15">
              <w:rPr>
                <w:rFonts w:cs="Times New Roman"/>
                <w:color w:val="000000"/>
                <w:vertAlign w:val="superscript"/>
              </w:rPr>
              <w:t>Ϟ</w:t>
            </w:r>
            <w:r w:rsidRPr="00963DCE">
              <w:rPr>
                <w:rFonts w:cs="Times New Roman"/>
                <w:color w:val="000000"/>
              </w:rPr>
              <w:t>SEM, Standard Error of the Mean</w:t>
            </w:r>
          </w:p>
        </w:tc>
      </w:tr>
      <w:tr w:rsidR="00995917" w:rsidRPr="00963DCE" w14:paraId="6963A9EF" w14:textId="77777777" w:rsidTr="00995917">
        <w:trPr>
          <w:trHeight w:val="990"/>
        </w:trPr>
        <w:tc>
          <w:tcPr>
            <w:tcW w:w="8910" w:type="dxa"/>
            <w:gridSpan w:val="6"/>
            <w:tcBorders>
              <w:top w:val="nil"/>
              <w:left w:val="nil"/>
              <w:bottom w:val="nil"/>
              <w:right w:val="nil"/>
            </w:tcBorders>
            <w:shd w:val="clear" w:color="auto" w:fill="auto"/>
            <w:vAlign w:val="bottom"/>
            <w:hideMark/>
          </w:tcPr>
          <w:p w14:paraId="6A9ECE77" w14:textId="77777777" w:rsidR="00995917" w:rsidRPr="00963DCE" w:rsidRDefault="00995917" w:rsidP="00995917">
            <w:pPr>
              <w:spacing w:line="240" w:lineRule="auto"/>
              <w:rPr>
                <w:rFonts w:cs="Times New Roman"/>
                <w:color w:val="000000"/>
              </w:rPr>
            </w:pPr>
            <w:r w:rsidRPr="00963DCE">
              <w:rPr>
                <w:rFonts w:cs="Times New Roman"/>
                <w:i/>
                <w:iCs/>
                <w:color w:val="000000"/>
              </w:rPr>
              <w:t>Note:</w:t>
            </w:r>
            <w:r w:rsidRPr="00963DCE">
              <w:rPr>
                <w:rFonts w:cs="Times New Roman"/>
                <w:color w:val="000000"/>
              </w:rPr>
              <w:t> 100N+P corresponds to 100%N + Dry inoculation, 100N+C corresponds to 100%N + no inoculation,75N+P corresponds to 75%N+Dry inoculation, 75N+C corresponds to 75%N + no inoculation, 100N+L corresponds to 100%N+Liquid inoculation, and 75N+L corresponds to 75%N+Liquid inoculation.</w:t>
            </w:r>
          </w:p>
        </w:tc>
      </w:tr>
    </w:tbl>
    <w:p w14:paraId="220FAAF0" w14:textId="77777777" w:rsidR="00995917" w:rsidRDefault="00995917">
      <w:pPr>
        <w:spacing w:line="240" w:lineRule="auto"/>
        <w:rPr>
          <w:b/>
          <w:bCs/>
          <w:iCs/>
          <w:szCs w:val="28"/>
        </w:rPr>
      </w:pPr>
      <w:r>
        <w:br w:type="page"/>
      </w:r>
    </w:p>
    <w:bookmarkEnd w:id="37"/>
    <w:p w14:paraId="37CD211C" w14:textId="4DA39652" w:rsidR="007D2CFC" w:rsidRDefault="00776576" w:rsidP="00776576">
      <w:pPr>
        <w:numPr>
          <w:ilvl w:val="12"/>
          <w:numId w:val="0"/>
        </w:numPr>
        <w:spacing w:line="480" w:lineRule="auto"/>
        <w:rPr>
          <w:rFonts w:cs="Times New Roman"/>
        </w:rPr>
      </w:pPr>
      <w:r>
        <w:rPr>
          <w:rFonts w:cs="Times New Roman"/>
        </w:rPr>
        <w:lastRenderedPageBreak/>
        <w:t>development in the greenhouse trial (</w:t>
      </w:r>
      <w:r w:rsidRPr="00767A67">
        <w:rPr>
          <w:rFonts w:cs="Times New Roman"/>
          <w:b/>
          <w:bCs/>
        </w:rPr>
        <w:t>Table 1.1</w:t>
      </w:r>
      <w:r>
        <w:rPr>
          <w:rFonts w:cs="Times New Roman"/>
        </w:rPr>
        <w:t>). A similar positive effect was reported</w:t>
      </w:r>
      <w:r>
        <w:rPr>
          <w:rFonts w:cs="Times New Roman"/>
        </w:rPr>
        <w:t xml:space="preserve"> </w:t>
      </w:r>
      <w:r w:rsidR="007D2CFC">
        <w:rPr>
          <w:rFonts w:cs="Times New Roman"/>
        </w:rPr>
        <w:fldChar w:fldCharType="begin"/>
      </w:r>
      <w:r w:rsidR="007D2CFC">
        <w:rPr>
          <w:rFonts w:cs="Times New Roman"/>
        </w:rPr>
        <w:instrText xml:space="preserve"> ADDIN ZOTERO_ITEM CSL_CITATION {"citationID":"oS00dnA3","properties":{"formattedCitation":"(Hungria et al., 2010)","plainCitation":"(Hungria et al., 2010)","dontUpdate":true,"noteIndex":0},"citationItems":[{"id":58,"uris":["http://zotero.org/users/local/kjHHoAYm/items/MBP92CI8"],"itemData":{"id":58,"type":"article-journal","container-title":"Plant and Soil","DOI":"10.1007/s11104-009-0262-0","ISSN":"0032-079X, 1573-5036","issue":"1-2","journalAbbreviation":"Plant Soil","language":"en","license":"http://www.springer.com/tdm","page":"413-425","source":"DOI.org (Crossref)","title":"Inoculation with selected strains of Azospirillum brasilense and A. lipoferum improves yields of maize and wheat in Brazil","volume":"331","author":[{"family":"Hungria","given":"Mariangela"},{"family":"Campo","given":"Rubens J."},{"family":"Souza","given":"Emanuel M."},{"family":"Pedrosa","given":"Fabio O."}],"issued":{"date-parts":[["2010",6]]}}}],"schema":"https://github.com/citation-style-language/schema/raw/master/csl-citation.json"} </w:instrText>
      </w:r>
      <w:r w:rsidR="007D2CFC">
        <w:rPr>
          <w:rFonts w:cs="Times New Roman"/>
        </w:rPr>
        <w:fldChar w:fldCharType="separate"/>
      </w:r>
      <w:r w:rsidR="007D2CFC">
        <w:rPr>
          <w:rFonts w:cs="Times New Roman"/>
        </w:rPr>
        <w:t xml:space="preserve">by </w:t>
      </w:r>
      <w:r w:rsidR="007D2CFC" w:rsidRPr="004B72BA">
        <w:rPr>
          <w:rFonts w:cs="Times New Roman"/>
        </w:rPr>
        <w:t xml:space="preserve">Hungria et al. </w:t>
      </w:r>
      <w:r w:rsidR="007D2CFC">
        <w:rPr>
          <w:rFonts w:cs="Times New Roman"/>
        </w:rPr>
        <w:t>(</w:t>
      </w:r>
      <w:r w:rsidR="007D2CFC" w:rsidRPr="004B72BA">
        <w:rPr>
          <w:rFonts w:cs="Times New Roman"/>
        </w:rPr>
        <w:t>2010)</w:t>
      </w:r>
      <w:r w:rsidR="007D2CFC">
        <w:rPr>
          <w:rFonts w:cs="Times New Roman"/>
        </w:rPr>
        <w:fldChar w:fldCharType="end"/>
      </w:r>
      <w:r w:rsidR="00143261">
        <w:rPr>
          <w:rFonts w:cs="Times New Roman"/>
        </w:rPr>
        <w:t>, where inoculation with</w:t>
      </w:r>
      <w:r w:rsidR="007D2CFC">
        <w:rPr>
          <w:rFonts w:cs="Times New Roman"/>
        </w:rPr>
        <w:t xml:space="preserve"> </w:t>
      </w:r>
      <w:proofErr w:type="spellStart"/>
      <w:r w:rsidR="00143261">
        <w:rPr>
          <w:rFonts w:cs="Times New Roman"/>
          <w:i/>
          <w:iCs/>
        </w:rPr>
        <w:t>A</w:t>
      </w:r>
      <w:r w:rsidR="00143261" w:rsidRPr="0058485D">
        <w:rPr>
          <w:rFonts w:cs="Times New Roman"/>
          <w:i/>
          <w:iCs/>
        </w:rPr>
        <w:t>zospirillum</w:t>
      </w:r>
      <w:proofErr w:type="spellEnd"/>
      <w:r w:rsidR="00143261">
        <w:rPr>
          <w:rFonts w:cs="Times New Roman"/>
        </w:rPr>
        <w:t xml:space="preserve"> resulted </w:t>
      </w:r>
      <w:r w:rsidR="007D2CFC">
        <w:rPr>
          <w:rFonts w:cs="Times New Roman"/>
        </w:rPr>
        <w:t xml:space="preserve">in maize and wheat yield </w:t>
      </w:r>
      <w:r w:rsidR="00143261">
        <w:rPr>
          <w:rFonts w:cs="Times New Roman"/>
        </w:rPr>
        <w:t xml:space="preserve">increases </w:t>
      </w:r>
      <w:r w:rsidR="007D2CFC">
        <w:rPr>
          <w:rFonts w:cs="Times New Roman"/>
        </w:rPr>
        <w:t>ranging from 9-18%.</w:t>
      </w:r>
    </w:p>
    <w:p w14:paraId="537C0796" w14:textId="648A0604" w:rsidR="007D2CFC" w:rsidRDefault="007D2CFC" w:rsidP="00776576">
      <w:pPr>
        <w:numPr>
          <w:ilvl w:val="12"/>
          <w:numId w:val="0"/>
        </w:numPr>
        <w:spacing w:line="480" w:lineRule="auto"/>
        <w:ind w:firstLine="720"/>
        <w:rPr>
          <w:rFonts w:cs="Times New Roman"/>
        </w:rPr>
      </w:pPr>
      <w:r>
        <w:rPr>
          <w:rFonts w:cs="Times New Roman"/>
        </w:rPr>
        <w:t xml:space="preserve">The effect of the PGPB inoculation </w:t>
      </w:r>
      <w:r w:rsidR="00143261">
        <w:rPr>
          <w:rFonts w:cs="Times New Roman"/>
        </w:rPr>
        <w:t xml:space="preserve">can promote both </w:t>
      </w:r>
      <w:r>
        <w:rPr>
          <w:rFonts w:cs="Times New Roman"/>
        </w:rPr>
        <w:t>root and shoot development</w:t>
      </w:r>
      <w:r w:rsidR="00143261">
        <w:rPr>
          <w:rFonts w:cs="Times New Roman"/>
        </w:rPr>
        <w:t>, contributing to improved</w:t>
      </w:r>
      <w:r>
        <w:rPr>
          <w:rFonts w:cs="Times New Roman"/>
        </w:rPr>
        <w:t xml:space="preserve"> environmental </w:t>
      </w:r>
      <w:r w:rsidR="00143261">
        <w:rPr>
          <w:rFonts w:cs="Times New Roman"/>
        </w:rPr>
        <w:t xml:space="preserve">adaptability </w:t>
      </w:r>
      <w:r>
        <w:rPr>
          <w:rFonts w:cs="Times New Roman"/>
        </w:rPr>
        <w:t xml:space="preserve">(Kong and Liu., 2022). </w:t>
      </w:r>
      <w:r>
        <w:rPr>
          <w:rFonts w:cs="Times New Roman"/>
        </w:rPr>
        <w:fldChar w:fldCharType="begin"/>
      </w:r>
      <w:r w:rsidR="00B72F6A">
        <w:rPr>
          <w:rFonts w:cs="Times New Roman"/>
        </w:rPr>
        <w:instrText xml:space="preserve"> ADDIN ZOTERO_ITEM CSL_CITATION {"citationID":"QVexMmKu","properties":{"formattedCitation":"(Silva et al., 2023)","plainCitation":"(Silva et al., 2023)","dontUpdate":true,"noteIndex":0},"citationItems":[{"id":63,"uris":["http://zotero.org/users/local/kjHHoAYm/items/B9IRDYFL"],"itemData":{"id":63,"type":"article-journal","container-title":"Revista Ceres","DOI":"10.1590/0034-737x202370040007","ISSN":"2177-3491, 0034-737X","issue":"4","journalAbbreviation":"Rev. Ceres","license":"http://creativecommons.org/licenses/by/4.0/","page":"42-50","source":"DOI.org (Crossref)","title":"Productivity and nutritive value of Tifton 85 bermudagrass inoculated with Azospirillum brasilense in association with nitrogen fertilization","volume":"70","author":[{"family":"Silva","given":"Aline Rodrigues"},{"family":"Olivo","given":"Clair Jorge"},{"family":"Granada","given":"Diego Martins"},{"family":"Casagrande","given":"Lucas Giovane"},{"family":"Quatrin","given":"Mauricio Pase"},{"family":"Sauter","given":"Caroline Paim"}],"issued":{"date-parts":[["2023",8]]}}}],"schema":"https://github.com/citation-style-language/schema/raw/master/csl-citation.json"} </w:instrText>
      </w:r>
      <w:r>
        <w:rPr>
          <w:rFonts w:cs="Times New Roman"/>
        </w:rPr>
        <w:fldChar w:fldCharType="separate"/>
      </w:r>
      <w:r>
        <w:rPr>
          <w:rFonts w:cs="Times New Roman"/>
        </w:rPr>
        <w:t xml:space="preserve">According to </w:t>
      </w:r>
      <w:r w:rsidRPr="0058485D">
        <w:rPr>
          <w:rFonts w:cs="Times New Roman"/>
        </w:rPr>
        <w:t>Silva et al</w:t>
      </w:r>
      <w:r w:rsidR="00421F15">
        <w:rPr>
          <w:rFonts w:cs="Times New Roman"/>
        </w:rPr>
        <w:t>.</w:t>
      </w:r>
      <w:r w:rsidRPr="0058485D">
        <w:rPr>
          <w:rFonts w:cs="Times New Roman"/>
        </w:rPr>
        <w:t xml:space="preserve"> </w:t>
      </w:r>
      <w:r>
        <w:rPr>
          <w:rFonts w:cs="Times New Roman"/>
        </w:rPr>
        <w:t>(</w:t>
      </w:r>
      <w:r w:rsidRPr="0058485D">
        <w:rPr>
          <w:rFonts w:cs="Times New Roman"/>
        </w:rPr>
        <w:t>2023)</w:t>
      </w:r>
      <w:r>
        <w:rPr>
          <w:rFonts w:cs="Times New Roman"/>
        </w:rPr>
        <w:fldChar w:fldCharType="end"/>
      </w:r>
      <w:r w:rsidR="006F1BCF">
        <w:rPr>
          <w:rFonts w:cs="Times New Roman"/>
        </w:rPr>
        <w:t>,</w:t>
      </w:r>
      <w:r>
        <w:rPr>
          <w:rFonts w:cs="Times New Roman"/>
        </w:rPr>
        <w:t xml:space="preserve"> </w:t>
      </w:r>
      <w:r w:rsidR="00421F15">
        <w:rPr>
          <w:rFonts w:cs="Times New Roman"/>
        </w:rPr>
        <w:t xml:space="preserve">Tifton 85 </w:t>
      </w:r>
      <w:proofErr w:type="gramStart"/>
      <w:r>
        <w:rPr>
          <w:rFonts w:cs="Times New Roman"/>
        </w:rPr>
        <w:t>bermudagrass</w:t>
      </w:r>
      <w:proofErr w:type="gramEnd"/>
      <w:r>
        <w:rPr>
          <w:rFonts w:cs="Times New Roman"/>
        </w:rPr>
        <w:t xml:space="preserve"> inoculated with </w:t>
      </w:r>
      <w:proofErr w:type="spellStart"/>
      <w:r>
        <w:rPr>
          <w:rFonts w:cs="Times New Roman"/>
          <w:i/>
          <w:iCs/>
        </w:rPr>
        <w:t>A</w:t>
      </w:r>
      <w:r w:rsidRPr="0058485D">
        <w:rPr>
          <w:rFonts w:cs="Times New Roman"/>
          <w:i/>
          <w:iCs/>
        </w:rPr>
        <w:t>zospirillum</w:t>
      </w:r>
      <w:proofErr w:type="spellEnd"/>
      <w:r>
        <w:rPr>
          <w:rFonts w:cs="Times New Roman"/>
          <w:i/>
          <w:iCs/>
        </w:rPr>
        <w:t xml:space="preserve"> </w:t>
      </w:r>
      <w:proofErr w:type="spellStart"/>
      <w:r w:rsidR="00143261">
        <w:rPr>
          <w:rFonts w:cs="Times New Roman"/>
          <w:i/>
          <w:iCs/>
        </w:rPr>
        <w:t>brasiliense</w:t>
      </w:r>
      <w:proofErr w:type="spellEnd"/>
      <w:r w:rsidR="00143261">
        <w:rPr>
          <w:rFonts w:cs="Times New Roman"/>
          <w:i/>
          <w:iCs/>
        </w:rPr>
        <w:t xml:space="preserve"> </w:t>
      </w:r>
      <w:r w:rsidR="00143261">
        <w:rPr>
          <w:rFonts w:cs="Times New Roman"/>
        </w:rPr>
        <w:t>produced</w:t>
      </w:r>
      <w:r>
        <w:rPr>
          <w:rFonts w:cs="Times New Roman"/>
        </w:rPr>
        <w:t xml:space="preserve"> 1.4 to 1.9 </w:t>
      </w:r>
      <w:r w:rsidR="006F1BCF">
        <w:rPr>
          <w:rFonts w:cs="Times New Roman"/>
        </w:rPr>
        <w:t>Mg DM ha</w:t>
      </w:r>
      <w:r w:rsidR="006F1BCF" w:rsidRPr="0058485D">
        <w:rPr>
          <w:rFonts w:cs="Times New Roman"/>
          <w:vertAlign w:val="superscript"/>
        </w:rPr>
        <w:t>-1</w:t>
      </w:r>
      <w:r w:rsidR="006F1BCF">
        <w:rPr>
          <w:rFonts w:cs="Times New Roman"/>
        </w:rPr>
        <w:t xml:space="preserve"> </w:t>
      </w:r>
      <w:r w:rsidR="00143261">
        <w:rPr>
          <w:rFonts w:cs="Times New Roman"/>
        </w:rPr>
        <w:t xml:space="preserve">even </w:t>
      </w:r>
      <w:r>
        <w:rPr>
          <w:rFonts w:cs="Times New Roman"/>
        </w:rPr>
        <w:t>without N applications.</w:t>
      </w:r>
    </w:p>
    <w:p w14:paraId="11B3B81B" w14:textId="4218DED1" w:rsidR="007D2CFC" w:rsidRDefault="007D2CFC" w:rsidP="00776576">
      <w:pPr>
        <w:numPr>
          <w:ilvl w:val="12"/>
          <w:numId w:val="0"/>
        </w:numPr>
        <w:spacing w:line="480" w:lineRule="auto"/>
        <w:ind w:firstLine="720"/>
        <w:rPr>
          <w:rFonts w:cs="Times New Roman"/>
        </w:rPr>
      </w:pPr>
      <w:r>
        <w:rPr>
          <w:rFonts w:cs="Times New Roman"/>
        </w:rPr>
        <w:t>The</w:t>
      </w:r>
      <w:r w:rsidR="00143261">
        <w:rPr>
          <w:rFonts w:cs="Times New Roman"/>
        </w:rPr>
        <w:t xml:space="preserve">se </w:t>
      </w:r>
      <w:r>
        <w:rPr>
          <w:rFonts w:cs="Times New Roman"/>
        </w:rPr>
        <w:t xml:space="preserve">results </w:t>
      </w:r>
      <w:r w:rsidR="00143261">
        <w:rPr>
          <w:rFonts w:cs="Times New Roman"/>
        </w:rPr>
        <w:t xml:space="preserve">support the idea </w:t>
      </w:r>
      <w:r>
        <w:rPr>
          <w:rFonts w:cs="Times New Roman"/>
        </w:rPr>
        <w:t xml:space="preserve">that incorporating PGPBs into fertility programs can enhance overall plant </w:t>
      </w:r>
      <w:r w:rsidR="00143261">
        <w:rPr>
          <w:rFonts w:cs="Times New Roman"/>
        </w:rPr>
        <w:t>growth</w:t>
      </w:r>
      <w:r>
        <w:rPr>
          <w:rFonts w:cs="Times New Roman"/>
        </w:rPr>
        <w:t xml:space="preserve">, as </w:t>
      </w:r>
      <w:r w:rsidR="00143261">
        <w:rPr>
          <w:rFonts w:cs="Times New Roman"/>
        </w:rPr>
        <w:t xml:space="preserve">suggested </w:t>
      </w:r>
      <w:r>
        <w:rPr>
          <w:rFonts w:cs="Times New Roman"/>
        </w:rPr>
        <w:t xml:space="preserve">by </w:t>
      </w:r>
      <w:r>
        <w:rPr>
          <w:rFonts w:cs="Times New Roman"/>
        </w:rPr>
        <w:fldChar w:fldCharType="begin"/>
      </w:r>
      <w:r w:rsidR="00B72F6A">
        <w:rPr>
          <w:rFonts w:cs="Times New Roman"/>
        </w:rPr>
        <w:instrText xml:space="preserve"> ADDIN ZOTERO_ITEM CSL_CITATION {"citationID":"CCF8toPm","properties":{"formattedCitation":"(Bashan &amp; Holguin, 1997)","plainCitation":"(Bashan &amp; Holguin, 1997)","dontUpdate":true,"noteIndex":0},"citationItems":[{"id":61,"uris":["http://zotero.org/users/local/kjHHoAYm/items/6KVA9G42"],"itemData":{"id":61,"type":"article-journal","abstract":"This review presents a critical and comprehensive analysis of the developments in environmental and physiological studies related to Azospirillum interactions with plants based on information published between 1990 and 1996. It was designed as an update of a previous review with a similar scope. Apart from an update, this review emphasizes the central issues of Azospirillum research today, such as coinoculation with other microorganisms and hormonal studies, shows the less researched areas, and proposes possible avenues for the exploitation of this bacterium in areas other than agriculture.Key words: Azospirillum, bacterial inoculation, plant–bacteria interaction, plant growth promoting rhizobacteria, rhizosphere bacteria.","container-title":"Canadian Journal of Microbiology","DOI":"10.1139/m97-015","ISSN":"0008-4166, 1480-3275","issue":"2","journalAbbreviation":"Can. J. Microbiol.","language":"en","license":"http://www.nrcresearchpress.com/page/about/CorporateTextAndDataMining","page":"103-121","source":"DOI.org (Crossref)","title":"&lt;i&gt;Azospirillum&lt;/i&gt; – plant relationships: environmental and physiological advances (1990–1996)","title-short":"&lt;i&gt;Azospirillum&lt;/i&gt; – plant relationships","volume":"43","author":[{"family":"Bashan","given":"Yoav"},{"family":"Holguin","given":"Gina"}],"issued":{"date-parts":[["1997",2,1]]}}}],"schema":"https://github.com/citation-style-language/schema/raw/master/csl-citation.json"} </w:instrText>
      </w:r>
      <w:r>
        <w:rPr>
          <w:rFonts w:cs="Times New Roman"/>
        </w:rPr>
        <w:fldChar w:fldCharType="separate"/>
      </w:r>
      <w:r>
        <w:rPr>
          <w:rFonts w:cs="Times New Roman"/>
        </w:rPr>
        <w:t>B</w:t>
      </w:r>
      <w:r w:rsidRPr="00B400DE">
        <w:rPr>
          <w:rFonts w:cs="Times New Roman"/>
        </w:rPr>
        <w:t xml:space="preserve">ashan &amp; Holguin </w:t>
      </w:r>
      <w:r>
        <w:rPr>
          <w:rFonts w:cs="Times New Roman"/>
        </w:rPr>
        <w:t>(</w:t>
      </w:r>
      <w:r w:rsidRPr="00B400DE">
        <w:rPr>
          <w:rFonts w:cs="Times New Roman"/>
        </w:rPr>
        <w:t>1997)</w:t>
      </w:r>
      <w:r>
        <w:rPr>
          <w:rFonts w:cs="Times New Roman"/>
        </w:rPr>
        <w:fldChar w:fldCharType="end"/>
      </w:r>
      <w:r>
        <w:rPr>
          <w:rFonts w:cs="Times New Roman"/>
        </w:rPr>
        <w:t xml:space="preserve">. Additionally, these findings indicate that PGPBs may improve plant </w:t>
      </w:r>
      <w:r w:rsidR="00143261">
        <w:rPr>
          <w:rFonts w:cs="Times New Roman"/>
        </w:rPr>
        <w:t xml:space="preserve">performance </w:t>
      </w:r>
      <w:r>
        <w:rPr>
          <w:rFonts w:cs="Times New Roman"/>
        </w:rPr>
        <w:t xml:space="preserve">under low nitrogen </w:t>
      </w:r>
      <w:r w:rsidR="00143261">
        <w:rPr>
          <w:rFonts w:cs="Times New Roman"/>
        </w:rPr>
        <w:t>conditions</w:t>
      </w:r>
      <w:r>
        <w:rPr>
          <w:rFonts w:cs="Times New Roman"/>
        </w:rPr>
        <w:t xml:space="preserve">, </w:t>
      </w:r>
      <w:r w:rsidR="00143261">
        <w:rPr>
          <w:rFonts w:cs="Times New Roman"/>
        </w:rPr>
        <w:t xml:space="preserve">aligning with findings from </w:t>
      </w:r>
      <w:r>
        <w:rPr>
          <w:rFonts w:cs="Times New Roman"/>
        </w:rPr>
        <w:fldChar w:fldCharType="begin"/>
      </w:r>
      <w:r w:rsidR="00B72F6A">
        <w:rPr>
          <w:rFonts w:cs="Times New Roman"/>
        </w:rPr>
        <w:instrText xml:space="preserve"> ADDIN ZOTERO_ITEM CSL_CITATION {"citationID":"2YRRzdQO","properties":{"formattedCitation":"(Hungria et al., 2016)","plainCitation":"(Hungria et al., 2016)","dontUpdate":true,"noteIndex":0},"citationItems":[{"id":77,"uris":["http://zotero.org/users/local/kjHHoAYm/items/DGXT4ME2"],"itemData":{"id":77,"type":"article-journal","container-title":"Agriculture, Ecosystems &amp; Environment","DOI":"10.1016/j.agee.2016.01.024","ISSN":"01678809","journalAbbreviation":"Agriculture, Ecosystems &amp; Environment","language":"en","page":"125-131","source":"DOI.org (Crossref)","title":"Inoculation of Brachiaria spp. with the plant growth-promoting bacterium Azospirillum brasilense: An environment-friendly component in the reclamation of degraded pastures in the tropics","title-short":"Inoculation of Brachiaria spp. with the plant growth-promoting bacterium Azospirillum brasilense","volume":"221","author":[{"family":"Hungria","given":"Mariangela"},{"family":"Nogueira","given":"Marco Antonio"},{"family":"Araujo","given":"Ricardo Silva"}],"issued":{"date-parts":[["2016",4]]}}}],"schema":"https://github.com/citation-style-language/schema/raw/master/csl-citation.json"} </w:instrText>
      </w:r>
      <w:r>
        <w:rPr>
          <w:rFonts w:cs="Times New Roman"/>
        </w:rPr>
        <w:fldChar w:fldCharType="separate"/>
      </w:r>
      <w:r w:rsidRPr="00B400DE">
        <w:rPr>
          <w:rFonts w:cs="Times New Roman"/>
        </w:rPr>
        <w:t xml:space="preserve">Hungria et al. </w:t>
      </w:r>
      <w:r>
        <w:rPr>
          <w:rFonts w:cs="Times New Roman"/>
        </w:rPr>
        <w:t>(</w:t>
      </w:r>
      <w:r w:rsidRPr="00B400DE">
        <w:rPr>
          <w:rFonts w:cs="Times New Roman"/>
        </w:rPr>
        <w:t>2016)</w:t>
      </w:r>
      <w:r>
        <w:rPr>
          <w:rFonts w:cs="Times New Roman"/>
        </w:rPr>
        <w:fldChar w:fldCharType="end"/>
      </w:r>
      <w:r>
        <w:rPr>
          <w:rFonts w:cs="Times New Roman"/>
        </w:rPr>
        <w:t>.</w:t>
      </w:r>
    </w:p>
    <w:p w14:paraId="36B23F65" w14:textId="2AEBB712" w:rsidR="00277CD6" w:rsidRDefault="00277CD6" w:rsidP="00776576">
      <w:pPr>
        <w:numPr>
          <w:ilvl w:val="12"/>
          <w:numId w:val="0"/>
        </w:numPr>
        <w:spacing w:line="480" w:lineRule="auto"/>
        <w:ind w:firstLine="720"/>
        <w:rPr>
          <w:rFonts w:cs="Times New Roman"/>
        </w:rPr>
      </w:pPr>
      <w:r>
        <w:rPr>
          <w:rFonts w:cs="Times New Roman"/>
        </w:rPr>
        <w:fldChar w:fldCharType="begin"/>
      </w:r>
      <w:r>
        <w:rPr>
          <w:rFonts w:cs="Times New Roman"/>
        </w:rPr>
        <w:instrText xml:space="preserve"> ADDIN ZOTERO_ITEM CSL_CITATION {"citationID":"ycHCu6x5","properties":{"formattedCitation":"(Coy et al., 2014)","plainCitation":"(Coy et al., 2014)","noteIndex":0},"citationItems":[{"id":95,"uris":["http://zotero.org/users/local/kjHHoAYm/items/BJUJPL2S"],"itemData":{"id":95,"type":"article-journal","abstract":"Plant growth-promoting rhizobacteria (PGPR) are non-pathogenic, beneficial bacteria that colonize seeds and roots of plants and enhance plant growth. Although there has been extensive PGPR research with agronomic crops, there has been little emphasis on development of PGPR for grasses in pastures or as turf. Accordingly, experiments were conducted to evaluate novel bacterial inoculants for growth promotion in ‘Tifway’ hybrid bermudagrass. Replicated laboratory and greenhouse experiments evaluated effects of various PGPR mixtures, each with 3 to 5 PGPR strains and applied as weekly root inoculations, in comparison to nontreated plants. Growth promotion was assessed by measuring foliar growth from 3 to 8 wk and root growth at 8 wk after the first treatment. In all experiments, at least one bacterial treatment of bermudagrass resulted in significantly increased top growth and greater root growth (length, surface area, volume, or dry weight). PGPR blends 20 and MC3 caused the greatest growth promotion of roots and shoots. These results suggest that the bacterial strains could be used in strategies to reduce nitrogen or water inputs to turf.","container-title":"Journal of Environmental Horticulture","DOI":"10.24266/0738-2898.32.3.149","ISSN":"0738-2898, 2573-5586","issue":"3","language":"en","page":"149-154","source":"DOI.org (Crossref)","title":"Rhizobacterial Inoculants Increase Root and Shoot Growth in ‘Tifway’ Hybrid Bermudagrass","volume":"32","author":[{"family":"Coy","given":"R. Murphey"},{"family":"Held","given":"David W."},{"family":"Kloepper","given":"Joseph W."}],"issued":{"date-parts":[["2014",9,1]]}}}],"schema":"https://github.com/citation-style-language/schema/raw/master/csl-citation.json"} </w:instrText>
      </w:r>
      <w:r>
        <w:rPr>
          <w:rFonts w:cs="Times New Roman"/>
        </w:rPr>
        <w:fldChar w:fldCharType="separate"/>
      </w:r>
      <w:r w:rsidRPr="00277CD6">
        <w:rPr>
          <w:rFonts w:cs="Times New Roman"/>
        </w:rPr>
        <w:t xml:space="preserve">Coy et al. </w:t>
      </w:r>
      <w:r>
        <w:rPr>
          <w:rFonts w:cs="Times New Roman"/>
        </w:rPr>
        <w:t>(</w:t>
      </w:r>
      <w:r w:rsidRPr="00277CD6">
        <w:rPr>
          <w:rFonts w:cs="Times New Roman"/>
        </w:rPr>
        <w:t>2014)</w:t>
      </w:r>
      <w:r>
        <w:rPr>
          <w:rFonts w:cs="Times New Roman"/>
        </w:rPr>
        <w:fldChar w:fldCharType="end"/>
      </w:r>
      <w:r w:rsidR="00143261">
        <w:rPr>
          <w:rFonts w:cs="Times New Roman"/>
        </w:rPr>
        <w:t xml:space="preserve"> also demonstrated that</w:t>
      </w:r>
      <w:r>
        <w:rPr>
          <w:rFonts w:cs="Times New Roman"/>
        </w:rPr>
        <w:t xml:space="preserve"> introducin</w:t>
      </w:r>
      <w:r w:rsidR="00143261">
        <w:rPr>
          <w:rFonts w:cs="Times New Roman"/>
        </w:rPr>
        <w:t>g</w:t>
      </w:r>
      <w:r>
        <w:rPr>
          <w:rFonts w:cs="Times New Roman"/>
        </w:rPr>
        <w:t xml:space="preserve"> PGPB</w:t>
      </w:r>
      <w:r w:rsidR="00143261">
        <w:rPr>
          <w:rFonts w:cs="Times New Roman"/>
        </w:rPr>
        <w:t>s</w:t>
      </w:r>
      <w:r>
        <w:rPr>
          <w:rFonts w:cs="Times New Roman"/>
        </w:rPr>
        <w:t xml:space="preserve"> in</w:t>
      </w:r>
      <w:r w:rsidR="00143261">
        <w:rPr>
          <w:rFonts w:cs="Times New Roman"/>
        </w:rPr>
        <w:t>to</w:t>
      </w:r>
      <w:r>
        <w:rPr>
          <w:rFonts w:cs="Times New Roman"/>
        </w:rPr>
        <w:t xml:space="preserve"> bermudagrass under controlled environment </w:t>
      </w:r>
      <w:r w:rsidR="00143261">
        <w:rPr>
          <w:rFonts w:cs="Times New Roman"/>
        </w:rPr>
        <w:t>stimulated</w:t>
      </w:r>
      <w:r>
        <w:rPr>
          <w:rFonts w:cs="Times New Roman"/>
        </w:rPr>
        <w:t xml:space="preserve"> plant growth. </w:t>
      </w:r>
      <w:r w:rsidR="00143261">
        <w:rPr>
          <w:rFonts w:cs="Times New Roman"/>
        </w:rPr>
        <w:t xml:space="preserve">In their study, </w:t>
      </w:r>
      <w:r>
        <w:rPr>
          <w:rFonts w:cs="Times New Roman"/>
        </w:rPr>
        <w:t xml:space="preserve">shoot weight </w:t>
      </w:r>
      <w:r w:rsidR="00143261">
        <w:rPr>
          <w:rFonts w:cs="Times New Roman"/>
        </w:rPr>
        <w:t xml:space="preserve">increased by 236 to 345% in inoculated treatments </w:t>
      </w:r>
      <w:r>
        <w:rPr>
          <w:rFonts w:cs="Times New Roman"/>
        </w:rPr>
        <w:t xml:space="preserve">compared to </w:t>
      </w:r>
      <w:r w:rsidR="00143261">
        <w:rPr>
          <w:rFonts w:cs="Times New Roman"/>
        </w:rPr>
        <w:t xml:space="preserve">the </w:t>
      </w:r>
      <w:r>
        <w:rPr>
          <w:rFonts w:cs="Times New Roman"/>
        </w:rPr>
        <w:t xml:space="preserve">non-inoculated </w:t>
      </w:r>
      <w:r w:rsidR="00143261">
        <w:rPr>
          <w:rFonts w:cs="Times New Roman"/>
        </w:rPr>
        <w:t>control, particularly with the application of diverse microbial blends</w:t>
      </w:r>
      <w:r>
        <w:rPr>
          <w:rFonts w:cs="Times New Roman"/>
        </w:rPr>
        <w:t>.</w:t>
      </w:r>
    </w:p>
    <w:p w14:paraId="183CA210" w14:textId="5BBB0840" w:rsidR="007D2CFC" w:rsidRPr="001A5F09" w:rsidRDefault="007D2CFC" w:rsidP="00776576">
      <w:pPr>
        <w:pStyle w:val="Heading3"/>
        <w:spacing w:before="0" w:after="0" w:line="480" w:lineRule="auto"/>
      </w:pPr>
      <w:bookmarkStart w:id="38" w:name="_Toc196315246"/>
      <w:r w:rsidRPr="00037ACB">
        <w:t xml:space="preserve">Experiment </w:t>
      </w:r>
      <w:r>
        <w:t>2</w:t>
      </w:r>
      <w:bookmarkEnd w:id="38"/>
    </w:p>
    <w:p w14:paraId="1EE17D3F" w14:textId="0845715C" w:rsidR="007C33D8" w:rsidRDefault="002012CB" w:rsidP="00776576">
      <w:pPr>
        <w:numPr>
          <w:ilvl w:val="12"/>
          <w:numId w:val="0"/>
        </w:numPr>
        <w:spacing w:line="480" w:lineRule="auto"/>
        <w:ind w:firstLine="720"/>
        <w:rPr>
          <w:rFonts w:cs="Times New Roman"/>
        </w:rPr>
      </w:pPr>
      <w:r>
        <w:rPr>
          <w:rFonts w:cs="Times New Roman"/>
        </w:rPr>
        <w:t>T</w:t>
      </w:r>
      <w:r w:rsidR="007C33D8">
        <w:rPr>
          <w:rFonts w:cs="Times New Roman"/>
        </w:rPr>
        <w:t>h</w:t>
      </w:r>
      <w:r w:rsidR="00121F25">
        <w:rPr>
          <w:rFonts w:cs="Times New Roman"/>
        </w:rPr>
        <w:t>is</w:t>
      </w:r>
      <w:r w:rsidR="007C33D8">
        <w:rPr>
          <w:rFonts w:cs="Times New Roman"/>
        </w:rPr>
        <w:t xml:space="preserve"> study</w:t>
      </w:r>
      <w:r w:rsidR="00121F25">
        <w:rPr>
          <w:rFonts w:cs="Times New Roman"/>
        </w:rPr>
        <w:t xml:space="preserve"> evaluates</w:t>
      </w:r>
      <w:r w:rsidR="007C33D8">
        <w:rPr>
          <w:rFonts w:cs="Times New Roman"/>
        </w:rPr>
        <w:t xml:space="preserve"> </w:t>
      </w:r>
      <w:r w:rsidR="00B820A3">
        <w:rPr>
          <w:rFonts w:cs="Times New Roman"/>
        </w:rPr>
        <w:t xml:space="preserve">the effects of </w:t>
      </w:r>
      <w:r w:rsidR="007C33D8">
        <w:rPr>
          <w:rFonts w:cs="Times New Roman"/>
        </w:rPr>
        <w:t xml:space="preserve">PGPB </w:t>
      </w:r>
      <w:r w:rsidR="00B820A3">
        <w:rPr>
          <w:rFonts w:cs="Times New Roman"/>
        </w:rPr>
        <w:t xml:space="preserve">inoculation on bermudagrass </w:t>
      </w:r>
      <w:r w:rsidR="007C33D8">
        <w:rPr>
          <w:rFonts w:cs="Times New Roman"/>
        </w:rPr>
        <w:t>under greenhouse conditions</w:t>
      </w:r>
      <w:r w:rsidR="00121F25">
        <w:rPr>
          <w:rFonts w:cs="Times New Roman"/>
        </w:rPr>
        <w:t>,</w:t>
      </w:r>
      <w:r w:rsidR="007C33D8">
        <w:rPr>
          <w:rFonts w:cs="Times New Roman"/>
        </w:rPr>
        <w:t xml:space="preserve"> aiming to </w:t>
      </w:r>
      <w:r w:rsidR="00B820A3">
        <w:rPr>
          <w:rFonts w:cs="Times New Roman"/>
        </w:rPr>
        <w:t>reduce the reliance on</w:t>
      </w:r>
      <w:r w:rsidR="007C33D8">
        <w:rPr>
          <w:rFonts w:cs="Times New Roman"/>
        </w:rPr>
        <w:t xml:space="preserve"> mineral fertilization</w:t>
      </w:r>
      <w:r w:rsidR="00B820A3">
        <w:rPr>
          <w:rFonts w:cs="Times New Roman"/>
        </w:rPr>
        <w:t>, particularly nitrogen, given the species’ high responsiveness</w:t>
      </w:r>
      <w:r w:rsidR="007C33D8">
        <w:rPr>
          <w:rFonts w:cs="Times New Roman"/>
        </w:rPr>
        <w:t xml:space="preserve"> to N applications</w:t>
      </w:r>
      <w:r w:rsidR="007C33D8">
        <w:rPr>
          <w:rFonts w:cs="Times New Roman"/>
        </w:rPr>
        <w:fldChar w:fldCharType="begin"/>
      </w:r>
      <w:r w:rsidR="00B72F6A">
        <w:rPr>
          <w:rFonts w:cs="Times New Roman"/>
        </w:rPr>
        <w:instrText xml:space="preserve"> ADDIN ZOTERO_ITEM CSL_CITATION {"citationID":"SQt46sre","properties":{"formattedCitation":"(Taliaferro et al., 2016)","plainCitation":"(Taliaferro et al., 2016)","dontUpdate":true,"noteIndex":0},"citationItems":[{"id":38,"uris":["http://zotero.org/users/local/kjHHoAYm/items/H2EWKFBY"],"itemData":{"id":38,"type":"chapter","container-title":"Agronomy Monographs","event-place":"Madison, WI, USA","ISBN":"978-0-89118-237-5","note":"DOI: 10.2134/agronmonogr45.c12","page":"417-475","publisher":"American Society of Agronomy, Crop Science Society of America, Soil Science Society of America","publisher-place":"Madison, WI, USA","source":"DOI.org (Crossref)","title":"Bermudagrass and Stargrass","URL":"http://doi.wiley.com/10.2134/agronmonogr45.c12","editor":[{"family":"Moser","given":"Lowell E."},{"family":"Burson","given":"Byron L."},{"family":"Sollenberger","given":"Lynn E."}],"author":[{"family":"Taliaferro","given":"Charles M."},{"family":"Rouquette","given":"Francis M."},{"family":"Mislevy","given":"Paul"}],"accessed":{"date-parts":[["2025",2,17]]},"issued":{"date-parts":[["2016",12,12]]}}}],"schema":"https://github.com/citation-style-language/schema/raw/master/csl-citation.json"} </w:instrText>
      </w:r>
      <w:r w:rsidR="007C33D8">
        <w:rPr>
          <w:rFonts w:cs="Times New Roman"/>
        </w:rPr>
        <w:fldChar w:fldCharType="separate"/>
      </w:r>
      <w:r w:rsidR="007C33D8">
        <w:rPr>
          <w:rFonts w:cs="Times New Roman"/>
        </w:rPr>
        <w:t xml:space="preserve"> </w:t>
      </w:r>
      <w:r w:rsidR="007C33D8" w:rsidRPr="007C33D8">
        <w:rPr>
          <w:rFonts w:cs="Times New Roman"/>
        </w:rPr>
        <w:t>(Taliaferro et al., 2016)</w:t>
      </w:r>
      <w:r w:rsidR="007C33D8">
        <w:rPr>
          <w:rFonts w:cs="Times New Roman"/>
        </w:rPr>
        <w:fldChar w:fldCharType="end"/>
      </w:r>
      <w:r w:rsidR="007C33D8">
        <w:rPr>
          <w:rFonts w:cs="Times New Roman"/>
        </w:rPr>
        <w:t xml:space="preserve">. To determine the </w:t>
      </w:r>
      <w:r w:rsidR="00B820A3">
        <w:rPr>
          <w:rFonts w:cs="Times New Roman"/>
        </w:rPr>
        <w:t>potential benefits</w:t>
      </w:r>
      <w:r w:rsidR="007C33D8">
        <w:rPr>
          <w:rFonts w:cs="Times New Roman"/>
        </w:rPr>
        <w:t xml:space="preserve"> of PGPB</w:t>
      </w:r>
      <w:r w:rsidR="00B820A3">
        <w:rPr>
          <w:rFonts w:cs="Times New Roman"/>
        </w:rPr>
        <w:t xml:space="preserve">, </w:t>
      </w:r>
      <w:r w:rsidR="007C33D8">
        <w:rPr>
          <w:rFonts w:cs="Times New Roman"/>
        </w:rPr>
        <w:t xml:space="preserve">the experiment </w:t>
      </w:r>
      <w:r w:rsidR="00B820A3">
        <w:rPr>
          <w:rFonts w:cs="Times New Roman"/>
        </w:rPr>
        <w:t xml:space="preserve">incorporated </w:t>
      </w:r>
      <w:r w:rsidR="00121F25">
        <w:rPr>
          <w:rFonts w:cs="Times New Roman"/>
        </w:rPr>
        <w:t xml:space="preserve">both </w:t>
      </w:r>
      <w:proofErr w:type="gramStart"/>
      <w:r w:rsidR="007C33D8">
        <w:rPr>
          <w:rFonts w:cs="Times New Roman"/>
        </w:rPr>
        <w:t>a full</w:t>
      </w:r>
      <w:proofErr w:type="gramEnd"/>
      <w:r w:rsidR="007C33D8">
        <w:rPr>
          <w:rFonts w:cs="Times New Roman"/>
        </w:rPr>
        <w:t xml:space="preserve"> (100%) and </w:t>
      </w:r>
      <w:r w:rsidR="00121F25">
        <w:rPr>
          <w:rFonts w:cs="Times New Roman"/>
        </w:rPr>
        <w:t xml:space="preserve">reduced </w:t>
      </w:r>
      <w:r w:rsidR="007C33D8">
        <w:rPr>
          <w:rFonts w:cs="Times New Roman"/>
        </w:rPr>
        <w:t>(75%) N</w:t>
      </w:r>
      <w:r w:rsidR="00B820A3">
        <w:rPr>
          <w:rFonts w:cs="Times New Roman"/>
        </w:rPr>
        <w:t xml:space="preserve"> application rates</w:t>
      </w:r>
      <w:r w:rsidR="007C33D8">
        <w:rPr>
          <w:rFonts w:cs="Times New Roman"/>
        </w:rPr>
        <w:t>.</w:t>
      </w:r>
    </w:p>
    <w:p w14:paraId="38B52BC8" w14:textId="72A3C3DF" w:rsidR="00AE1DA1" w:rsidRDefault="00B820A3" w:rsidP="00776576">
      <w:pPr>
        <w:numPr>
          <w:ilvl w:val="12"/>
          <w:numId w:val="0"/>
        </w:numPr>
        <w:spacing w:line="480" w:lineRule="auto"/>
        <w:ind w:firstLine="720"/>
        <w:rPr>
          <w:rFonts w:cs="Times New Roman"/>
        </w:rPr>
      </w:pPr>
      <w:r>
        <w:rPr>
          <w:rFonts w:cs="Times New Roman"/>
        </w:rPr>
        <w:lastRenderedPageBreak/>
        <w:t xml:space="preserve">As shown on </w:t>
      </w:r>
      <w:r w:rsidR="00B400DE" w:rsidRPr="00767A67">
        <w:rPr>
          <w:rFonts w:cs="Times New Roman"/>
          <w:b/>
          <w:bCs/>
        </w:rPr>
        <w:t>Table 1.2</w:t>
      </w:r>
      <w:r>
        <w:rPr>
          <w:rFonts w:cs="Times New Roman"/>
        </w:rPr>
        <w:t xml:space="preserve">, </w:t>
      </w:r>
      <w:r w:rsidR="008D7F23">
        <w:rPr>
          <w:rFonts w:cs="Times New Roman"/>
        </w:rPr>
        <w:t>no</w:t>
      </w:r>
      <w:r w:rsidR="00B400DE">
        <w:rPr>
          <w:rFonts w:cs="Times New Roman"/>
        </w:rPr>
        <w:t xml:space="preserve"> response to </w:t>
      </w:r>
      <w:proofErr w:type="spellStart"/>
      <w:r w:rsidR="00121F25" w:rsidRPr="00B400DE">
        <w:rPr>
          <w:rFonts w:cs="Times New Roman"/>
          <w:i/>
          <w:iCs/>
        </w:rPr>
        <w:t>Azospirillum</w:t>
      </w:r>
      <w:proofErr w:type="spellEnd"/>
      <w:r w:rsidR="00B400DE">
        <w:rPr>
          <w:rFonts w:cs="Times New Roman"/>
        </w:rPr>
        <w:t xml:space="preserve"> inoculation </w:t>
      </w:r>
      <w:r>
        <w:rPr>
          <w:rFonts w:cs="Times New Roman"/>
        </w:rPr>
        <w:t>was observed across different</w:t>
      </w:r>
      <w:r w:rsidR="00B400DE">
        <w:rPr>
          <w:rFonts w:cs="Times New Roman"/>
        </w:rPr>
        <w:t xml:space="preserve"> N</w:t>
      </w:r>
      <w:r w:rsidR="00AE1DA1">
        <w:rPr>
          <w:rFonts w:cs="Times New Roman"/>
        </w:rPr>
        <w:t xml:space="preserve"> </w:t>
      </w:r>
      <w:r w:rsidR="00121F25">
        <w:rPr>
          <w:rFonts w:cs="Times New Roman"/>
        </w:rPr>
        <w:t xml:space="preserve">rates </w:t>
      </w:r>
      <w:r>
        <w:rPr>
          <w:rFonts w:cs="Times New Roman"/>
        </w:rPr>
        <w:t xml:space="preserve">for </w:t>
      </w:r>
      <w:r w:rsidR="00AE1DA1">
        <w:rPr>
          <w:rFonts w:cs="Times New Roman"/>
        </w:rPr>
        <w:t xml:space="preserve">shoot and root </w:t>
      </w:r>
      <w:proofErr w:type="gramStart"/>
      <w:r w:rsidR="00AE1DA1">
        <w:rPr>
          <w:rFonts w:cs="Times New Roman"/>
        </w:rPr>
        <w:t>weight</w:t>
      </w:r>
      <w:r w:rsidR="00121F25">
        <w:rPr>
          <w:rFonts w:cs="Times New Roman"/>
        </w:rPr>
        <w:t xml:space="preserve">, </w:t>
      </w:r>
      <w:r>
        <w:rPr>
          <w:rFonts w:cs="Times New Roman"/>
        </w:rPr>
        <w:t>or</w:t>
      </w:r>
      <w:proofErr w:type="gramEnd"/>
      <w:r w:rsidR="00AE1DA1">
        <w:rPr>
          <w:rFonts w:cs="Times New Roman"/>
        </w:rPr>
        <w:t xml:space="preserve"> shoot and root length. </w:t>
      </w:r>
      <w:r>
        <w:rPr>
          <w:rFonts w:cs="Times New Roman"/>
        </w:rPr>
        <w:t xml:space="preserve">Similar findings were reported by </w:t>
      </w:r>
      <w:r w:rsidR="00AE1DA1">
        <w:rPr>
          <w:rFonts w:cs="Times New Roman"/>
        </w:rPr>
        <w:fldChar w:fldCharType="begin"/>
      </w:r>
      <w:r w:rsidR="00B72F6A">
        <w:rPr>
          <w:rFonts w:cs="Times New Roman"/>
        </w:rPr>
        <w:instrText xml:space="preserve"> ADDIN ZOTERO_ITEM CSL_CITATION {"citationID":"Nva3AWTh","properties":{"formattedCitation":"(Silva et al., 2023)","plainCitation":"(Silva et al., 2023)","dontUpdate":true,"noteIndex":0},"citationItems":[{"id":63,"uris":["http://zotero.org/users/local/kjHHoAYm/items/B9IRDYFL"],"itemData":{"id":63,"type":"article-journal","container-title":"Revista Ceres","DOI":"10.1590/0034-737x202370040007","ISSN":"2177-3491, 0034-737X","issue":"4","journalAbbreviation":"Rev. Ceres","license":"http://creativecommons.org/licenses/by/4.0/","page":"42-50","source":"DOI.org (Crossref)","title":"Productivity and nutritive value of Tifton 85 bermudagrass inoculated with Azospirillum brasilense in association with nitrogen fertilization","volume":"70","author":[{"family":"Silva","given":"Aline Rodrigues"},{"family":"Olivo","given":"Clair Jorge"},{"family":"Granada","given":"Diego Martins"},{"family":"Casagrande","given":"Lucas Giovane"},{"family":"Quatrin","given":"Mauricio Pase"},{"family":"Sauter","given":"Caroline Paim"}],"issued":{"date-parts":[["2023",8]]}}}],"schema":"https://github.com/citation-style-language/schema/raw/master/csl-citation.json"} </w:instrText>
      </w:r>
      <w:r w:rsidR="00AE1DA1">
        <w:rPr>
          <w:rFonts w:cs="Times New Roman"/>
        </w:rPr>
        <w:fldChar w:fldCharType="separate"/>
      </w:r>
      <w:r w:rsidR="00AE1DA1" w:rsidRPr="00AE1DA1">
        <w:rPr>
          <w:rFonts w:cs="Times New Roman"/>
        </w:rPr>
        <w:t xml:space="preserve">Silva et al. </w:t>
      </w:r>
      <w:r w:rsidR="00AE1DA1">
        <w:rPr>
          <w:rFonts w:cs="Times New Roman"/>
        </w:rPr>
        <w:t>(</w:t>
      </w:r>
      <w:r w:rsidR="00AE1DA1" w:rsidRPr="00AE1DA1">
        <w:rPr>
          <w:rFonts w:cs="Times New Roman"/>
        </w:rPr>
        <w:t>2023)</w:t>
      </w:r>
      <w:r w:rsidR="00AE1DA1">
        <w:rPr>
          <w:rFonts w:cs="Times New Roman"/>
        </w:rPr>
        <w:fldChar w:fldCharType="end"/>
      </w:r>
      <w:r>
        <w:rPr>
          <w:rFonts w:cs="Times New Roman"/>
        </w:rPr>
        <w:t xml:space="preserve">, who noted that the benefits of </w:t>
      </w:r>
      <w:r w:rsidR="00121F25">
        <w:rPr>
          <w:rFonts w:cs="Times New Roman"/>
        </w:rPr>
        <w:t xml:space="preserve">PGPB </w:t>
      </w:r>
      <w:r w:rsidR="00AE1DA1">
        <w:rPr>
          <w:rFonts w:cs="Times New Roman"/>
        </w:rPr>
        <w:t xml:space="preserve">inoculation in grasses may be negatively </w:t>
      </w:r>
      <w:r w:rsidR="00121F25">
        <w:rPr>
          <w:rFonts w:cs="Times New Roman"/>
        </w:rPr>
        <w:t xml:space="preserve">affected </w:t>
      </w:r>
      <w:r w:rsidR="00AE1DA1">
        <w:rPr>
          <w:rFonts w:cs="Times New Roman"/>
        </w:rPr>
        <w:t xml:space="preserve">by greater </w:t>
      </w:r>
      <w:r w:rsidR="00121F25">
        <w:rPr>
          <w:rFonts w:cs="Times New Roman"/>
        </w:rPr>
        <w:t>N rates, with positive effects on</w:t>
      </w:r>
      <w:r w:rsidR="00AE1DA1">
        <w:rPr>
          <w:rFonts w:cs="Times New Roman"/>
        </w:rPr>
        <w:t xml:space="preserve"> </w:t>
      </w:r>
      <w:r w:rsidR="002012CB">
        <w:rPr>
          <w:rFonts w:cs="Times New Roman"/>
        </w:rPr>
        <w:t>shoot weight</w:t>
      </w:r>
      <w:r w:rsidR="00AE1DA1">
        <w:rPr>
          <w:rFonts w:cs="Times New Roman"/>
        </w:rPr>
        <w:t xml:space="preserve"> </w:t>
      </w:r>
      <w:r w:rsidR="00121F25">
        <w:rPr>
          <w:rFonts w:cs="Times New Roman"/>
        </w:rPr>
        <w:t xml:space="preserve">observed </w:t>
      </w:r>
      <w:r w:rsidR="00AE1DA1">
        <w:rPr>
          <w:rFonts w:cs="Times New Roman"/>
        </w:rPr>
        <w:t xml:space="preserve">only </w:t>
      </w:r>
      <w:r>
        <w:rPr>
          <w:rFonts w:cs="Times New Roman"/>
        </w:rPr>
        <w:t xml:space="preserve">occurring without </w:t>
      </w:r>
      <w:r w:rsidR="00121F25">
        <w:rPr>
          <w:rFonts w:cs="Times New Roman"/>
        </w:rPr>
        <w:t>N fertiliz</w:t>
      </w:r>
      <w:r>
        <w:rPr>
          <w:rFonts w:cs="Times New Roman"/>
        </w:rPr>
        <w:t>ation</w:t>
      </w:r>
      <w:r w:rsidR="00121F25">
        <w:rPr>
          <w:rFonts w:cs="Times New Roman"/>
        </w:rPr>
        <w:t xml:space="preserve">. </w:t>
      </w:r>
    </w:p>
    <w:p w14:paraId="095B5CCA" w14:textId="3D328F5F" w:rsidR="00985CAA" w:rsidRDefault="00AE1DA1" w:rsidP="00776576">
      <w:pPr>
        <w:numPr>
          <w:ilvl w:val="12"/>
          <w:numId w:val="0"/>
        </w:numPr>
        <w:spacing w:line="480" w:lineRule="auto"/>
        <w:ind w:firstLine="720"/>
        <w:rPr>
          <w:rFonts w:cs="Times New Roman"/>
        </w:rPr>
      </w:pPr>
      <w:r>
        <w:rPr>
          <w:rFonts w:cs="Times New Roman"/>
        </w:rPr>
        <w:t xml:space="preserve">This implication may be </w:t>
      </w:r>
      <w:r w:rsidR="00B820A3">
        <w:rPr>
          <w:rFonts w:cs="Times New Roman"/>
        </w:rPr>
        <w:t xml:space="preserve">attributed </w:t>
      </w:r>
      <w:r>
        <w:rPr>
          <w:rFonts w:cs="Times New Roman"/>
        </w:rPr>
        <w:t xml:space="preserve">to </w:t>
      </w:r>
      <w:r w:rsidR="0026544D">
        <w:rPr>
          <w:rFonts w:cs="Times New Roman"/>
        </w:rPr>
        <w:t xml:space="preserve">passive nutrient uptake </w:t>
      </w:r>
      <w:r w:rsidR="00B820A3">
        <w:rPr>
          <w:rFonts w:cs="Times New Roman"/>
        </w:rPr>
        <w:t>mechanisms in</w:t>
      </w:r>
      <w:r w:rsidR="00121F25">
        <w:rPr>
          <w:rFonts w:cs="Times New Roman"/>
        </w:rPr>
        <w:t xml:space="preserve"> plants</w:t>
      </w:r>
      <w:r w:rsidR="00B820A3">
        <w:rPr>
          <w:rFonts w:cs="Times New Roman"/>
        </w:rPr>
        <w:t>, such as</w:t>
      </w:r>
      <w:r w:rsidR="00121F25">
        <w:rPr>
          <w:rFonts w:cs="Times New Roman"/>
        </w:rPr>
        <w:t xml:space="preserve"> </w:t>
      </w:r>
      <w:r w:rsidR="0026544D">
        <w:rPr>
          <w:rFonts w:cs="Times New Roman"/>
        </w:rPr>
        <w:t xml:space="preserve">diffusion or mass flow </w:t>
      </w:r>
      <w:r w:rsidR="0026544D">
        <w:rPr>
          <w:rFonts w:cs="Times New Roman"/>
        </w:rPr>
        <w:fldChar w:fldCharType="begin"/>
      </w:r>
      <w:r w:rsidR="0026544D">
        <w:rPr>
          <w:rFonts w:cs="Times New Roman"/>
        </w:rPr>
        <w:instrText xml:space="preserve"> ADDIN ZOTERO_ITEM CSL_CITATION {"citationID":"BksAvzDP","properties":{"formattedCitation":"(Manzoor Alam, 1999)","plainCitation":"(Manzoor Alam, 1999)","noteIndex":0},"citationItems":[{"id":79,"uris":["http://zotero.org/users/local/kjHHoAYm/items/YBISJ26A"],"itemData":{"id":79,"type":"chapter","container-title":"Handbook of Plant and Crop Stress, Second Edition","ISBN":"978-0-8247-1948-7","language":"en","note":"collection-title: Books in Soils, Plants, and the Environment\nDOI: 10.1201/9780824746728.ch12","page":"285-313","publisher":"CRC Press","source":"DOI.org (Crossref)","title":"Nutrient Uptake by Plants Under Stress Conditions","URL":"http://www.crcnetbase.com/doi/abs/10.1201/9780824746728.ch12","volume":"19990540","editor":[{"family":"Pessarakli","given":"Mohammad"}],"author":[{"family":"Manzoor Alam","given":"Syed"}],"accessed":{"date-parts":[["2025",3,18]]},"issued":{"date-parts":[["1999",5,19]]}}}],"schema":"https://github.com/citation-style-language/schema/raw/master/csl-citation.json"} </w:instrText>
      </w:r>
      <w:r w:rsidR="0026544D">
        <w:rPr>
          <w:rFonts w:cs="Times New Roman"/>
        </w:rPr>
        <w:fldChar w:fldCharType="separate"/>
      </w:r>
      <w:r w:rsidR="0026544D" w:rsidRPr="0026544D">
        <w:rPr>
          <w:rFonts w:cs="Times New Roman"/>
        </w:rPr>
        <w:t>(Manzoor Alam, 1999)</w:t>
      </w:r>
      <w:r w:rsidR="0026544D">
        <w:rPr>
          <w:rFonts w:cs="Times New Roman"/>
        </w:rPr>
        <w:fldChar w:fldCharType="end"/>
      </w:r>
      <w:r w:rsidR="00121F25">
        <w:rPr>
          <w:rFonts w:cs="Times New Roman"/>
        </w:rPr>
        <w:t>,</w:t>
      </w:r>
      <w:r w:rsidR="0026544D">
        <w:rPr>
          <w:rFonts w:cs="Times New Roman"/>
        </w:rPr>
        <w:t xml:space="preserve"> which </w:t>
      </w:r>
      <w:r w:rsidR="00121F25">
        <w:rPr>
          <w:rFonts w:cs="Times New Roman"/>
        </w:rPr>
        <w:t>require</w:t>
      </w:r>
      <w:r w:rsidR="0026544D">
        <w:rPr>
          <w:rFonts w:cs="Times New Roman"/>
        </w:rPr>
        <w:t xml:space="preserve"> less net energy</w:t>
      </w:r>
      <w:r w:rsidR="00121F25">
        <w:rPr>
          <w:rFonts w:cs="Times New Roman"/>
        </w:rPr>
        <w:t xml:space="preserve"> to</w:t>
      </w:r>
      <w:r w:rsidR="0026544D">
        <w:rPr>
          <w:rFonts w:cs="Times New Roman"/>
        </w:rPr>
        <w:t xml:space="preserve"> acquire nutrients</w:t>
      </w:r>
      <w:r w:rsidR="007C33D8">
        <w:rPr>
          <w:rFonts w:cs="Times New Roman"/>
        </w:rPr>
        <w:t xml:space="preserve"> </w:t>
      </w:r>
      <w:r w:rsidR="00121F25">
        <w:rPr>
          <w:rFonts w:cs="Times New Roman"/>
        </w:rPr>
        <w:t xml:space="preserve">compared to </w:t>
      </w:r>
      <w:r w:rsidR="00B820A3">
        <w:rPr>
          <w:rFonts w:cs="Times New Roman"/>
        </w:rPr>
        <w:t>the establishment and maintenance of</w:t>
      </w:r>
      <w:r w:rsidR="0026544D">
        <w:rPr>
          <w:rFonts w:cs="Times New Roman"/>
        </w:rPr>
        <w:t xml:space="preserve"> mutualist</w:t>
      </w:r>
      <w:r w:rsidR="00121F25">
        <w:rPr>
          <w:rFonts w:cs="Times New Roman"/>
        </w:rPr>
        <w:t>ic</w:t>
      </w:r>
      <w:r w:rsidR="0026544D">
        <w:rPr>
          <w:rFonts w:cs="Times New Roman"/>
        </w:rPr>
        <w:t xml:space="preserve"> relationship</w:t>
      </w:r>
      <w:r w:rsidR="00B820A3">
        <w:rPr>
          <w:rFonts w:cs="Times New Roman"/>
        </w:rPr>
        <w:t>s</w:t>
      </w:r>
      <w:r w:rsidR="0026544D">
        <w:rPr>
          <w:rFonts w:cs="Times New Roman"/>
        </w:rPr>
        <w:t xml:space="preserve"> </w:t>
      </w:r>
      <w:r w:rsidR="00B820A3">
        <w:rPr>
          <w:rFonts w:cs="Times New Roman"/>
        </w:rPr>
        <w:t>with beneficial</w:t>
      </w:r>
      <w:r w:rsidR="00121F25">
        <w:rPr>
          <w:rFonts w:cs="Times New Roman"/>
        </w:rPr>
        <w:t xml:space="preserve"> </w:t>
      </w:r>
      <w:r w:rsidR="0026544D">
        <w:rPr>
          <w:rFonts w:cs="Times New Roman"/>
        </w:rPr>
        <w:t>bacteria</w:t>
      </w:r>
      <w:r w:rsidR="00B820A3">
        <w:rPr>
          <w:rFonts w:cs="Times New Roman"/>
        </w:rPr>
        <w:t>(</w:t>
      </w:r>
      <w:r w:rsidR="00B820A3" w:rsidRPr="00B015B5">
        <w:rPr>
          <w:rFonts w:cs="Times New Roman"/>
        </w:rPr>
        <w:t>Farvardin et al., 2020)</w:t>
      </w:r>
      <w:r w:rsidR="0026544D">
        <w:rPr>
          <w:rFonts w:cs="Times New Roman"/>
        </w:rPr>
        <w:t>.</w:t>
      </w:r>
    </w:p>
    <w:p w14:paraId="1BE94E45" w14:textId="526DFB3C" w:rsidR="008671E7" w:rsidRDefault="008671E7" w:rsidP="00776576">
      <w:pPr>
        <w:pStyle w:val="Heading2"/>
        <w:spacing w:before="0" w:after="0" w:line="480" w:lineRule="auto"/>
      </w:pPr>
      <w:bookmarkStart w:id="39" w:name="_Toc196315247"/>
      <w:r w:rsidRPr="00721572">
        <w:t>Conclusion</w:t>
      </w:r>
      <w:bookmarkEnd w:id="39"/>
    </w:p>
    <w:p w14:paraId="37AFF649" w14:textId="4CB557BA" w:rsidR="000C580F" w:rsidRPr="008671E7" w:rsidRDefault="0061459B" w:rsidP="00776576">
      <w:pPr>
        <w:spacing w:line="480" w:lineRule="auto"/>
        <w:ind w:firstLine="720"/>
        <w:rPr>
          <w:rFonts w:cs="Times New Roman"/>
        </w:rPr>
      </w:pPr>
      <w:r w:rsidRPr="001A5F09">
        <w:t>This study evaluated the effects of plant growth-promoting bacteria (PGPB) and nitrogen (N) fertilization on bermudagrass</w:t>
      </w:r>
      <w:r>
        <w:t xml:space="preserve"> shoot and root weight, shoot and root length, and number of tillers in Knox</w:t>
      </w:r>
      <w:r w:rsidRPr="001A5F09">
        <w:t>ville, TN. The results indicate</w:t>
      </w:r>
      <w:r w:rsidR="001655E8">
        <w:t>d</w:t>
      </w:r>
      <w:r w:rsidRPr="001A5F09">
        <w:t xml:space="preserve"> that N fertilization </w:t>
      </w:r>
      <w:r w:rsidR="001655E8">
        <w:t>had no</w:t>
      </w:r>
      <w:r>
        <w:t xml:space="preserve"> </w:t>
      </w:r>
      <w:proofErr w:type="gramStart"/>
      <w:r>
        <w:t>impact</w:t>
      </w:r>
      <w:proofErr w:type="gramEnd"/>
      <w:r>
        <w:t xml:space="preserve"> shoot and root weight</w:t>
      </w:r>
      <w:r w:rsidRPr="001A5F09">
        <w:t xml:space="preserve">, but PGPB inoculation alone did result in significant differences in </w:t>
      </w:r>
      <w:r>
        <w:t>shoot weight, shoot length, and number of tillers</w:t>
      </w:r>
      <w:r w:rsidRPr="001A5F09">
        <w:t xml:space="preserve">. </w:t>
      </w:r>
      <w:r>
        <w:t>Inoculation with Micro-AZ dry showed greater results overall. However,</w:t>
      </w:r>
      <w:r w:rsidRPr="001A5F09">
        <w:t xml:space="preserve"> </w:t>
      </w:r>
      <w:r w:rsidR="000C580F">
        <w:rPr>
          <w:rFonts w:cs="Times New Roman"/>
        </w:rPr>
        <w:t>Further</w:t>
      </w:r>
      <w:r w:rsidR="00A27D17">
        <w:rPr>
          <w:rFonts w:cs="Times New Roman"/>
        </w:rPr>
        <w:t xml:space="preserve"> research </w:t>
      </w:r>
      <w:r w:rsidR="000C580F">
        <w:rPr>
          <w:rFonts w:cs="Times New Roman"/>
        </w:rPr>
        <w:t xml:space="preserve">on </w:t>
      </w:r>
      <w:r w:rsidR="00A27D17">
        <w:rPr>
          <w:rFonts w:cs="Times New Roman"/>
        </w:rPr>
        <w:t xml:space="preserve">N </w:t>
      </w:r>
      <w:r w:rsidR="000C580F">
        <w:rPr>
          <w:rFonts w:cs="Times New Roman"/>
        </w:rPr>
        <w:t xml:space="preserve">rates and bacterial inoculation is needed </w:t>
      </w:r>
      <w:r w:rsidR="00A27D17">
        <w:rPr>
          <w:rFonts w:cs="Times New Roman"/>
        </w:rPr>
        <w:t>to</w:t>
      </w:r>
      <w:r w:rsidR="000C580F">
        <w:rPr>
          <w:rFonts w:cs="Times New Roman"/>
        </w:rPr>
        <w:t xml:space="preserve"> better understand bermudagrass response</w:t>
      </w:r>
      <w:r w:rsidR="00A27D17">
        <w:rPr>
          <w:rFonts w:cs="Times New Roman"/>
        </w:rPr>
        <w:t>s</w:t>
      </w:r>
      <w:r w:rsidR="000C580F">
        <w:rPr>
          <w:rFonts w:cs="Times New Roman"/>
        </w:rPr>
        <w:t xml:space="preserve"> under </w:t>
      </w:r>
      <w:r w:rsidR="00FC362B">
        <w:rPr>
          <w:rFonts w:cs="Times New Roman"/>
        </w:rPr>
        <w:t>varying N</w:t>
      </w:r>
      <w:r w:rsidR="00A27D17">
        <w:rPr>
          <w:rFonts w:cs="Times New Roman"/>
        </w:rPr>
        <w:t xml:space="preserve"> </w:t>
      </w:r>
      <w:r w:rsidR="000C580F">
        <w:rPr>
          <w:rFonts w:cs="Times New Roman"/>
        </w:rPr>
        <w:t>rates.</w:t>
      </w:r>
    </w:p>
    <w:p w14:paraId="3E1DA941" w14:textId="77777777" w:rsidR="000F1E50" w:rsidRDefault="000F1E50">
      <w:pPr>
        <w:spacing w:line="240" w:lineRule="auto"/>
        <w:rPr>
          <w:b/>
          <w:bCs/>
          <w:caps/>
        </w:rPr>
      </w:pPr>
      <w:bookmarkStart w:id="40" w:name="_Toc289175833"/>
      <w:bookmarkStart w:id="41" w:name="_Toc175638318"/>
      <w:r>
        <w:br w:type="page"/>
      </w:r>
    </w:p>
    <w:p w14:paraId="0EC56234" w14:textId="059EF4B0" w:rsidR="00CE3A3E" w:rsidRPr="000D1083" w:rsidRDefault="00D50767" w:rsidP="00995917">
      <w:pPr>
        <w:pStyle w:val="Heading1"/>
        <w:spacing w:line="480" w:lineRule="auto"/>
      </w:pPr>
      <w:bookmarkStart w:id="42" w:name="_Toc196315248"/>
      <w:r>
        <w:lastRenderedPageBreak/>
        <w:t>CHAPTER 2</w:t>
      </w:r>
      <w:r w:rsidR="00E459DC" w:rsidRPr="000D1083">
        <w:br/>
      </w:r>
      <w:bookmarkEnd w:id="40"/>
      <w:bookmarkEnd w:id="41"/>
      <w:r w:rsidR="00496203" w:rsidRPr="000D1083">
        <w:t>INCLUSION OF PLant growth-promoting bacteria (PGPB)</w:t>
      </w:r>
      <w:r w:rsidR="00433FE8" w:rsidRPr="000D1083">
        <w:t xml:space="preserve"> IN BERMUDAGRASS FERTILITY PROGRAMS.</w:t>
      </w:r>
      <w:bookmarkEnd w:id="42"/>
      <w:r w:rsidR="00496203" w:rsidRPr="000D1083">
        <w:t xml:space="preserve"> </w:t>
      </w:r>
    </w:p>
    <w:p w14:paraId="0EC56235" w14:textId="77777777" w:rsidR="00F71ADC" w:rsidRPr="00037ACB" w:rsidRDefault="00CE3A3E" w:rsidP="00995917">
      <w:pPr>
        <w:spacing w:line="480" w:lineRule="auto"/>
        <w:rPr>
          <w:rFonts w:cs="Times New Roman"/>
          <w:sz w:val="28"/>
          <w:szCs w:val="28"/>
        </w:rPr>
      </w:pPr>
      <w:r w:rsidRPr="00037ACB">
        <w:rPr>
          <w:rFonts w:cs="Times New Roman"/>
          <w:sz w:val="28"/>
          <w:szCs w:val="28"/>
        </w:rPr>
        <w:br w:type="page"/>
      </w:r>
    </w:p>
    <w:p w14:paraId="0EC56236" w14:textId="77777777" w:rsidR="00236E6D" w:rsidRPr="00721572" w:rsidRDefault="00CE4D4B" w:rsidP="00721572">
      <w:pPr>
        <w:pStyle w:val="Heading2"/>
      </w:pPr>
      <w:bookmarkStart w:id="43" w:name="_Toc289175834"/>
      <w:bookmarkStart w:id="44" w:name="_Toc175638319"/>
      <w:bookmarkStart w:id="45" w:name="_Toc196315249"/>
      <w:r w:rsidRPr="00721572">
        <w:lastRenderedPageBreak/>
        <w:t>Abstract</w:t>
      </w:r>
      <w:bookmarkEnd w:id="43"/>
      <w:bookmarkEnd w:id="44"/>
      <w:bookmarkEnd w:id="45"/>
    </w:p>
    <w:p w14:paraId="01F36500" w14:textId="2BFF3C72" w:rsidR="006A4959" w:rsidRPr="00E378A0" w:rsidRDefault="00B95E61" w:rsidP="00E378A0">
      <w:pPr>
        <w:spacing w:line="480" w:lineRule="auto"/>
        <w:ind w:firstLine="720"/>
      </w:pPr>
      <w:r>
        <w:t>The southern U.S. has greater importance in beef production</w:t>
      </w:r>
      <w:r w:rsidR="00A8783F">
        <w:t>.</w:t>
      </w:r>
      <w:r w:rsidR="00421F15">
        <w:t xml:space="preserve"> </w:t>
      </w:r>
      <w:r>
        <w:t xml:space="preserve">However, it </w:t>
      </w:r>
      <w:r w:rsidR="00F677C8">
        <w:t>relies</w:t>
      </w:r>
      <w:r>
        <w:t xml:space="preserve"> on forages that require greater nutrient inputs</w:t>
      </w:r>
      <w:r w:rsidR="00A8783F">
        <w:t>,</w:t>
      </w:r>
      <w:r>
        <w:t xml:space="preserve"> such as </w:t>
      </w:r>
      <w:r w:rsidR="00A8783F">
        <w:t xml:space="preserve">nitrogen </w:t>
      </w:r>
      <w:r>
        <w:t xml:space="preserve">(N). </w:t>
      </w:r>
      <w:r w:rsidR="00AE5216">
        <w:t xml:space="preserve">This study evaluated the inclusion of </w:t>
      </w:r>
      <w:r w:rsidR="00A8783F">
        <w:t>plant growth</w:t>
      </w:r>
      <w:r w:rsidR="00AE5216">
        <w:t>-</w:t>
      </w:r>
      <w:r w:rsidR="00A8783F">
        <w:t xml:space="preserve">promoting bacteria </w:t>
      </w:r>
      <w:r w:rsidR="00AE5216">
        <w:t>(PGPB) and N</w:t>
      </w:r>
      <w:r>
        <w:t xml:space="preserve"> </w:t>
      </w:r>
      <w:r w:rsidR="002658D4">
        <w:t>strategies</w:t>
      </w:r>
      <w:r w:rsidR="00421F15">
        <w:t xml:space="preserve"> in bermudagrass (</w:t>
      </w:r>
      <w:proofErr w:type="spellStart"/>
      <w:r w:rsidR="00421F15" w:rsidRPr="00421F15">
        <w:rPr>
          <w:i/>
          <w:iCs/>
        </w:rPr>
        <w:t>Cynodon</w:t>
      </w:r>
      <w:proofErr w:type="spellEnd"/>
      <w:r w:rsidR="00421F15" w:rsidRPr="00421F15">
        <w:rPr>
          <w:i/>
          <w:iCs/>
        </w:rPr>
        <w:t xml:space="preserve"> </w:t>
      </w:r>
      <w:proofErr w:type="spellStart"/>
      <w:r w:rsidR="00421F15">
        <w:rPr>
          <w:i/>
          <w:iCs/>
        </w:rPr>
        <w:t>dactylon</w:t>
      </w:r>
      <w:proofErr w:type="spellEnd"/>
      <w:r w:rsidR="00421F15">
        <w:t>)</w:t>
      </w:r>
      <w:r>
        <w:t xml:space="preserve"> on </w:t>
      </w:r>
      <w:r w:rsidR="00A8783F">
        <w:t xml:space="preserve">forage </w:t>
      </w:r>
      <w:r>
        <w:t xml:space="preserve">mass (FM), </w:t>
      </w:r>
      <w:r w:rsidR="00A8783F">
        <w:t xml:space="preserve">nutritive </w:t>
      </w:r>
      <w:r>
        <w:t xml:space="preserve">value (NV), and </w:t>
      </w:r>
      <w:r w:rsidR="00A8783F">
        <w:t xml:space="preserve">gas </w:t>
      </w:r>
      <w:r>
        <w:t>exchange measurements during two experimental periods (2023 and 2024)</w:t>
      </w:r>
      <w:r w:rsidR="00A8783F">
        <w:t xml:space="preserve"> i</w:t>
      </w:r>
      <w:r>
        <w:t>n Crossville, Tennessee</w:t>
      </w:r>
      <w:r w:rsidR="00A8783F">
        <w:t>.</w:t>
      </w:r>
      <w:r>
        <w:t xml:space="preserve"> Forage mass was not affected by PGPB </w:t>
      </w:r>
      <w:r w:rsidR="00421F15">
        <w:t>inoculation but</w:t>
      </w:r>
      <w:r>
        <w:t xml:space="preserve"> </w:t>
      </w:r>
      <w:r w:rsidR="00A8783F">
        <w:t xml:space="preserve">differed among the </w:t>
      </w:r>
      <w:r>
        <w:t>N s</w:t>
      </w:r>
      <w:r w:rsidR="00E94C04">
        <w:t>trategies</w:t>
      </w:r>
      <w:r>
        <w:t xml:space="preserve"> (</w:t>
      </w:r>
      <w:r w:rsidRPr="00B95E61">
        <w:rPr>
          <w:i/>
          <w:iCs/>
        </w:rPr>
        <w:t>P</w:t>
      </w:r>
      <w:r w:rsidR="0055781A">
        <w:rPr>
          <w:i/>
          <w:iCs/>
        </w:rPr>
        <w:t xml:space="preserve"> </w:t>
      </w:r>
      <w:r>
        <w:t>&lt;</w:t>
      </w:r>
      <w:r w:rsidR="0055781A">
        <w:t xml:space="preserve"> </w:t>
      </w:r>
      <w:r>
        <w:t xml:space="preserve">.0001). Greater N </w:t>
      </w:r>
      <w:r w:rsidR="00E94C04">
        <w:t>strategies</w:t>
      </w:r>
      <w:r>
        <w:t xml:space="preserve"> increased </w:t>
      </w:r>
      <w:r w:rsidR="00F677C8">
        <w:t>FM with</w:t>
      </w:r>
      <w:r>
        <w:t xml:space="preserve"> values of 1901 kg DM ha</w:t>
      </w:r>
      <w:r w:rsidRPr="00B95E61">
        <w:rPr>
          <w:vertAlign w:val="superscript"/>
        </w:rPr>
        <w:t>-1</w:t>
      </w:r>
      <w:r>
        <w:t xml:space="preserve"> reported for A-67 Treatment</w:t>
      </w:r>
      <w:r w:rsidR="00322E50">
        <w:t>. Treatments with 33 kg N ha</w:t>
      </w:r>
      <w:r w:rsidR="00322E50" w:rsidRPr="00322E50">
        <w:rPr>
          <w:vertAlign w:val="superscript"/>
        </w:rPr>
        <w:t>-1</w:t>
      </w:r>
      <w:r w:rsidR="00322E50">
        <w:t xml:space="preserve"> showed no s</w:t>
      </w:r>
      <w:r w:rsidR="002658D4">
        <w:t>tatistical</w:t>
      </w:r>
      <w:r w:rsidR="00322E50">
        <w:t xml:space="preserve"> difference among each other but differed from the control (no N application)</w:t>
      </w:r>
      <w:r w:rsidR="00F677C8">
        <w:t>,</w:t>
      </w:r>
      <w:r w:rsidR="00322E50">
        <w:t xml:space="preserve"> showing a 37 % increase. Similar </w:t>
      </w:r>
      <w:r w:rsidR="002658D4">
        <w:t xml:space="preserve">results </w:t>
      </w:r>
      <w:r w:rsidR="00322E50">
        <w:t>were reported for the rising plate meter method</w:t>
      </w:r>
      <w:r w:rsidR="00F677C8">
        <w:t>,</w:t>
      </w:r>
      <w:r w:rsidR="00322E50">
        <w:t xml:space="preserve"> where FM mass had greater values when greater N </w:t>
      </w:r>
      <w:r w:rsidR="00E94C04">
        <w:t>strategies</w:t>
      </w:r>
      <w:r w:rsidR="00322E50">
        <w:t xml:space="preserve"> (</w:t>
      </w:r>
      <w:r w:rsidR="00322E50" w:rsidRPr="00322E50">
        <w:rPr>
          <w:i/>
          <w:iCs/>
        </w:rPr>
        <w:t>P</w:t>
      </w:r>
      <w:r w:rsidR="00322E50">
        <w:t xml:space="preserve"> &lt;</w:t>
      </w:r>
      <w:r w:rsidR="0055781A">
        <w:t xml:space="preserve"> </w:t>
      </w:r>
      <w:r w:rsidR="00322E50">
        <w:t>.0001)</w:t>
      </w:r>
      <w:r w:rsidR="0055781A">
        <w:t xml:space="preserve"> were used</w:t>
      </w:r>
      <w:r w:rsidR="00322E50">
        <w:t>. Crude protein also showed no difference</w:t>
      </w:r>
      <w:r w:rsidR="00234E5A">
        <w:t>s</w:t>
      </w:r>
      <w:r w:rsidR="00322E50">
        <w:t xml:space="preserve"> among treatments for the interaction PGPB x </w:t>
      </w:r>
      <w:r w:rsidR="006471A3">
        <w:t xml:space="preserve">N </w:t>
      </w:r>
      <w:r w:rsidR="0055781A">
        <w:t>strategy</w:t>
      </w:r>
      <w:r w:rsidR="00322E50">
        <w:t xml:space="preserve"> (</w:t>
      </w:r>
      <w:r w:rsidR="00322E50" w:rsidRPr="00322E50">
        <w:rPr>
          <w:i/>
          <w:iCs/>
        </w:rPr>
        <w:t>P</w:t>
      </w:r>
      <w:r w:rsidR="00322E50">
        <w:t xml:space="preserve"> = .8031), however, higher N </w:t>
      </w:r>
      <w:r w:rsidR="00E94C04">
        <w:t>strategies</w:t>
      </w:r>
      <w:r w:rsidR="00322E50">
        <w:t xml:space="preserve"> increased </w:t>
      </w:r>
      <w:r w:rsidR="00234E5A">
        <w:t xml:space="preserve">crude protein </w:t>
      </w:r>
      <w:r w:rsidR="00322E50">
        <w:t xml:space="preserve">values (P = .0030). In </w:t>
      </w:r>
      <w:r w:rsidR="007F32AF">
        <w:t xml:space="preserve">vitro dry matter digestibility </w:t>
      </w:r>
      <w:r w:rsidR="00322E50">
        <w:t xml:space="preserve">(IVDMD48) and </w:t>
      </w:r>
      <w:r w:rsidR="007F32AF">
        <w:t xml:space="preserve">neutral detergent fiber digestibility </w:t>
      </w:r>
      <w:r w:rsidR="00322E50">
        <w:t xml:space="preserve">(NDFD48) were not affected by PGPB or N </w:t>
      </w:r>
      <w:r w:rsidR="00E94C04">
        <w:t>strategies</w:t>
      </w:r>
      <w:r w:rsidR="00322E50">
        <w:t xml:space="preserve"> (</w:t>
      </w:r>
      <w:r w:rsidR="00322E50" w:rsidRPr="00322E50">
        <w:rPr>
          <w:i/>
          <w:iCs/>
        </w:rPr>
        <w:t>P</w:t>
      </w:r>
      <w:r w:rsidR="00322E50">
        <w:t xml:space="preserve"> &gt; .05).</w:t>
      </w:r>
      <w:r w:rsidR="00EA6909">
        <w:t xml:space="preserve"> Photosynthesis CO</w:t>
      </w:r>
      <w:r w:rsidR="00EA6909" w:rsidRPr="00EA6909">
        <w:rPr>
          <w:vertAlign w:val="subscript"/>
        </w:rPr>
        <w:t>2</w:t>
      </w:r>
      <w:r w:rsidR="00EA6909">
        <w:t xml:space="preserve"> exchange (</w:t>
      </w:r>
      <w:r w:rsidR="00EA6909" w:rsidRPr="00EA6909">
        <w:rPr>
          <w:i/>
          <w:iCs/>
        </w:rPr>
        <w:t>A</w:t>
      </w:r>
      <w:r w:rsidR="00EA6909">
        <w:t xml:space="preserve">) and </w:t>
      </w:r>
      <w:r w:rsidR="007F32AF">
        <w:t xml:space="preserve">stomatal </w:t>
      </w:r>
      <w:r w:rsidR="00EA6909">
        <w:t>conductance (</w:t>
      </w:r>
      <w:proofErr w:type="spellStart"/>
      <w:r w:rsidR="00EA6909" w:rsidRPr="00EA6909">
        <w:rPr>
          <w:i/>
          <w:iCs/>
        </w:rPr>
        <w:t>g</w:t>
      </w:r>
      <w:r w:rsidR="00EA6909" w:rsidRPr="00EA6909">
        <w:rPr>
          <w:i/>
          <w:iCs/>
          <w:vertAlign w:val="subscript"/>
        </w:rPr>
        <w:t>s</w:t>
      </w:r>
      <w:r w:rsidR="00EA6909" w:rsidRPr="00EA6909">
        <w:rPr>
          <w:i/>
          <w:iCs/>
        </w:rPr>
        <w:t>w</w:t>
      </w:r>
      <w:proofErr w:type="spellEnd"/>
      <w:r w:rsidR="00EA6909">
        <w:t xml:space="preserve">) were not impacted by the interaction treatments x </w:t>
      </w:r>
      <w:r w:rsidR="00E94C04">
        <w:t>N strategies</w:t>
      </w:r>
      <w:r w:rsidR="00EA6909">
        <w:t xml:space="preserve"> (</w:t>
      </w:r>
      <w:r w:rsidR="00EA6909" w:rsidRPr="00EA6909">
        <w:rPr>
          <w:i/>
          <w:iCs/>
        </w:rPr>
        <w:t>P</w:t>
      </w:r>
      <w:r w:rsidR="00EA6909">
        <w:t xml:space="preserve"> &gt; .05)</w:t>
      </w:r>
      <w:r w:rsidR="00F677C8">
        <w:t xml:space="preserve">. </w:t>
      </w:r>
      <w:r w:rsidR="00322E50">
        <w:t xml:space="preserve">Results suggest that FM and CP are affected by N </w:t>
      </w:r>
      <w:r w:rsidR="00E94C04">
        <w:t>strategies</w:t>
      </w:r>
      <w:r w:rsidR="00322E50">
        <w:t>, however</w:t>
      </w:r>
      <w:r w:rsidR="00EA6909">
        <w:t>,</w:t>
      </w:r>
      <w:r w:rsidR="00322E50">
        <w:t xml:space="preserve"> PGPB inoculation may not </w:t>
      </w:r>
      <w:r w:rsidR="00EA6909" w:rsidRPr="00EA6909">
        <w:t>positively</w:t>
      </w:r>
      <w:r w:rsidR="00EA6909">
        <w:t xml:space="preserve"> affect variables. Further research is needed to better understand </w:t>
      </w:r>
      <w:r w:rsidR="007F32AF">
        <w:t xml:space="preserve">forage </w:t>
      </w:r>
      <w:r w:rsidR="00EA6909">
        <w:t>productivity under PGPB inoculation.</w:t>
      </w:r>
      <w:bookmarkStart w:id="46" w:name="_Toc289175835"/>
      <w:bookmarkStart w:id="47" w:name="_Toc175638320"/>
    </w:p>
    <w:p w14:paraId="0EC56239" w14:textId="2DB488DD" w:rsidR="00CE4D4B" w:rsidRPr="00721572" w:rsidRDefault="00CE4D4B" w:rsidP="00721572">
      <w:pPr>
        <w:pStyle w:val="Heading2"/>
      </w:pPr>
      <w:bookmarkStart w:id="48" w:name="_Toc196315250"/>
      <w:r w:rsidRPr="00721572">
        <w:lastRenderedPageBreak/>
        <w:t>Introduction</w:t>
      </w:r>
      <w:bookmarkEnd w:id="46"/>
      <w:bookmarkEnd w:id="47"/>
      <w:bookmarkEnd w:id="48"/>
    </w:p>
    <w:p w14:paraId="0949CFBC" w14:textId="10A058FD" w:rsidR="00A0212F" w:rsidRPr="00037ACB" w:rsidRDefault="00A0212F" w:rsidP="006E1FCC">
      <w:pPr>
        <w:spacing w:line="480" w:lineRule="auto"/>
        <w:ind w:firstLine="720"/>
        <w:rPr>
          <w:rFonts w:cs="Times New Roman"/>
        </w:rPr>
      </w:pPr>
      <w:bookmarkStart w:id="49" w:name="_Toc289175838"/>
      <w:bookmarkStart w:id="50" w:name="_Toc175638323"/>
      <w:r w:rsidRPr="00037ACB">
        <w:rPr>
          <w:rFonts w:cs="Times New Roman"/>
        </w:rPr>
        <w:t xml:space="preserve">The United States is the third largest country in the world, with 17% of its land used for cattle grazing. In 2021, </w:t>
      </w:r>
      <w:r w:rsidR="0055781A">
        <w:rPr>
          <w:rFonts w:cs="Times New Roman"/>
        </w:rPr>
        <w:t>the United States</w:t>
      </w:r>
      <w:r w:rsidRPr="00037ACB">
        <w:rPr>
          <w:rFonts w:cs="Times New Roman"/>
        </w:rPr>
        <w:t xml:space="preserve"> was the largest meat producer, accounting for approximately 20% of the world's production (USDA, 2021). </w:t>
      </w:r>
      <w:r w:rsidR="0055781A">
        <w:rPr>
          <w:rFonts w:cs="Times New Roman"/>
        </w:rPr>
        <w:t>B</w:t>
      </w:r>
      <w:r w:rsidRPr="00037ACB">
        <w:rPr>
          <w:rFonts w:cs="Times New Roman"/>
        </w:rPr>
        <w:t>ermudagrass</w:t>
      </w:r>
      <w:r w:rsidR="0055781A">
        <w:rPr>
          <w:rFonts w:cs="Times New Roman"/>
        </w:rPr>
        <w:t xml:space="preserve"> (</w:t>
      </w:r>
      <w:proofErr w:type="spellStart"/>
      <w:r w:rsidR="0055781A" w:rsidRPr="0055781A">
        <w:rPr>
          <w:rFonts w:cs="Times New Roman"/>
          <w:i/>
          <w:iCs/>
        </w:rPr>
        <w:t>Cynodon</w:t>
      </w:r>
      <w:proofErr w:type="spellEnd"/>
      <w:r w:rsidR="0055781A" w:rsidRPr="0055781A">
        <w:rPr>
          <w:rFonts w:cs="Times New Roman"/>
          <w:i/>
          <w:iCs/>
        </w:rPr>
        <w:t xml:space="preserve"> </w:t>
      </w:r>
      <w:proofErr w:type="spellStart"/>
      <w:r w:rsidR="0055781A">
        <w:rPr>
          <w:rFonts w:cs="Times New Roman"/>
          <w:i/>
          <w:iCs/>
        </w:rPr>
        <w:t>dactylon</w:t>
      </w:r>
      <w:proofErr w:type="spellEnd"/>
      <w:r w:rsidR="0055781A">
        <w:rPr>
          <w:rFonts w:cs="Times New Roman"/>
        </w:rPr>
        <w:t xml:space="preserve">) </w:t>
      </w:r>
      <w:r w:rsidRPr="00037ACB">
        <w:rPr>
          <w:rFonts w:cs="Times New Roman"/>
        </w:rPr>
        <w:t>is a key perennial forage in the southeastern U.S. (Baxter et al., 2023), and it is cultivated on approximately 10–12 million hectares across the United States for forage production (Taliaferro et al., 20</w:t>
      </w:r>
      <w:r>
        <w:rPr>
          <w:rFonts w:cs="Times New Roman"/>
        </w:rPr>
        <w:t>16</w:t>
      </w:r>
      <w:r w:rsidRPr="00037ACB">
        <w:rPr>
          <w:rFonts w:cs="Times New Roman"/>
        </w:rPr>
        <w:t>).</w:t>
      </w:r>
    </w:p>
    <w:p w14:paraId="6FB30DFA" w14:textId="6B583F11" w:rsidR="00A0212F" w:rsidRPr="00037ACB" w:rsidRDefault="00A0212F" w:rsidP="006E1FCC">
      <w:pPr>
        <w:spacing w:line="480" w:lineRule="auto"/>
        <w:ind w:firstLine="720"/>
        <w:rPr>
          <w:rFonts w:cs="Times New Roman"/>
        </w:rPr>
      </w:pPr>
      <w:r w:rsidRPr="00037ACB">
        <w:rPr>
          <w:rFonts w:cs="Times New Roman"/>
        </w:rPr>
        <w:t xml:space="preserve">The widespread use of bermudagrass in the southeastern U.S. has raised considerable research interest </w:t>
      </w:r>
      <w:r>
        <w:rPr>
          <w:rFonts w:cs="Times New Roman"/>
        </w:rPr>
        <w:fldChar w:fldCharType="begin"/>
      </w:r>
      <w:r w:rsidR="003A1011">
        <w:rPr>
          <w:rFonts w:cs="Times New Roman"/>
        </w:rPr>
        <w:instrText xml:space="preserve"> ADDIN ZOTERO_ITEM CSL_CITATION {"citationID":"ZICatX4y","properties":{"formattedCitation":"(Taliaferro et al., 2016)","plainCitation":"(Taliaferro et al., 2016)","noteIndex":0},"citationItems":[{"id":38,"uris":["http://zotero.org/users/local/kjHHoAYm/items/H2EWKFBY"],"itemData":{"id":38,"type":"chapter","container-title":"Agronomy Monographs","event-place":"Madison, WI, USA","ISBN":"978-0-89118-237-5","note":"DOI: 10.2134/agronmonogr45.c12","page":"417-475","publisher":"American Society of Agronomy, Crop Science Society of America, Soil Science Society of America","publisher-place":"Madison, WI, USA","source":"DOI.org (Crossref)","title":"Bermudagrass and Stargrass","URL":"http://doi.wiley.com/10.2134/agronmonogr45.c12","editor":[{"family":"Moser","given":"Lowell E."},{"family":"Burson","given":"Byron L."},{"family":"Sollenberger","given":"Lynn E."}],"author":[{"family":"Taliaferro","given":"Charles M."},{"family":"Rouquette","given":"Francis M."},{"family":"Mislevy","given":"Paul"}],"accessed":{"date-parts":[["2025",2,17]]},"issued":{"date-parts":[["2016",12,12]]}}}],"schema":"https://github.com/citation-style-language/schema/raw/master/csl-citation.json"} </w:instrText>
      </w:r>
      <w:r>
        <w:rPr>
          <w:rFonts w:cs="Times New Roman"/>
        </w:rPr>
        <w:fldChar w:fldCharType="separate"/>
      </w:r>
      <w:r w:rsidRPr="00B015B5">
        <w:rPr>
          <w:rFonts w:cs="Times New Roman"/>
        </w:rPr>
        <w:t>(Taliaferro et al., 2016)</w:t>
      </w:r>
      <w:r>
        <w:rPr>
          <w:rFonts w:cs="Times New Roman"/>
        </w:rPr>
        <w:fldChar w:fldCharType="end"/>
      </w:r>
      <w:r w:rsidRPr="00037ACB">
        <w:rPr>
          <w:rFonts w:cs="Times New Roman"/>
        </w:rPr>
        <w:t xml:space="preserve">. It is highly responsive to nitrogen </w:t>
      </w:r>
      <w:r>
        <w:rPr>
          <w:rFonts w:cs="Times New Roman"/>
        </w:rPr>
        <w:fldChar w:fldCharType="begin"/>
      </w:r>
      <w:r w:rsidR="003A1011">
        <w:rPr>
          <w:rFonts w:cs="Times New Roman"/>
        </w:rPr>
        <w:instrText xml:space="preserve"> ADDIN ZOTERO_ITEM CSL_CITATION {"citationID":"TUbLHvoX","properties":{"formattedCitation":"(Garay et al., 2004; Osborne et al., 1999; Santos et al., 2021; Silveira et al., 2007)","plainCitation":"(Garay et al., 2004; Osborne et al., 1999; Santos et al., 2021; Silveira et al., 2007)","noteIndex":0},"citationItems":[{"id":33,"uris":["http://zotero.org/users/local/kjHHoAYm/items/4FWGMXYM"],"itemData":{"id":33,"type":"article-journal","abstract":"Stargrass (\n              Cynodon nlemfuensis\n              Vanderyst) is an important tropical forage, but the interaction of stocking rate (SR) and N fertilizer rate on stargrass pastures is not well understood. The objective was to determine the effects of three SR (2.5, 5.0, and 7.5 bulls ha\n              −1\n              ) and three N rates (112, 224, and 336 kg ha\n              −1\n              yr\n              −1\n              ) on stargrass pasture characteristics and performance of Jamaica Red Poll (\n              Bos taurus\n              ×\n              B. indicus\n              ) weanling bulls at St. Ann, Jamaica. Soil was a bauxitic clay loam, and pastures were rotationally stocked (7‐d grazing and 21‐d rest period). Pregraze herbage mass increased as SR decreased (2.0‐4.8 Mg ha\n              −1\n              in Year 1 and 3.3‐8.3 Mg ha\n              −1\n              in Year 2). Herbage crude protein (CP) and in vitro digestible organic matter (IVDOM) generally increased with increasing SR and N rate. Bull daily gain decreased curvilinearly from 0.70 to 0.26 kg in Year 1 and 0.65 to 0.35 kg in Year 2 as SR increased from 2.5 to 7.5 head ha\n              −1\n              Daily gain increased linearly as N rate increased from 112 to 336 kg ha\n              −1\n              The N fertilizer rate had little effect on gain per hectare at the lowest SR, but gain increased with fertilization up to 224 kg N ha\n              −1\n              for a SR of 5 head ha\n              −1\n              and up to 336 kg N ha\n              −1\n              for a SR of 7.5. In conclusion, economic return from N fertilization of stargrass pastures is dependent upon SR, with greater N rates more likely to be profitable if SR is high.","container-title":"Crop Science","DOI":"10.2135/cropsci2004.1348","ISSN":"0011-183X, 1435-0653","issue":"4","journalAbbreviation":"Crop Science","language":"en","page":"1348-1354","source":"DOI.org (Crossref)","title":"Nitrogen Fertilization and Stocking Rate Affect Stargrass Pasture and Cattle Performance","volume":"44","author":[{"family":"Garay","given":"A. Hernández"},{"family":"Sollenberger","given":"L. E."},{"family":"McDonald","given":"D. C."},{"family":"Ruegsegger","given":"G. J."},{"family":"Kalmbacher","given":"R. S."},{"family":"Mislevy","given":"P."}],"issued":{"date-parts":[["2004",7]]}}},{"id":46,"uris":["http://zotero.org/users/local/kjHHoAYm/items/KWK5B5QD"],"itemData":{"id":46,"type":"article-journal","abstract":"Abstract\n            \n              High N rates and source of N have been thoroughly evaluated in bermudagrass [\n              Cynodon dactylon\n              (L.) Pers.] forage production, but less is known concerning season of application and estimated fertilizer N recovery in these systems. Two field studies (Ardmore, OK: Wilson silt loam, Vertic Haplustalfs; Burneyville, OK: Minco fine sandy loam, Udic Haplustolls) were conducted at two locations over two years to evaluate the effects of rate, timing, and source of N on bermudagrass forage yield, total N, NO\n              3\n              concentration, and estimated fertilizer N recovery. Nitrogen was applied at rates of 112, 224, 448, 672, and 1344 kg N ha\n              −1\n              as NH\n              4\n              NO\n              3\n              or urea in early spring (March) and late summer (August). Fertilizer N recovery can be maximized at rates of 112 and 224 kg N ha\n              −1\n              applied in the early spring and late summer, respectively. Even when N rates of 1344 kg N ha\n              −1\n              were applied annually, bermudagrass forage NO\n              3\n              ‐N was seldom above 2000 mg kg\n              −1\n              , which is below published toxic levels (2400–4500 mg kg\n              −1\n              ) for cattle (\n              Bos taurus\n              ) consumption. Early‐spring applied N increased yields, N removal, and fertilizer recovery compared with late‐summer applied N. Fertilizer N recovery was higher for NH\n              4\n              NO\n              3\n              than for urea, especially when applied in late summer. Late‐summer applications of urea should be avoided, due to increased NH\n              3\n              volatilization losses. Nitrogen applied at 112 kg N ha\n              −1\n              in early spring can result in fertilizer recoveries in excess of 85%. These high recoveries in forage production systems are possibly a result of continuous preanthesis forage harvesting when gaseous plant N losses are small, but which increase following anthesis.","container-title":"Agronomy Journal","DOI":"10.2134/agronj1999.00021962009100030013x","ISSN":"0002-1962, 1435-0645","issue":"3","journalAbbreviation":"Agronomy Journal","language":"en","page":"438-444","source":"DOI.org (Crossref)","title":"Bermudagrass Response to High Nitrogen Rates, Source, and Season of Application","volume":"91","author":[{"family":"Osborne","given":"Shannon L."},{"family":"Raun","given":"William R."},{"family":"Johnson","given":"Gordon V."},{"family":"Rogers","given":"Jerry L."},{"family":"Altom","given":"Wadell"}],"issued":{"date-parts":[["1999",5]]}}},{"id":48,"uris":["http://zotero.org/users/local/kjHHoAYm/items/BEDHJQ2N"],"itemData":{"id":48,"type":"article-journal","abstract":"Abstract\n            \n              Bermudagrass (\n              Cynodon\n              spp.) is an importantwarm‐season grass for livestock in the southern United States. To be productive, bermudagrass requires supplementary N. This 2‐yr study assessed whether N fertilization could be halved by introducing alfalfa (\n              Medicago sativa\n              L.) or rhizoma peanut (RP;\n              Arachis glabrata\n              Benth.) into ‘Tifton‐85’ bermudagrass monocultures without compromising productivity. Treatments were: bermudagrass, N‐fertilized bermudagrass, alfalfa (‘Alfagraze 600 RR’), RP (‘Florigraze’), and the mixtures bermudagrass–alfalfa and bermudagrass–RP. Mixtures were fertilized with 45 kg N ha\n              –1\n              harvest\n              –1\n              , whereas N‐fertilized bermudagrass received 90 kg N ha\n              –1\n              harvest\n              –1\n              . Seven harvests were made each year. Nitrogen‐fertilized bermudagrass and mixtures had similar total herbage accumulation (HA) in 2017, but mixtures produced approximately 3,340 kg DM ha\n              –1\n               yr\n              –1\n              less than N‐fertilized bermudagrass in 2016, which had a drier summer. Percentage of alfalfa in the mixtures decreased from 68 to &lt;1% by the end of the study. Rhizoma peanut proportion in mixtures was often low (max. 8%). Nitrogen‐fertilized bermudagrass had the greatest total harvested N in May of 2016 (96  kg N ha\n              –1\n              ), but it did not differ from bermudagrass–RP in May of 2017. Nitrogen agronomic efficiency (NAE) was greater for mixtures (27.5 kg DM kg\n              –1\n              N applied) than for N‐fertilized bermudagrass (21 kg DM kg\n              –1\n              N applied). Greater NAE in mixtures occurred due to limited response to high N fertilization rates in the N‐fertilized bermudagrass. Further studies on establishment methods, cultivar selection, and management practices are still needed to adopt a successful bermudagrass–legume mixture in northern Florida.\n            \n          , \n            Core Ideas\n            \n              \n                \n                  Nitrogen‐fertilized bermudagrass had greater yield than mixtures with half N in the drier of 2 yr.\n                \n                \n                  Bermudagrass–legume mixtures had greater N agronomic efficiency than N‐fertilized bermudagrass.\n                \n                \n                  Legumes had low proportion in the sward, and thus bermudagrass response was driven by N fertilizer.","container-title":"Crop Science","DOI":"10.1002/csc2.20552","ISSN":"0011-183X, 1435-0653","issue":"5","journalAbbreviation":"Crop Science","language":"en","page":"3815-3829","source":"DOI.org (Crossref)","title":"Herbage responses and nitrogen agronomic efficiency of bermudagrass–legume mixtures","volume":"61","author":[{"family":"Santos","given":"Erick R. S."},{"family":"Dubeux,","given":"José C. B."},{"family":"Mackowiak","given":"Cheryl L."},{"family":"Blount","given":"Ann R. S."},{"family":"Sollenberger","given":"Lynn E."},{"family":"Jaramillo","given":"David M."},{"family":"Garcia","given":"Liza"},{"family":"Abreu","given":"Daciele S."},{"family":"Souza","given":"Rayanne T."},{"family":"Ruiz‐Moreno","given":"Martin"}],"issued":{"date-parts":[["2021",9]]}}},{"id":47,"uris":["http://zotero.org/users/local/kjHHoAYm/items/M7HCXUWR"],"itemData":{"id":47,"type":"article-journal","abstract":"Nitrogen is an important agronomic input for bermudagrass production in the southern USA. Fertilizers that can efficiently provide N to grass pastures and hay meadows are an important issue because of increasing costs and environmental problems associated with N losses. This experiment was designed to determine the effectiveness of various N sources on ‘Coastal’ bermudagrass [\n              Cynodon dactylon\n              (L.) Pers.] production and N uptake efficiency. Nitrogen was applied at 0, 45, 90, and 135 kg ha\n              −1\n              harvest\n              −1\n              as urea–ammonium nitrate (UAN), urea, ammonium nitrate (AN) and ammonium sulfate (AS) on Gallime (Glossic Paleudalf) and Lilbert (Plinthic Paleudult) soils. Mixtures of S with UAN and of Ca and B with urea were also evaluated. Bermudagrass was periodically harvested and subsampled for total N analysis. At termination of the study soil samples were collected for pH and extractable NO\n              3\n              –N analyses. Bermudagrass yield responses to N sources were significant only in the Gallime soil. In this soil, AN and AS increased yields and resulted in greater N uptake compared to urea and UAN. Lilbert soil showed no effect of N sources on dry matter (DM) production. There was a yield response to N rates and maximum bermudagrass production was generally achieved at the 90 kg ha\n              −1\n              N rate regrowth\n              −1\n              . Fertilizer efficiency declined as the N rate was increased. Soil acidity increased in response to N application, particularly for the AS treatments. Selection of N sources and rates should be carefully planned to avoid detrimental effects on soil acidity and, consequently, fertilizer efficiency.","container-title":"Agronomy Journal","DOI":"10.2134/agronj2006.0200","ISSN":"0002-1962, 1435-0645","issue":"3","journalAbbreviation":"Agronomy Journal","language":"en","page":"707-714","source":"DOI.org (Crossref)","title":"Response of Coastal Bermudagrass Yield and Nutrient Uptake Efficiency to Nitrogen Sources","volume":"99","author":[{"family":"Silveira","given":"Maria L."},{"family":"Haby","given":"Vincent A."},{"family":"Leonard","given":"Allen T."}],"issued":{"date-parts":[["2007",5]]}}}],"schema":"https://github.com/citation-style-language/schema/raw/master/csl-citation.json"} </w:instrText>
      </w:r>
      <w:r>
        <w:rPr>
          <w:rFonts w:cs="Times New Roman"/>
        </w:rPr>
        <w:fldChar w:fldCharType="separate"/>
      </w:r>
      <w:r w:rsidRPr="00B015B5">
        <w:rPr>
          <w:rFonts w:cs="Times New Roman"/>
        </w:rPr>
        <w:t>(Garay et al., 2004; Osborne et al., 1999; Santos et al., 2021; Silveira et al., 2007)</w:t>
      </w:r>
      <w:r>
        <w:rPr>
          <w:rFonts w:cs="Times New Roman"/>
        </w:rPr>
        <w:fldChar w:fldCharType="end"/>
      </w:r>
      <w:r w:rsidRPr="00037ACB">
        <w:rPr>
          <w:rFonts w:cs="Times New Roman"/>
        </w:rPr>
        <w:t xml:space="preserve">, persistent </w:t>
      </w:r>
      <w:r w:rsidR="00FC362B">
        <w:rPr>
          <w:rFonts w:cs="Times New Roman"/>
        </w:rPr>
        <w:t>under-grazing</w:t>
      </w:r>
      <w:r w:rsidRPr="00037ACB">
        <w:rPr>
          <w:rFonts w:cs="Times New Roman"/>
        </w:rPr>
        <w:t xml:space="preserve"> </w:t>
      </w:r>
      <w:r>
        <w:rPr>
          <w:rFonts w:cs="Times New Roman"/>
        </w:rPr>
        <w:fldChar w:fldCharType="begin"/>
      </w:r>
      <w:r w:rsidR="003A1011">
        <w:rPr>
          <w:rFonts w:cs="Times New Roman"/>
        </w:rPr>
        <w:instrText xml:space="preserve"> ADDIN ZOTERO_ITEM CSL_CITATION {"citationID":"Nyb8ORbm","properties":{"formattedCitation":"(Liu et al., 2011; Rouquette et al., 2011)","plainCitation":"(Liu et al., 2011; Rouquette et al., 2011)","noteIndex":0},"citationItems":[{"id":50,"uris":["http://zotero.org/users/local/kjHHoAYm/items/QY9KPFJJ"],"itemData":{"id":50,"type":"article-journal","abstract":"‘Tifton 85’ bermudagrass (\n              Cynodon\n              spp.) is an important forage in the southern United States, but its responses to the interaction of grazing frequency and intensity have not been studied. Sward persistence, herbage accumulation, and nutritive value were measured during 3 yr. Treatments were all combinations of three postgraze stubble heights (SH; 8, 16, and 24 cm) and three regrowth intervals (RI; 14, 21, and 28 d). Short SH (8 cm) with long RI (28 d) or tall SH (24 cm) with short RI (14 d) produced greatest herbage accumulation (11–15 Mg ha\n              −1\n              yr\n              −1\n              ). Lowest or nearly lowest herbage accumulation occurred with 14‐d RI and 8‐cm SH or 28‐d RI with 24‐cm SH (7.4–12 Mg ha\n              −1\n              yr\n              −1\n              ). Intermediate levels of RI (21 d) or SH (16 cm) produced consistent herbage accumulation regardless of level of the other factor. Nutritive value was primarily affected by RI, and P (3.1 to 2.8 g kg\n              −1\n              ), crude protein (CP; 150 to 108 g kg\n              −1\n              ), and in vitro digestible organic matter (IVDOM; 602 to 582 g kg\n              −1\n              ) concentrations decreased as RI increased. Organic matter and nutrient mass of storage organs increased with increasing SH, but the 24‐cm SH treatment exhibited greater reduction in percentage cover (</w:instrText>
      </w:r>
      <w:r w:rsidR="003A1011">
        <w:rPr>
          <w:rFonts w:ascii="Cambria Math" w:hAnsi="Cambria Math" w:cs="Cambria Math"/>
        </w:rPr>
        <w:instrText>∼</w:instrText>
      </w:r>
      <w:r w:rsidR="003A1011">
        <w:rPr>
          <w:rFonts w:cs="Times New Roman"/>
        </w:rPr>
        <w:instrText>43% units) than the other SH treatments (</w:instrText>
      </w:r>
      <w:r w:rsidR="003A1011">
        <w:rPr>
          <w:rFonts w:ascii="Cambria Math" w:hAnsi="Cambria Math" w:cs="Cambria Math"/>
        </w:rPr>
        <w:instrText>∼</w:instrText>
      </w:r>
      <w:r w:rsidR="003A1011">
        <w:rPr>
          <w:rFonts w:cs="Times New Roman"/>
        </w:rPr>
        <w:instrText xml:space="preserve">22% units) after 3 yr of grazing. These data indicate that intermediate levels of SH (16 cm) and RI (21 d) provided relatively high Tifton 85 herbage accumulation and nutritive value while minimizing negative impacts on persistence‐related responses.","container-title":"Crop Science","DOI":"10.2135/cropsci2010.02.0122","ISSN":"0011-183X, 1435-0653","issue":"1","journalAbbreviation":"Crop Science","language":"en","page":"353-360","source":"DOI.org (Crossref)","title":"Grazing Management Effects on Productivity, Nutritive Value, and Persistence of ‘Tifton 85’ Bermudagrass","volume":"51","author":[{"family":"Liu","given":"K."},{"family":"Sollenberger","given":"L. E."},{"family":"Newman","given":"Y. C."},{"family":"Vendramini","given":"J. M. B."},{"family":"Interrante","given":"S. M."},{"family":"White‐Leech","given":"R."}],"issued":{"date-parts":[["2011",1]]}}},{"id":49,"uris":["http://zotero.org/users/local/kjHHoAYm/items/FPHC47PN"],"itemData":{"id":49,"type":"article-journal","abstract":"ABSTRACT\n            \n              Stocking rate can affect production and persistence of bermudagrass [\n              Cynodon dactylon\n              (L.) Pers.] pastures. ‘Coastal’ and common bermudagrass pastures were grazed at different stocking rates to maintain specific low, medium, and high herbage mass (HM) during a 38‐yr period. From 1969 to 1984, pastures received identical fertilization, and from 1985 to 2005, regimens of N plus annual ryegrass (\n              Lolium multiflorum\n              Lam.) vs. no N plus clover (\n              Trifolium\n              spp.) were superimposed on each bermudagrass × HM. Stand of both Coastal and common bermudagrass was negatively affected by decreasing HM and no N fertilizer. Bahiagrass (\n              Paspalum notatum\n              Flüggé) was the primary non‐bermudagrass invasive species on no‐N pastures. Invasive bermudagrass ecotypes were more abundant at 73 to 86% on low HM Coastal with clover or ryegrass, respectively. On common bermudagrass, ecotypes were present at about 25 and 40%, respectively, on clover and ryegrass but not affected by HM. During October 2005, 125 whole plant‐root core ecotypes were collected and fingerprinted using amplified fragment length polymorphism (AFLP) markers, analyzed via coefficient of genetic similarity matrix, and clustered in genetically related groups. Four groups were identified in Coastal and five in common bermudagrass. The Coastal and Coastal‐similar ecotypes were different from common bermudagrass and common bermudagrass‐similar ecotypes in plant height, leaf length, leaf width, and leaf coarseness. Plant inflorescence characteristics of ecotype ranked similar to those of growth traits. The bermudagrass were most sustainable under moderate to high HM and with N fertilization.","container-title":"Crop Science","DOI":"10.2135/cropsci2011.03.0123","ISSN":"0011-183X, 1435-0653","issue":"6","journalAbbreviation":"Crop Science","language":"en","page":"2886-2894","source":"DOI.org (Crossref)","title":"Stand Maintenance and Genetic Diversity of Bermudagrass Pastures under Different Grazing Management Strategies during a 38‐Year Period","volume":"51","author":[{"family":"Rouquette","given":"Francis M."},{"family":"Anderson","given":"William F."},{"family":"Harris‐Shultz","given":"Karen R."},{"family":"Smith","given":"Gerald R."}],"issued":{"date-parts":[["2011",11]]}}}],"schema":"https://github.com/citation-style-language/schema/raw/master/csl-citation.json"} </w:instrText>
      </w:r>
      <w:r>
        <w:rPr>
          <w:rFonts w:cs="Times New Roman"/>
        </w:rPr>
        <w:fldChar w:fldCharType="separate"/>
      </w:r>
      <w:r w:rsidRPr="00B015B5">
        <w:rPr>
          <w:rFonts w:cs="Times New Roman"/>
        </w:rPr>
        <w:t>(Liu et al., 2011; Rouquette et al., 2011)</w:t>
      </w:r>
      <w:r>
        <w:rPr>
          <w:rFonts w:cs="Times New Roman"/>
        </w:rPr>
        <w:fldChar w:fldCharType="end"/>
      </w:r>
      <w:r w:rsidRPr="00037ACB">
        <w:rPr>
          <w:rFonts w:cs="Times New Roman"/>
        </w:rPr>
        <w:t xml:space="preserve">, and adapted to diverse regions around the world </w:t>
      </w:r>
      <w:r>
        <w:rPr>
          <w:rFonts w:cs="Times New Roman"/>
        </w:rPr>
        <w:t>(Burton</w:t>
      </w:r>
      <w:r w:rsidRPr="00037ACB">
        <w:rPr>
          <w:rFonts w:cs="Times New Roman"/>
        </w:rPr>
        <w:t>,</w:t>
      </w:r>
      <w:r>
        <w:rPr>
          <w:rFonts w:cs="Times New Roman"/>
        </w:rPr>
        <w:t xml:space="preserve"> 1948)</w:t>
      </w:r>
      <w:r w:rsidR="00FC362B">
        <w:rPr>
          <w:rFonts w:cs="Times New Roman"/>
        </w:rPr>
        <w:t xml:space="preserve">, </w:t>
      </w:r>
      <w:r w:rsidRPr="00037ACB">
        <w:rPr>
          <w:rFonts w:cs="Times New Roman"/>
        </w:rPr>
        <w:t xml:space="preserve">making it suitable for a variety of forage systems </w:t>
      </w:r>
      <w:r>
        <w:rPr>
          <w:rFonts w:cs="Times New Roman"/>
        </w:rPr>
        <w:fldChar w:fldCharType="begin"/>
      </w:r>
      <w:r w:rsidR="003A1011">
        <w:rPr>
          <w:rFonts w:cs="Times New Roman"/>
        </w:rPr>
        <w:instrText xml:space="preserve"> ADDIN ZOTERO_ITEM CSL_CITATION {"citationID":"QOkAPuCe","properties":{"formattedCitation":"(Barreta et al., 2023; Santos et al., 2021)","plainCitation":"(Barreta et al., 2023; Santos et al., 2021)","noteIndex":0},"citationItems":[{"id":54,"uris":["http://zotero.org/users/local/kjHHoAYm/items/YVZ64RLJ"],"itemData":{"id":54,"type":"article-journal","container-title":"European Journal of Agronomy","DOI":"10.1016/j.eja.2023.126883","ISSN":"11610301","journalAbbreviation":"European Journal of Agronomy","language":"en","page":"126883","source":"DOI.org (Crossref)","title":"Managing a mixed sward to maintain species and functional diversity","volume":"149","author":[{"family":"Barreta","given":"Daniel A."},{"family":"Winter","given":"Fábio L."},{"family":"Gislon","given":"Fernanda C.S."},{"family":"Sollenberger","given":"Lynn E."},{"family":"Sbrissia","given":"André F."}],"issued":{"date-parts":[["2023",9]]}}},{"id":48,"uris":["http://zotero.org/users/local/kjHHoAYm/items/BEDHJQ2N"],"itemData":{"id":48,"type":"article-journal","abstract":"Abstract\n            \n              Bermudagrass (\n              Cynodon\n              spp.) is an importantwarm‐season grass for livestock in the southern United States. To be productive, bermudagrass requires supplementary N. This 2‐yr study assessed whether N fertilization could be halved by introducing alfalfa (\n              Medicago sativa\n              L.) or rhizoma peanut (RP;\n              Arachis glabrata\n              Benth.) into ‘Tifton‐85’ bermudagrass monocultures without compromising productivity. Treatments were: bermudagrass, N‐fertilized bermudagrass, alfalfa (‘Alfagraze 600 RR’), RP (‘Florigraze’), and the mixtures bermudagrass–alfalfa and bermudagrass–RP. Mixtures were fertilized with 45 kg N ha\n              –1\n              harvest\n              –1\n              , whereas N‐fertilized bermudagrass received 90 kg N ha\n              –1\n              harvest\n              –1\n              . Seven harvests were made each year. Nitrogen‐fertilized bermudagrass and mixtures had similar total herbage accumulation (HA) in 2017, but mixtures produced approximately 3,340 kg DM ha\n              –1\n               yr\n              –1\n              less than N‐fertilized bermudagrass in 2016, which had a drier summer. Percentage of alfalfa in the mixtures decreased from 68 to &lt;1% by the end of the study. Rhizoma peanut proportion in mixtures was often low (max. 8%). Nitrogen‐fertilized bermudagrass had the greatest total harvested N in May of 2016 (96  kg N ha\n              –1\n              ), but it did not differ from bermudagrass–RP in May of 2017. Nitrogen agronomic efficiency (NAE) was greater for mixtures (27.5 kg DM kg\n              –1\n              N applied) than for N‐fertilized bermudagrass (21 kg DM kg\n              –1\n              N applied). Greater NAE in mixtures occurred due to limited response to high N fertilization rates in the N‐fertilized bermudagrass. Further studies on establishment methods, cultivar selection, and management practices are still needed to adopt a successful bermudagrass–legume mixture in northern Florida.\n            \n          , \n            Core Ideas\n            \n              \n                \n                  Nitrogen‐fertilized bermudagrass had greater yield than mixtures with half N in the drier of 2 yr.\n                \n                \n                  Bermudagrass–legume mixtures had greater N agronomic efficiency than N‐fertilized bermudagrass.\n                \n                \n                  Legumes had low proportion in the sward, and thus bermudagrass response was driven by N fertilizer.","container-title":"Crop Science","DOI":"10.1002/csc2.20552","ISSN":"0011-183X, 1435-0653","issue":"5","journalAbbreviation":"Crop Science","language":"en","page":"3815-3829","source":"DOI.org (Crossref)","title":"Herbage responses and nitrogen agronomic efficiency of bermudagrass–legume mixtures","volume":"61","author":[{"family":"Santos","given":"Erick R. S."},{"family":"Dubeux,","given":"José C. B."},{"family":"Mackowiak","given":"Cheryl L."},{"family":"Blount","given":"Ann R. S."},{"family":"Sollenberger","given":"Lynn E."},{"family":"Jaramillo","given":"David M."},{"family":"Garcia","given":"Liza"},{"family":"Abreu","given":"Daciele S."},{"family":"Souza","given":"Rayanne T."},{"family":"Ruiz‐Moreno","given":"Martin"}],"issued":{"date-parts":[["2021",9]]}}}],"schema":"https://github.com/citation-style-language/schema/raw/master/csl-citation.json"} </w:instrText>
      </w:r>
      <w:r>
        <w:rPr>
          <w:rFonts w:cs="Times New Roman"/>
        </w:rPr>
        <w:fldChar w:fldCharType="separate"/>
      </w:r>
      <w:r w:rsidRPr="00B015B5">
        <w:rPr>
          <w:rFonts w:cs="Times New Roman"/>
        </w:rPr>
        <w:t>(Barreta et al., 2023; Santos et al., 2021)</w:t>
      </w:r>
      <w:r>
        <w:rPr>
          <w:rFonts w:cs="Times New Roman"/>
        </w:rPr>
        <w:fldChar w:fldCharType="end"/>
      </w:r>
      <w:r w:rsidRPr="00037ACB">
        <w:rPr>
          <w:rFonts w:cs="Times New Roman"/>
        </w:rPr>
        <w:t>.</w:t>
      </w:r>
    </w:p>
    <w:p w14:paraId="432C0FE1" w14:textId="59C6A8C4" w:rsidR="00A0212F" w:rsidRPr="00037ACB" w:rsidRDefault="00A0212F" w:rsidP="006E1FCC">
      <w:pPr>
        <w:spacing w:line="480" w:lineRule="auto"/>
        <w:ind w:firstLine="720"/>
        <w:rPr>
          <w:rFonts w:cs="Times New Roman"/>
        </w:rPr>
      </w:pPr>
      <w:r w:rsidRPr="00037ACB">
        <w:rPr>
          <w:rFonts w:cs="Times New Roman"/>
        </w:rPr>
        <w:t>However, many systems have been shifting towards more environmentally conscious management strategies. The introduction of legumes in forage systems to supply nutrients such as N to the system has been widely studied</w:t>
      </w:r>
      <w:r>
        <w:rPr>
          <w:rFonts w:cs="Times New Roman"/>
        </w:rPr>
        <w:t xml:space="preserve"> </w:t>
      </w:r>
      <w:r>
        <w:rPr>
          <w:rFonts w:cs="Times New Roman"/>
        </w:rPr>
        <w:fldChar w:fldCharType="begin"/>
      </w:r>
      <w:r w:rsidR="003A1011">
        <w:rPr>
          <w:rFonts w:cs="Times New Roman"/>
        </w:rPr>
        <w:instrText xml:space="preserve"> ADDIN ZOTERO_ITEM CSL_CITATION {"citationID":"84BFURNx","properties":{"formattedCitation":"(Corbin et al., 2024a, 2024b; McCloud &amp; Mott, 1953; Santos et al., 2021)","plainCitation":"(Corbin et al., 2024a, 2024b; McCloud &amp; Mott, 1953; Santos et al., 2021)","noteIndex":0},"citationItems":[{"id":30,"uris":["http://zotero.org/users/local/kjHHoAYm/items/VWNUWR25"],"itemData":{"id":30,"type":"article-journal","abstract":"Abstract\n            \n              The rising prices of N fertilizer led to exploring cost‐saving efforts, such as intercropping cool‐ or warm‐season legumes serving as alternative sources of N for managing fall‐stockpiled tall fescue [\n              Schedonorus arundinaceus\n              (Schreb.) Dumort.; TF]. We aimed to evaluate red clover (\n              Trifolium pratense\n              L.; RC) and sunn hemp (\n              Crotalaria juncea\n              L.; SH) mixed with TF as alternative sources of N for stockpiling TF to increase productivity and animal performance. The experiment was conducted in Crossville, TN, in 2020 and 2021 and consisted of TF pastures mixed with RC (TRC) or SH (TSH), and TF fertilized with urea (TU). The experiment was divided into two periods: the pre‐grazing period (stockpiling) (April–October) and the grazing period (October–December). After the stockpiling period, Black Angus beef (\n              Bos taurus\n              ) steers were used for the grazing period. The study evaluated the botanical composition, herbage mass (HM), nutritive value, steer average daily gain (ADG), and net returns (NR). The TRC pastures had a greater proportion of legumes compared to TSH plots in May, October, November, and December of both years. There were no differences among treatments for the total HM and nutritive value in 2020; however, in 2021, TU had greater HM at the beginning of the grazing period and greater average crude protein values compared to the other treatments. In both years, there were no differences among treatments for ADG or NR. Therefore, producers can make the same profit considering the beef steer price and the cost of conventional and alternative N sources.\n            \n          , \n            Core Ideas\n            \n              \n                \n                  Legumes have the potential to suppress weeds when mixed with grasses.\n                \n                \n                  Nitrogen is the most important nutrient that contributes to forage production.\n                \n                \n                  Stockpiling forages contributes to the extension of grazing season.\n                \n                \n                  Grass and legume mixtures can increase the nutritive value and, consequently, improve animal performance.","container-title":"Agronomy Journal","DOI":"10.1002/agj2.21676","ISSN":"0002-1962, 1435-0645","issue":"6","journalAbbreviation":"Agronomy Journal","language":"en","page":"3081-3096","source":"DOI.org (Crossref)","title":"Does adding legumes to tall fescue pastures before stockpiling improve productivity and animal performance?","volume":"116","author":[{"family":"Corbin","given":"Michael D."},{"family":"Nave","given":"Renata L. G."},{"family":"Naumann","given":"Harley D."},{"family":"Bates","given":"Gary E."},{"family":"Boyer","given":"Christopher"},{"family":"De Almeida","given":"Otávio G."}],"issued":{"date-parts":[["2024",11]]}}},{"id":35,"uris":["http://zotero.org/users/local/kjHHoAYm/items/7IRJK82V"],"itemData":{"id":35,"type":"article-journal","abstract":"Abstract\n            \n              Pasture systems that include cool‐ and warm‐season species have the potential to enhance tall fescue (TF) [S\n              chedonorus arundinaceus\n              (Schreb.) Dumort.] forage systems beyond their typical season. The objectives of this study were to incorporate crabgrass (\n              Digitaria ciliaris\n              Retz.) into TF swards and compare the production of monoculture TF to a binary mixture of crabgrass and TF as well as its effect with different sources of nitrogen (such as red clover [\n              Trifolium pratense\n              L.] or sunn hemp [\n              Crotalaria juncea\n              L.]). The experiment was conducted in Crossville, TN, in 2020 and 2021. The treatments were as follows: (1) TF + 0 N (T), (2) TF + ammonium nitrate (TA), (3) TF + red clover (TR), (4) TF + sunn hemp (TS), (5) TF + crabgrass + 0 N (TFC), (6) TF + crabgrass + ammonium nitrate (TCA), (7) TF + crabgrass + red clover (TCR), and (8) TF + crabgrass + sunn hemp (TCS). The plots containing red clover indicated a greater herbage mass (HM) and crude protein (CP) along with lesser neutral detergent fiber compared to the other treatments. Sunn hemp performed best during the mid‐summer, contributing to the increase of HM. Tall fescue swards that were mixed with crabgrass and a source of N (legumes or N fertilizer) had greater HM during the warm season, having the potential to decrease the stationarity of production. Thus, including crabgrass, red clover, and sunn hemp (grass and legumes, respectively) in TF pasture can be a great strategy to increase HM and improve nutritive value.\n            \n          , \n            Core Ideas\n            \n              \n                \n                  Inclusion of cool‐ and warm‐season grasses increases the seasonality of production.\n                \n                \n                  Crabgrass is a warm‐season grass that improves nutritive value in mixed pasture.\n                \n                \n                  Nitrogen fertilizer increases forage mass and nutritive value.\n                \n                \n                  Increasing the use of legumes in pastures may decrease the use of synthetic N fertilizer.","container-title":"Agronomy Journal","DOI":"10.1002/agj2.21690","ISSN":"0002-1962, 1435-0645","issue":"6","journalAbbreviation":"Agronomy Journal","language":"en","page":"3158-3170","source":"DOI.org (Crossref)","title":"Inclusion of cool‐ and warm‐season species in tall fescue swards for increased productivity","volume":"116","author":[{"family":"Corbin","given":"Michael D."},{"family":"Nave","given":"Renata L. G."},{"family":"Naumann","given":"Harley D."},{"family":"Bates","given":"Gary E."},{"family":"Boyer","given":"Christopher"},{"family":"De Almeida","given":"Otávio G."}],"issued":{"date-parts":[["2024",11]]}}},{"id":14,"uris":["http://zotero.org/users/local/kjHHoAYm/items/UWPLU4BH"],"itemData":{"id":14,"type":"article-journal","container-title":"Agronomy Journal","DOI":"10.2134/agronj1953.00021962004500020006x","ISSN":"0002-1962, 1435-0645","issue":"2","journalAbbreviation":"Agronomy Journal","language":"en","license":"http://onlinelibrary.wiley.com/termsAndConditions#vor","page":"61-65","source":"DOI.org (Crossref)","title":"Influence of Association Upon the Forage Yield of Legume‐grass Mixtures&lt;sup&gt;1&lt;/sup&gt;","volume":"45","author":[{"family":"McCloud","given":"D. E."},{"family":"Mott","given":"G. O."}],"issued":{"date-parts":[["1953",2]]}}},{"id":48,"uris":["http://zotero.org/users/local/kjHHoAYm/items/BEDHJQ2N"],"itemData":{"id":48,"type":"article-journal","abstract":"Abstract\n            \n              Bermudagrass (\n              Cynodon\n              spp.) is an importantwarm‐season grass for livestock in the southern United States. To be productive, bermudagrass requires supplementary N. This 2‐yr study assessed whether N fertilization could be halved by introducing alfalfa (\n              Medicago sativa\n              L.) or rhizoma peanut (RP;\n              Arachis glabrata\n              Benth.) into ‘Tifton‐85’ bermudagrass monocultures without compromising productivity. Treatments were: bermudagrass, N‐fertilized bermudagrass, alfalfa (‘Alfagraze 600 RR’), RP (‘Florigraze’), and the mixtures bermudagrass–alfalfa and bermudagrass–RP. Mixtures were fertilized with 45 kg N ha\n              –1\n              harvest\n              –1\n              , whereas N‐fertilized bermudagrass received 90 kg N ha\n              –1\n              harvest\n              –1\n              . Seven harvests were made each year. Nitrogen‐fertilized bermudagrass and mixtures had similar total herbage accumulation (HA) in 2017, but mixtures produced approximately 3,340 kg DM ha\n              –1\n               yr\n              –1\n              less than N‐fertilized bermudagrass in 2016, which had a drier summer. Percentage of alfalfa in the mixtures decreased from 68 to &lt;1% by the end of the study. Rhizoma peanut proportion in mixtures was often low (max. 8%). Nitrogen‐fertilized bermudagrass had the greatest total harvested N in May of 2016 (96  kg N ha\n              –1\n              ), but it did not differ from bermudagrass–RP in May of 2017. Nitrogen agronomic efficiency (NAE) was greater for mixtures (27.5 kg DM kg\n              –1\n              N applied) than for N‐fertilized bermudagrass (21 kg DM kg\n              –1\n              N applied). Greater NAE in mixtures occurred due to limited response to high N fertilization rates in the N‐fertilized bermudagrass. Further studies on establishment methods, cultivar selection, and management practices are still needed to adopt a successful bermudagrass–legume mixture in northern Florida.\n            \n          , \n            Core Ideas\n            \n              \n                \n                  Nitrogen‐fertilized bermudagrass had greater yield than mixtures with half N in the drier of 2 yr.\n                \n                \n                  Bermudagrass–legume mixtures had greater N agronomic efficiency than N‐fertilized bermudagrass.\n                \n                \n                  Legumes had low proportion in the sward, and thus bermudagrass response was driven by N fertilizer.","container-title":"Crop Science","DOI":"10.1002/csc2.20552","ISSN":"0011-183X, 1435-0653","issue":"5","journalAbbreviation":"Crop Science","language":"en","page":"3815-3829","source":"DOI.org (Crossref)","title":"Herbage responses and nitrogen agronomic efficiency of bermudagrass–legume mixtures","volume":"61","author":[{"family":"Santos","given":"Erick R. S."},{"family":"Dubeux,","given":"José C. B."},{"family":"Mackowiak","given":"Cheryl L."},{"family":"Blount","given":"Ann R. S."},{"family":"Sollenberger","given":"Lynn E."},{"family":"Jaramillo","given":"David M."},{"family":"Garcia","given":"Liza"},{"family":"Abreu","given":"Daciele S."},{"family":"Souza","given":"Rayanne T."},{"family":"Ruiz‐Moreno","given":"Martin"}],"issued":{"date-parts":[["2021",9]]}}}],"schema":"https://github.com/citation-style-language/schema/raw/master/csl-citation.json"} </w:instrText>
      </w:r>
      <w:r>
        <w:rPr>
          <w:rFonts w:cs="Times New Roman"/>
        </w:rPr>
        <w:fldChar w:fldCharType="separate"/>
      </w:r>
      <w:r w:rsidRPr="00B015B5">
        <w:rPr>
          <w:rFonts w:cs="Times New Roman"/>
        </w:rPr>
        <w:t>(Corbin et al., 2024a, 2024b; McCloud &amp; Mott, 1953; Santos et al., 2021)</w:t>
      </w:r>
      <w:r>
        <w:rPr>
          <w:rFonts w:cs="Times New Roman"/>
        </w:rPr>
        <w:fldChar w:fldCharType="end"/>
      </w:r>
      <w:r w:rsidRPr="00037ACB">
        <w:rPr>
          <w:rFonts w:cs="Times New Roman"/>
        </w:rPr>
        <w:t>, thus the increase in the system diversity not only impacts nutrients inputs but also the economic viability of the system.</w:t>
      </w:r>
      <w:r>
        <w:rPr>
          <w:rFonts w:cs="Times New Roman"/>
        </w:rPr>
        <w:t xml:space="preserve"> </w:t>
      </w:r>
      <w:r w:rsidR="00BB698F">
        <w:rPr>
          <w:rFonts w:cs="Times New Roman"/>
        </w:rPr>
        <w:t>Nevertheless</w:t>
      </w:r>
      <w:r>
        <w:rPr>
          <w:rFonts w:cs="Times New Roman"/>
        </w:rPr>
        <w:t xml:space="preserve">, for legumes to accomplish the desired role of nitrogen-fixing plants, a relationship between the plants and rhizobacteria needs to be realized. These bacteria infect the plant root, forming a colony that uses nitrogenase enzymes to convert atmospheric nitrogen into ammonia </w:t>
      </w:r>
      <w:r>
        <w:rPr>
          <w:rFonts w:cs="Times New Roman"/>
        </w:rPr>
        <w:fldChar w:fldCharType="begin"/>
      </w:r>
      <w:r w:rsidR="003A1011">
        <w:rPr>
          <w:rFonts w:cs="Times New Roman"/>
        </w:rPr>
        <w:instrText xml:space="preserve"> ADDIN ZOTERO_ITEM CSL_CITATION {"citationID":"xZuYqt0g","properties":{"formattedCitation":"(Hungria &amp; Vargas, 2000)","plainCitation":"(Hungria &amp; Vargas, 2000)","noteIndex":0},"citationItems":[{"id":44,"uris":["http://zotero.org/users/local/kjHHoAYm/items/AZEUK82N"],"itemData":{"id":44,"type":"article-journal","container-title":"Field Crops Research","DOI":"10.1016/S0378-4290(99)00084-2","ISSN":"03784290","issue":"2-3","journalAbbreviation":"Field Crops Research","language":"en","license":"https://www.elsevier.com/tdm/userlicense/1.0/","page":"151-164","source":"DOI.org (Crossref)","title":"Environmental factors affecting N2 fixation in grain legumes in the tropics, with an emphasis on Brazil","volume":"65","author":[{"family":"Hungria","given":"Mariangela"},{"family":"Vargas","given":"Milton A.T."}],"issued":{"date-parts":[["2000",3]]}}}],"schema":"https://github.com/citation-style-language/schema/raw/master/csl-citation.json"} </w:instrText>
      </w:r>
      <w:r>
        <w:rPr>
          <w:rFonts w:cs="Times New Roman"/>
        </w:rPr>
        <w:fldChar w:fldCharType="separate"/>
      </w:r>
      <w:r w:rsidRPr="00B015B5">
        <w:rPr>
          <w:rFonts w:cs="Times New Roman"/>
        </w:rPr>
        <w:t>(Hungria &amp; Vargas, 2000)</w:t>
      </w:r>
      <w:r>
        <w:rPr>
          <w:rFonts w:cs="Times New Roman"/>
        </w:rPr>
        <w:fldChar w:fldCharType="end"/>
      </w:r>
      <w:r>
        <w:rPr>
          <w:rFonts w:cs="Times New Roman"/>
        </w:rPr>
        <w:t>.</w:t>
      </w:r>
    </w:p>
    <w:p w14:paraId="0C69FF7C" w14:textId="362D0B08" w:rsidR="00A0212F" w:rsidRPr="00037ACB" w:rsidRDefault="00A0212F" w:rsidP="00776576">
      <w:pPr>
        <w:spacing w:line="480" w:lineRule="auto"/>
        <w:ind w:firstLine="720"/>
        <w:rPr>
          <w:rFonts w:cs="Times New Roman"/>
        </w:rPr>
      </w:pPr>
      <w:r w:rsidRPr="00037ACB">
        <w:rPr>
          <w:rFonts w:cs="Times New Roman"/>
        </w:rPr>
        <w:lastRenderedPageBreak/>
        <w:t xml:space="preserve">Subsequently, new technologies have been developed, focusing on replacing or building up N mineral fertilization </w:t>
      </w:r>
      <w:r>
        <w:rPr>
          <w:rFonts w:cs="Times New Roman"/>
        </w:rPr>
        <w:fldChar w:fldCharType="begin"/>
      </w:r>
      <w:r w:rsidR="003A1011">
        <w:rPr>
          <w:rFonts w:cs="Times New Roman"/>
        </w:rPr>
        <w:instrText xml:space="preserve"> ADDIN ZOTERO_ITEM CSL_CITATION {"citationID":"I3J4Dp9i","properties":{"formattedCitation":"(Griffin et al., 2020; Sullins et al., 2023)","plainCitation":"(Griffin et al., 2020; Sullins et al., 2023)","noteIndex":0},"citationItems":[{"id":57,"uris":["http://zotero.org/users/local/kjHHoAYm/items/7XHTHTZX"],"itemData":{"id":57,"type":"article-journal","abstract":"Abstract\n            \n              A two‐year, small‐plot study was conducted to evaluate plant growth‐promoting rhizobacteria (PGPR) for biofertilization of fall‐stockpiled bermudagrass [\n              Cynodon dactylon\n              (L.) Pres.]. Eighteen, 10.8‐ft\n              2\n              bermudagrass (cultivar ‘Coastal’) plots were mowed to 1‐inch stubble height prior to stockpiling. Experimental treatments included a negative control, synthetic fertilizer, PGPR single‐strain DH 44, DH 44 + fertilizer, PGPR multiple‐strain Blend 20, and Blend 20 + fertilizer (n = 3). Two PGPR applications were made, one at the beginning of each stockpiling season in mid‐August, and again 30 days later. Ammonium sulfate was applied at 50 lb N/acre concurrent with the first PGPR application. Each plot was divided into three subplots, which were harvested at different periods (i.e., mid‐November, mid‐December, and mid‐January) of each year to determine forage dry matter (DM) yield and nutritive value. Forage DM yield was greatest (\n              P\n               ≤ .03) for Blend 20 + fertilizer, but it was not different (\n              P\n               = .26) from that of the synthetic fertilizer treatment. Concentration of crude protein was least (\n              P\n               &lt; .04) for DH 44 and Blend 20 treatments. Concentrations of acid detergent fiber were not different among treatments, except for the negative control which was lower (\n              P\n               &lt; .05). In vitro true digestibility was not different (\n              P\n               &lt; .05) among treatments. These results indicate that PGPR may be a viable option for biofertilization; however, further investigation into the effect of PGPR inoculants at field level is needed.","container-title":"Crop, Forage &amp; Turfgrass Management","DOI":"10.1002/cft2.20028","ISSN":"2374-3832, 2374-3832","issue":"1","journalAbbreviation":"Crop Forage &amp;amp; Turfgrass Mgmt","language":"en","page":"e20028","source":"DOI.org (Crossref)","title":"Evaluation of plant growth‐promoting rhizobacteria on stockpiled bermudagrass","volume":"6","author":[{"family":"Griffin","given":"Megan E."},{"family":"Muntifering","given":"Russell B."},{"family":"Mullenix","given":"Mary K."},{"family":"Held","given":"David W."},{"family":"Dillard","given":"Sandra L."}],"issued":{"date-parts":[["2020",1]]}}},{"id":55,"uris":["http://zotero.org/users/local/kjHHoAYm/items/9HBH8ACC"],"itemData":{"id":55,"type":"article-journal","abstract":"A two-year study was conducted in bermudagrass hay fields in central Alabama to estimate the potential of plant growth-promoting rhizobacteria (PGPR) as a tool for sustainable agriculture in forage management. This study compared the effects of two treatments of PGPR, applied with and without lowered rates of nitrogen, to a full rate of nitrogen fertilizer in a hay production system. The PGPR treatments included a single-strain treatment of Paenibacillus riograndensis (DH44), and a blend including two Bacillus pumilus strains (AP7 and AP18) and a strain of Bacillus sphaericus (AP282). Data collection included estimates of forage biomass, forage quality, insect populations, soil mesofauna populations, and soil microbial respiration. Applications of PGPR with a half rate of fertilizer yielded similar forage biomass and quality results as that of a full rate of nitrogen. All PGPR treatments increased soil microbial respiration over time. Additionally, treatments containing Paenibacillus riograndensis positively influenced soil mesofauna populations. The results of this study indicated promising potential for PGPR applied with lowered nitrogen rates to reduce chemical inputs while maintaining yield and quality of forage.","container-title":"Microorganisms","DOI":"10.3390/microorganisms11040863","ISSN":"2076-2607","issue":"4","journalAbbreviation":"Microorganisms","language":"en","license":"https://creativecommons.org/licenses/by/4.0/","page":"863","source":"DOI.org (Crossref)","title":"Utility of Plant Growth-Promoting Rhizobacteria for Sustainable Production of Bermudagrass Forage","volume":"11","author":[{"family":"Sullins","given":"Kayla N."},{"family":"Dillard","given":"S. Leanne"},{"family":"Held","given":"David W."},{"family":"Carroll","given":"Elijah P."}],"issued":{"date-parts":[["2023",3,28]]}}}],"schema":"https://github.com/citation-style-language/schema/raw/master/csl-citation.json"} </w:instrText>
      </w:r>
      <w:r>
        <w:rPr>
          <w:rFonts w:cs="Times New Roman"/>
        </w:rPr>
        <w:fldChar w:fldCharType="separate"/>
      </w:r>
      <w:r w:rsidRPr="00B015B5">
        <w:rPr>
          <w:rFonts w:cs="Times New Roman"/>
        </w:rPr>
        <w:t>(Griffin et al., 2020; Sullins et al., 2023)</w:t>
      </w:r>
      <w:r>
        <w:rPr>
          <w:rFonts w:cs="Times New Roman"/>
        </w:rPr>
        <w:fldChar w:fldCharType="end"/>
      </w:r>
      <w:r w:rsidR="007F32AF">
        <w:rPr>
          <w:rFonts w:cs="Times New Roman"/>
        </w:rPr>
        <w:t>.</w:t>
      </w:r>
      <w:r>
        <w:rPr>
          <w:rFonts w:cs="Times New Roman"/>
        </w:rPr>
        <w:t xml:space="preserve"> </w:t>
      </w:r>
      <w:r w:rsidR="00563F11">
        <w:rPr>
          <w:rFonts w:cs="Times New Roman"/>
        </w:rPr>
        <w:t>In</w:t>
      </w:r>
      <w:r>
        <w:rPr>
          <w:rFonts w:cs="Times New Roman"/>
        </w:rPr>
        <w:t xml:space="preserve"> </w:t>
      </w:r>
      <w:r w:rsidR="00786A95">
        <w:rPr>
          <w:rFonts w:cs="Times New Roman"/>
        </w:rPr>
        <w:t xml:space="preserve">the </w:t>
      </w:r>
      <w:proofErr w:type="spellStart"/>
      <w:r w:rsidRPr="001454CB">
        <w:rPr>
          <w:rFonts w:cs="Times New Roman"/>
          <w:i/>
          <w:iCs/>
        </w:rPr>
        <w:t>Poaceae</w:t>
      </w:r>
      <w:proofErr w:type="spellEnd"/>
      <w:r>
        <w:rPr>
          <w:rFonts w:cs="Times New Roman"/>
        </w:rPr>
        <w:t xml:space="preserve"> family</w:t>
      </w:r>
      <w:r w:rsidR="0055781A">
        <w:rPr>
          <w:rFonts w:cs="Times New Roman"/>
        </w:rPr>
        <w:t>,</w:t>
      </w:r>
      <w:r w:rsidRPr="00037ACB">
        <w:rPr>
          <w:rFonts w:cs="Times New Roman"/>
        </w:rPr>
        <w:t xml:space="preserve"> </w:t>
      </w:r>
      <w:r w:rsidR="0055781A">
        <w:rPr>
          <w:rFonts w:cs="Times New Roman"/>
        </w:rPr>
        <w:t>p</w:t>
      </w:r>
      <w:r w:rsidRPr="00037ACB">
        <w:rPr>
          <w:rFonts w:cs="Times New Roman"/>
        </w:rPr>
        <w:t xml:space="preserve">lant </w:t>
      </w:r>
      <w:r w:rsidR="00575C17">
        <w:rPr>
          <w:rFonts w:cs="Times New Roman"/>
        </w:rPr>
        <w:t>g</w:t>
      </w:r>
      <w:r w:rsidR="00575C17" w:rsidRPr="00037ACB">
        <w:rPr>
          <w:rFonts w:cs="Times New Roman"/>
        </w:rPr>
        <w:t>rowth</w:t>
      </w:r>
      <w:r w:rsidRPr="00037ACB">
        <w:rPr>
          <w:rFonts w:cs="Times New Roman"/>
        </w:rPr>
        <w:t>-</w:t>
      </w:r>
      <w:r w:rsidR="00575C17">
        <w:rPr>
          <w:rFonts w:cs="Times New Roman"/>
        </w:rPr>
        <w:t>p</w:t>
      </w:r>
      <w:r w:rsidR="00575C17" w:rsidRPr="00037ACB">
        <w:rPr>
          <w:rFonts w:cs="Times New Roman"/>
        </w:rPr>
        <w:t xml:space="preserve">romoting </w:t>
      </w:r>
      <w:r w:rsidR="00575C17">
        <w:rPr>
          <w:rFonts w:cs="Times New Roman"/>
        </w:rPr>
        <w:t>b</w:t>
      </w:r>
      <w:r w:rsidR="00575C17" w:rsidRPr="00037ACB">
        <w:rPr>
          <w:rFonts w:cs="Times New Roman"/>
        </w:rPr>
        <w:t xml:space="preserve">acteria </w:t>
      </w:r>
      <w:r w:rsidR="000774A9" w:rsidRPr="00037ACB">
        <w:rPr>
          <w:rFonts w:cs="Times New Roman"/>
        </w:rPr>
        <w:t>(</w:t>
      </w:r>
      <w:r w:rsidRPr="00037ACB">
        <w:rPr>
          <w:rFonts w:cs="Times New Roman"/>
        </w:rPr>
        <w:t>PGPB</w:t>
      </w:r>
      <w:r w:rsidR="000774A9">
        <w:rPr>
          <w:rFonts w:cs="Times New Roman"/>
        </w:rPr>
        <w:t>)</w:t>
      </w:r>
      <w:r w:rsidRPr="00037ACB">
        <w:rPr>
          <w:rFonts w:cs="Times New Roman"/>
        </w:rPr>
        <w:t xml:space="preserve"> </w:t>
      </w:r>
      <w:r w:rsidR="007F32AF">
        <w:rPr>
          <w:rFonts w:cs="Times New Roman"/>
        </w:rPr>
        <w:t>is</w:t>
      </w:r>
      <w:r w:rsidRPr="00037ACB">
        <w:rPr>
          <w:rFonts w:cs="Times New Roman"/>
        </w:rPr>
        <w:t xml:space="preserve"> a relatively new technology that is used to reduce N mineral fertilization </w:t>
      </w:r>
      <w:r w:rsidR="007F32AF" w:rsidRPr="00037ACB">
        <w:rPr>
          <w:rFonts w:cs="Times New Roman"/>
        </w:rPr>
        <w:t>to</w:t>
      </w:r>
      <w:r w:rsidRPr="00037ACB">
        <w:rPr>
          <w:rFonts w:cs="Times New Roman"/>
        </w:rPr>
        <w:t xml:space="preserve"> increase the system's overall profitability</w:t>
      </w:r>
      <w:r>
        <w:rPr>
          <w:rFonts w:cs="Times New Roman"/>
        </w:rPr>
        <w:t>.</w:t>
      </w:r>
      <w:r w:rsidRPr="00037ACB">
        <w:rPr>
          <w:rFonts w:cs="Times New Roman"/>
        </w:rPr>
        <w:t xml:space="preserve"> Nevertheless, for this functionality to be accomplished, there is to be a relationship between the bacteria and the plant (Tilak et al</w:t>
      </w:r>
      <w:r w:rsidR="00786A95">
        <w:rPr>
          <w:rFonts w:cs="Times New Roman"/>
        </w:rPr>
        <w:t>.</w:t>
      </w:r>
      <w:r w:rsidRPr="00037ACB">
        <w:rPr>
          <w:rFonts w:cs="Times New Roman"/>
        </w:rPr>
        <w:t>, 2006).</w:t>
      </w:r>
    </w:p>
    <w:p w14:paraId="597AFC3B" w14:textId="68FF7EC7" w:rsidR="00A0212F" w:rsidRPr="00037ACB" w:rsidRDefault="00A0212F" w:rsidP="00776576">
      <w:pPr>
        <w:spacing w:line="480" w:lineRule="auto"/>
        <w:ind w:firstLine="720"/>
        <w:rPr>
          <w:rFonts w:cs="Times New Roman"/>
        </w:rPr>
      </w:pPr>
      <w:r w:rsidRPr="00037ACB">
        <w:rPr>
          <w:rFonts w:cs="Times New Roman"/>
        </w:rPr>
        <w:t xml:space="preserve">Therefore, the objective of this study was to identify and evaluate the effects of PGPB in Bermudagrass plants under </w:t>
      </w:r>
      <w:r>
        <w:rPr>
          <w:rFonts w:cs="Times New Roman"/>
        </w:rPr>
        <w:t>field conditions</w:t>
      </w:r>
      <w:r w:rsidRPr="00037ACB">
        <w:rPr>
          <w:rFonts w:cs="Times New Roman"/>
        </w:rPr>
        <w:t xml:space="preserve">, with varying </w:t>
      </w:r>
      <w:r w:rsidR="00E94C04">
        <w:rPr>
          <w:rFonts w:cs="Times New Roman"/>
        </w:rPr>
        <w:t>N strategies</w:t>
      </w:r>
      <w:r w:rsidRPr="00037ACB">
        <w:rPr>
          <w:rFonts w:cs="Times New Roman"/>
        </w:rPr>
        <w:t>.</w:t>
      </w:r>
    </w:p>
    <w:p w14:paraId="0EC56241" w14:textId="0AEAC7B5" w:rsidR="00236E6D" w:rsidRPr="00721572" w:rsidRDefault="008E75D4" w:rsidP="00776576">
      <w:pPr>
        <w:pStyle w:val="Heading2"/>
        <w:spacing w:before="0" w:after="0" w:line="480" w:lineRule="auto"/>
      </w:pPr>
      <w:bookmarkStart w:id="51" w:name="_Toc196315251"/>
      <w:r w:rsidRPr="00721572">
        <w:t>Materials and Methods</w:t>
      </w:r>
      <w:bookmarkEnd w:id="49"/>
      <w:bookmarkEnd w:id="50"/>
      <w:bookmarkEnd w:id="51"/>
    </w:p>
    <w:p w14:paraId="0EC56242" w14:textId="6EC4CB73" w:rsidR="003D63DF" w:rsidRPr="00037ACB" w:rsidRDefault="008E75D4" w:rsidP="00776576">
      <w:pPr>
        <w:pStyle w:val="Heading3"/>
        <w:spacing w:before="0" w:after="0" w:line="480" w:lineRule="auto"/>
        <w:rPr>
          <w:rFonts w:cs="Times New Roman"/>
          <w:szCs w:val="24"/>
        </w:rPr>
      </w:pPr>
      <w:bookmarkStart w:id="52" w:name="_Toc196315252"/>
      <w:r w:rsidRPr="00037ACB">
        <w:rPr>
          <w:rFonts w:cs="Times New Roman"/>
          <w:szCs w:val="24"/>
        </w:rPr>
        <w:t>Site description</w:t>
      </w:r>
      <w:bookmarkEnd w:id="52"/>
    </w:p>
    <w:p w14:paraId="0AE894A1" w14:textId="7346C725" w:rsidR="00CD1C0F" w:rsidRPr="00037ACB" w:rsidRDefault="008E75D4" w:rsidP="00776576">
      <w:pPr>
        <w:spacing w:line="480" w:lineRule="auto"/>
        <w:ind w:firstLine="720"/>
        <w:rPr>
          <w:b/>
          <w:bCs/>
          <w:i/>
        </w:rPr>
      </w:pPr>
      <w:bookmarkStart w:id="53" w:name="_Toc289175840"/>
      <w:bookmarkStart w:id="54" w:name="_Toc175638325"/>
      <w:r w:rsidRPr="00037ACB">
        <w:t xml:space="preserve">This study was conducted at the </w:t>
      </w:r>
      <w:r w:rsidR="00234E5A">
        <w:t xml:space="preserve">University of Tennessee, </w:t>
      </w:r>
      <w:r w:rsidRPr="00037ACB">
        <w:t xml:space="preserve">Plateau </w:t>
      </w:r>
      <w:proofErr w:type="spellStart"/>
      <w:r w:rsidR="00FD7AC3" w:rsidRPr="00037ACB">
        <w:t>Ag</w:t>
      </w:r>
      <w:r w:rsidRPr="00037ACB">
        <w:t>Research</w:t>
      </w:r>
      <w:proofErr w:type="spellEnd"/>
      <w:r w:rsidRPr="00037ACB">
        <w:t xml:space="preserve"> and Education Center (PREC) in Crossville, Tennessee (36°01′ N, 85°12′ W) from </w:t>
      </w:r>
      <w:r w:rsidR="00CB29B7" w:rsidRPr="00037ACB">
        <w:t>May</w:t>
      </w:r>
      <w:r w:rsidR="00E54B89" w:rsidRPr="00037ACB">
        <w:t xml:space="preserve"> 2023</w:t>
      </w:r>
      <w:r w:rsidRPr="00037ACB">
        <w:t xml:space="preserve"> to September 20</w:t>
      </w:r>
      <w:r w:rsidR="00E54B89" w:rsidRPr="00037ACB">
        <w:t>24</w:t>
      </w:r>
      <w:r w:rsidRPr="00037ACB">
        <w:t xml:space="preserve">. The soil conditions on the location were Lily loam (fine-loamy residuum weathered from sandstone, 2-6% slopes, well-drained, 21 to 39 inches to lithic bedrock) (NRCS, 2018). Initial soil nutrient levels </w:t>
      </w:r>
      <w:r w:rsidR="00FD7AC3" w:rsidRPr="00037ACB">
        <w:t xml:space="preserve">at </w:t>
      </w:r>
      <w:r w:rsidRPr="00037ACB">
        <w:t>the experiment site were pH = 5.88, P = 26 kg ha</w:t>
      </w:r>
      <w:r w:rsidRPr="00ED5FC8">
        <w:rPr>
          <w:vertAlign w:val="superscript"/>
        </w:rPr>
        <w:t>-1</w:t>
      </w:r>
      <w:r w:rsidRPr="00037ACB">
        <w:t>, K = 74 kg ha</w:t>
      </w:r>
      <w:r w:rsidRPr="00ED5FC8">
        <w:rPr>
          <w:vertAlign w:val="superscript"/>
        </w:rPr>
        <w:t>-1</w:t>
      </w:r>
      <w:r w:rsidRPr="00037ACB">
        <w:t>, Ca = 1180 kg ha</w:t>
      </w:r>
      <w:r w:rsidRPr="00ED5FC8">
        <w:rPr>
          <w:vertAlign w:val="superscript"/>
        </w:rPr>
        <w:t>-1</w:t>
      </w:r>
      <w:r w:rsidRPr="00037ACB">
        <w:t>, and Mg = 90 kg ha</w:t>
      </w:r>
      <w:r w:rsidRPr="00A865EE">
        <w:rPr>
          <w:vertAlign w:val="superscript"/>
        </w:rPr>
        <w:t>-1</w:t>
      </w:r>
      <w:r w:rsidRPr="00037ACB">
        <w:t>.</w:t>
      </w:r>
      <w:r w:rsidR="00651732" w:rsidRPr="00037ACB">
        <w:t xml:space="preserve"> </w:t>
      </w:r>
      <w:r w:rsidR="00BB573F" w:rsidRPr="00037ACB">
        <w:t xml:space="preserve">On </w:t>
      </w:r>
      <w:r w:rsidR="00575C17">
        <w:t>M</w:t>
      </w:r>
      <w:r w:rsidR="00575C17" w:rsidRPr="00037ACB">
        <w:t xml:space="preserve">ay </w:t>
      </w:r>
      <w:r w:rsidR="00BB573F" w:rsidRPr="00037ACB">
        <w:t>26</w:t>
      </w:r>
      <w:r w:rsidR="00BB573F" w:rsidRPr="00037ACB">
        <w:rPr>
          <w:vertAlign w:val="superscript"/>
        </w:rPr>
        <w:t>th</w:t>
      </w:r>
      <w:r w:rsidR="00FA06E8">
        <w:t xml:space="preserve">, </w:t>
      </w:r>
      <w:r w:rsidR="00A865EE">
        <w:t>2021</w:t>
      </w:r>
      <w:r w:rsidR="00FA06E8">
        <w:t>,</w:t>
      </w:r>
      <w:r w:rsidR="00A865EE">
        <w:t xml:space="preserve"> </w:t>
      </w:r>
      <w:r w:rsidR="00BB573F" w:rsidRPr="00037ACB">
        <w:t xml:space="preserve">the entire area was </w:t>
      </w:r>
      <w:r w:rsidR="00FA06E8" w:rsidRPr="00037ACB">
        <w:t>tilled,</w:t>
      </w:r>
      <w:r w:rsidR="00BB573F" w:rsidRPr="00037ACB">
        <w:t xml:space="preserve"> and N-P-K fertilizer was applied to the entire area at a rate of 67 kg ha</w:t>
      </w:r>
      <w:r w:rsidR="00BB573F" w:rsidRPr="00ED5FC8">
        <w:rPr>
          <w:vertAlign w:val="superscript"/>
        </w:rPr>
        <w:t>-1</w:t>
      </w:r>
      <w:r w:rsidR="00BB573F" w:rsidRPr="00037ACB">
        <w:t xml:space="preserve"> and re-tilled to incorporate the fertilizer into the soil.</w:t>
      </w:r>
      <w:r w:rsidR="00A865EE">
        <w:t xml:space="preserve"> On the same day,</w:t>
      </w:r>
      <w:r w:rsidR="00BB573F" w:rsidRPr="00037ACB">
        <w:t xml:space="preserve"> Bermudagrass cv</w:t>
      </w:r>
      <w:r w:rsidR="00575C17">
        <w:t>.</w:t>
      </w:r>
      <w:r w:rsidR="00BB573F" w:rsidRPr="00037ACB">
        <w:t xml:space="preserve"> Cheyenne II was sown using a </w:t>
      </w:r>
      <w:r w:rsidR="00FA06E8">
        <w:t>3-meter-wide</w:t>
      </w:r>
      <w:r w:rsidR="00BB573F" w:rsidRPr="00037ACB">
        <w:t xml:space="preserve"> Gandy </w:t>
      </w:r>
      <w:r w:rsidR="00B7755E" w:rsidRPr="00037ACB">
        <w:t>fertilizer (Gandy company, Owatonna, MN</w:t>
      </w:r>
      <w:r w:rsidR="00BB573F" w:rsidRPr="00037ACB">
        <w:t>) at a rate of 16.8 kg ha</w:t>
      </w:r>
      <w:r w:rsidR="00BB573F" w:rsidRPr="00E96EE0">
        <w:rPr>
          <w:vertAlign w:val="superscript"/>
        </w:rPr>
        <w:t>-</w:t>
      </w:r>
      <w:r w:rsidR="00B7755E" w:rsidRPr="00E96EE0">
        <w:rPr>
          <w:vertAlign w:val="superscript"/>
        </w:rPr>
        <w:t>1</w:t>
      </w:r>
      <w:r w:rsidR="00661B9E">
        <w:t>.</w:t>
      </w:r>
      <w:r w:rsidR="00B7755E" w:rsidRPr="00037ACB">
        <w:t xml:space="preserve"> </w:t>
      </w:r>
      <w:r w:rsidR="00661B9E">
        <w:t>S</w:t>
      </w:r>
      <w:r w:rsidR="00B7755E" w:rsidRPr="00037ACB">
        <w:t>ubsequently to sowing</w:t>
      </w:r>
      <w:r w:rsidR="00661B9E">
        <w:t>,</w:t>
      </w:r>
      <w:r w:rsidR="00B7755E" w:rsidRPr="00037ACB">
        <w:t xml:space="preserve"> a </w:t>
      </w:r>
      <w:r w:rsidR="00F677C8">
        <w:t>3-meter-wide</w:t>
      </w:r>
      <w:r w:rsidR="00B7755E" w:rsidRPr="00037ACB">
        <w:t xml:space="preserve"> cultipacker was used to ensure </w:t>
      </w:r>
      <w:r w:rsidR="004D6CB9">
        <w:t xml:space="preserve">a </w:t>
      </w:r>
      <w:r w:rsidR="00F677C8">
        <w:t>3-millimeter</w:t>
      </w:r>
      <w:r w:rsidR="00B7755E" w:rsidRPr="00037ACB">
        <w:t xml:space="preserve"> depth. On April 25</w:t>
      </w:r>
      <w:r w:rsidR="00B7755E" w:rsidRPr="00037ACB">
        <w:rPr>
          <w:vertAlign w:val="superscript"/>
        </w:rPr>
        <w:t>th</w:t>
      </w:r>
      <w:r w:rsidR="00B7755E" w:rsidRPr="00037ACB">
        <w:t xml:space="preserve"> of 2023, Shredder 2,4-D Amine</w:t>
      </w:r>
      <w:r w:rsidR="000C1995" w:rsidRPr="00037ACB">
        <w:t xml:space="preserve"> (</w:t>
      </w:r>
      <w:proofErr w:type="spellStart"/>
      <w:r w:rsidR="000C1995" w:rsidRPr="00037ACB">
        <w:t>WinField</w:t>
      </w:r>
      <w:proofErr w:type="spellEnd"/>
      <w:r w:rsidR="000C1995" w:rsidRPr="00037ACB">
        <w:t xml:space="preserve"> United, Arden Hills, MN)</w:t>
      </w:r>
      <w:r w:rsidR="00B7755E" w:rsidRPr="00037ACB">
        <w:t xml:space="preserve"> and </w:t>
      </w:r>
      <w:r w:rsidR="000C1995" w:rsidRPr="00037ACB">
        <w:t>P</w:t>
      </w:r>
      <w:r w:rsidR="00B7755E" w:rsidRPr="00037ACB">
        <w:t>rowl H2O</w:t>
      </w:r>
      <w:r w:rsidR="000C1995" w:rsidRPr="00037ACB">
        <w:t xml:space="preserve"> (BASF, </w:t>
      </w:r>
      <w:r w:rsidR="000C1995" w:rsidRPr="00037ACB">
        <w:lastRenderedPageBreak/>
        <w:t>Durham, NC)</w:t>
      </w:r>
      <w:r w:rsidR="00B7755E" w:rsidRPr="00037ACB">
        <w:t xml:space="preserve"> were applied </w:t>
      </w:r>
      <w:r w:rsidR="000C1995" w:rsidRPr="00037ACB">
        <w:t xml:space="preserve">following label </w:t>
      </w:r>
      <w:r w:rsidR="00786A95" w:rsidRPr="00037ACB">
        <w:t>recommendation</w:t>
      </w:r>
      <w:r w:rsidR="00786A95">
        <w:t>s</w:t>
      </w:r>
      <w:r w:rsidR="00BB573F" w:rsidRPr="00037ACB">
        <w:t xml:space="preserve">. </w:t>
      </w:r>
      <w:r w:rsidR="000C1995" w:rsidRPr="00037ACB">
        <w:t xml:space="preserve">On </w:t>
      </w:r>
      <w:r w:rsidR="006E0434" w:rsidRPr="00037ACB">
        <w:t>May</w:t>
      </w:r>
      <w:r w:rsidR="000C1995" w:rsidRPr="00037ACB">
        <w:t xml:space="preserve"> 1</w:t>
      </w:r>
      <w:r w:rsidR="000C1995" w:rsidRPr="00037ACB">
        <w:rPr>
          <w:vertAlign w:val="superscript"/>
        </w:rPr>
        <w:t>st</w:t>
      </w:r>
      <w:r w:rsidR="00A865EE">
        <w:t xml:space="preserve"> of 2023</w:t>
      </w:r>
      <w:r w:rsidR="00786A95" w:rsidRPr="00786A95">
        <w:t>,</w:t>
      </w:r>
      <w:r w:rsidR="000C1995" w:rsidRPr="00037ACB">
        <w:t xml:space="preserve"> the entire </w:t>
      </w:r>
      <w:r w:rsidR="009D68D0">
        <w:t xml:space="preserve">experimental area </w:t>
      </w:r>
      <w:r w:rsidR="000C1995" w:rsidRPr="00037ACB">
        <w:t xml:space="preserve">was mowed with a </w:t>
      </w:r>
      <w:r w:rsidR="006E0434" w:rsidRPr="00037ACB">
        <w:t>1.52</w:t>
      </w:r>
      <w:r w:rsidR="00575C17">
        <w:t>-</w:t>
      </w:r>
      <w:r w:rsidR="006E0434" w:rsidRPr="00037ACB">
        <w:t xml:space="preserve">m wide </w:t>
      </w:r>
      <w:r w:rsidR="007F32AF" w:rsidRPr="00037ACB">
        <w:t>zero</w:t>
      </w:r>
      <w:r w:rsidR="007F32AF">
        <w:t>-</w:t>
      </w:r>
      <w:r w:rsidR="006E0434" w:rsidRPr="00037ACB">
        <w:t>turn mower (</w:t>
      </w:r>
      <w:r w:rsidR="000C1995" w:rsidRPr="00037ACB">
        <w:t>TORO</w:t>
      </w:r>
      <w:r w:rsidR="006E0434" w:rsidRPr="00037ACB">
        <w:t xml:space="preserve">, </w:t>
      </w:r>
      <w:proofErr w:type="spellStart"/>
      <w:r w:rsidR="006E0434" w:rsidRPr="00037ACB">
        <w:t>Blomming</w:t>
      </w:r>
      <w:proofErr w:type="spellEnd"/>
      <w:r w:rsidR="006E0434" w:rsidRPr="00037ACB">
        <w:t>, MN)</w:t>
      </w:r>
      <w:r w:rsidR="007F32AF">
        <w:t>. O</w:t>
      </w:r>
      <w:r w:rsidR="006E0434" w:rsidRPr="00037ACB">
        <w:t>n May 9</w:t>
      </w:r>
      <w:r w:rsidR="006E0434" w:rsidRPr="00037ACB">
        <w:rPr>
          <w:vertAlign w:val="superscript"/>
        </w:rPr>
        <w:t>th</w:t>
      </w:r>
      <w:r w:rsidR="006E0434" w:rsidRPr="00037ACB">
        <w:t xml:space="preserve"> </w:t>
      </w:r>
      <w:r w:rsidR="00A865EE">
        <w:t>of 2023</w:t>
      </w:r>
      <w:r w:rsidR="007F32AF">
        <w:t>,</w:t>
      </w:r>
      <w:r w:rsidR="00A865EE">
        <w:t xml:space="preserve"> </w:t>
      </w:r>
      <w:r w:rsidR="006E0434" w:rsidRPr="00037ACB">
        <w:t xml:space="preserve">P and K </w:t>
      </w:r>
      <w:r w:rsidR="007F32AF">
        <w:t>f</w:t>
      </w:r>
      <w:r w:rsidR="007F32AF" w:rsidRPr="00037ACB">
        <w:t xml:space="preserve">ertilization </w:t>
      </w:r>
      <w:r w:rsidR="006E0434" w:rsidRPr="00037ACB">
        <w:t xml:space="preserve">occurred using a </w:t>
      </w:r>
      <w:r w:rsidR="00F677C8" w:rsidRPr="00037ACB">
        <w:t>3-meter-wide</w:t>
      </w:r>
      <w:r w:rsidR="006E0434" w:rsidRPr="00037ACB">
        <w:t xml:space="preserve"> fertilizer (Gandy company, Owatonna, MN) at a rate of 67 kg ha</w:t>
      </w:r>
      <w:r w:rsidR="006E0434" w:rsidRPr="00616475">
        <w:rPr>
          <w:vertAlign w:val="superscript"/>
        </w:rPr>
        <w:t>-1</w:t>
      </w:r>
      <w:r w:rsidR="006E0434" w:rsidRPr="00037ACB">
        <w:t xml:space="preserve"> and 100 kg ha</w:t>
      </w:r>
      <w:r w:rsidR="006E0434" w:rsidRPr="00616475">
        <w:rPr>
          <w:vertAlign w:val="superscript"/>
        </w:rPr>
        <w:t>-1</w:t>
      </w:r>
      <w:r w:rsidR="007D0866">
        <w:t>, respectively</w:t>
      </w:r>
      <w:r w:rsidR="006E0434" w:rsidRPr="00037ACB">
        <w:t>.</w:t>
      </w:r>
      <w:r w:rsidR="00B115D7" w:rsidRPr="00037ACB">
        <w:t xml:space="preserve"> </w:t>
      </w:r>
    </w:p>
    <w:p w14:paraId="08BBA7D6" w14:textId="2935714F" w:rsidR="00CD1C0F" w:rsidRPr="00037ACB" w:rsidRDefault="00CD1C0F" w:rsidP="00776576">
      <w:pPr>
        <w:spacing w:line="480" w:lineRule="auto"/>
        <w:ind w:firstLine="720"/>
        <w:rPr>
          <w:b/>
          <w:bCs/>
          <w:i/>
        </w:rPr>
      </w:pPr>
      <w:r w:rsidRPr="00037ACB">
        <w:t xml:space="preserve">The experimental design </w:t>
      </w:r>
      <w:r w:rsidR="00234E5A">
        <w:t>followed</w:t>
      </w:r>
      <w:r w:rsidR="00234E5A" w:rsidRPr="00037ACB">
        <w:t xml:space="preserve"> </w:t>
      </w:r>
      <w:r w:rsidRPr="00037ACB">
        <w:t xml:space="preserve">a randomized complete block design </w:t>
      </w:r>
      <w:r w:rsidR="00234E5A">
        <w:t xml:space="preserve">with a </w:t>
      </w:r>
      <w:r w:rsidR="002109C0">
        <w:t>split</w:t>
      </w:r>
      <w:r w:rsidR="00234E5A">
        <w:t>-</w:t>
      </w:r>
      <w:r w:rsidR="002109C0">
        <w:t xml:space="preserve">plot </w:t>
      </w:r>
      <w:r w:rsidR="00234E5A" w:rsidRPr="00037ACB">
        <w:t>arrangement</w:t>
      </w:r>
      <w:r w:rsidR="00234E5A">
        <w:t>, consisting of</w:t>
      </w:r>
      <w:r w:rsidR="006E0434" w:rsidRPr="00037ACB">
        <w:t xml:space="preserve"> 4 main </w:t>
      </w:r>
      <w:r w:rsidR="00390052">
        <w:t>plots</w:t>
      </w:r>
      <w:r w:rsidR="006E0434" w:rsidRPr="00037ACB">
        <w:t xml:space="preserve">, 5 </w:t>
      </w:r>
      <w:r w:rsidR="00390052">
        <w:t xml:space="preserve">N </w:t>
      </w:r>
      <w:r w:rsidR="00234E5A">
        <w:t xml:space="preserve">management </w:t>
      </w:r>
      <w:r w:rsidR="00390052">
        <w:t>strategies</w:t>
      </w:r>
      <w:r w:rsidR="00234E5A">
        <w:t xml:space="preserve"> as subplots</w:t>
      </w:r>
      <w:r w:rsidR="006E0434" w:rsidRPr="00037ACB">
        <w:t xml:space="preserve">, </w:t>
      </w:r>
      <w:r w:rsidR="00234E5A">
        <w:t xml:space="preserve">replicated three times, for a total of </w:t>
      </w:r>
      <w:r w:rsidRPr="00037ACB">
        <w:t>60 experimental units</w:t>
      </w:r>
      <w:r w:rsidR="00461379" w:rsidRPr="00037ACB">
        <w:t>.</w:t>
      </w:r>
      <w:r w:rsidRPr="00037ACB">
        <w:t xml:space="preserve"> </w:t>
      </w:r>
      <w:r w:rsidR="00A7336C" w:rsidRPr="009D68D0">
        <w:t>The m</w:t>
      </w:r>
      <w:r w:rsidR="00461379" w:rsidRPr="009D68D0">
        <w:t>ain plots</w:t>
      </w:r>
      <w:r w:rsidR="009D68D0">
        <w:t xml:space="preserve"> (inoculation)</w:t>
      </w:r>
      <w:r w:rsidR="00461379" w:rsidRPr="009D68D0">
        <w:t xml:space="preserve"> </w:t>
      </w:r>
      <w:r w:rsidR="00234E5A">
        <w:t>consisted of</w:t>
      </w:r>
      <w:r w:rsidR="00234E5A" w:rsidRPr="009D68D0">
        <w:t xml:space="preserve"> </w:t>
      </w:r>
      <w:r w:rsidR="00461379" w:rsidRPr="009D68D0">
        <w:t>PGPB</w:t>
      </w:r>
      <w:r w:rsidR="00A7336C" w:rsidRPr="009D68D0">
        <w:t xml:space="preserve"> sources</w:t>
      </w:r>
      <w:r w:rsidR="00FA06E8">
        <w:t>,</w:t>
      </w:r>
      <w:r w:rsidR="00461379" w:rsidRPr="00037ACB">
        <w:rPr>
          <w:iCs/>
        </w:rPr>
        <w:t xml:space="preserve"> </w:t>
      </w:r>
      <w:r w:rsidR="006E0434" w:rsidRPr="00037ACB">
        <w:rPr>
          <w:iCs/>
        </w:rPr>
        <w:t>including</w:t>
      </w:r>
      <w:r w:rsidR="00461379" w:rsidRPr="00037ACB">
        <w:rPr>
          <w:iCs/>
        </w:rPr>
        <w:t xml:space="preserve"> </w:t>
      </w:r>
      <w:r w:rsidR="00461379" w:rsidRPr="00BD1EAD">
        <w:rPr>
          <w:i/>
        </w:rPr>
        <w:t>Bacillus subtilis</w:t>
      </w:r>
      <w:r w:rsidR="00461379" w:rsidRPr="00037ACB">
        <w:rPr>
          <w:iCs/>
        </w:rPr>
        <w:t xml:space="preserve"> DH267</w:t>
      </w:r>
      <w:r w:rsidR="008A4EE7">
        <w:rPr>
          <w:iCs/>
        </w:rPr>
        <w:t xml:space="preserve"> (DH-267)</w:t>
      </w:r>
      <w:r w:rsidR="00461379" w:rsidRPr="00037ACB">
        <w:rPr>
          <w:iCs/>
        </w:rPr>
        <w:t xml:space="preserve">, </w:t>
      </w:r>
      <w:proofErr w:type="spellStart"/>
      <w:r w:rsidR="00461379" w:rsidRPr="00BD1EAD">
        <w:rPr>
          <w:i/>
        </w:rPr>
        <w:t>Paenibacillus</w:t>
      </w:r>
      <w:proofErr w:type="spellEnd"/>
      <w:r w:rsidR="00461379" w:rsidRPr="00BD1EAD">
        <w:rPr>
          <w:i/>
        </w:rPr>
        <w:t xml:space="preserve"> </w:t>
      </w:r>
      <w:proofErr w:type="spellStart"/>
      <w:r w:rsidR="00461379" w:rsidRPr="00BD1EAD">
        <w:rPr>
          <w:i/>
        </w:rPr>
        <w:t>riograndensis</w:t>
      </w:r>
      <w:proofErr w:type="spellEnd"/>
      <w:r w:rsidR="00786A95">
        <w:rPr>
          <w:iCs/>
        </w:rPr>
        <w:t xml:space="preserve"> </w:t>
      </w:r>
      <w:r w:rsidR="00461379" w:rsidRPr="00037ACB">
        <w:rPr>
          <w:iCs/>
        </w:rPr>
        <w:t>DH</w:t>
      </w:r>
      <w:r w:rsidR="008A4EE7" w:rsidRPr="00037ACB">
        <w:rPr>
          <w:iCs/>
        </w:rPr>
        <w:t>44</w:t>
      </w:r>
      <w:r w:rsidR="008A4EE7">
        <w:rPr>
          <w:iCs/>
        </w:rPr>
        <w:t xml:space="preserve"> (DH-44)</w:t>
      </w:r>
      <w:r w:rsidR="008A4EE7" w:rsidRPr="00037ACB">
        <w:rPr>
          <w:iCs/>
        </w:rPr>
        <w:t xml:space="preserve">, </w:t>
      </w:r>
      <w:r w:rsidR="004D6CB9">
        <w:rPr>
          <w:iCs/>
        </w:rPr>
        <w:t xml:space="preserve">and </w:t>
      </w:r>
      <w:proofErr w:type="spellStart"/>
      <w:r w:rsidR="008A4EE7">
        <w:rPr>
          <w:iCs/>
        </w:rPr>
        <w:t>UrtrishaN</w:t>
      </w:r>
      <w:proofErr w:type="spellEnd"/>
      <w:r w:rsidR="00BD1EAD">
        <w:rPr>
          <w:iCs/>
        </w:rPr>
        <w:t xml:space="preserve"> -</w:t>
      </w:r>
      <w:proofErr w:type="spellStart"/>
      <w:r w:rsidR="00BD1EAD" w:rsidRPr="00BD1EAD">
        <w:rPr>
          <w:i/>
        </w:rPr>
        <w:t>Methylobacterium</w:t>
      </w:r>
      <w:proofErr w:type="spellEnd"/>
      <w:r w:rsidR="00BD1EAD" w:rsidRPr="00BD1EAD">
        <w:rPr>
          <w:i/>
        </w:rPr>
        <w:t xml:space="preserve"> </w:t>
      </w:r>
      <w:proofErr w:type="spellStart"/>
      <w:r w:rsidR="00BD1EAD" w:rsidRPr="00BD1EAD">
        <w:rPr>
          <w:i/>
        </w:rPr>
        <w:t>symbioticum</w:t>
      </w:r>
      <w:proofErr w:type="spellEnd"/>
      <w:r w:rsidR="00461379" w:rsidRPr="00037ACB">
        <w:rPr>
          <w:iCs/>
        </w:rPr>
        <w:t xml:space="preserve"> </w:t>
      </w:r>
      <w:r w:rsidR="008A4EE7">
        <w:rPr>
          <w:iCs/>
        </w:rPr>
        <w:t xml:space="preserve">(C-PGPB) </w:t>
      </w:r>
      <w:r w:rsidR="00461379" w:rsidRPr="00037ACB">
        <w:rPr>
          <w:iCs/>
        </w:rPr>
        <w:t>(Corteva Agriscience, Indianapolis, IN), as well as a control with no PGPB</w:t>
      </w:r>
      <w:r w:rsidR="008A4EE7">
        <w:rPr>
          <w:iCs/>
        </w:rPr>
        <w:t xml:space="preserve"> (No-PGPB)</w:t>
      </w:r>
      <w:r w:rsidR="00461379" w:rsidRPr="00037ACB">
        <w:rPr>
          <w:iCs/>
        </w:rPr>
        <w:t>.</w:t>
      </w:r>
      <w:r w:rsidR="00483540">
        <w:rPr>
          <w:iCs/>
        </w:rPr>
        <w:t xml:space="preserve"> </w:t>
      </w:r>
      <w:r w:rsidR="00234E5A">
        <w:rPr>
          <w:iCs/>
        </w:rPr>
        <w:t>Nitrogen (</w:t>
      </w:r>
      <w:r w:rsidR="00483540">
        <w:rPr>
          <w:iCs/>
        </w:rPr>
        <w:t>N</w:t>
      </w:r>
      <w:r w:rsidR="00234E5A">
        <w:rPr>
          <w:iCs/>
        </w:rPr>
        <w:t>)</w:t>
      </w:r>
      <w:r w:rsidR="00483540">
        <w:rPr>
          <w:iCs/>
        </w:rPr>
        <w:t xml:space="preserve"> </w:t>
      </w:r>
      <w:r w:rsidR="00234E5A">
        <w:rPr>
          <w:iCs/>
        </w:rPr>
        <w:t xml:space="preserve">were applied in the </w:t>
      </w:r>
      <w:r w:rsidR="009D68D0">
        <w:rPr>
          <w:iCs/>
        </w:rPr>
        <w:t>subplots</w:t>
      </w:r>
      <w:r w:rsidR="00234E5A">
        <w:rPr>
          <w:iCs/>
        </w:rPr>
        <w:t>,</w:t>
      </w:r>
      <w:r w:rsidR="00483540">
        <w:rPr>
          <w:iCs/>
        </w:rPr>
        <w:t xml:space="preserve"> including</w:t>
      </w:r>
      <w:r w:rsidR="00461379" w:rsidRPr="00037ACB">
        <w:t xml:space="preserve"> </w:t>
      </w:r>
      <w:r w:rsidR="00234E5A">
        <w:t>u</w:t>
      </w:r>
      <w:r w:rsidR="00234E5A" w:rsidRPr="00037ACB">
        <w:t xml:space="preserve">rea </w:t>
      </w:r>
      <w:r w:rsidRPr="00037ACB">
        <w:t xml:space="preserve">at 67 kg </w:t>
      </w:r>
      <w:r w:rsidR="004D6CB9">
        <w:t xml:space="preserve">N </w:t>
      </w:r>
      <w:r w:rsidRPr="00037ACB">
        <w:t>ha</w:t>
      </w:r>
      <w:r w:rsidRPr="00616475">
        <w:rPr>
          <w:vertAlign w:val="superscript"/>
        </w:rPr>
        <w:t>-1</w:t>
      </w:r>
      <w:r w:rsidR="008A4EE7">
        <w:t xml:space="preserve"> (U-</w:t>
      </w:r>
      <w:r w:rsidR="00F677C8">
        <w:t>67)</w:t>
      </w:r>
      <w:r w:rsidR="00F677C8" w:rsidRPr="008A4EE7">
        <w:t xml:space="preserve"> or</w:t>
      </w:r>
      <w:r w:rsidRPr="00037ACB">
        <w:t xml:space="preserve"> 33 kg</w:t>
      </w:r>
      <w:r w:rsidR="004D6CB9">
        <w:t xml:space="preserve"> N</w:t>
      </w:r>
      <w:r w:rsidRPr="00037ACB">
        <w:t xml:space="preserve"> ha</w:t>
      </w:r>
      <w:r w:rsidRPr="008A4EE7">
        <w:rPr>
          <w:vertAlign w:val="superscript"/>
        </w:rPr>
        <w:t>-1</w:t>
      </w:r>
      <w:r w:rsidR="008A4EE7">
        <w:t xml:space="preserve"> (U-33)</w:t>
      </w:r>
      <w:r w:rsidRPr="00037ACB">
        <w:t xml:space="preserve">; and ammonium sulfate at </w:t>
      </w:r>
      <w:r w:rsidR="008A4EE7" w:rsidRPr="00037ACB">
        <w:t>67 kg</w:t>
      </w:r>
      <w:r w:rsidR="004D6CB9">
        <w:t xml:space="preserve"> N</w:t>
      </w:r>
      <w:r w:rsidR="008A4EE7" w:rsidRPr="00037ACB">
        <w:t xml:space="preserve"> ha</w:t>
      </w:r>
      <w:r w:rsidR="008A4EE7" w:rsidRPr="008A4EE7">
        <w:rPr>
          <w:vertAlign w:val="superscript"/>
        </w:rPr>
        <w:t>-1</w:t>
      </w:r>
      <w:r w:rsidR="008A4EE7">
        <w:t xml:space="preserve"> (A-67) </w:t>
      </w:r>
      <w:r w:rsidR="008A4EE7" w:rsidRPr="008A4EE7">
        <w:t>or</w:t>
      </w:r>
      <w:r w:rsidR="008A4EE7" w:rsidRPr="00037ACB">
        <w:t xml:space="preserve"> 33 kg</w:t>
      </w:r>
      <w:r w:rsidR="004D6CB9">
        <w:t xml:space="preserve"> N</w:t>
      </w:r>
      <w:r w:rsidR="008A4EE7" w:rsidRPr="00037ACB">
        <w:t xml:space="preserve"> ha</w:t>
      </w:r>
      <w:r w:rsidR="008A4EE7" w:rsidRPr="008A4EE7">
        <w:rPr>
          <w:vertAlign w:val="superscript"/>
        </w:rPr>
        <w:t>-1</w:t>
      </w:r>
      <w:r w:rsidR="008A4EE7">
        <w:t xml:space="preserve"> (A-33)</w:t>
      </w:r>
      <w:r w:rsidRPr="00037ACB">
        <w:t xml:space="preserve">, </w:t>
      </w:r>
      <w:r w:rsidR="00234E5A">
        <w:t xml:space="preserve">along with </w:t>
      </w:r>
      <w:r w:rsidRPr="00037ACB">
        <w:t xml:space="preserve">a control </w:t>
      </w:r>
      <w:r w:rsidR="00234E5A">
        <w:t xml:space="preserve">receiving no nitrogen </w:t>
      </w:r>
      <w:r w:rsidR="008A4EE7">
        <w:t>(NN)</w:t>
      </w:r>
      <w:r w:rsidRPr="00037ACB">
        <w:t xml:space="preserve">. </w:t>
      </w:r>
      <w:r w:rsidR="0083396E" w:rsidRPr="00037ACB">
        <w:t xml:space="preserve">Each </w:t>
      </w:r>
      <w:r w:rsidR="007D0866">
        <w:t>sub</w:t>
      </w:r>
      <w:r w:rsidR="00FA06E8">
        <w:t>plot</w:t>
      </w:r>
      <w:r w:rsidR="0083396E" w:rsidRPr="00037ACB">
        <w:t xml:space="preserve"> measured 1.5 x 4.6 m.</w:t>
      </w:r>
    </w:p>
    <w:p w14:paraId="1EB14170" w14:textId="49EC785F" w:rsidR="00E54B89" w:rsidRPr="00037ACB" w:rsidRDefault="00B115D7" w:rsidP="00776576">
      <w:pPr>
        <w:spacing w:line="480" w:lineRule="auto"/>
        <w:ind w:firstLine="720"/>
        <w:rPr>
          <w:rFonts w:ascii="Arial" w:hAnsi="Arial"/>
        </w:rPr>
      </w:pPr>
      <w:r w:rsidRPr="00037ACB">
        <w:t xml:space="preserve">The </w:t>
      </w:r>
      <w:r w:rsidR="00E54B89" w:rsidRPr="00037ACB">
        <w:t xml:space="preserve">PGPB sources were applied </w:t>
      </w:r>
      <w:r w:rsidR="00B62AFE" w:rsidRPr="00037ACB">
        <w:t xml:space="preserve">on </w:t>
      </w:r>
      <w:r w:rsidR="00F677C8" w:rsidRPr="00037ACB">
        <w:t>May</w:t>
      </w:r>
      <w:r w:rsidR="00B62AFE" w:rsidRPr="00037ACB">
        <w:t xml:space="preserve"> 28</w:t>
      </w:r>
      <w:r w:rsidR="00B62AFE" w:rsidRPr="00037ACB">
        <w:rPr>
          <w:vertAlign w:val="superscript"/>
        </w:rPr>
        <w:t>th</w:t>
      </w:r>
      <w:r w:rsidR="00B62AFE" w:rsidRPr="00037ACB">
        <w:t>, June 23</w:t>
      </w:r>
      <w:r w:rsidR="00B62AFE" w:rsidRPr="00037ACB">
        <w:rPr>
          <w:vertAlign w:val="superscript"/>
        </w:rPr>
        <w:t>rd</w:t>
      </w:r>
      <w:r w:rsidR="00B62AFE" w:rsidRPr="00037ACB">
        <w:t>, and July 26</w:t>
      </w:r>
      <w:r w:rsidR="00B62AFE" w:rsidRPr="00037ACB">
        <w:rPr>
          <w:vertAlign w:val="superscript"/>
        </w:rPr>
        <w:t>th</w:t>
      </w:r>
      <w:r w:rsidR="00B62AFE" w:rsidRPr="00037ACB">
        <w:t xml:space="preserve"> in 2023 and </w:t>
      </w:r>
      <w:r w:rsidR="00A7336C">
        <w:t>M</w:t>
      </w:r>
      <w:r w:rsidR="00A7336C" w:rsidRPr="00037ACB">
        <w:t xml:space="preserve">ay </w:t>
      </w:r>
      <w:r w:rsidR="00B62AFE" w:rsidRPr="00037ACB">
        <w:t>28</w:t>
      </w:r>
      <w:r w:rsidR="00B62AFE" w:rsidRPr="00037ACB">
        <w:rPr>
          <w:vertAlign w:val="superscript"/>
        </w:rPr>
        <w:t>th</w:t>
      </w:r>
      <w:r w:rsidR="00B62AFE" w:rsidRPr="00037ACB">
        <w:t>, and June 24</w:t>
      </w:r>
      <w:r w:rsidR="00B62AFE" w:rsidRPr="00037ACB">
        <w:rPr>
          <w:vertAlign w:val="superscript"/>
        </w:rPr>
        <w:t>th</w:t>
      </w:r>
      <w:r w:rsidR="00B62AFE" w:rsidRPr="00037ACB">
        <w:t xml:space="preserve"> in 2024,</w:t>
      </w:r>
      <w:r w:rsidR="00E54B89" w:rsidRPr="00037ACB">
        <w:t xml:space="preserve"> </w:t>
      </w:r>
      <w:r w:rsidR="008A4EE7">
        <w:t xml:space="preserve">at the </w:t>
      </w:r>
      <w:r w:rsidR="00461379" w:rsidRPr="00037ACB">
        <w:t xml:space="preserve">beginning </w:t>
      </w:r>
      <w:r w:rsidR="00E54B89" w:rsidRPr="00037ACB">
        <w:t xml:space="preserve">of the experiment and on </w:t>
      </w:r>
      <w:r w:rsidR="00461379" w:rsidRPr="00037ACB">
        <w:t xml:space="preserve">each </w:t>
      </w:r>
      <w:r w:rsidR="00E54B89" w:rsidRPr="00037ACB">
        <w:t xml:space="preserve">subsequent harvest via a manual backpack sprayer Husqvarna (Husqvarna AB, Charlotte, NC) at a rate of </w:t>
      </w:r>
      <w:r w:rsidR="004D6CB9">
        <w:t>0.72 L m</w:t>
      </w:r>
      <w:r w:rsidR="004D6CB9" w:rsidRPr="004D6CB9">
        <w:rPr>
          <w:vertAlign w:val="superscript"/>
        </w:rPr>
        <w:t>2-1</w:t>
      </w:r>
      <w:r w:rsidR="004D6CB9">
        <w:rPr>
          <w:vertAlign w:val="superscript"/>
        </w:rPr>
        <w:t xml:space="preserve"> </w:t>
      </w:r>
      <w:r w:rsidR="004D6CB9">
        <w:t xml:space="preserve">containing </w:t>
      </w:r>
      <w:r w:rsidR="00E54B89" w:rsidRPr="00037ACB">
        <w:t>1.5x10</w:t>
      </w:r>
      <w:r w:rsidR="00E54B89" w:rsidRPr="00037ACB">
        <w:rPr>
          <w:vertAlign w:val="superscript"/>
        </w:rPr>
        <w:t>8</w:t>
      </w:r>
      <w:r w:rsidR="00E54B89" w:rsidRPr="00037ACB">
        <w:t xml:space="preserve"> </w:t>
      </w:r>
      <w:proofErr w:type="spellStart"/>
      <w:r w:rsidR="00E54B89" w:rsidRPr="00037ACB">
        <w:t>cfu</w:t>
      </w:r>
      <w:proofErr w:type="spellEnd"/>
      <w:r w:rsidR="00E54B89" w:rsidRPr="00037ACB">
        <w:t xml:space="preserve"> ml</w:t>
      </w:r>
      <w:r w:rsidR="00E54B89" w:rsidRPr="008A4EE7">
        <w:rPr>
          <w:vertAlign w:val="superscript"/>
        </w:rPr>
        <w:t>-1</w:t>
      </w:r>
      <w:r w:rsidR="00E54B89" w:rsidRPr="00037ACB">
        <w:t xml:space="preserve"> for DH267 and DH 44 and 3x10</w:t>
      </w:r>
      <w:r w:rsidR="00E54B89" w:rsidRPr="00037ACB">
        <w:rPr>
          <w:vertAlign w:val="superscript"/>
        </w:rPr>
        <w:t>7</w:t>
      </w:r>
      <w:r w:rsidR="00E54B89" w:rsidRPr="00037ACB">
        <w:t xml:space="preserve"> </w:t>
      </w:r>
      <w:proofErr w:type="spellStart"/>
      <w:r w:rsidR="00E54B89" w:rsidRPr="00037ACB">
        <w:t>cfu</w:t>
      </w:r>
      <w:proofErr w:type="spellEnd"/>
      <w:r w:rsidR="00E54B89" w:rsidRPr="00037ACB">
        <w:t xml:space="preserve"> ml</w:t>
      </w:r>
      <w:r w:rsidR="00E54B89" w:rsidRPr="008A4EE7">
        <w:rPr>
          <w:vertAlign w:val="superscript"/>
        </w:rPr>
        <w:t xml:space="preserve">-1 </w:t>
      </w:r>
      <w:r w:rsidR="00E54B89" w:rsidRPr="00037ACB">
        <w:t xml:space="preserve">for </w:t>
      </w:r>
      <w:proofErr w:type="spellStart"/>
      <w:r w:rsidR="00E54B89" w:rsidRPr="00037ACB">
        <w:t>Urtrisha</w:t>
      </w:r>
      <w:proofErr w:type="spellEnd"/>
      <w:r w:rsidR="00E54B89" w:rsidRPr="00037ACB">
        <w:t>.</w:t>
      </w:r>
      <w:r w:rsidR="00B62AFE" w:rsidRPr="00037ACB">
        <w:t xml:space="preserve"> On </w:t>
      </w:r>
      <w:r w:rsidR="00FA06E8">
        <w:t>May</w:t>
      </w:r>
      <w:r w:rsidR="00B62AFE" w:rsidRPr="00037ACB">
        <w:t xml:space="preserve"> 28</w:t>
      </w:r>
      <w:r w:rsidR="00B62AFE" w:rsidRPr="00037ACB">
        <w:rPr>
          <w:vertAlign w:val="superscript"/>
        </w:rPr>
        <w:t>th</w:t>
      </w:r>
      <w:r w:rsidR="00B62AFE" w:rsidRPr="00037ACB">
        <w:t>, June 23</w:t>
      </w:r>
      <w:r w:rsidR="00B62AFE" w:rsidRPr="00037ACB">
        <w:rPr>
          <w:vertAlign w:val="superscript"/>
        </w:rPr>
        <w:t>rd</w:t>
      </w:r>
      <w:r w:rsidR="00B62AFE" w:rsidRPr="00037ACB">
        <w:t>, and July 26</w:t>
      </w:r>
      <w:r w:rsidR="00B62AFE" w:rsidRPr="00037ACB">
        <w:rPr>
          <w:vertAlign w:val="superscript"/>
        </w:rPr>
        <w:t>th</w:t>
      </w:r>
      <w:r w:rsidR="00B62AFE" w:rsidRPr="00037ACB">
        <w:t xml:space="preserve"> in 2023</w:t>
      </w:r>
      <w:r w:rsidR="00FA06E8">
        <w:t>,</w:t>
      </w:r>
      <w:r w:rsidR="00B62AFE" w:rsidRPr="00037ACB">
        <w:t xml:space="preserve"> and </w:t>
      </w:r>
      <w:r w:rsidR="00FA06E8">
        <w:t>May</w:t>
      </w:r>
      <w:r w:rsidR="00B62AFE" w:rsidRPr="00037ACB">
        <w:t xml:space="preserve"> 28</w:t>
      </w:r>
      <w:r w:rsidR="00B62AFE" w:rsidRPr="00037ACB">
        <w:rPr>
          <w:vertAlign w:val="superscript"/>
        </w:rPr>
        <w:t>th</w:t>
      </w:r>
      <w:r w:rsidR="00B62AFE" w:rsidRPr="00037ACB">
        <w:t xml:space="preserve"> and June 24</w:t>
      </w:r>
      <w:r w:rsidR="00B62AFE" w:rsidRPr="00037ACB">
        <w:rPr>
          <w:vertAlign w:val="superscript"/>
        </w:rPr>
        <w:t>th</w:t>
      </w:r>
      <w:r w:rsidR="00B62AFE" w:rsidRPr="00037ACB">
        <w:t xml:space="preserve"> in 2024</w:t>
      </w:r>
      <w:r w:rsidR="00483540">
        <w:t>,</w:t>
      </w:r>
      <w:r w:rsidR="00B62AFE" w:rsidRPr="00037ACB">
        <w:t xml:space="preserve"> </w:t>
      </w:r>
      <w:r w:rsidR="00483540">
        <w:t xml:space="preserve">N strategies </w:t>
      </w:r>
      <w:r w:rsidR="00B62AFE" w:rsidRPr="00037ACB">
        <w:t xml:space="preserve">were applied, the total values applied </w:t>
      </w:r>
      <w:r w:rsidR="00661B9E" w:rsidRPr="00037ACB">
        <w:t>throughout</w:t>
      </w:r>
      <w:r w:rsidR="00B62AFE" w:rsidRPr="00037ACB">
        <w:t xml:space="preserve"> the year </w:t>
      </w:r>
      <w:r w:rsidR="00483540">
        <w:t>summed</w:t>
      </w:r>
      <w:r w:rsidR="00B62AFE" w:rsidRPr="00037ACB">
        <w:t xml:space="preserve"> 67 kg ha</w:t>
      </w:r>
      <w:r w:rsidR="00B62AFE" w:rsidRPr="00661B9E">
        <w:rPr>
          <w:vertAlign w:val="superscript"/>
        </w:rPr>
        <w:t>-1</w:t>
      </w:r>
      <w:r w:rsidR="00661B9E">
        <w:rPr>
          <w:vertAlign w:val="superscript"/>
        </w:rPr>
        <w:t xml:space="preserve"> </w:t>
      </w:r>
      <w:r w:rsidR="00B62AFE" w:rsidRPr="00037ACB">
        <w:t>or 33 kg ha</w:t>
      </w:r>
      <w:r w:rsidR="00B62AFE" w:rsidRPr="00661B9E">
        <w:rPr>
          <w:vertAlign w:val="superscript"/>
        </w:rPr>
        <w:t>-1</w:t>
      </w:r>
      <w:r w:rsidR="00B62AFE" w:rsidRPr="00037ACB">
        <w:t>, respectively</w:t>
      </w:r>
      <w:r w:rsidR="00661B9E">
        <w:t>,</w:t>
      </w:r>
      <w:r w:rsidR="00B62AFE" w:rsidRPr="00037ACB">
        <w:t xml:space="preserve"> to each treatment. </w:t>
      </w:r>
      <w:r w:rsidR="00CD1C0F" w:rsidRPr="00037ACB">
        <w:t xml:space="preserve"> </w:t>
      </w:r>
    </w:p>
    <w:p w14:paraId="37BF589A" w14:textId="0FD2BA45" w:rsidR="0083396E" w:rsidRPr="00767A67" w:rsidRDefault="00CB29B7" w:rsidP="00776576">
      <w:pPr>
        <w:spacing w:line="480" w:lineRule="auto"/>
      </w:pPr>
      <w:r w:rsidRPr="00037ACB">
        <w:lastRenderedPageBreak/>
        <w:t xml:space="preserve">Harvest frequencies were </w:t>
      </w:r>
      <w:r w:rsidR="000108EC">
        <w:t>done aiming</w:t>
      </w:r>
      <w:r w:rsidRPr="00037ACB">
        <w:t xml:space="preserve"> an interval </w:t>
      </w:r>
      <w:r w:rsidR="0083396E" w:rsidRPr="00037ACB">
        <w:t xml:space="preserve">between </w:t>
      </w:r>
      <w:r w:rsidRPr="00037ACB">
        <w:t>28 to 35 days from May to September of 2023 and 2024</w:t>
      </w:r>
      <w:r w:rsidR="00B115D7" w:rsidRPr="00037ACB">
        <w:t xml:space="preserve">, </w:t>
      </w:r>
      <w:r w:rsidR="007605AB">
        <w:t>a</w:t>
      </w:r>
      <w:r w:rsidR="007605AB" w:rsidRPr="00037ACB">
        <w:t xml:space="preserve">ccording </w:t>
      </w:r>
      <w:r w:rsidR="00B115D7" w:rsidRPr="00037ACB">
        <w:t xml:space="preserve">to weather </w:t>
      </w:r>
      <w:r w:rsidR="00A7336C">
        <w:t>conditions</w:t>
      </w:r>
      <w:r w:rsidRPr="00037ACB">
        <w:t>.</w:t>
      </w:r>
      <w:r w:rsidR="00B62AFE" w:rsidRPr="00037ACB">
        <w:t xml:space="preserve"> </w:t>
      </w:r>
      <w:r w:rsidR="007605AB">
        <w:t>Harvests occurred on</w:t>
      </w:r>
      <w:r w:rsidR="00B62AFE" w:rsidRPr="00037ACB">
        <w:t xml:space="preserve"> June 23</w:t>
      </w:r>
      <w:r w:rsidR="00B62AFE" w:rsidRPr="00037ACB">
        <w:rPr>
          <w:vertAlign w:val="superscript"/>
        </w:rPr>
        <w:t>rd</w:t>
      </w:r>
      <w:r w:rsidR="00B62AFE" w:rsidRPr="00037ACB">
        <w:t>, July 26</w:t>
      </w:r>
      <w:r w:rsidR="00707A87" w:rsidRPr="00037ACB">
        <w:rPr>
          <w:vertAlign w:val="superscript"/>
        </w:rPr>
        <w:t>th</w:t>
      </w:r>
      <w:r w:rsidR="00707A87" w:rsidRPr="001732D0">
        <w:t>,</w:t>
      </w:r>
      <w:r w:rsidR="00B62AFE" w:rsidRPr="00037ACB">
        <w:t xml:space="preserve"> and September 7</w:t>
      </w:r>
      <w:r w:rsidR="000108EC" w:rsidRPr="00037ACB">
        <w:rPr>
          <w:vertAlign w:val="superscript"/>
        </w:rPr>
        <w:t>th</w:t>
      </w:r>
      <w:r w:rsidR="000108EC" w:rsidRPr="00037ACB">
        <w:t xml:space="preserve"> in</w:t>
      </w:r>
      <w:r w:rsidR="00B62AFE" w:rsidRPr="00037ACB">
        <w:t xml:space="preserve"> 2023</w:t>
      </w:r>
      <w:r w:rsidR="00A7336C">
        <w:t>,</w:t>
      </w:r>
      <w:r w:rsidR="00B62AFE" w:rsidRPr="00037ACB">
        <w:t xml:space="preserve"> and June 20</w:t>
      </w:r>
      <w:r w:rsidR="00B62AFE" w:rsidRPr="00037ACB">
        <w:rPr>
          <w:vertAlign w:val="superscript"/>
        </w:rPr>
        <w:t>th</w:t>
      </w:r>
      <w:r w:rsidR="00B62AFE" w:rsidRPr="00037ACB">
        <w:t>, August 8</w:t>
      </w:r>
      <w:r w:rsidR="00B62AFE" w:rsidRPr="00037ACB">
        <w:rPr>
          <w:vertAlign w:val="superscript"/>
        </w:rPr>
        <w:t>th</w:t>
      </w:r>
      <w:r w:rsidR="00B62AFE" w:rsidRPr="00037ACB">
        <w:t>, and September 9</w:t>
      </w:r>
      <w:r w:rsidR="00B62AFE" w:rsidRPr="00037ACB">
        <w:rPr>
          <w:vertAlign w:val="superscript"/>
        </w:rPr>
        <w:t>th</w:t>
      </w:r>
      <w:r w:rsidR="00B62AFE" w:rsidRPr="00037ACB">
        <w:t xml:space="preserve"> in 2024.</w:t>
      </w:r>
    </w:p>
    <w:p w14:paraId="5B0DCF9F" w14:textId="7824D2FE" w:rsidR="00CB29B7" w:rsidRPr="00037ACB" w:rsidRDefault="00CB29B7" w:rsidP="00776576">
      <w:pPr>
        <w:pStyle w:val="Heading3"/>
        <w:spacing w:before="0" w:after="0" w:line="480" w:lineRule="auto"/>
        <w:rPr>
          <w:rFonts w:cs="Times New Roman"/>
          <w:szCs w:val="24"/>
        </w:rPr>
      </w:pPr>
      <w:bookmarkStart w:id="55" w:name="_Toc196315253"/>
      <w:r w:rsidRPr="00037ACB">
        <w:rPr>
          <w:rFonts w:cs="Times New Roman"/>
          <w:szCs w:val="24"/>
        </w:rPr>
        <w:t>Response variables</w:t>
      </w:r>
      <w:bookmarkEnd w:id="55"/>
    </w:p>
    <w:p w14:paraId="0D0849B5" w14:textId="4900CE4F" w:rsidR="004B4CF2" w:rsidRPr="00037ACB" w:rsidRDefault="00CB29B7" w:rsidP="00776576">
      <w:pPr>
        <w:spacing w:line="480" w:lineRule="auto"/>
        <w:ind w:firstLine="720"/>
        <w:rPr>
          <w:rFonts w:cs="Times New Roman"/>
        </w:rPr>
      </w:pPr>
      <w:r w:rsidRPr="00037ACB">
        <w:t xml:space="preserve">For </w:t>
      </w:r>
      <w:r w:rsidR="0055781A">
        <w:t>forage mass (</w:t>
      </w:r>
      <w:r w:rsidR="00332361">
        <w:t>FM</w:t>
      </w:r>
      <w:r w:rsidR="0055781A">
        <w:t>)</w:t>
      </w:r>
      <w:r w:rsidRPr="00037ACB">
        <w:t xml:space="preserve"> measurements, a</w:t>
      </w:r>
      <w:r w:rsidR="004B4CF2" w:rsidRPr="00037ACB">
        <w:t xml:space="preserve"> </w:t>
      </w:r>
      <w:r w:rsidR="0055781A">
        <w:rPr>
          <w:rFonts w:cs="Times New Roman"/>
        </w:rPr>
        <w:t>self-propelled</w:t>
      </w:r>
      <w:r w:rsidR="004B4CF2" w:rsidRPr="00037ACB">
        <w:rPr>
          <w:rFonts w:cs="Times New Roman"/>
        </w:rPr>
        <w:t xml:space="preserve"> mower (</w:t>
      </w:r>
      <w:r w:rsidR="00FA06E8" w:rsidRPr="00037ACB">
        <w:rPr>
          <w:rFonts w:cs="Times New Roman"/>
        </w:rPr>
        <w:t>Craftsman</w:t>
      </w:r>
      <w:r w:rsidR="004B4CF2" w:rsidRPr="00037ACB">
        <w:rPr>
          <w:rFonts w:cs="Times New Roman"/>
        </w:rPr>
        <w:t>, Tupelo, MS, USA)</w:t>
      </w:r>
      <w:r w:rsidR="00FA06E8">
        <w:rPr>
          <w:rFonts w:cs="Times New Roman"/>
        </w:rPr>
        <w:t>,</w:t>
      </w:r>
      <w:r w:rsidR="004B4CF2" w:rsidRPr="00037ACB">
        <w:rPr>
          <w:rFonts w:cs="Times New Roman"/>
        </w:rPr>
        <w:t xml:space="preserve"> 0.5 m wide</w:t>
      </w:r>
      <w:r w:rsidR="00FA06E8">
        <w:rPr>
          <w:rFonts w:cs="Times New Roman"/>
        </w:rPr>
        <w:t>,</w:t>
      </w:r>
      <w:r w:rsidR="004B4CF2" w:rsidRPr="00037ACB">
        <w:rPr>
          <w:rFonts w:cs="Times New Roman"/>
        </w:rPr>
        <w:t xml:space="preserve"> centrally placed on the plot</w:t>
      </w:r>
      <w:r w:rsidR="00FA06E8">
        <w:rPr>
          <w:rFonts w:cs="Times New Roman"/>
        </w:rPr>
        <w:t>,</w:t>
      </w:r>
      <w:r w:rsidR="004B4CF2" w:rsidRPr="00037ACB">
        <w:rPr>
          <w:rFonts w:cs="Times New Roman"/>
        </w:rPr>
        <w:t xml:space="preserve"> harvested a 4.6m strip.  The harvested material was collected and weighed using a 121 L bucket from each experimental unit. A </w:t>
      </w:r>
      <w:r w:rsidR="00D94F1B">
        <w:rPr>
          <w:rFonts w:cs="Times New Roman"/>
        </w:rPr>
        <w:t>sub-</w:t>
      </w:r>
      <w:r w:rsidR="004B4CF2" w:rsidRPr="00037ACB">
        <w:rPr>
          <w:rFonts w:cs="Times New Roman"/>
        </w:rPr>
        <w:t xml:space="preserve">sample was then collected from the bucket and dried in a forced air dryer at 60°C up to constant weight </w:t>
      </w:r>
      <w:r w:rsidR="008A4EE7">
        <w:rPr>
          <w:rFonts w:cs="Times New Roman"/>
        </w:rPr>
        <w:t>to determine</w:t>
      </w:r>
      <w:r w:rsidR="004B4CF2" w:rsidRPr="00037ACB">
        <w:rPr>
          <w:rFonts w:cs="Times New Roman"/>
        </w:rPr>
        <w:t xml:space="preserve"> </w:t>
      </w:r>
      <w:r w:rsidR="008A4EE7">
        <w:rPr>
          <w:rFonts w:cs="Times New Roman"/>
        </w:rPr>
        <w:t xml:space="preserve">the </w:t>
      </w:r>
      <w:r w:rsidR="004B4CF2" w:rsidRPr="00037ACB">
        <w:rPr>
          <w:rFonts w:cs="Times New Roman"/>
        </w:rPr>
        <w:t xml:space="preserve">total </w:t>
      </w:r>
      <w:r w:rsidR="008A4EE7">
        <w:rPr>
          <w:rFonts w:cs="Times New Roman"/>
        </w:rPr>
        <w:t>dry matter (DM)</w:t>
      </w:r>
      <w:r w:rsidR="00D94F1B">
        <w:rPr>
          <w:rFonts w:cs="Times New Roman"/>
        </w:rPr>
        <w:t>. These sub-samples were</w:t>
      </w:r>
      <w:r w:rsidR="004B4CF2" w:rsidRPr="00037ACB">
        <w:rPr>
          <w:rFonts w:cs="Times New Roman"/>
        </w:rPr>
        <w:t xml:space="preserve"> then ground in a Wiley Mill Grinder (Thomas-Wiley Laboratory Mill Model 4, Arthur H. Thomas Co., Philadelphia, PA) using a 2-mm screen, and then passed through a 1-mm cyclone mill (FOSS </w:t>
      </w:r>
      <w:proofErr w:type="spellStart"/>
      <w:r w:rsidR="004B4CF2" w:rsidRPr="00037ACB">
        <w:rPr>
          <w:rFonts w:cs="Times New Roman"/>
        </w:rPr>
        <w:t>Cyclotec</w:t>
      </w:r>
      <w:proofErr w:type="spellEnd"/>
      <w:r w:rsidR="004B4CF2" w:rsidRPr="00037ACB">
        <w:rPr>
          <w:rFonts w:cs="Times New Roman"/>
        </w:rPr>
        <w:t xml:space="preserve">, Eden </w:t>
      </w:r>
      <w:proofErr w:type="spellStart"/>
      <w:r w:rsidR="004B4CF2" w:rsidRPr="00037ACB">
        <w:rPr>
          <w:rFonts w:cs="Times New Roman"/>
        </w:rPr>
        <w:t>Praire</w:t>
      </w:r>
      <w:proofErr w:type="spellEnd"/>
      <w:r w:rsidR="004B4CF2" w:rsidRPr="00037ACB">
        <w:rPr>
          <w:rFonts w:cs="Times New Roman"/>
        </w:rPr>
        <w:t xml:space="preserve">, MN) to </w:t>
      </w:r>
      <w:r w:rsidR="0083396E" w:rsidRPr="00037ACB">
        <w:rPr>
          <w:rFonts w:cs="Times New Roman"/>
        </w:rPr>
        <w:t xml:space="preserve">reduce </w:t>
      </w:r>
      <w:r w:rsidR="004B4CF2" w:rsidRPr="00037ACB">
        <w:rPr>
          <w:rFonts w:cs="Times New Roman"/>
        </w:rPr>
        <w:t>particle size</w:t>
      </w:r>
      <w:r w:rsidR="0083396E" w:rsidRPr="00037ACB">
        <w:rPr>
          <w:rFonts w:cs="Times New Roman"/>
        </w:rPr>
        <w:t xml:space="preserve"> prior forage nutritive value analyses</w:t>
      </w:r>
      <w:r w:rsidR="004B4CF2" w:rsidRPr="00037ACB">
        <w:rPr>
          <w:rFonts w:cs="Times New Roman"/>
        </w:rPr>
        <w:t xml:space="preserve"> (McIntosh et al., 2022). </w:t>
      </w:r>
      <w:r w:rsidR="0083396E" w:rsidRPr="00037ACB">
        <w:rPr>
          <w:rFonts w:cs="Times New Roman"/>
        </w:rPr>
        <w:t>S</w:t>
      </w:r>
      <w:r w:rsidR="004B4CF2" w:rsidRPr="00037ACB">
        <w:rPr>
          <w:rFonts w:cs="Times New Roman"/>
        </w:rPr>
        <w:t xml:space="preserve">amples were individually placed in foil tins and dried for </w:t>
      </w:r>
      <w:r w:rsidR="00952635" w:rsidRPr="00037ACB">
        <w:rPr>
          <w:rFonts w:cs="Times New Roman"/>
        </w:rPr>
        <w:t>30 minutes</w:t>
      </w:r>
      <w:r w:rsidR="004B4CF2" w:rsidRPr="00037ACB">
        <w:rPr>
          <w:rFonts w:cs="Times New Roman"/>
        </w:rPr>
        <w:t xml:space="preserve"> in a forced air oven at 55°C to </w:t>
      </w:r>
      <w:r w:rsidR="0083396E" w:rsidRPr="00037ACB">
        <w:rPr>
          <w:rFonts w:cs="Times New Roman"/>
        </w:rPr>
        <w:t xml:space="preserve">ensure </w:t>
      </w:r>
      <w:r w:rsidR="004B4CF2" w:rsidRPr="00037ACB">
        <w:rPr>
          <w:rFonts w:cs="Times New Roman"/>
        </w:rPr>
        <w:t>consistent moisture content for scanning</w:t>
      </w:r>
      <w:r w:rsidR="0083396E" w:rsidRPr="00037ACB">
        <w:rPr>
          <w:rFonts w:cs="Times New Roman"/>
        </w:rPr>
        <w:t>,</w:t>
      </w:r>
      <w:r w:rsidR="004B4CF2" w:rsidRPr="00037ACB">
        <w:rPr>
          <w:rFonts w:cs="Times New Roman"/>
        </w:rPr>
        <w:t xml:space="preserve"> </w:t>
      </w:r>
      <w:r w:rsidR="0083396E" w:rsidRPr="00037ACB">
        <w:rPr>
          <w:rFonts w:cs="Times New Roman"/>
        </w:rPr>
        <w:t>reducing</w:t>
      </w:r>
      <w:r w:rsidR="004B4CF2" w:rsidRPr="00037ACB">
        <w:rPr>
          <w:rFonts w:cs="Times New Roman"/>
        </w:rPr>
        <w:t xml:space="preserve"> variability across results. These samples were scanned in small ring cups on </w:t>
      </w:r>
      <w:r w:rsidR="0055781A">
        <w:rPr>
          <w:rFonts w:cs="Times New Roman"/>
        </w:rPr>
        <w:t>n</w:t>
      </w:r>
      <w:r w:rsidR="004B4CF2" w:rsidRPr="00037ACB">
        <w:rPr>
          <w:rFonts w:cs="Times New Roman"/>
        </w:rPr>
        <w:t xml:space="preserve">ear-infrared spectroscopy (NIRS) technology (Unity </w:t>
      </w:r>
      <w:proofErr w:type="spellStart"/>
      <w:r w:rsidR="004B4CF2" w:rsidRPr="00037ACB">
        <w:rPr>
          <w:rFonts w:cs="Times New Roman"/>
        </w:rPr>
        <w:t>SpectraStar</w:t>
      </w:r>
      <w:proofErr w:type="spellEnd"/>
      <w:r w:rsidR="004B4CF2" w:rsidRPr="00037ACB">
        <w:rPr>
          <w:rFonts w:cs="Times New Roman"/>
        </w:rPr>
        <w:t xml:space="preserve"> XL-R, Unity Scientific, Milford, MA) using a Foss DS2500 near-infrared spectrometer (</w:t>
      </w:r>
      <w:proofErr w:type="spellStart"/>
      <w:r w:rsidR="004B4CF2" w:rsidRPr="00037ACB">
        <w:rPr>
          <w:rFonts w:cs="Times New Roman"/>
        </w:rPr>
        <w:t>Metrohm</w:t>
      </w:r>
      <w:proofErr w:type="spellEnd"/>
      <w:r w:rsidR="004B4CF2" w:rsidRPr="00037ACB">
        <w:rPr>
          <w:rFonts w:cs="Times New Roman"/>
        </w:rPr>
        <w:t xml:space="preserve"> USA Inc., Riverview, FL) for determination of </w:t>
      </w:r>
      <w:r w:rsidR="0083396E" w:rsidRPr="00037ACB">
        <w:rPr>
          <w:rFonts w:cs="Times New Roman"/>
        </w:rPr>
        <w:t>crude protein (</w:t>
      </w:r>
      <w:r w:rsidR="004B4CF2" w:rsidRPr="00037ACB">
        <w:rPr>
          <w:rFonts w:cs="Times New Roman"/>
        </w:rPr>
        <w:t>CP</w:t>
      </w:r>
      <w:r w:rsidR="0083396E" w:rsidRPr="00037ACB">
        <w:rPr>
          <w:rFonts w:cs="Times New Roman"/>
        </w:rPr>
        <w:t>)</w:t>
      </w:r>
      <w:r w:rsidR="004B4CF2" w:rsidRPr="00037ACB">
        <w:rPr>
          <w:rFonts w:cs="Times New Roman"/>
        </w:rPr>
        <w:t xml:space="preserve"> and </w:t>
      </w:r>
      <w:r w:rsidR="0083396E" w:rsidRPr="00037ACB">
        <w:rPr>
          <w:rFonts w:cs="Times New Roman"/>
        </w:rPr>
        <w:t>neutral detergent fiber</w:t>
      </w:r>
      <w:r w:rsidR="0055781A">
        <w:rPr>
          <w:rFonts w:cs="Times New Roman"/>
        </w:rPr>
        <w:t xml:space="preserve"> (</w:t>
      </w:r>
      <w:r w:rsidR="004B4CF2" w:rsidRPr="00037ACB">
        <w:rPr>
          <w:rFonts w:cs="Times New Roman"/>
        </w:rPr>
        <w:t>NDF</w:t>
      </w:r>
      <w:r w:rsidR="0055781A">
        <w:rPr>
          <w:rFonts w:cs="Times New Roman"/>
        </w:rPr>
        <w:t>)</w:t>
      </w:r>
      <w:r w:rsidR="004B4CF2" w:rsidRPr="00037ACB">
        <w:rPr>
          <w:rFonts w:cs="Times New Roman"/>
        </w:rPr>
        <w:t xml:space="preserve"> by utilizing Grass Hay (GH) calibration equations provided and licensed by the NIRS Forage and Feed Consortium (NIRSC, Berea, KY). The global and neighborhood statistical tests were </w:t>
      </w:r>
      <w:r w:rsidR="004B4CF2" w:rsidRPr="00037ACB">
        <w:rPr>
          <w:rFonts w:cs="Times New Roman"/>
        </w:rPr>
        <w:lastRenderedPageBreak/>
        <w:t>monitored and analyzed for accuracy across all predictions with the entire data set fitting the calibrations within the (H &lt; 3.0) limit of fit and reported accordingly by Murray and Cowe (2004). Units of measurement for nutritive analyses are presented at 100% dry matter (DM) across the entire data set.</w:t>
      </w:r>
    </w:p>
    <w:p w14:paraId="33F1EDD6" w14:textId="46A494FD" w:rsidR="004B4CF2" w:rsidRDefault="0015117D" w:rsidP="00776576">
      <w:pPr>
        <w:spacing w:line="480" w:lineRule="auto"/>
        <w:ind w:firstLine="720"/>
        <w:rPr>
          <w:rFonts w:cs="Times New Roman"/>
        </w:rPr>
      </w:pPr>
      <w:r w:rsidRPr="00037ACB">
        <w:rPr>
          <w:rFonts w:cs="Times New Roman"/>
        </w:rPr>
        <w:t xml:space="preserve">In 2024, </w:t>
      </w:r>
      <w:r w:rsidR="00ED0B64">
        <w:rPr>
          <w:rFonts w:cs="Times New Roman"/>
        </w:rPr>
        <w:t xml:space="preserve">the </w:t>
      </w:r>
      <w:r w:rsidR="00D26B19" w:rsidRPr="00D26B19">
        <w:rPr>
          <w:rFonts w:cs="Times New Roman"/>
        </w:rPr>
        <w:t xml:space="preserve">total aboveground dry matter available forage was measured at each </w:t>
      </w:r>
      <w:r w:rsidR="00D94F1B">
        <w:rPr>
          <w:rFonts w:cs="Times New Roman"/>
        </w:rPr>
        <w:t>harvest</w:t>
      </w:r>
      <w:r w:rsidR="00D26B19" w:rsidRPr="00D26B19">
        <w:rPr>
          <w:rFonts w:cs="Times New Roman"/>
        </w:rPr>
        <w:t xml:space="preserve"> in each </w:t>
      </w:r>
      <w:r w:rsidR="00D94F1B">
        <w:rPr>
          <w:rFonts w:cs="Times New Roman"/>
        </w:rPr>
        <w:t>plot</w:t>
      </w:r>
      <w:r w:rsidR="00D94F1B" w:rsidRPr="00D26B19">
        <w:rPr>
          <w:rFonts w:cs="Times New Roman"/>
        </w:rPr>
        <w:t xml:space="preserve"> </w:t>
      </w:r>
      <w:r w:rsidR="00D26B19" w:rsidRPr="00D26B19">
        <w:rPr>
          <w:rFonts w:cs="Times New Roman"/>
        </w:rPr>
        <w:t>with a calibrated</w:t>
      </w:r>
      <w:r w:rsidR="001732D0">
        <w:rPr>
          <w:rFonts w:cs="Times New Roman"/>
        </w:rPr>
        <w:t xml:space="preserve"> rising-plate-meter</w:t>
      </w:r>
      <w:r w:rsidR="00D26B19" w:rsidRPr="00D26B19">
        <w:rPr>
          <w:rFonts w:cs="Times New Roman"/>
        </w:rPr>
        <w:t xml:space="preserve"> </w:t>
      </w:r>
      <w:r w:rsidR="001732D0">
        <w:rPr>
          <w:rFonts w:cs="Times New Roman"/>
        </w:rPr>
        <w:t>(</w:t>
      </w:r>
      <w:r w:rsidR="00D26B19" w:rsidRPr="00D26B19">
        <w:rPr>
          <w:rFonts w:cs="Times New Roman"/>
        </w:rPr>
        <w:t>RPM</w:t>
      </w:r>
      <w:r w:rsidR="001732D0">
        <w:rPr>
          <w:rFonts w:cs="Times New Roman"/>
        </w:rPr>
        <w:t>)</w:t>
      </w:r>
      <w:r w:rsidR="00D26B19" w:rsidRPr="00D26B19">
        <w:rPr>
          <w:rFonts w:cs="Times New Roman"/>
        </w:rPr>
        <w:t>. The RPM used consisted of a 0.1-m</w:t>
      </w:r>
      <w:r w:rsidR="00D26B19" w:rsidRPr="00D26B19">
        <w:rPr>
          <w:rFonts w:cs="Times New Roman"/>
          <w:vertAlign w:val="superscript"/>
        </w:rPr>
        <w:t>2</w:t>
      </w:r>
      <w:r w:rsidR="00D26B19" w:rsidRPr="00D26B19">
        <w:rPr>
          <w:rFonts w:cs="Times New Roman"/>
        </w:rPr>
        <w:t xml:space="preserve"> ascendant disk, and the </w:t>
      </w:r>
      <w:r w:rsidR="00626B5A" w:rsidRPr="00D26B19">
        <w:rPr>
          <w:rFonts w:cs="Times New Roman"/>
        </w:rPr>
        <w:t>M</w:t>
      </w:r>
      <w:r w:rsidR="00626B5A">
        <w:rPr>
          <w:rFonts w:cs="Times New Roman"/>
        </w:rPr>
        <w:t xml:space="preserve">easurements of the </w:t>
      </w:r>
      <w:r w:rsidR="00D26B19" w:rsidRPr="00D26B19">
        <w:rPr>
          <w:rFonts w:cs="Times New Roman"/>
        </w:rPr>
        <w:t xml:space="preserve">RPM was made by a mechanical counter that measured the partially compressed sward height in 5-mm increments </w:t>
      </w:r>
      <w:r w:rsidR="0084211F">
        <w:rPr>
          <w:rFonts w:cs="Times New Roman"/>
        </w:rPr>
        <w:fldChar w:fldCharType="begin"/>
      </w:r>
      <w:r w:rsidR="002B2544">
        <w:rPr>
          <w:rFonts w:cs="Times New Roman"/>
        </w:rPr>
        <w:instrText xml:space="preserve"> ADDIN ZOTERO_ITEM CSL_CITATION {"citationID":"WUj8AIwU","properties":{"formattedCitation":"(La Guardia Nave &amp; Corbin, 2019)","plainCitation":"(La Guardia Nave &amp; Corbin, 2019)","dontUpdate":true,"noteIndex":0},"citationItems":[{"id":65,"uris":["http://zotero.org/users/local/kjHHoAYm/items/IRRL6A86"],"itemData":{"id":65,"type":"article-journal","abstract":"Abstract\n            \n              Monitoring forage mass and nutritive value of pastures are encouraged to ensure adequate and efficient grazing management. For on‐farm monitoring, reliable instruments such as the rising plate meter (RPM) are useful and easy to achieve. The objective of this research was to verify the relationship between measurements of RPM (MRPM) to forage nutritive value based on seasonal and diurnal changes within a tall fescue sward under continuous stocking management. The study was conducted at the Plateau AgResearch and Education Center in Crossville, TN, from January 2015 to December 2016. The experiment was conducted in two 9‐hectare pastures consisting of a tall fescue [\n              Schedonorus arundinaceus\n              (Schreb.) Dumort., nom. cons., formerly\n              Festuca arundinacea\n              Schreb.] sward. During the 12‐month grazing period each year, total aboveground available forage was measured monthly in each pasture with a calibrated RPM. In addition, each month, several randomly placed 1‐m\n              2\n              sample areas were collected at 7 a.m., 9 a.m., 12 p.m. and 4 p.m. to characterize forage nutritive value. Neutral detergent fiber, crude protein and in vitro total dry matter digestibility (IVTDMD) were predicted by means of near‐infrared spectroscopy. During the entire year of 2015, all correlation coefficients of forage nutritive value variables with MRPM were significant. However, in 2016, only IVTDMD showed a significant correlation with MRPM. Of the nutritive value variables, we chose to focus on the IVTDMD and MRPM relationship because it had one of the highest correlations for most seasons and different times of day, especially in 2015. There was a strong relationship between RPM measurements of herbage mass with IVTDMD, and this relationship is especially useful during the spring, where rapid growth is occurring. The same relationship was not found to be consistent during periods of slow forage growth, especially if recovering from a drought event.","container-title":"Grassland Science","DOI":"10.1111/grs.12231","ISSN":"1744-6961, 1744-697X","issue":"3","journalAbbreviation":"Grassland Science","language":"en","page":"162-170","source":"DOI.org (Crossref)","title":"Seasonal and diurnal relationship of forage nutritive value and mass in a tall fescue pasture under continuous stocking","volume":"65","author":[{"family":"La Guardia Nave","given":"Renata"},{"family":"Corbin","given":"Michael Dereck"}],"issued":{"date-parts":[["2019",7]]}}}],"schema":"https://github.com/citation-style-language/schema/raw/master/csl-citation.json"} </w:instrText>
      </w:r>
      <w:r w:rsidR="0084211F">
        <w:rPr>
          <w:rFonts w:cs="Times New Roman"/>
        </w:rPr>
        <w:fldChar w:fldCharType="separate"/>
      </w:r>
      <w:r w:rsidR="0084211F" w:rsidRPr="0084211F">
        <w:rPr>
          <w:rFonts w:cs="Times New Roman"/>
        </w:rPr>
        <w:t>(Nave &amp; Corbin, 2019)</w:t>
      </w:r>
      <w:r w:rsidR="0084211F">
        <w:rPr>
          <w:rFonts w:cs="Times New Roman"/>
        </w:rPr>
        <w:fldChar w:fldCharType="end"/>
      </w:r>
      <w:r w:rsidR="00952635" w:rsidRPr="00037ACB">
        <w:rPr>
          <w:rFonts w:cs="Times New Roman"/>
        </w:rPr>
        <w:t xml:space="preserve">. Fifteen points were randomly measured across each plot, </w:t>
      </w:r>
      <w:r w:rsidRPr="00037ACB">
        <w:rPr>
          <w:rFonts w:cs="Times New Roman"/>
        </w:rPr>
        <w:t xml:space="preserve">and </w:t>
      </w:r>
      <w:r w:rsidR="00952635" w:rsidRPr="00037ACB">
        <w:rPr>
          <w:rFonts w:cs="Times New Roman"/>
        </w:rPr>
        <w:t>at each sampling date</w:t>
      </w:r>
      <w:r w:rsidRPr="00037ACB">
        <w:rPr>
          <w:rFonts w:cs="Times New Roman"/>
        </w:rPr>
        <w:t>,</w:t>
      </w:r>
      <w:r w:rsidR="00952635" w:rsidRPr="00037ACB">
        <w:rPr>
          <w:rFonts w:cs="Times New Roman"/>
        </w:rPr>
        <w:t xml:space="preserve"> one 0.1m</w:t>
      </w:r>
      <w:r w:rsidR="00952635" w:rsidRPr="00037ACB">
        <w:rPr>
          <w:rFonts w:cs="Times New Roman"/>
          <w:vertAlign w:val="superscript"/>
        </w:rPr>
        <w:t>2</w:t>
      </w:r>
      <w:r w:rsidR="00952635" w:rsidRPr="00037ACB">
        <w:rPr>
          <w:rFonts w:cs="Times New Roman"/>
        </w:rPr>
        <w:t xml:space="preserve"> quadrat was measured </w:t>
      </w:r>
      <w:r w:rsidR="00016A10">
        <w:rPr>
          <w:rFonts w:cs="Times New Roman"/>
        </w:rPr>
        <w:t xml:space="preserve">with the </w:t>
      </w:r>
      <w:r w:rsidR="001732D0">
        <w:rPr>
          <w:rFonts w:cs="Times New Roman"/>
        </w:rPr>
        <w:t>RPM</w:t>
      </w:r>
      <w:r w:rsidR="00ED0B64">
        <w:rPr>
          <w:rFonts w:cs="Times New Roman"/>
        </w:rPr>
        <w:t>,</w:t>
      </w:r>
      <w:r w:rsidR="00016A10">
        <w:rPr>
          <w:rFonts w:cs="Times New Roman"/>
        </w:rPr>
        <w:t xml:space="preserve"> </w:t>
      </w:r>
      <w:r w:rsidR="003B1801" w:rsidRPr="003B1801">
        <w:rPr>
          <w:rFonts w:cs="Times New Roman"/>
        </w:rPr>
        <w:t xml:space="preserve">and after recording these individual </w:t>
      </w:r>
      <w:r w:rsidR="00626B5A">
        <w:rPr>
          <w:rFonts w:cs="Times New Roman"/>
        </w:rPr>
        <w:t xml:space="preserve">measurements of the </w:t>
      </w:r>
      <w:r w:rsidR="003B1801" w:rsidRPr="003B1801">
        <w:rPr>
          <w:rFonts w:cs="Times New Roman"/>
        </w:rPr>
        <w:t xml:space="preserve">RPM, the forage under the plate was hand-clipped to </w:t>
      </w:r>
      <w:r w:rsidR="001732D0">
        <w:rPr>
          <w:rFonts w:cs="Times New Roman"/>
        </w:rPr>
        <w:t xml:space="preserve">ground level </w:t>
      </w:r>
      <w:r w:rsidR="003B1801" w:rsidRPr="003B1801">
        <w:rPr>
          <w:rFonts w:cs="Times New Roman"/>
        </w:rPr>
        <w:t xml:space="preserve">within a </w:t>
      </w:r>
      <w:r w:rsidR="00ED0B64">
        <w:rPr>
          <w:rFonts w:cs="Times New Roman"/>
        </w:rPr>
        <w:t>0.1 m</w:t>
      </w:r>
      <w:r w:rsidR="00ED0B64" w:rsidRPr="00ED0B64">
        <w:rPr>
          <w:rFonts w:cs="Times New Roman"/>
          <w:vertAlign w:val="superscript"/>
        </w:rPr>
        <w:t>2</w:t>
      </w:r>
      <w:r w:rsidR="00ED0B64">
        <w:rPr>
          <w:rFonts w:cs="Times New Roman"/>
        </w:rPr>
        <w:t xml:space="preserve"> and</w:t>
      </w:r>
      <w:r w:rsidRPr="00037ACB">
        <w:rPr>
          <w:rFonts w:cs="Times New Roman"/>
        </w:rPr>
        <w:t xml:space="preserve"> collected </w:t>
      </w:r>
      <w:r w:rsidR="00952635" w:rsidRPr="00037ACB">
        <w:rPr>
          <w:rFonts w:cs="Times New Roman"/>
        </w:rPr>
        <w:t>at each subplot</w:t>
      </w:r>
      <w:r w:rsidR="00ED0B64">
        <w:rPr>
          <w:rFonts w:cs="Times New Roman"/>
        </w:rPr>
        <w:t>,</w:t>
      </w:r>
      <w:r w:rsidR="00043791">
        <w:rPr>
          <w:rFonts w:cs="Times New Roman"/>
        </w:rPr>
        <w:t xml:space="preserve"> totaling 60</w:t>
      </w:r>
      <w:r w:rsidR="00460458">
        <w:rPr>
          <w:rFonts w:cs="Times New Roman"/>
        </w:rPr>
        <w:t xml:space="preserve"> samples</w:t>
      </w:r>
      <w:r w:rsidRPr="00037ACB">
        <w:rPr>
          <w:rFonts w:cs="Times New Roman"/>
        </w:rPr>
        <w:t>.</w:t>
      </w:r>
      <w:r w:rsidR="00952635" w:rsidRPr="00037ACB">
        <w:rPr>
          <w:rFonts w:cs="Times New Roman"/>
        </w:rPr>
        <w:t xml:space="preserve"> </w:t>
      </w:r>
      <w:r w:rsidR="002A6751">
        <w:rPr>
          <w:rFonts w:cs="Times New Roman"/>
        </w:rPr>
        <w:t>After hand clipping</w:t>
      </w:r>
      <w:r w:rsidR="00ED0B64">
        <w:rPr>
          <w:rFonts w:cs="Times New Roman"/>
        </w:rPr>
        <w:t>,</w:t>
      </w:r>
      <w:r w:rsidR="002704C2">
        <w:rPr>
          <w:rFonts w:cs="Times New Roman"/>
        </w:rPr>
        <w:t xml:space="preserve"> the samples </w:t>
      </w:r>
      <w:r w:rsidR="00ED0B64">
        <w:rPr>
          <w:rFonts w:cs="Times New Roman"/>
        </w:rPr>
        <w:t>were</w:t>
      </w:r>
      <w:r w:rsidR="004F2E25" w:rsidRPr="00037ACB">
        <w:rPr>
          <w:rFonts w:cs="Times New Roman"/>
        </w:rPr>
        <w:t xml:space="preserve"> separated in</w:t>
      </w:r>
      <w:r w:rsidRPr="00037ACB">
        <w:rPr>
          <w:rFonts w:cs="Times New Roman"/>
        </w:rPr>
        <w:t>to botanical and morphological components</w:t>
      </w:r>
      <w:r w:rsidR="004F2E25" w:rsidRPr="00037ACB">
        <w:rPr>
          <w:rFonts w:cs="Times New Roman"/>
        </w:rPr>
        <w:t xml:space="preserve"> </w:t>
      </w:r>
      <w:r w:rsidRPr="00037ACB">
        <w:rPr>
          <w:rFonts w:cs="Times New Roman"/>
        </w:rPr>
        <w:t xml:space="preserve">(green </w:t>
      </w:r>
      <w:r w:rsidR="004F2E25" w:rsidRPr="00037ACB">
        <w:rPr>
          <w:rFonts w:cs="Times New Roman"/>
        </w:rPr>
        <w:t>lea</w:t>
      </w:r>
      <w:r w:rsidRPr="00037ACB">
        <w:rPr>
          <w:rFonts w:cs="Times New Roman"/>
        </w:rPr>
        <w:t>ves</w:t>
      </w:r>
      <w:r w:rsidR="004F2E25" w:rsidRPr="00037ACB">
        <w:rPr>
          <w:rFonts w:cs="Times New Roman"/>
        </w:rPr>
        <w:t>, stem</w:t>
      </w:r>
      <w:r w:rsidR="00D94F1B">
        <w:rPr>
          <w:rFonts w:cs="Times New Roman"/>
        </w:rPr>
        <w:t>s</w:t>
      </w:r>
      <w:r w:rsidR="004F2E25" w:rsidRPr="00037ACB">
        <w:rPr>
          <w:rFonts w:cs="Times New Roman"/>
        </w:rPr>
        <w:t>, dead material, and weeds)</w:t>
      </w:r>
      <w:r w:rsidRPr="00037ACB">
        <w:rPr>
          <w:rFonts w:cs="Times New Roman"/>
        </w:rPr>
        <w:t xml:space="preserve">. Each </w:t>
      </w:r>
      <w:r w:rsidR="004F2E25" w:rsidRPr="00037ACB">
        <w:rPr>
          <w:rFonts w:cs="Times New Roman"/>
        </w:rPr>
        <w:t>sample was dried at 55ºC until constant weight</w:t>
      </w:r>
      <w:r w:rsidRPr="00037ACB">
        <w:rPr>
          <w:rFonts w:cs="Times New Roman"/>
        </w:rPr>
        <w:t xml:space="preserve">, </w:t>
      </w:r>
      <w:r w:rsidR="004F2E25" w:rsidRPr="00037ACB">
        <w:rPr>
          <w:rFonts w:cs="Times New Roman"/>
        </w:rPr>
        <w:t>then weigh</w:t>
      </w:r>
      <w:r w:rsidRPr="00037ACB">
        <w:rPr>
          <w:rFonts w:cs="Times New Roman"/>
        </w:rPr>
        <w:t>ed.</w:t>
      </w:r>
      <w:r w:rsidR="004F2E25" w:rsidRPr="00037ACB">
        <w:rPr>
          <w:rFonts w:cs="Times New Roman"/>
        </w:rPr>
        <w:t xml:space="preserve"> </w:t>
      </w:r>
      <w:r w:rsidR="00E32DF8" w:rsidRPr="00E32DF8">
        <w:rPr>
          <w:rFonts w:cs="Times New Roman"/>
        </w:rPr>
        <w:t xml:space="preserve">The calibration was developed </w:t>
      </w:r>
      <w:r w:rsidR="00ED0B64">
        <w:rPr>
          <w:rFonts w:cs="Times New Roman"/>
        </w:rPr>
        <w:t>using a regression equation to convert</w:t>
      </w:r>
      <w:r w:rsidR="00E32DF8" w:rsidRPr="00E32DF8">
        <w:rPr>
          <w:rFonts w:cs="Times New Roman"/>
        </w:rPr>
        <w:t xml:space="preserve"> the MRPM to the total aboveground dry weight</w:t>
      </w:r>
      <w:r w:rsidR="005874AA">
        <w:rPr>
          <w:rFonts w:cs="Times New Roman"/>
        </w:rPr>
        <w:t xml:space="preserve"> </w:t>
      </w:r>
      <w:r w:rsidR="004749BC">
        <w:rPr>
          <w:rFonts w:cs="Times New Roman"/>
        </w:rPr>
        <w:fldChar w:fldCharType="begin"/>
      </w:r>
      <w:r w:rsidR="002B2544">
        <w:rPr>
          <w:rFonts w:cs="Times New Roman"/>
        </w:rPr>
        <w:instrText xml:space="preserve"> ADDIN ZOTERO_ITEM CSL_CITATION {"citationID":"cgXP91Ze","properties":{"formattedCitation":"(La Guardia Nave &amp; Corbin, 2019)","plainCitation":"(La Guardia Nave &amp; Corbin, 2019)","dontUpdate":true,"noteIndex":0},"citationItems":[{"id":65,"uris":["http://zotero.org/users/local/kjHHoAYm/items/IRRL6A86"],"itemData":{"id":65,"type":"article-journal","abstract":"Abstract\n            \n              Monitoring forage mass and nutritive value of pastures are encouraged to ensure adequate and efficient grazing management. For on‐farm monitoring, reliable instruments such as the rising plate meter (RPM) are useful and easy to achieve. The objective of this research was to verify the relationship between measurements of RPM (MRPM) to forage nutritive value based on seasonal and diurnal changes within a tall fescue sward under continuous stocking management. The study was conducted at the Plateau AgResearch and Education Center in Crossville, TN, from January 2015 to December 2016. The experiment was conducted in two 9‐hectare pastures consisting of a tall fescue [\n              Schedonorus arundinaceus\n              (Schreb.) Dumort., nom. cons., formerly\n              Festuca arundinacea\n              Schreb.] sward. During the 12‐month grazing period each year, total aboveground available forage was measured monthly in each pasture with a calibrated RPM. In addition, each month, several randomly placed 1‐m\n              2\n              sample areas were collected at 7 a.m., 9 a.m., 12 p.m. and 4 p.m. to characterize forage nutritive value. Neutral detergent fiber, crude protein and in vitro total dry matter digestibility (IVTDMD) were predicted by means of near‐infrared spectroscopy. During the entire year of 2015, all correlation coefficients of forage nutritive value variables with MRPM were significant. However, in 2016, only IVTDMD showed a significant correlation with MRPM. Of the nutritive value variables, we chose to focus on the IVTDMD and MRPM relationship because it had one of the highest correlations for most seasons and different times of day, especially in 2015. There was a strong relationship between RPM measurements of herbage mass with IVTDMD, and this relationship is especially useful during the spring, where rapid growth is occurring. The same relationship was not found to be consistent during periods of slow forage growth, especially if recovering from a drought event.","container-title":"Grassland Science","DOI":"10.1111/grs.12231","ISSN":"1744-6961, 1744-697X","issue":"3","journalAbbreviation":"Grassland Science","language":"en","page":"162-170","source":"DOI.org (Crossref)","title":"Seasonal and diurnal relationship of forage nutritive value and mass in a tall fescue pasture under continuous stocking","volume":"65","author":[{"family":"La Guardia Nave","given":"Renata"},{"family":"Corbin","given":"Michael Dereck"}],"issued":{"date-parts":[["2019",7]]}}}],"schema":"https://github.com/citation-style-language/schema/raw/master/csl-citation.json"} </w:instrText>
      </w:r>
      <w:r w:rsidR="004749BC">
        <w:rPr>
          <w:rFonts w:cs="Times New Roman"/>
        </w:rPr>
        <w:fldChar w:fldCharType="separate"/>
      </w:r>
      <w:r w:rsidR="004749BC" w:rsidRPr="004749BC">
        <w:rPr>
          <w:rFonts w:cs="Times New Roman"/>
        </w:rPr>
        <w:t>(Nave &amp; Corbin, 2019)</w:t>
      </w:r>
      <w:r w:rsidR="004749BC">
        <w:rPr>
          <w:rFonts w:cs="Times New Roman"/>
        </w:rPr>
        <w:fldChar w:fldCharType="end"/>
      </w:r>
      <w:r w:rsidR="00E32DF8" w:rsidRPr="00E32DF8">
        <w:rPr>
          <w:rFonts w:cs="Times New Roman"/>
        </w:rPr>
        <w:t>.</w:t>
      </w:r>
    </w:p>
    <w:p w14:paraId="270E2F91" w14:textId="3CDCADDA" w:rsidR="00952635" w:rsidRDefault="00234E5A" w:rsidP="00776576">
      <w:pPr>
        <w:spacing w:line="480" w:lineRule="auto"/>
        <w:ind w:firstLine="720"/>
        <w:rPr>
          <w:rFonts w:cs="Times New Roman"/>
        </w:rPr>
      </w:pPr>
      <w:r>
        <w:rPr>
          <w:rFonts w:cs="Times New Roman"/>
        </w:rPr>
        <w:t>G</w:t>
      </w:r>
      <w:r w:rsidR="00D94F1B">
        <w:rPr>
          <w:rFonts w:cs="Times New Roman"/>
        </w:rPr>
        <w:t xml:space="preserve">as </w:t>
      </w:r>
      <w:r w:rsidR="00B9675D">
        <w:rPr>
          <w:rFonts w:cs="Times New Roman"/>
        </w:rPr>
        <w:t xml:space="preserve">exchange measurements were </w:t>
      </w:r>
      <w:r>
        <w:rPr>
          <w:rFonts w:cs="Times New Roman"/>
        </w:rPr>
        <w:t xml:space="preserve">conducted </w:t>
      </w:r>
      <w:r w:rsidR="00B9675D">
        <w:rPr>
          <w:rFonts w:cs="Times New Roman"/>
        </w:rPr>
        <w:t>on June 23</w:t>
      </w:r>
      <w:r>
        <w:rPr>
          <w:rFonts w:cs="Times New Roman"/>
        </w:rPr>
        <w:t xml:space="preserve">, </w:t>
      </w:r>
      <w:proofErr w:type="gramStart"/>
      <w:r>
        <w:rPr>
          <w:rFonts w:cs="Times New Roman"/>
        </w:rPr>
        <w:t>2023</w:t>
      </w:r>
      <w:proofErr w:type="gramEnd"/>
      <w:r w:rsidR="00B9675D">
        <w:rPr>
          <w:rFonts w:cs="Times New Roman"/>
        </w:rPr>
        <w:t xml:space="preserve"> and June 24</w:t>
      </w:r>
      <w:r>
        <w:rPr>
          <w:rFonts w:cs="Times New Roman"/>
        </w:rPr>
        <w:t>, 2024</w:t>
      </w:r>
      <w:r w:rsidR="00B9675D">
        <w:rPr>
          <w:rFonts w:cs="Times New Roman"/>
        </w:rPr>
        <w:t xml:space="preserve">, </w:t>
      </w:r>
      <w:r w:rsidR="004F2E25" w:rsidRPr="00037ACB">
        <w:rPr>
          <w:rFonts w:cs="Times New Roman"/>
        </w:rPr>
        <w:t xml:space="preserve">using </w:t>
      </w:r>
      <w:r>
        <w:rPr>
          <w:rFonts w:cs="Times New Roman"/>
        </w:rPr>
        <w:t xml:space="preserve">the </w:t>
      </w:r>
      <w:r w:rsidR="004F2E25" w:rsidRPr="00037ACB">
        <w:rPr>
          <w:rFonts w:cs="Times New Roman"/>
        </w:rPr>
        <w:t>LI‐6800 Portable Photosynthesis Systems and the attached Multiphase Flash Fluorometer (</w:t>
      </w:r>
      <w:r w:rsidR="00F677C8">
        <w:rPr>
          <w:rFonts w:cs="Times New Roman"/>
        </w:rPr>
        <w:t>6800- 01A</w:t>
      </w:r>
      <w:r w:rsidR="004F2E25" w:rsidRPr="00037ACB">
        <w:rPr>
          <w:rFonts w:cs="Times New Roman"/>
        </w:rPr>
        <w:t xml:space="preserve">) (LI‐COR, Biosciences, Lincoln, NE, USA). </w:t>
      </w:r>
      <w:r>
        <w:rPr>
          <w:rFonts w:cs="Times New Roman"/>
        </w:rPr>
        <w:t xml:space="preserve">One reading per </w:t>
      </w:r>
      <w:r w:rsidR="00BD1EAD">
        <w:rPr>
          <w:rFonts w:cs="Times New Roman"/>
        </w:rPr>
        <w:t>sub</w:t>
      </w:r>
      <w:r w:rsidR="004F2E25" w:rsidRPr="00037ACB">
        <w:rPr>
          <w:rFonts w:cs="Times New Roman"/>
        </w:rPr>
        <w:t>plot</w:t>
      </w:r>
      <w:r>
        <w:rPr>
          <w:rFonts w:cs="Times New Roman"/>
        </w:rPr>
        <w:t xml:space="preserve"> was taken</w:t>
      </w:r>
      <w:r w:rsidR="004F2E25" w:rsidRPr="00037ACB">
        <w:rPr>
          <w:rFonts w:cs="Times New Roman"/>
        </w:rPr>
        <w:t xml:space="preserve"> under </w:t>
      </w:r>
      <w:proofErr w:type="gramStart"/>
      <w:r w:rsidR="004F2E25" w:rsidRPr="00037ACB">
        <w:rPr>
          <w:rFonts w:cs="Times New Roman"/>
        </w:rPr>
        <w:t>steady‐state</w:t>
      </w:r>
      <w:proofErr w:type="gramEnd"/>
      <w:r w:rsidR="004F2E25" w:rsidRPr="00037ACB">
        <w:rPr>
          <w:rFonts w:cs="Times New Roman"/>
        </w:rPr>
        <w:t xml:space="preserve"> conditions over a 5-minute period.</w:t>
      </w:r>
      <w:r>
        <w:rPr>
          <w:rFonts w:cs="Times New Roman"/>
        </w:rPr>
        <w:t xml:space="preserve"> Measurements were performed at m</w:t>
      </w:r>
      <w:r w:rsidR="00B9675D">
        <w:rPr>
          <w:rFonts w:cs="Times New Roman"/>
        </w:rPr>
        <w:t xml:space="preserve">idday </w:t>
      </w:r>
      <w:r>
        <w:rPr>
          <w:rFonts w:cs="Times New Roman"/>
        </w:rPr>
        <w:t xml:space="preserve">and included </w:t>
      </w:r>
      <w:r w:rsidR="00B9675D">
        <w:rPr>
          <w:rFonts w:cs="Times New Roman"/>
        </w:rPr>
        <w:t xml:space="preserve">leaf instantaneous </w:t>
      </w:r>
      <w:r w:rsidR="00626B5A">
        <w:rPr>
          <w:rFonts w:cs="Times New Roman"/>
        </w:rPr>
        <w:t>p</w:t>
      </w:r>
      <w:r w:rsidR="00FE4DBB">
        <w:rPr>
          <w:rFonts w:cs="Times New Roman"/>
        </w:rPr>
        <w:t>hotosynthetic</w:t>
      </w:r>
      <w:r w:rsidR="00B9675D">
        <w:rPr>
          <w:rFonts w:cs="Times New Roman"/>
        </w:rPr>
        <w:t xml:space="preserve"> </w:t>
      </w:r>
      <w:r w:rsidR="00B9675D" w:rsidRPr="00B9675D">
        <w:rPr>
          <w:rFonts w:cs="Times New Roman"/>
        </w:rPr>
        <w:t>CO</w:t>
      </w:r>
      <w:r w:rsidR="00B9675D" w:rsidRPr="00B9675D">
        <w:rPr>
          <w:rFonts w:cs="Times New Roman"/>
          <w:vertAlign w:val="subscript"/>
        </w:rPr>
        <w:t>2</w:t>
      </w:r>
      <w:r w:rsidR="00B9675D">
        <w:rPr>
          <w:rFonts w:cs="Times New Roman"/>
        </w:rPr>
        <w:t xml:space="preserve"> </w:t>
      </w:r>
      <w:r w:rsidR="00FE4DBB">
        <w:rPr>
          <w:rFonts w:cs="Times New Roman"/>
        </w:rPr>
        <w:lastRenderedPageBreak/>
        <w:t>assimilation</w:t>
      </w:r>
      <w:r w:rsidR="00B9675D">
        <w:rPr>
          <w:rFonts w:cs="Times New Roman"/>
        </w:rPr>
        <w:t xml:space="preserve"> (</w:t>
      </w:r>
      <w:r w:rsidR="00B9675D" w:rsidRPr="00B9675D">
        <w:rPr>
          <w:rFonts w:cs="Times New Roman"/>
          <w:i/>
          <w:iCs/>
        </w:rPr>
        <w:t>A</w:t>
      </w:r>
      <w:r w:rsidR="00B9675D">
        <w:rPr>
          <w:rFonts w:cs="Times New Roman"/>
        </w:rPr>
        <w:t xml:space="preserve">) and </w:t>
      </w:r>
      <w:r w:rsidR="00626B5A">
        <w:rPr>
          <w:rFonts w:cs="Times New Roman"/>
        </w:rPr>
        <w:t>s</w:t>
      </w:r>
      <w:r w:rsidR="00B9675D">
        <w:rPr>
          <w:rFonts w:cs="Times New Roman"/>
        </w:rPr>
        <w:t>tomatal conductance (</w:t>
      </w:r>
      <w:proofErr w:type="spellStart"/>
      <w:r w:rsidR="00B9675D" w:rsidRPr="00B9675D">
        <w:rPr>
          <w:rFonts w:cs="Times New Roman"/>
          <w:i/>
          <w:iCs/>
        </w:rPr>
        <w:t>g</w:t>
      </w:r>
      <w:r w:rsidR="00B9675D" w:rsidRPr="00B9675D">
        <w:rPr>
          <w:rFonts w:cs="Times New Roman"/>
          <w:i/>
          <w:iCs/>
          <w:vertAlign w:val="subscript"/>
        </w:rPr>
        <w:t>s</w:t>
      </w:r>
      <w:r w:rsidR="00B9675D" w:rsidRPr="00B9675D">
        <w:rPr>
          <w:rFonts w:cs="Times New Roman"/>
          <w:i/>
          <w:iCs/>
        </w:rPr>
        <w:t>w</w:t>
      </w:r>
      <w:proofErr w:type="spellEnd"/>
      <w:r w:rsidR="00B9675D">
        <w:rPr>
          <w:rFonts w:cs="Times New Roman"/>
        </w:rPr>
        <w:t>)</w:t>
      </w:r>
      <w:r w:rsidR="00FA06E8">
        <w:rPr>
          <w:rFonts w:cs="Times New Roman"/>
        </w:rPr>
        <w:t>.</w:t>
      </w:r>
      <w:r w:rsidR="00B9675D">
        <w:rPr>
          <w:rFonts w:cs="Times New Roman"/>
        </w:rPr>
        <w:t xml:space="preserve"> </w:t>
      </w:r>
      <w:r>
        <w:rPr>
          <w:rFonts w:cs="Times New Roman"/>
        </w:rPr>
        <w:t xml:space="preserve">During </w:t>
      </w:r>
      <w:r w:rsidR="00B9675D" w:rsidRPr="00B9675D">
        <w:rPr>
          <w:rFonts w:cs="Times New Roman"/>
        </w:rPr>
        <w:t>data collection, CO</w:t>
      </w:r>
      <w:r w:rsidR="00B9675D" w:rsidRPr="00626B5A">
        <w:rPr>
          <w:rFonts w:cs="Times New Roman"/>
          <w:vertAlign w:val="subscript"/>
        </w:rPr>
        <w:t>2</w:t>
      </w:r>
      <w:r w:rsidR="00B9675D" w:rsidRPr="00B9675D">
        <w:rPr>
          <w:rFonts w:cs="Times New Roman"/>
        </w:rPr>
        <w:t xml:space="preserve"> concentration in the leaf chamber was </w:t>
      </w:r>
      <w:r>
        <w:rPr>
          <w:rFonts w:cs="Times New Roman"/>
        </w:rPr>
        <w:t>maintained</w:t>
      </w:r>
      <w:r w:rsidR="00B9675D" w:rsidRPr="00B9675D">
        <w:rPr>
          <w:rFonts w:cs="Times New Roman"/>
        </w:rPr>
        <w:t xml:space="preserve"> at 4</w:t>
      </w:r>
      <w:r w:rsidR="00B9675D">
        <w:rPr>
          <w:rFonts w:cs="Times New Roman"/>
        </w:rPr>
        <w:t>2</w:t>
      </w:r>
      <w:r w:rsidR="00B9675D" w:rsidRPr="00B9675D">
        <w:rPr>
          <w:rFonts w:cs="Times New Roman"/>
        </w:rPr>
        <w:t>0 µmol CO2 mol air</w:t>
      </w:r>
      <w:r w:rsidR="00B9675D" w:rsidRPr="00616475">
        <w:rPr>
          <w:rFonts w:cs="Times New Roman"/>
          <w:vertAlign w:val="superscript"/>
        </w:rPr>
        <w:t>-1</w:t>
      </w:r>
      <w:r w:rsidR="00B9675D" w:rsidRPr="00B9675D">
        <w:rPr>
          <w:rFonts w:cs="Times New Roman"/>
        </w:rPr>
        <w:t>.</w:t>
      </w:r>
      <w:r w:rsidR="00AF2C7C">
        <w:rPr>
          <w:rFonts w:cs="Times New Roman"/>
        </w:rPr>
        <w:t xml:space="preserve"> </w:t>
      </w:r>
      <w:r w:rsidR="00AF2C7C" w:rsidRPr="00AF2C7C">
        <w:rPr>
          <w:rFonts w:cs="Times New Roman"/>
        </w:rPr>
        <w:t xml:space="preserve">The chamber was set to </w:t>
      </w:r>
      <w:r>
        <w:rPr>
          <w:rFonts w:cs="Times New Roman"/>
        </w:rPr>
        <w:t xml:space="preserve">deliver </w:t>
      </w:r>
      <w:r w:rsidR="00AF2C7C">
        <w:rPr>
          <w:rFonts w:cs="Times New Roman"/>
        </w:rPr>
        <w:t>20</w:t>
      </w:r>
      <w:r w:rsidR="00AF2C7C" w:rsidRPr="00AF2C7C">
        <w:rPr>
          <w:rFonts w:cs="Times New Roman"/>
        </w:rPr>
        <w:t>00 </w:t>
      </w:r>
      <w:proofErr w:type="spellStart"/>
      <w:r w:rsidR="00AF2C7C" w:rsidRPr="00AF2C7C">
        <w:rPr>
          <w:rFonts w:cs="Times New Roman"/>
        </w:rPr>
        <w:t>μmol</w:t>
      </w:r>
      <w:proofErr w:type="spellEnd"/>
      <w:r w:rsidR="00AF2C7C" w:rsidRPr="00AF2C7C">
        <w:rPr>
          <w:rFonts w:cs="Times New Roman"/>
        </w:rPr>
        <w:t> m</w:t>
      </w:r>
      <w:r w:rsidR="00AF2C7C" w:rsidRPr="00AF2C7C">
        <w:rPr>
          <w:rFonts w:cs="Times New Roman"/>
          <w:vertAlign w:val="superscript"/>
        </w:rPr>
        <w:t>−2</w:t>
      </w:r>
      <w:r w:rsidR="00AF2C7C" w:rsidRPr="00AF2C7C">
        <w:rPr>
          <w:rFonts w:cs="Times New Roman"/>
        </w:rPr>
        <w:t> s</w:t>
      </w:r>
      <w:r w:rsidR="00AF2C7C" w:rsidRPr="00AF2C7C">
        <w:rPr>
          <w:rFonts w:cs="Times New Roman"/>
          <w:vertAlign w:val="superscript"/>
        </w:rPr>
        <w:t>−1</w:t>
      </w:r>
      <w:r w:rsidR="00AF2C7C" w:rsidRPr="00AF2C7C">
        <w:rPr>
          <w:rFonts w:cs="Times New Roman"/>
        </w:rPr>
        <w:t> of photosynthetically active radiation (PAR)</w:t>
      </w:r>
      <w:r w:rsidR="00AF2C7C">
        <w:rPr>
          <w:rFonts w:cs="Times New Roman"/>
        </w:rPr>
        <w:t xml:space="preserve">. </w:t>
      </w:r>
      <w:r>
        <w:rPr>
          <w:rFonts w:cs="Times New Roman"/>
        </w:rPr>
        <w:t>A</w:t>
      </w:r>
      <w:r w:rsidR="00AF2C7C">
        <w:rPr>
          <w:rFonts w:cs="Times New Roman"/>
        </w:rPr>
        <w:t>ir temperature was</w:t>
      </w:r>
      <w:r>
        <w:rPr>
          <w:rFonts w:cs="Times New Roman"/>
        </w:rPr>
        <w:t xml:space="preserve"> adjusted</w:t>
      </w:r>
      <w:r w:rsidR="00AF2C7C">
        <w:rPr>
          <w:rFonts w:cs="Times New Roman"/>
        </w:rPr>
        <w:t xml:space="preserve"> to match </w:t>
      </w:r>
      <w:r>
        <w:rPr>
          <w:rFonts w:cs="Times New Roman"/>
        </w:rPr>
        <w:t>ambient conditions</w:t>
      </w:r>
      <w:r w:rsidR="00AF2C7C">
        <w:rPr>
          <w:rFonts w:cs="Times New Roman"/>
        </w:rPr>
        <w:t>,</w:t>
      </w:r>
      <w:r w:rsidR="00AF2C7C">
        <w:rPr>
          <w:rFonts w:cs="Times New Roman"/>
        </w:rPr>
        <w:tab/>
        <w:t xml:space="preserve">and relative humidity was </w:t>
      </w:r>
      <w:r>
        <w:rPr>
          <w:rFonts w:cs="Times New Roman"/>
        </w:rPr>
        <w:t>maintained at approximately</w:t>
      </w:r>
      <w:r w:rsidR="00AF2C7C">
        <w:rPr>
          <w:rFonts w:cs="Times New Roman"/>
        </w:rPr>
        <w:t xml:space="preserve"> 60%</w:t>
      </w:r>
      <w:r>
        <w:rPr>
          <w:rFonts w:cs="Times New Roman"/>
        </w:rPr>
        <w:t>, in</w:t>
      </w:r>
      <w:r w:rsidR="00AF2C7C">
        <w:rPr>
          <w:rFonts w:cs="Times New Roman"/>
        </w:rPr>
        <w:t xml:space="preserve"> accor</w:t>
      </w:r>
      <w:r>
        <w:rPr>
          <w:rFonts w:cs="Times New Roman"/>
        </w:rPr>
        <w:t>dance</w:t>
      </w:r>
      <w:r w:rsidR="00AF2C7C">
        <w:rPr>
          <w:rFonts w:cs="Times New Roman"/>
        </w:rPr>
        <w:t xml:space="preserve"> </w:t>
      </w:r>
      <w:r>
        <w:rPr>
          <w:rFonts w:cs="Times New Roman"/>
        </w:rPr>
        <w:t xml:space="preserve">with </w:t>
      </w:r>
      <w:r w:rsidR="00AF2C7C">
        <w:rPr>
          <w:rFonts w:cs="Times New Roman"/>
        </w:rPr>
        <w:t xml:space="preserve">environmental </w:t>
      </w:r>
      <w:r>
        <w:rPr>
          <w:rFonts w:cs="Times New Roman"/>
        </w:rPr>
        <w:t>fluctuations</w:t>
      </w:r>
      <w:r w:rsidR="00AF2C7C">
        <w:rPr>
          <w:rFonts w:cs="Times New Roman"/>
        </w:rPr>
        <w:t>.</w:t>
      </w:r>
    </w:p>
    <w:p w14:paraId="5A6818E8" w14:textId="51DED31A" w:rsidR="00E4012D" w:rsidRPr="00037ACB" w:rsidRDefault="00E4012D" w:rsidP="00776576">
      <w:pPr>
        <w:pStyle w:val="Heading3"/>
        <w:spacing w:before="0" w:after="0" w:line="480" w:lineRule="auto"/>
        <w:rPr>
          <w:rFonts w:cs="Times New Roman"/>
          <w:szCs w:val="24"/>
        </w:rPr>
      </w:pPr>
      <w:bookmarkStart w:id="56" w:name="_Toc196315254"/>
      <w:r>
        <w:rPr>
          <w:rFonts w:cs="Times New Roman"/>
          <w:szCs w:val="24"/>
        </w:rPr>
        <w:t>Statistical Analysis</w:t>
      </w:r>
      <w:bookmarkEnd w:id="56"/>
    </w:p>
    <w:p w14:paraId="7E30AAA5" w14:textId="1EAC8319" w:rsidR="00E4012D" w:rsidRPr="001157BC" w:rsidRDefault="00E4012D" w:rsidP="00776576">
      <w:pPr>
        <w:spacing w:line="480" w:lineRule="auto"/>
        <w:ind w:firstLine="720"/>
        <w:rPr>
          <w:rFonts w:cs="Times New Roman"/>
        </w:rPr>
      </w:pPr>
      <w:r w:rsidRPr="00E4012D">
        <w:rPr>
          <w:rFonts w:cs="Times New Roman"/>
        </w:rPr>
        <w:t xml:space="preserve">The data was analyzed using the </w:t>
      </w:r>
      <w:r w:rsidR="00FA06E8">
        <w:rPr>
          <w:rFonts w:cs="Times New Roman"/>
        </w:rPr>
        <w:t>Linear</w:t>
      </w:r>
      <w:r w:rsidRPr="00E4012D">
        <w:rPr>
          <w:rFonts w:cs="Times New Roman"/>
        </w:rPr>
        <w:t xml:space="preserve"> model method (PROC MIXED</w:t>
      </w:r>
      <w:r w:rsidR="00626B5A">
        <w:rPr>
          <w:rFonts w:cs="Times New Roman"/>
        </w:rPr>
        <w:t>)</w:t>
      </w:r>
      <w:r w:rsidRPr="00E4012D">
        <w:rPr>
          <w:rFonts w:cs="Times New Roman"/>
        </w:rPr>
        <w:t xml:space="preserve">, software SAS®️, version 9.4; SAS®️ Institute Inc., Cary, NC, EUA). </w:t>
      </w:r>
      <w:proofErr w:type="gramStart"/>
      <w:r w:rsidR="001157BC" w:rsidRPr="00E4012D">
        <w:rPr>
          <w:rFonts w:cs="Times New Roman"/>
        </w:rPr>
        <w:t>Block</w:t>
      </w:r>
      <w:proofErr w:type="gramEnd"/>
      <w:r w:rsidRPr="00E4012D">
        <w:rPr>
          <w:rFonts w:cs="Times New Roman"/>
        </w:rPr>
        <w:t xml:space="preserve"> were considered </w:t>
      </w:r>
      <w:r w:rsidR="00006122">
        <w:rPr>
          <w:rFonts w:cs="Times New Roman"/>
        </w:rPr>
        <w:t>r</w:t>
      </w:r>
      <w:r w:rsidR="00006122" w:rsidRPr="00E4012D">
        <w:rPr>
          <w:rFonts w:cs="Times New Roman"/>
        </w:rPr>
        <w:t xml:space="preserve">andom </w:t>
      </w:r>
      <w:r w:rsidR="00FA06E8">
        <w:rPr>
          <w:rFonts w:cs="Times New Roman"/>
        </w:rPr>
        <w:t>effects</w:t>
      </w:r>
      <w:r w:rsidR="00006122">
        <w:rPr>
          <w:rFonts w:cs="Times New Roman"/>
        </w:rPr>
        <w:t>,</w:t>
      </w:r>
      <w:r w:rsidRPr="00E4012D">
        <w:rPr>
          <w:rFonts w:cs="Times New Roman"/>
        </w:rPr>
        <w:t xml:space="preserve"> while </w:t>
      </w:r>
      <w:r w:rsidR="00143261">
        <w:rPr>
          <w:rFonts w:cs="Times New Roman"/>
        </w:rPr>
        <w:t>i</w:t>
      </w:r>
      <w:r w:rsidR="0041192A">
        <w:rPr>
          <w:rFonts w:cs="Times New Roman"/>
        </w:rPr>
        <w:t>noculation,</w:t>
      </w:r>
      <w:r w:rsidRPr="00E4012D">
        <w:rPr>
          <w:rFonts w:cs="Times New Roman"/>
        </w:rPr>
        <w:t xml:space="preserve"> </w:t>
      </w:r>
      <w:r w:rsidR="00E94C04">
        <w:t>N strategies</w:t>
      </w:r>
      <w:r w:rsidR="0041192A">
        <w:t>, and year</w:t>
      </w:r>
      <w:r w:rsidR="00E94C04">
        <w:t xml:space="preserve"> </w:t>
      </w:r>
      <w:r w:rsidRPr="00E4012D">
        <w:rPr>
          <w:rFonts w:cs="Times New Roman"/>
        </w:rPr>
        <w:t>were considered fixed effects.</w:t>
      </w:r>
    </w:p>
    <w:p w14:paraId="5A4FBBBA" w14:textId="6EAEAF30" w:rsidR="00143261" w:rsidRPr="00761497" w:rsidRDefault="001157BC" w:rsidP="00776576">
      <w:pPr>
        <w:spacing w:line="480" w:lineRule="auto"/>
        <w:ind w:firstLine="720"/>
        <w:rPr>
          <w:lang w:val="en"/>
        </w:rPr>
      </w:pPr>
      <w:r>
        <w:rPr>
          <w:lang w:val="en"/>
        </w:rPr>
        <w:t xml:space="preserve">The Akaike Information Criterion (AIC) (Wolfinger, 1993) was used to choose the </w:t>
      </w:r>
      <w:r w:rsidR="00E35856">
        <w:rPr>
          <w:lang w:val="en"/>
        </w:rPr>
        <w:t>variance and covariance matrix</w:t>
      </w:r>
      <w:r>
        <w:rPr>
          <w:lang w:val="en"/>
        </w:rPr>
        <w:t>. The means of treatment were estimated by the "LSMEANS" and the comparisons between them were made by the probability of the difference "PDIFF", using the student’s "t" test at the level of 5% significance.</w:t>
      </w:r>
      <w:bookmarkStart w:id="57" w:name="OLE_LINK1"/>
    </w:p>
    <w:p w14:paraId="533453F1" w14:textId="772B7C62" w:rsidR="00E4665E" w:rsidRDefault="00E4665E" w:rsidP="00776576">
      <w:pPr>
        <w:pStyle w:val="Heading2"/>
        <w:spacing w:before="0" w:after="0" w:line="480" w:lineRule="auto"/>
        <w:rPr>
          <w:rFonts w:cs="Times New Roman"/>
          <w:szCs w:val="24"/>
        </w:rPr>
      </w:pPr>
      <w:bookmarkStart w:id="58" w:name="_Toc196315255"/>
      <w:r w:rsidRPr="00037ACB">
        <w:rPr>
          <w:rFonts w:cs="Times New Roman"/>
          <w:szCs w:val="24"/>
        </w:rPr>
        <w:t xml:space="preserve">Results </w:t>
      </w:r>
      <w:r w:rsidR="00B7087F">
        <w:rPr>
          <w:rFonts w:cs="Times New Roman"/>
          <w:szCs w:val="24"/>
        </w:rPr>
        <w:t>and Discussion</w:t>
      </w:r>
      <w:bookmarkEnd w:id="58"/>
    </w:p>
    <w:p w14:paraId="294D39EF" w14:textId="6628FE87" w:rsidR="00EA0830" w:rsidRDefault="00EA0830" w:rsidP="00776576">
      <w:pPr>
        <w:pStyle w:val="Heading3"/>
        <w:spacing w:before="0" w:after="0" w:line="480" w:lineRule="auto"/>
        <w:rPr>
          <w:rFonts w:cs="Times New Roman"/>
          <w:szCs w:val="24"/>
        </w:rPr>
      </w:pPr>
      <w:bookmarkStart w:id="59" w:name="_Toc196315256"/>
      <w:r>
        <w:rPr>
          <w:rFonts w:cs="Times New Roman"/>
          <w:szCs w:val="24"/>
        </w:rPr>
        <w:t>Weather</w:t>
      </w:r>
      <w:bookmarkEnd w:id="59"/>
    </w:p>
    <w:p w14:paraId="34A79669" w14:textId="19F5542E" w:rsidR="007C26BD" w:rsidRDefault="00F5569A" w:rsidP="00776576">
      <w:pPr>
        <w:spacing w:line="480" w:lineRule="auto"/>
        <w:ind w:firstLine="720"/>
      </w:pPr>
      <w:r w:rsidRPr="003E0A16">
        <w:rPr>
          <w:b/>
          <w:bCs/>
        </w:rPr>
        <w:t>Figure A.1</w:t>
      </w:r>
      <w:r>
        <w:t xml:space="preserve"> shows the m</w:t>
      </w:r>
      <w:r w:rsidR="00EA0830">
        <w:t xml:space="preserve">onthly average </w:t>
      </w:r>
      <w:r w:rsidR="006A4959">
        <w:t xml:space="preserve">temperatures </w:t>
      </w:r>
      <w:r w:rsidR="00EA0830">
        <w:t xml:space="preserve">for 2023 </w:t>
      </w:r>
      <w:r w:rsidR="00006122">
        <w:t xml:space="preserve">and </w:t>
      </w:r>
      <w:r w:rsidR="00EA0830">
        <w:t>2024</w:t>
      </w:r>
      <w:r w:rsidR="00006122">
        <w:t>,</w:t>
      </w:r>
      <w:r w:rsidR="00EA0830">
        <w:t xml:space="preserve"> and the 30</w:t>
      </w:r>
      <w:r w:rsidR="006A4959">
        <w:t>-year</w:t>
      </w:r>
      <w:r w:rsidR="00EA0830">
        <w:t xml:space="preserve"> average </w:t>
      </w:r>
      <w:r w:rsidR="006A4959">
        <w:t xml:space="preserve">for </w:t>
      </w:r>
      <w:r>
        <w:t xml:space="preserve">Crossville, </w:t>
      </w:r>
      <w:r w:rsidR="00626B5A">
        <w:t>TN</w:t>
      </w:r>
      <w:r w:rsidR="007C26BD">
        <w:t xml:space="preserve">. Temperatures </w:t>
      </w:r>
      <w:r w:rsidR="006A4959">
        <w:t xml:space="preserve">in </w:t>
      </w:r>
      <w:r w:rsidR="007C26BD">
        <w:t xml:space="preserve">2023 and 2024 </w:t>
      </w:r>
      <w:r w:rsidR="006A4959">
        <w:t xml:space="preserve">were generally consistent with the </w:t>
      </w:r>
      <w:r w:rsidR="007C26BD">
        <w:t>30</w:t>
      </w:r>
      <w:r w:rsidR="006A4959">
        <w:t>-year</w:t>
      </w:r>
      <w:r w:rsidR="007C26BD">
        <w:t xml:space="preserve"> average</w:t>
      </w:r>
      <w:r w:rsidR="00EB67C6">
        <w:t xml:space="preserve"> (</w:t>
      </w:r>
      <w:r w:rsidR="00EB67C6" w:rsidRPr="003E0A16">
        <w:rPr>
          <w:b/>
          <w:bCs/>
        </w:rPr>
        <w:t xml:space="preserve">Figure </w:t>
      </w:r>
      <w:r w:rsidR="005558DE" w:rsidRPr="003E0A16">
        <w:rPr>
          <w:b/>
          <w:bCs/>
        </w:rPr>
        <w:t>A</w:t>
      </w:r>
      <w:r w:rsidR="00EB67C6" w:rsidRPr="003E0A16">
        <w:rPr>
          <w:b/>
          <w:bCs/>
        </w:rPr>
        <w:t>.1</w:t>
      </w:r>
      <w:r w:rsidR="00EB67C6">
        <w:t>)</w:t>
      </w:r>
      <w:r w:rsidR="006A4959">
        <w:t>.</w:t>
      </w:r>
      <w:r w:rsidR="007C26BD">
        <w:t xml:space="preserve"> </w:t>
      </w:r>
      <w:r w:rsidR="006A4959">
        <w:t>T</w:t>
      </w:r>
      <w:r w:rsidR="007C26BD">
        <w:t>he average temperature from April to October</w:t>
      </w:r>
      <w:r w:rsidR="006A4959">
        <w:t xml:space="preserve"> was</w:t>
      </w:r>
      <w:r w:rsidR="007C26BD">
        <w:t xml:space="preserve"> </w:t>
      </w:r>
      <w:r w:rsidR="006A4959">
        <w:t>17.5</w:t>
      </w:r>
      <w:r w:rsidR="006A4959" w:rsidRPr="007C26BD">
        <w:t>ºC</w:t>
      </w:r>
      <w:r w:rsidR="006A4959">
        <w:t xml:space="preserve"> </w:t>
      </w:r>
      <w:r w:rsidR="007C26BD">
        <w:t xml:space="preserve">in 2023 and </w:t>
      </w:r>
      <w:r w:rsidR="006A4959">
        <w:t>18.9</w:t>
      </w:r>
      <w:r w:rsidR="006A4959" w:rsidRPr="007C26BD">
        <w:t>ºC</w:t>
      </w:r>
      <w:r w:rsidR="006A4959">
        <w:t xml:space="preserve"> in </w:t>
      </w:r>
      <w:r w:rsidR="007C26BD">
        <w:t>2024</w:t>
      </w:r>
      <w:r w:rsidR="006A4959">
        <w:t xml:space="preserve">, compared to </w:t>
      </w:r>
      <w:r w:rsidR="00FA06E8">
        <w:t>the 30</w:t>
      </w:r>
      <w:r w:rsidR="006A4959">
        <w:t>-year</w:t>
      </w:r>
      <w:r w:rsidR="007C26BD">
        <w:t xml:space="preserve"> average </w:t>
      </w:r>
      <w:r w:rsidR="006A4959">
        <w:t xml:space="preserve">of </w:t>
      </w:r>
      <w:r w:rsidR="007C26BD">
        <w:t>18</w:t>
      </w:r>
      <w:r w:rsidR="007C26BD" w:rsidRPr="007C26BD">
        <w:t>ºC</w:t>
      </w:r>
      <w:r w:rsidR="007C26BD">
        <w:t>.</w:t>
      </w:r>
    </w:p>
    <w:p w14:paraId="14CF4766" w14:textId="1B8360BB" w:rsidR="00F677C8" w:rsidRDefault="00BA706A" w:rsidP="00776576">
      <w:pPr>
        <w:spacing w:line="480" w:lineRule="auto"/>
      </w:pPr>
      <w:r>
        <w:lastRenderedPageBreak/>
        <w:t xml:space="preserve">During </w:t>
      </w:r>
      <w:r w:rsidR="00B067DD">
        <w:t xml:space="preserve">the </w:t>
      </w:r>
      <w:r>
        <w:t xml:space="preserve">experimental </w:t>
      </w:r>
      <w:r w:rsidR="00B067DD">
        <w:t xml:space="preserve">period, 2024 </w:t>
      </w:r>
      <w:r>
        <w:t>experienced</w:t>
      </w:r>
      <w:r w:rsidR="00B067DD">
        <w:t xml:space="preserve"> precipitation variations, especially in June and August, with a decrease of 73.2% and 80.5%</w:t>
      </w:r>
      <w:r>
        <w:t>, respectively,</w:t>
      </w:r>
      <w:r w:rsidR="00F677C8">
        <w:t xml:space="preserve"> </w:t>
      </w:r>
      <w:r w:rsidR="00B067DD">
        <w:t>compared to the 30</w:t>
      </w:r>
      <w:r>
        <w:t>-</w:t>
      </w:r>
      <w:r w:rsidR="00B067DD">
        <w:t>y</w:t>
      </w:r>
      <w:r>
        <w:t>ear</w:t>
      </w:r>
      <w:r w:rsidR="00B067DD">
        <w:t xml:space="preserve"> average</w:t>
      </w:r>
      <w:r w:rsidR="005558DE">
        <w:t xml:space="preserve"> (</w:t>
      </w:r>
      <w:r w:rsidR="005558DE" w:rsidRPr="003E0A16">
        <w:rPr>
          <w:b/>
          <w:bCs/>
        </w:rPr>
        <w:t>Figure A.2</w:t>
      </w:r>
      <w:r w:rsidR="005558DE">
        <w:t>)</w:t>
      </w:r>
      <w:r>
        <w:t>.</w:t>
      </w:r>
    </w:p>
    <w:p w14:paraId="3C88C883" w14:textId="7A1D9976" w:rsidR="005E2BFA" w:rsidRDefault="008E3BEF" w:rsidP="00776576">
      <w:pPr>
        <w:pStyle w:val="Heading3"/>
        <w:spacing w:before="0" w:after="0" w:line="480" w:lineRule="auto"/>
        <w:rPr>
          <w:rFonts w:cs="Times New Roman"/>
          <w:szCs w:val="24"/>
        </w:rPr>
      </w:pPr>
      <w:bookmarkStart w:id="60" w:name="_Toc196315257"/>
      <w:r>
        <w:rPr>
          <w:rFonts w:cs="Times New Roman"/>
          <w:szCs w:val="24"/>
        </w:rPr>
        <w:t xml:space="preserve">Average </w:t>
      </w:r>
      <w:r w:rsidR="005E2BFA">
        <w:rPr>
          <w:rFonts w:cs="Times New Roman"/>
          <w:szCs w:val="24"/>
        </w:rPr>
        <w:t>Forage mass</w:t>
      </w:r>
      <w:bookmarkEnd w:id="60"/>
    </w:p>
    <w:p w14:paraId="01092E4E" w14:textId="07AF51EB" w:rsidR="00394D63" w:rsidRDefault="008E3BEF" w:rsidP="00776576">
      <w:pPr>
        <w:spacing w:line="480" w:lineRule="auto"/>
        <w:ind w:firstLine="720"/>
        <w:rPr>
          <w:rFonts w:cs="Times New Roman"/>
        </w:rPr>
      </w:pPr>
      <w:r>
        <w:rPr>
          <w:rFonts w:cs="Times New Roman"/>
        </w:rPr>
        <w:t>Average FM</w:t>
      </w:r>
      <w:r w:rsidR="005E2BFA" w:rsidRPr="005E2BFA">
        <w:rPr>
          <w:rFonts w:cs="Times New Roman"/>
        </w:rPr>
        <w:t xml:space="preserve"> w</w:t>
      </w:r>
      <w:r w:rsidR="001D3CE0">
        <w:rPr>
          <w:rFonts w:cs="Times New Roman"/>
        </w:rPr>
        <w:t>as not</w:t>
      </w:r>
      <w:r w:rsidR="005E2BFA" w:rsidRPr="005E2BFA">
        <w:rPr>
          <w:rFonts w:cs="Times New Roman"/>
        </w:rPr>
        <w:t xml:space="preserve"> affected by the </w:t>
      </w:r>
      <w:r>
        <w:rPr>
          <w:rFonts w:cs="Times New Roman"/>
        </w:rPr>
        <w:t xml:space="preserve">interaction between </w:t>
      </w:r>
      <w:r w:rsidR="00B7087F">
        <w:rPr>
          <w:rFonts w:cs="Times New Roman"/>
        </w:rPr>
        <w:t xml:space="preserve">inoculation </w:t>
      </w:r>
      <w:r w:rsidR="005E2BFA" w:rsidRPr="005E2BFA">
        <w:rPr>
          <w:rFonts w:cs="Times New Roman"/>
        </w:rPr>
        <w:t xml:space="preserve">× </w:t>
      </w:r>
      <w:r w:rsidR="006471A3">
        <w:t>N strategies</w:t>
      </w:r>
      <w:r w:rsidR="005E2BFA" w:rsidRPr="005E2BFA">
        <w:rPr>
          <w:rFonts w:cs="Times New Roman"/>
        </w:rPr>
        <w:t xml:space="preserve"> (</w:t>
      </w:r>
      <w:r w:rsidR="005E2BFA" w:rsidRPr="00E96EE0">
        <w:rPr>
          <w:rFonts w:cs="Times New Roman"/>
          <w:i/>
          <w:iCs/>
        </w:rPr>
        <w:t>P</w:t>
      </w:r>
      <w:r w:rsidR="005E2BFA" w:rsidRPr="005E2BFA">
        <w:rPr>
          <w:rFonts w:cs="Times New Roman"/>
        </w:rPr>
        <w:t xml:space="preserve"> = .</w:t>
      </w:r>
      <w:r w:rsidR="005D1462">
        <w:rPr>
          <w:rFonts w:cs="Times New Roman"/>
        </w:rPr>
        <w:t>8504</w:t>
      </w:r>
      <w:r w:rsidR="005E2BFA" w:rsidRPr="005E2BFA">
        <w:rPr>
          <w:rFonts w:cs="Times New Roman"/>
        </w:rPr>
        <w:t>)</w:t>
      </w:r>
      <w:r w:rsidR="00FB471F">
        <w:rPr>
          <w:rFonts w:cs="Times New Roman"/>
        </w:rPr>
        <w:t xml:space="preserve"> (</w:t>
      </w:r>
      <w:r w:rsidR="00B7087F" w:rsidRPr="00767A67">
        <w:rPr>
          <w:rFonts w:cs="Times New Roman"/>
          <w:b/>
          <w:bCs/>
        </w:rPr>
        <w:t xml:space="preserve">Table </w:t>
      </w:r>
      <w:r w:rsidR="00292F9A" w:rsidRPr="00767A67">
        <w:rPr>
          <w:rFonts w:cs="Times New Roman"/>
          <w:b/>
          <w:bCs/>
        </w:rPr>
        <w:t>2.1</w:t>
      </w:r>
      <w:r w:rsidR="00FB471F">
        <w:rPr>
          <w:rFonts w:cs="Times New Roman"/>
        </w:rPr>
        <w:t>)</w:t>
      </w:r>
      <w:r w:rsidR="005E2BFA" w:rsidRPr="005E2BFA">
        <w:rPr>
          <w:rFonts w:cs="Times New Roman"/>
        </w:rPr>
        <w:t xml:space="preserve">. </w:t>
      </w:r>
      <w:r w:rsidR="00DE4BB6">
        <w:rPr>
          <w:rFonts w:cs="Times New Roman"/>
        </w:rPr>
        <w:t>However,</w:t>
      </w:r>
      <w:r w:rsidR="00FB471F">
        <w:rPr>
          <w:rFonts w:cs="Times New Roman"/>
        </w:rPr>
        <w:t xml:space="preserve"> </w:t>
      </w:r>
      <w:r w:rsidR="00C437C9">
        <w:rPr>
          <w:rFonts w:cs="Times New Roman"/>
        </w:rPr>
        <w:t>a</w:t>
      </w:r>
      <w:r>
        <w:rPr>
          <w:rFonts w:cs="Times New Roman"/>
        </w:rPr>
        <w:t xml:space="preserve"> significant interaction between</w:t>
      </w:r>
      <w:r w:rsidR="00C437C9">
        <w:rPr>
          <w:rFonts w:cs="Times New Roman"/>
        </w:rPr>
        <w:t xml:space="preserve"> </w:t>
      </w:r>
      <w:r w:rsidR="009A57A5">
        <w:t>N strategy</w:t>
      </w:r>
      <w:r w:rsidR="00D82451">
        <w:t xml:space="preserve"> </w:t>
      </w:r>
      <w:r w:rsidR="00D82451" w:rsidRPr="005E2BFA">
        <w:rPr>
          <w:rFonts w:cs="Times New Roman"/>
        </w:rPr>
        <w:t>×</w:t>
      </w:r>
      <w:r w:rsidR="00D82451">
        <w:rPr>
          <w:rFonts w:cs="Times New Roman"/>
        </w:rPr>
        <w:t xml:space="preserve"> year</w:t>
      </w:r>
      <w:r w:rsidR="00F03F76">
        <w:rPr>
          <w:rFonts w:cs="Times New Roman"/>
        </w:rPr>
        <w:t xml:space="preserve"> </w:t>
      </w:r>
      <w:r>
        <w:rPr>
          <w:rFonts w:cs="Times New Roman"/>
        </w:rPr>
        <w:t xml:space="preserve">was shown </w:t>
      </w:r>
      <w:r w:rsidR="00DE4BB6">
        <w:rPr>
          <w:rFonts w:cs="Times New Roman"/>
        </w:rPr>
        <w:t>(</w:t>
      </w:r>
      <w:r w:rsidR="00FA06E8" w:rsidRPr="00FA06E8">
        <w:rPr>
          <w:rFonts w:cs="Times New Roman"/>
          <w:i/>
          <w:iCs/>
        </w:rPr>
        <w:t>P</w:t>
      </w:r>
      <w:r w:rsidR="00FA06E8">
        <w:rPr>
          <w:rFonts w:cs="Times New Roman"/>
        </w:rPr>
        <w:t xml:space="preserve"> </w:t>
      </w:r>
      <w:r w:rsidR="00DE4BB6">
        <w:rPr>
          <w:rFonts w:cs="Times New Roman"/>
        </w:rPr>
        <w:t>&lt; .0001)</w:t>
      </w:r>
      <w:r>
        <w:rPr>
          <w:rFonts w:cs="Times New Roman"/>
        </w:rPr>
        <w:t>, indicating</w:t>
      </w:r>
      <w:r w:rsidR="00293B6D">
        <w:rPr>
          <w:rFonts w:cs="Times New Roman"/>
        </w:rPr>
        <w:t xml:space="preserve"> </w:t>
      </w:r>
      <w:r w:rsidR="00B7087F">
        <w:rPr>
          <w:rFonts w:cs="Times New Roman"/>
        </w:rPr>
        <w:t xml:space="preserve">that </w:t>
      </w:r>
      <w:r>
        <w:rPr>
          <w:rFonts w:cs="Times New Roman"/>
        </w:rPr>
        <w:t xml:space="preserve">greater </w:t>
      </w:r>
      <w:r w:rsidR="00293B6D">
        <w:rPr>
          <w:rFonts w:cs="Times New Roman"/>
        </w:rPr>
        <w:t xml:space="preserve">N </w:t>
      </w:r>
      <w:r>
        <w:rPr>
          <w:rFonts w:cs="Times New Roman"/>
        </w:rPr>
        <w:t xml:space="preserve">inputs </w:t>
      </w:r>
      <w:r w:rsidR="00293B6D">
        <w:rPr>
          <w:rFonts w:cs="Times New Roman"/>
        </w:rPr>
        <w:t>increase</w:t>
      </w:r>
      <w:r w:rsidR="00B7087F">
        <w:rPr>
          <w:rFonts w:cs="Times New Roman"/>
        </w:rPr>
        <w:t>d</w:t>
      </w:r>
      <w:r w:rsidR="00293B6D">
        <w:rPr>
          <w:rFonts w:cs="Times New Roman"/>
        </w:rPr>
        <w:t xml:space="preserve"> average </w:t>
      </w:r>
      <w:r w:rsidR="00B7087F">
        <w:rPr>
          <w:rFonts w:cs="Times New Roman"/>
        </w:rPr>
        <w:t>FM</w:t>
      </w:r>
      <w:r w:rsidR="00293B6D">
        <w:rPr>
          <w:rFonts w:cs="Times New Roman"/>
        </w:rPr>
        <w:t xml:space="preserve"> production </w:t>
      </w:r>
      <w:r w:rsidR="00D82451">
        <w:rPr>
          <w:rFonts w:cs="Times New Roman"/>
        </w:rPr>
        <w:t>in year 1</w:t>
      </w:r>
      <w:r w:rsidR="0041192A">
        <w:rPr>
          <w:rFonts w:cs="Times New Roman"/>
        </w:rPr>
        <w:t xml:space="preserve"> (</w:t>
      </w:r>
      <w:r w:rsidR="0041192A" w:rsidRPr="00D82451">
        <w:rPr>
          <w:rFonts w:cs="Times New Roman"/>
          <w:b/>
          <w:bCs/>
        </w:rPr>
        <w:t>Table 2.2</w:t>
      </w:r>
      <w:r w:rsidR="0041192A">
        <w:rPr>
          <w:rFonts w:cs="Times New Roman"/>
        </w:rPr>
        <w:t>)</w:t>
      </w:r>
      <w:r w:rsidR="00294083">
        <w:rPr>
          <w:rFonts w:cs="Times New Roman"/>
        </w:rPr>
        <w:t>.</w:t>
      </w:r>
      <w:r w:rsidR="00CC47D5">
        <w:rPr>
          <w:rFonts w:cs="Times New Roman"/>
        </w:rPr>
        <w:t xml:space="preserve"> </w:t>
      </w:r>
      <w:r>
        <w:rPr>
          <w:rFonts w:cs="Times New Roman"/>
        </w:rPr>
        <w:t xml:space="preserve">Specifically, treatment A-67 produced the greatest FM </w:t>
      </w:r>
      <w:r w:rsidR="002B0F57">
        <w:rPr>
          <w:rFonts w:cs="Times New Roman"/>
        </w:rPr>
        <w:t>(</w:t>
      </w:r>
      <w:r w:rsidR="00D82451">
        <w:rPr>
          <w:rFonts w:cs="Times New Roman"/>
        </w:rPr>
        <w:t>2606</w:t>
      </w:r>
      <w:r w:rsidR="002B0F57">
        <w:rPr>
          <w:rFonts w:cs="Times New Roman"/>
        </w:rPr>
        <w:t xml:space="preserve"> kg DM ha</w:t>
      </w:r>
      <w:r w:rsidR="002B0F57" w:rsidRPr="00E96EE0">
        <w:rPr>
          <w:rFonts w:cs="Times New Roman"/>
          <w:vertAlign w:val="superscript"/>
        </w:rPr>
        <w:t>-1</w:t>
      </w:r>
      <w:r w:rsidR="002B0F57">
        <w:rPr>
          <w:rFonts w:cs="Times New Roman"/>
        </w:rPr>
        <w:t>)</w:t>
      </w:r>
      <w:r>
        <w:rPr>
          <w:rFonts w:cs="Times New Roman"/>
        </w:rPr>
        <w:t>, outperforming</w:t>
      </w:r>
      <w:r w:rsidR="002B0F57">
        <w:rPr>
          <w:rFonts w:cs="Times New Roman"/>
        </w:rPr>
        <w:t xml:space="preserve"> U-67 (</w:t>
      </w:r>
      <w:r w:rsidR="00D82451">
        <w:rPr>
          <w:rFonts w:cs="Times New Roman"/>
        </w:rPr>
        <w:t>2015</w:t>
      </w:r>
      <w:r w:rsidR="00575C17">
        <w:rPr>
          <w:rFonts w:cs="Times New Roman"/>
        </w:rPr>
        <w:t xml:space="preserve"> kg DM ha</w:t>
      </w:r>
      <w:r w:rsidR="00575C17" w:rsidRPr="00E96EE0">
        <w:rPr>
          <w:rFonts w:cs="Times New Roman"/>
          <w:vertAlign w:val="superscript"/>
        </w:rPr>
        <w:t>-1</w:t>
      </w:r>
      <w:r w:rsidR="002B0F57">
        <w:rPr>
          <w:rFonts w:cs="Times New Roman"/>
        </w:rPr>
        <w:t xml:space="preserve">) </w:t>
      </w:r>
      <w:r w:rsidR="00B4760C">
        <w:rPr>
          <w:rFonts w:cs="Times New Roman"/>
        </w:rPr>
        <w:t>(</w:t>
      </w:r>
      <w:r w:rsidR="00D82451" w:rsidRPr="00D82451">
        <w:rPr>
          <w:rFonts w:cs="Times New Roman"/>
          <w:b/>
          <w:bCs/>
        </w:rPr>
        <w:t>Table 2.2</w:t>
      </w:r>
      <w:r w:rsidR="00B4760C">
        <w:rPr>
          <w:rFonts w:cs="Times New Roman"/>
        </w:rPr>
        <w:t>)</w:t>
      </w:r>
      <w:r>
        <w:rPr>
          <w:rFonts w:cs="Times New Roman"/>
        </w:rPr>
        <w:t xml:space="preserve">. In </w:t>
      </w:r>
      <w:proofErr w:type="gramStart"/>
      <w:r>
        <w:rPr>
          <w:rFonts w:cs="Times New Roman"/>
        </w:rPr>
        <w:t xml:space="preserve">contrast, </w:t>
      </w:r>
      <w:r w:rsidR="002B0F57">
        <w:rPr>
          <w:rFonts w:cs="Times New Roman"/>
        </w:rPr>
        <w:t xml:space="preserve"> </w:t>
      </w:r>
      <w:r w:rsidR="00292F9A">
        <w:rPr>
          <w:rFonts w:cs="Times New Roman"/>
        </w:rPr>
        <w:t>A</w:t>
      </w:r>
      <w:proofErr w:type="gramEnd"/>
      <w:r w:rsidR="00292F9A">
        <w:rPr>
          <w:rFonts w:cs="Times New Roman"/>
        </w:rPr>
        <w:t xml:space="preserve">-33 </w:t>
      </w:r>
      <w:r w:rsidR="00C1789F">
        <w:rPr>
          <w:rFonts w:cs="Times New Roman"/>
        </w:rPr>
        <w:t>(</w:t>
      </w:r>
      <w:r w:rsidR="00D82451">
        <w:rPr>
          <w:rFonts w:cs="Times New Roman"/>
        </w:rPr>
        <w:t>1777</w:t>
      </w:r>
      <w:r w:rsidR="00C1789F">
        <w:rPr>
          <w:rFonts w:cs="Times New Roman"/>
        </w:rPr>
        <w:t xml:space="preserve"> kg DM ha</w:t>
      </w:r>
      <w:r w:rsidR="00C1789F" w:rsidRPr="00C1789F">
        <w:rPr>
          <w:rFonts w:cs="Times New Roman"/>
          <w:vertAlign w:val="superscript"/>
        </w:rPr>
        <w:t>-1</w:t>
      </w:r>
      <w:r w:rsidR="00C1789F">
        <w:rPr>
          <w:rFonts w:cs="Times New Roman"/>
        </w:rPr>
        <w:t xml:space="preserve">) </w:t>
      </w:r>
      <w:r w:rsidR="002B0F57">
        <w:rPr>
          <w:rFonts w:cs="Times New Roman"/>
        </w:rPr>
        <w:t xml:space="preserve">did not differ from </w:t>
      </w:r>
      <w:r w:rsidR="00292F9A">
        <w:rPr>
          <w:rFonts w:cs="Times New Roman"/>
        </w:rPr>
        <w:t>U-33</w:t>
      </w:r>
      <w:r w:rsidR="00C1789F">
        <w:rPr>
          <w:rFonts w:cs="Times New Roman"/>
        </w:rPr>
        <w:t xml:space="preserve"> (</w:t>
      </w:r>
      <w:r w:rsidR="00D82451">
        <w:rPr>
          <w:rFonts w:cs="Times New Roman"/>
        </w:rPr>
        <w:t>1688</w:t>
      </w:r>
      <w:r w:rsidR="00C1789F">
        <w:rPr>
          <w:rFonts w:cs="Times New Roman"/>
        </w:rPr>
        <w:t xml:space="preserve"> kg DM ha</w:t>
      </w:r>
      <w:r w:rsidR="00C1789F" w:rsidRPr="00C1789F">
        <w:rPr>
          <w:rFonts w:cs="Times New Roman"/>
          <w:vertAlign w:val="superscript"/>
        </w:rPr>
        <w:t>-1</w:t>
      </w:r>
      <w:r w:rsidR="00C1789F">
        <w:rPr>
          <w:rFonts w:cs="Times New Roman"/>
        </w:rPr>
        <w:t>)</w:t>
      </w:r>
      <w:r w:rsidR="002B0F57">
        <w:rPr>
          <w:rFonts w:cs="Times New Roman"/>
        </w:rPr>
        <w:t xml:space="preserve">. The control </w:t>
      </w:r>
      <w:r>
        <w:rPr>
          <w:rFonts w:cs="Times New Roman"/>
        </w:rPr>
        <w:t xml:space="preserve">treatment consistently </w:t>
      </w:r>
      <w:r w:rsidR="001420A6">
        <w:rPr>
          <w:rFonts w:cs="Times New Roman"/>
        </w:rPr>
        <w:t xml:space="preserve">had the lowest FM, averaging </w:t>
      </w:r>
      <w:r w:rsidR="0041192A">
        <w:rPr>
          <w:rFonts w:cs="Times New Roman"/>
        </w:rPr>
        <w:t>40</w:t>
      </w:r>
      <w:r w:rsidR="00121143">
        <w:rPr>
          <w:rFonts w:cs="Times New Roman"/>
        </w:rPr>
        <w:t xml:space="preserve">% </w:t>
      </w:r>
      <w:r w:rsidR="001420A6">
        <w:rPr>
          <w:rFonts w:cs="Times New Roman"/>
        </w:rPr>
        <w:t>lower than A-33 and U</w:t>
      </w:r>
      <w:r>
        <w:rPr>
          <w:rFonts w:cs="Times New Roman"/>
        </w:rPr>
        <w:t>-</w:t>
      </w:r>
      <w:r w:rsidR="001420A6">
        <w:rPr>
          <w:rFonts w:cs="Times New Roman"/>
        </w:rPr>
        <w:t xml:space="preserve">33 </w:t>
      </w:r>
      <w:r w:rsidR="00292F9A">
        <w:rPr>
          <w:rFonts w:cs="Times New Roman"/>
        </w:rPr>
        <w:t>(</w:t>
      </w:r>
      <w:r w:rsidR="0041192A" w:rsidRPr="00D82451">
        <w:rPr>
          <w:rFonts w:cs="Times New Roman"/>
          <w:b/>
          <w:bCs/>
        </w:rPr>
        <w:t>Table 2.2</w:t>
      </w:r>
      <w:r w:rsidR="00292F9A">
        <w:rPr>
          <w:rFonts w:cs="Times New Roman"/>
        </w:rPr>
        <w:t>)</w:t>
      </w:r>
      <w:r w:rsidR="00EF4347">
        <w:rPr>
          <w:rFonts w:cs="Times New Roman"/>
        </w:rPr>
        <w:t>.</w:t>
      </w:r>
      <w:r w:rsidR="005C74E7">
        <w:rPr>
          <w:rFonts w:cs="Times New Roman"/>
        </w:rPr>
        <w:t xml:space="preserve"> </w:t>
      </w:r>
    </w:p>
    <w:p w14:paraId="1F5A823D" w14:textId="7F9FC5FC" w:rsidR="00333B9F" w:rsidRDefault="008E3BEF" w:rsidP="00776576">
      <w:pPr>
        <w:spacing w:line="480" w:lineRule="auto"/>
        <w:ind w:firstLine="720"/>
        <w:rPr>
          <w:rFonts w:cs="Times New Roman"/>
        </w:rPr>
      </w:pPr>
      <w:r>
        <w:rPr>
          <w:rFonts w:cs="Times New Roman"/>
        </w:rPr>
        <w:t xml:space="preserve">Data shown on </w:t>
      </w:r>
      <w:r w:rsidR="00394D63" w:rsidRPr="00767A67">
        <w:rPr>
          <w:rFonts w:cs="Times New Roman"/>
          <w:b/>
          <w:bCs/>
        </w:rPr>
        <w:t>Table</w:t>
      </w:r>
      <w:r>
        <w:rPr>
          <w:rFonts w:cs="Times New Roman"/>
          <w:b/>
          <w:bCs/>
        </w:rPr>
        <w:t>s</w:t>
      </w:r>
      <w:r w:rsidR="00394D63" w:rsidRPr="00767A67">
        <w:rPr>
          <w:rFonts w:cs="Times New Roman"/>
          <w:b/>
          <w:bCs/>
        </w:rPr>
        <w:t xml:space="preserve"> 2.1</w:t>
      </w:r>
      <w:r>
        <w:rPr>
          <w:rFonts w:cs="Times New Roman"/>
        </w:rPr>
        <w:t xml:space="preserve"> and</w:t>
      </w:r>
      <w:r w:rsidR="00767A67" w:rsidRPr="00767A67">
        <w:rPr>
          <w:rFonts w:cs="Times New Roman"/>
          <w:b/>
          <w:bCs/>
        </w:rPr>
        <w:t xml:space="preserve"> </w:t>
      </w:r>
      <w:r w:rsidR="00BC5FE7" w:rsidRPr="00767A67">
        <w:rPr>
          <w:rFonts w:cs="Times New Roman"/>
          <w:b/>
          <w:bCs/>
        </w:rPr>
        <w:t>2.</w:t>
      </w:r>
      <w:r w:rsidR="0041192A">
        <w:rPr>
          <w:rFonts w:cs="Times New Roman"/>
          <w:b/>
          <w:bCs/>
        </w:rPr>
        <w:t>3</w:t>
      </w:r>
      <w:r w:rsidR="00BC5FE7">
        <w:rPr>
          <w:rFonts w:cs="Times New Roman"/>
        </w:rPr>
        <w:t xml:space="preserve"> </w:t>
      </w:r>
      <w:r>
        <w:rPr>
          <w:rFonts w:cs="Times New Roman"/>
        </w:rPr>
        <w:t>indicate no</w:t>
      </w:r>
      <w:r w:rsidR="00BC5FE7">
        <w:rPr>
          <w:rFonts w:cs="Times New Roman"/>
        </w:rPr>
        <w:t xml:space="preserve"> differences </w:t>
      </w:r>
      <w:r w:rsidR="00FA06E8">
        <w:rPr>
          <w:rFonts w:cs="Times New Roman"/>
        </w:rPr>
        <w:t>in</w:t>
      </w:r>
      <w:r w:rsidR="00BC5FE7">
        <w:rPr>
          <w:rFonts w:cs="Times New Roman"/>
        </w:rPr>
        <w:t xml:space="preserve"> FM when accounting </w:t>
      </w:r>
      <w:r>
        <w:rPr>
          <w:rFonts w:cs="Times New Roman"/>
        </w:rPr>
        <w:t xml:space="preserve">solely </w:t>
      </w:r>
      <w:r w:rsidR="00BC5FE7">
        <w:rPr>
          <w:rFonts w:cs="Times New Roman"/>
        </w:rPr>
        <w:t>for the presence of PGPB</w:t>
      </w:r>
      <w:r w:rsidR="00AB37E5">
        <w:rPr>
          <w:rFonts w:cs="Times New Roman"/>
        </w:rPr>
        <w:t>.</w:t>
      </w:r>
      <w:r w:rsidR="00BC5FE7">
        <w:rPr>
          <w:rFonts w:cs="Times New Roman"/>
        </w:rPr>
        <w:t xml:space="preserve"> </w:t>
      </w:r>
      <w:r w:rsidR="00AB37E5">
        <w:rPr>
          <w:rFonts w:cs="Times New Roman"/>
        </w:rPr>
        <w:t>H</w:t>
      </w:r>
      <w:r w:rsidR="00BC5FE7">
        <w:rPr>
          <w:rFonts w:cs="Times New Roman"/>
        </w:rPr>
        <w:t>owever</w:t>
      </w:r>
      <w:r w:rsidR="00F75B35">
        <w:rPr>
          <w:rFonts w:cs="Times New Roman"/>
        </w:rPr>
        <w:t>,</w:t>
      </w:r>
      <w:r w:rsidR="00BC5FE7">
        <w:rPr>
          <w:rFonts w:cs="Times New Roman"/>
        </w:rPr>
        <w:t xml:space="preserve"> differences </w:t>
      </w:r>
      <w:r>
        <w:rPr>
          <w:rFonts w:cs="Times New Roman"/>
        </w:rPr>
        <w:t>in FM due</w:t>
      </w:r>
      <w:r w:rsidR="00BC5FE7">
        <w:rPr>
          <w:rFonts w:cs="Times New Roman"/>
        </w:rPr>
        <w:t xml:space="preserve"> to </w:t>
      </w:r>
      <w:r w:rsidR="00E94C04">
        <w:rPr>
          <w:rFonts w:cs="Times New Roman"/>
        </w:rPr>
        <w:t>N strategies</w:t>
      </w:r>
      <w:r w:rsidR="00BC5FE7">
        <w:rPr>
          <w:rFonts w:cs="Times New Roman"/>
        </w:rPr>
        <w:t xml:space="preserve"> </w:t>
      </w:r>
      <w:r>
        <w:rPr>
          <w:rFonts w:cs="Times New Roman"/>
        </w:rPr>
        <w:t xml:space="preserve">were </w:t>
      </w:r>
      <w:r w:rsidR="00AB37E5">
        <w:rPr>
          <w:rFonts w:cs="Times New Roman"/>
        </w:rPr>
        <w:t>evident</w:t>
      </w:r>
      <w:r>
        <w:rPr>
          <w:rFonts w:cs="Times New Roman"/>
        </w:rPr>
        <w:t>, particularly with the A-67 treatment, which yielded the greatest FM in year 1</w:t>
      </w:r>
      <w:r w:rsidR="00BC5FE7">
        <w:rPr>
          <w:rFonts w:cs="Times New Roman"/>
        </w:rPr>
        <w:t xml:space="preserve"> </w:t>
      </w:r>
      <w:r w:rsidR="00767A67">
        <w:rPr>
          <w:rFonts w:cs="Times New Roman"/>
        </w:rPr>
        <w:t>(</w:t>
      </w:r>
      <w:r w:rsidR="0041192A" w:rsidRPr="00D82451">
        <w:rPr>
          <w:rFonts w:cs="Times New Roman"/>
          <w:b/>
          <w:bCs/>
        </w:rPr>
        <w:t>Table 2.2</w:t>
      </w:r>
      <w:r w:rsidR="00767A67" w:rsidRPr="00767A67">
        <w:rPr>
          <w:rFonts w:cs="Times New Roman"/>
        </w:rPr>
        <w:t>)</w:t>
      </w:r>
      <w:r w:rsidR="00F75B35">
        <w:rPr>
          <w:rFonts w:cs="Times New Roman"/>
        </w:rPr>
        <w:t xml:space="preserve">. </w:t>
      </w:r>
      <w:r>
        <w:rPr>
          <w:rFonts w:cs="Times New Roman"/>
        </w:rPr>
        <w:t xml:space="preserve">This result </w:t>
      </w:r>
      <w:r w:rsidR="00AB37E5">
        <w:rPr>
          <w:rFonts w:cs="Times New Roman"/>
        </w:rPr>
        <w:t xml:space="preserve">aligns with the </w:t>
      </w:r>
      <w:r w:rsidR="00B91226">
        <w:rPr>
          <w:rFonts w:cs="Times New Roman"/>
        </w:rPr>
        <w:t xml:space="preserve">expected </w:t>
      </w:r>
      <w:r w:rsidR="00AB37E5">
        <w:rPr>
          <w:rFonts w:cs="Times New Roman"/>
        </w:rPr>
        <w:t xml:space="preserve">response of </w:t>
      </w:r>
      <w:r w:rsidR="00B91226">
        <w:rPr>
          <w:rFonts w:cs="Times New Roman"/>
        </w:rPr>
        <w:t xml:space="preserve">bermudagrass to </w:t>
      </w:r>
      <w:r>
        <w:rPr>
          <w:rFonts w:cs="Times New Roman"/>
        </w:rPr>
        <w:t xml:space="preserve">increasing rates of </w:t>
      </w:r>
      <w:r w:rsidR="00B91226">
        <w:rPr>
          <w:rFonts w:cs="Times New Roman"/>
        </w:rPr>
        <w:t xml:space="preserve">N </w:t>
      </w:r>
      <w:r>
        <w:rPr>
          <w:rFonts w:cs="Times New Roman"/>
        </w:rPr>
        <w:t xml:space="preserve">fertilization, as reported by </w:t>
      </w:r>
      <w:r w:rsidR="00B91226">
        <w:rPr>
          <w:rFonts w:cs="Times New Roman"/>
        </w:rPr>
        <w:fldChar w:fldCharType="begin"/>
      </w:r>
      <w:r w:rsidR="00B91226">
        <w:rPr>
          <w:rFonts w:cs="Times New Roman"/>
        </w:rPr>
        <w:instrText xml:space="preserve"> ADDIN ZOTERO_ITEM CSL_CITATION {"citationID":"N3rQXEzT","properties":{"formattedCitation":"(Osborne et al., 1999)","plainCitation":"(Osborne et al., 1999)","noteIndex":0},"citationItems":[{"id":46,"uris":["http://zotero.org/users/local/kjHHoAYm/items/KWK5B5QD"],"itemData":{"id":46,"type":"article-journal","abstract":"Abstract\n            \n              High N rates and source of N have been thoroughly evaluated in bermudagrass [\n              Cynodon dactylon\n              (L.) Pers.] forage production, but less is known concerning season of application and estimated fertilizer N recovery in these systems. Two field studies (Ardmore, OK: Wilson silt loam, Vertic Haplustalfs; Burneyville, OK: Minco fine sandy loam, Udic Haplustolls) were conducted at two locations over two years to evaluate the effects of rate, timing, and source of N on bermudagrass forage yield, total N, NO\n              3\n              concentration, and estimated fertilizer N recovery. Nitrogen was applied at rates of 112, 224, 448, 672, and 1344 kg N ha\n              −1\n              as NH\n              4\n              NO\n              3\n              or urea in early spring (March) and late summer (August). Fertilizer N recovery can be maximized at rates of 112 and 224 kg N ha\n              −1\n              applied in the early spring and late summer, respectively. Even when N rates of 1344 kg N ha\n              −1\n              were applied annually, bermudagrass forage NO\n              3\n              ‐N was seldom above 2000 mg kg\n              −1\n              , which is below published toxic levels (2400–4500 mg kg\n              −1\n              ) for cattle (\n              Bos taurus\n              ) consumption. Early‐spring applied N increased yields, N removal, and fertilizer recovery compared with late‐summer applied N. Fertilizer N recovery was higher for NH\n              4\n              NO\n              3\n              than for urea, especially when applied in late summer. Late‐summer applications of urea should be avoided, due to increased NH\n              3\n              volatilization losses. Nitrogen applied at 112 kg N ha\n              −1\n              in early spring can result in fertilizer recoveries in excess of 85%. These high recoveries in forage production systems are possibly a result of continuous preanthesis forage harvesting when gaseous plant N losses are small, but which increase following anthesis.","container-title":"Agronomy Journal","DOI":"10.2134/agronj1999.00021962009100030013x","ISSN":"0002-1962, 1435-0645","issue":"3","journalAbbreviation":"Agronomy Journal","language":"en","page":"438-444","source":"DOI.org (Crossref)","title":"Bermudagrass Response to High Nitrogen Rates, Source, and Season of Application","volume":"91","author":[{"family":"Osborne","given":"Shannon L."},{"family":"Raun","given":"William R."},{"family":"Johnson","given":"Gordon V."},{"family":"Rogers","given":"Jerry L."},{"family":"Altom","given":"Wadell"}],"issued":{"date-parts":[["1999",5]]}}}],"schema":"https://github.com/citation-style-language/schema/raw/master/csl-citation.json"} </w:instrText>
      </w:r>
      <w:r w:rsidR="00B91226">
        <w:rPr>
          <w:rFonts w:cs="Times New Roman"/>
        </w:rPr>
        <w:fldChar w:fldCharType="separate"/>
      </w:r>
      <w:r w:rsidR="00B91226" w:rsidRPr="00B91226">
        <w:rPr>
          <w:rFonts w:cs="Times New Roman"/>
        </w:rPr>
        <w:t>Osborne et al., 1999</w:t>
      </w:r>
      <w:r w:rsidR="00B91226">
        <w:rPr>
          <w:rFonts w:cs="Times New Roman"/>
        </w:rPr>
        <w:fldChar w:fldCharType="end"/>
      </w:r>
      <w:r w:rsidR="00C4167A">
        <w:rPr>
          <w:rFonts w:cs="Times New Roman"/>
        </w:rPr>
        <w:t>.</w:t>
      </w:r>
      <w:r>
        <w:rPr>
          <w:rFonts w:cs="Times New Roman"/>
        </w:rPr>
        <w:t xml:space="preserve"> </w:t>
      </w:r>
      <w:r w:rsidR="00773B29">
        <w:rPr>
          <w:rFonts w:cs="Times New Roman"/>
        </w:rPr>
        <w:t xml:space="preserve"> </w:t>
      </w:r>
    </w:p>
    <w:p w14:paraId="264B69D4" w14:textId="23C66B39" w:rsidR="00767A67" w:rsidRPr="00761497" w:rsidRDefault="00DA1336" w:rsidP="00776576">
      <w:pPr>
        <w:spacing w:line="480" w:lineRule="auto"/>
        <w:ind w:firstLine="900"/>
        <w:rPr>
          <w:rFonts w:cs="Times New Roman"/>
        </w:rPr>
      </w:pPr>
      <w:r>
        <w:rPr>
          <w:rFonts w:cs="Times New Roman"/>
        </w:rPr>
        <w:fldChar w:fldCharType="begin"/>
      </w:r>
      <w:r w:rsidR="00882E08">
        <w:rPr>
          <w:rFonts w:cs="Times New Roman"/>
        </w:rPr>
        <w:instrText xml:space="preserve"> ADDIN ZOTERO_ITEM CSL_CITATION {"citationID":"CNQ8fjlP","properties":{"formattedCitation":"(Sullins et al., 2023)","plainCitation":"(Sullins et al., 2023)","dontUpdate":true,"noteIndex":0},"citationItems":[{"id":55,"uris":["http://zotero.org/users/local/kjHHoAYm/items/9HBH8ACC"],"itemData":{"id":55,"type":"article-journal","abstract":"A two-year study was conducted in bermudagrass hay fields in central Alabama to estimate the potential of plant growth-promoting rhizobacteria (PGPR) as a tool for sustainable agriculture in forage management. This study compared the effects of two treatments of PGPR, applied with and without lowered rates of nitrogen, to a full rate of nitrogen fertilizer in a hay production system. The PGPR treatments included a single-strain treatment of Paenibacillus riograndensis (DH44), and a blend including two Bacillus pumilus strains (AP7 and AP18) and a strain of Bacillus sphaericus (AP282). Data collection included estimates of forage biomass, forage quality, insect populations, soil mesofauna populations, and soil microbial respiration. Applications of PGPR with a half rate of fertilizer yielded similar forage biomass and quality results as that of a full rate of nitrogen. All PGPR treatments increased soil microbial respiration over time. Additionally, treatments containing Paenibacillus riograndensis positively influenced soil mesofauna populations. The results of this study indicated promising potential for PGPR applied with lowered nitrogen rates to reduce chemical inputs while maintaining yield and quality of forage.","container-title":"Microorganisms","DOI":"10.3390/microorganisms11040863","ISSN":"2076-2607","issue":"4","journalAbbreviation":"Microorganisms","language":"en","license":"https://creativecommons.org/licenses/by/4.0/","page":"863","source":"DOI.org (Crossref)","title":"Utility of Plant Growth-Promoting Rhizobacteria for Sustainable Production of Bermudagrass Forage","volume":"11","author":[{"family":"Sullins","given":"Kayla N."},{"family":"Dillard","given":"S. Leanne"},{"family":"Held","given":"David W."},{"family":"Carroll","given":"Elijah P."}],"issued":{"date-parts":[["2023",3,28]]}}}],"schema":"https://github.com/citation-style-language/schema/raw/master/csl-citation.json"} </w:instrText>
      </w:r>
      <w:r>
        <w:rPr>
          <w:rFonts w:cs="Times New Roman"/>
        </w:rPr>
        <w:fldChar w:fldCharType="separate"/>
      </w:r>
      <w:r w:rsidRPr="00DA1336">
        <w:rPr>
          <w:rFonts w:cs="Times New Roman"/>
        </w:rPr>
        <w:t>Sullins et al</w:t>
      </w:r>
      <w:r w:rsidR="00FA06E8">
        <w:rPr>
          <w:rFonts w:cs="Times New Roman"/>
        </w:rPr>
        <w:t>,</w:t>
      </w:r>
      <w:r w:rsidRPr="00DA1336">
        <w:rPr>
          <w:rFonts w:cs="Times New Roman"/>
        </w:rPr>
        <w:t xml:space="preserve"> </w:t>
      </w:r>
      <w:r>
        <w:rPr>
          <w:rFonts w:cs="Times New Roman"/>
        </w:rPr>
        <w:t>(</w:t>
      </w:r>
      <w:r w:rsidRPr="00DA1336">
        <w:rPr>
          <w:rFonts w:cs="Times New Roman"/>
        </w:rPr>
        <w:t>2023)</w:t>
      </w:r>
      <w:r>
        <w:rPr>
          <w:rFonts w:cs="Times New Roman"/>
        </w:rPr>
        <w:fldChar w:fldCharType="end"/>
      </w:r>
      <w:r w:rsidR="00333B9F">
        <w:rPr>
          <w:rFonts w:cs="Times New Roman"/>
        </w:rPr>
        <w:t xml:space="preserve"> found that b</w:t>
      </w:r>
      <w:r w:rsidR="00FA06E8">
        <w:rPr>
          <w:rFonts w:cs="Times New Roman"/>
        </w:rPr>
        <w:t>ermudagrass</w:t>
      </w:r>
      <w:r w:rsidR="000F6026">
        <w:rPr>
          <w:rFonts w:cs="Times New Roman"/>
        </w:rPr>
        <w:t xml:space="preserve"> </w:t>
      </w:r>
      <w:r w:rsidR="00333B9F">
        <w:rPr>
          <w:rFonts w:cs="Times New Roman"/>
        </w:rPr>
        <w:t xml:space="preserve">fertilized </w:t>
      </w:r>
      <w:r w:rsidR="000F6026">
        <w:rPr>
          <w:rFonts w:cs="Times New Roman"/>
        </w:rPr>
        <w:t>with 56 kg N ha</w:t>
      </w:r>
      <w:r w:rsidR="000F6026" w:rsidRPr="000F6026">
        <w:rPr>
          <w:rFonts w:cs="Times New Roman"/>
          <w:vertAlign w:val="superscript"/>
        </w:rPr>
        <w:t>-1</w:t>
      </w:r>
      <w:r w:rsidR="000F6026">
        <w:rPr>
          <w:rFonts w:cs="Times New Roman"/>
        </w:rPr>
        <w:t xml:space="preserve"> plus the </w:t>
      </w:r>
      <w:r w:rsidR="00333B9F">
        <w:rPr>
          <w:rFonts w:cs="Times New Roman"/>
        </w:rPr>
        <w:t xml:space="preserve">PGPB strain </w:t>
      </w:r>
      <w:r w:rsidR="000F6026">
        <w:rPr>
          <w:rFonts w:cs="Times New Roman"/>
        </w:rPr>
        <w:t xml:space="preserve">DH-44 produced </w:t>
      </w:r>
      <w:r w:rsidR="00AB37E5">
        <w:rPr>
          <w:rFonts w:cs="Times New Roman"/>
        </w:rPr>
        <w:t xml:space="preserve">yields comparable </w:t>
      </w:r>
      <w:r w:rsidR="000F6026">
        <w:rPr>
          <w:rFonts w:cs="Times New Roman"/>
        </w:rPr>
        <w:t>to treatments with 112 kg N ha</w:t>
      </w:r>
      <w:r w:rsidR="000F6026" w:rsidRPr="000F6026">
        <w:rPr>
          <w:rFonts w:cs="Times New Roman"/>
          <w:vertAlign w:val="superscript"/>
        </w:rPr>
        <w:t>-1</w:t>
      </w:r>
      <w:r w:rsidR="000F6026" w:rsidRPr="00FA06E8">
        <w:rPr>
          <w:rFonts w:cs="Times New Roman"/>
        </w:rPr>
        <w:t>,</w:t>
      </w:r>
      <w:r w:rsidR="00AB37E5">
        <w:rPr>
          <w:rFonts w:cs="Times New Roman"/>
        </w:rPr>
        <w:t xml:space="preserve"> </w:t>
      </w:r>
      <w:r w:rsidR="00333B9F">
        <w:rPr>
          <w:rFonts w:cs="Times New Roman"/>
        </w:rPr>
        <w:t xml:space="preserve">both of which significantly outperformed </w:t>
      </w:r>
      <w:r w:rsidR="000F6026">
        <w:rPr>
          <w:rFonts w:cs="Times New Roman"/>
        </w:rPr>
        <w:t>the negative control treatment with</w:t>
      </w:r>
      <w:r w:rsidR="00AB37E5">
        <w:rPr>
          <w:rFonts w:cs="Times New Roman"/>
        </w:rPr>
        <w:t>out</w:t>
      </w:r>
      <w:r w:rsidR="000F6026">
        <w:rPr>
          <w:rFonts w:cs="Times New Roman"/>
        </w:rPr>
        <w:t xml:space="preserve"> N application. </w:t>
      </w:r>
      <w:r w:rsidR="00333B9F">
        <w:rPr>
          <w:rFonts w:cs="Times New Roman"/>
        </w:rPr>
        <w:t xml:space="preserve">These findings suggest that </w:t>
      </w:r>
      <w:r w:rsidR="00782D56">
        <w:rPr>
          <w:rFonts w:cs="Times New Roman"/>
        </w:rPr>
        <w:t xml:space="preserve">variations in bacterial strain effectiveness could </w:t>
      </w:r>
      <w:r w:rsidR="00333B9F">
        <w:rPr>
          <w:rFonts w:cs="Times New Roman"/>
        </w:rPr>
        <w:t xml:space="preserve">contribute to the inconsistent or modest results observed in PGPB studies. </w:t>
      </w:r>
    </w:p>
    <w:tbl>
      <w:tblPr>
        <w:tblpPr w:leftFromText="141" w:rightFromText="141" w:vertAnchor="text" w:horzAnchor="margin" w:tblpY="-8282"/>
        <w:tblOverlap w:val="never"/>
        <w:tblW w:w="8370" w:type="dxa"/>
        <w:tblLook w:val="04A0" w:firstRow="1" w:lastRow="0" w:firstColumn="1" w:lastColumn="0" w:noHBand="0" w:noVBand="1"/>
      </w:tblPr>
      <w:tblGrid>
        <w:gridCol w:w="1349"/>
        <w:gridCol w:w="1171"/>
        <w:gridCol w:w="1620"/>
        <w:gridCol w:w="1350"/>
        <w:gridCol w:w="1440"/>
        <w:gridCol w:w="1440"/>
      </w:tblGrid>
      <w:tr w:rsidR="00B3078E" w:rsidRPr="0082174C" w14:paraId="30BC374A" w14:textId="77777777" w:rsidTr="00501FD1">
        <w:trPr>
          <w:trHeight w:val="1323"/>
        </w:trPr>
        <w:tc>
          <w:tcPr>
            <w:tcW w:w="8370" w:type="dxa"/>
            <w:gridSpan w:val="6"/>
            <w:tcBorders>
              <w:top w:val="nil"/>
              <w:left w:val="nil"/>
              <w:bottom w:val="nil"/>
              <w:right w:val="nil"/>
            </w:tcBorders>
            <w:shd w:val="clear" w:color="auto" w:fill="auto"/>
            <w:vAlign w:val="bottom"/>
            <w:hideMark/>
          </w:tcPr>
          <w:p w14:paraId="719796AA" w14:textId="77777777" w:rsidR="00B3078E" w:rsidRDefault="00B3078E" w:rsidP="00501FD1">
            <w:pPr>
              <w:pStyle w:val="mytables"/>
            </w:pPr>
            <w:bookmarkStart w:id="61" w:name="_Toc196315445"/>
          </w:p>
          <w:p w14:paraId="308E596E" w14:textId="77777777" w:rsidR="00B3078E" w:rsidRDefault="00B3078E" w:rsidP="00501FD1">
            <w:pPr>
              <w:pStyle w:val="mytables"/>
            </w:pPr>
          </w:p>
          <w:p w14:paraId="7B634350" w14:textId="77777777" w:rsidR="00B3078E" w:rsidRPr="00B3078E" w:rsidRDefault="00B3078E" w:rsidP="00B3078E"/>
          <w:p w14:paraId="6D570CBC" w14:textId="77777777" w:rsidR="00B3078E" w:rsidRDefault="00B3078E" w:rsidP="00501FD1">
            <w:pPr>
              <w:pStyle w:val="mytables"/>
            </w:pPr>
          </w:p>
          <w:p w14:paraId="02BD3C3A" w14:textId="5C8ECCE3" w:rsidR="00B3078E" w:rsidRPr="0082174C" w:rsidRDefault="00B3078E" w:rsidP="00501FD1">
            <w:pPr>
              <w:pStyle w:val="mytables"/>
            </w:pPr>
            <w:r w:rsidRPr="0082174C">
              <w:t xml:space="preserve">Table 2.1 - </w:t>
            </w:r>
            <w:r w:rsidRPr="004432D5">
              <w:rPr>
                <w:b w:val="0"/>
                <w:bCs w:val="0"/>
              </w:rPr>
              <w:t xml:space="preserve">Average forage mass (FM) of bermudagrass in response to different strains of PGPB </w:t>
            </w:r>
            <w:r w:rsidRPr="004432D5">
              <w:rPr>
                <w:b w:val="0"/>
                <w:bCs w:val="0"/>
                <w:i/>
                <w:iCs/>
              </w:rPr>
              <w:t>(</w:t>
            </w:r>
            <w:r>
              <w:rPr>
                <w:b w:val="0"/>
                <w:bCs w:val="0"/>
                <w:i/>
                <w:iCs/>
              </w:rPr>
              <w:t>inoculation</w:t>
            </w:r>
            <w:r w:rsidRPr="004432D5">
              <w:rPr>
                <w:b w:val="0"/>
                <w:bCs w:val="0"/>
                <w:i/>
                <w:iCs/>
              </w:rPr>
              <w:t>)</w:t>
            </w:r>
            <w:r w:rsidRPr="004432D5">
              <w:rPr>
                <w:b w:val="0"/>
                <w:bCs w:val="0"/>
              </w:rPr>
              <w:t xml:space="preserve"> (DH-44, C-PGBR, DH-267), </w:t>
            </w:r>
            <w:r>
              <w:rPr>
                <w:b w:val="0"/>
                <w:bCs w:val="0"/>
              </w:rPr>
              <w:t>and N strategies</w:t>
            </w:r>
            <w:r w:rsidRPr="004432D5">
              <w:rPr>
                <w:b w:val="0"/>
                <w:bCs w:val="0"/>
              </w:rPr>
              <w:t xml:space="preserve"> (33 kg, 67 kg),</w:t>
            </w:r>
            <w:r w:rsidRPr="004432D5">
              <w:rPr>
                <w:b w:val="0"/>
                <w:bCs w:val="0"/>
                <w:i/>
                <w:iCs/>
              </w:rPr>
              <w:t xml:space="preserve"> </w:t>
            </w:r>
            <w:r w:rsidRPr="004432D5">
              <w:rPr>
                <w:b w:val="0"/>
                <w:bCs w:val="0"/>
              </w:rPr>
              <w:t>(Urea, Ammonium Sulfate) across two growing seasons 2023 and 2024, in Crossville, Tennessee, U.S.</w:t>
            </w:r>
            <w:bookmarkEnd w:id="61"/>
          </w:p>
        </w:tc>
      </w:tr>
      <w:tr w:rsidR="00B3078E" w:rsidRPr="0082174C" w14:paraId="2BFCF8A4" w14:textId="77777777" w:rsidTr="00501FD1">
        <w:trPr>
          <w:trHeight w:val="315"/>
        </w:trPr>
        <w:tc>
          <w:tcPr>
            <w:tcW w:w="1349" w:type="dxa"/>
            <w:vMerge w:val="restart"/>
            <w:tcBorders>
              <w:top w:val="single" w:sz="4" w:space="0" w:color="auto"/>
              <w:left w:val="nil"/>
              <w:bottom w:val="nil"/>
              <w:right w:val="nil"/>
            </w:tcBorders>
            <w:shd w:val="clear" w:color="auto" w:fill="auto"/>
            <w:noWrap/>
            <w:vAlign w:val="center"/>
            <w:hideMark/>
          </w:tcPr>
          <w:p w14:paraId="3FA1F0E5" w14:textId="77777777" w:rsidR="00B3078E" w:rsidRPr="0082174C" w:rsidRDefault="00B3078E" w:rsidP="00501FD1">
            <w:pPr>
              <w:spacing w:line="240" w:lineRule="auto"/>
              <w:jc w:val="center"/>
              <w:rPr>
                <w:rFonts w:cs="Times New Roman"/>
                <w:color w:val="000000"/>
              </w:rPr>
            </w:pPr>
            <w:r>
              <w:rPr>
                <w:rFonts w:cs="Times New Roman"/>
                <w:color w:val="000000"/>
              </w:rPr>
              <w:t>N strategies</w:t>
            </w:r>
          </w:p>
        </w:tc>
        <w:tc>
          <w:tcPr>
            <w:tcW w:w="5581" w:type="dxa"/>
            <w:gridSpan w:val="4"/>
            <w:tcBorders>
              <w:top w:val="single" w:sz="4" w:space="0" w:color="auto"/>
              <w:left w:val="nil"/>
              <w:bottom w:val="nil"/>
              <w:right w:val="nil"/>
            </w:tcBorders>
            <w:shd w:val="clear" w:color="auto" w:fill="auto"/>
            <w:noWrap/>
            <w:vAlign w:val="bottom"/>
            <w:hideMark/>
          </w:tcPr>
          <w:p w14:paraId="42A357F5" w14:textId="77777777" w:rsidR="00B3078E" w:rsidRPr="0082174C" w:rsidRDefault="00B3078E" w:rsidP="00501FD1">
            <w:pPr>
              <w:spacing w:line="240" w:lineRule="auto"/>
              <w:jc w:val="center"/>
              <w:rPr>
                <w:rFonts w:cs="Times New Roman"/>
                <w:color w:val="000000"/>
              </w:rPr>
            </w:pPr>
            <w:r>
              <w:rPr>
                <w:rFonts w:cs="Times New Roman"/>
                <w:color w:val="000000"/>
              </w:rPr>
              <w:t>Inoculation</w:t>
            </w:r>
          </w:p>
        </w:tc>
        <w:tc>
          <w:tcPr>
            <w:tcW w:w="1440" w:type="dxa"/>
            <w:tcBorders>
              <w:top w:val="single" w:sz="4" w:space="0" w:color="auto"/>
              <w:left w:val="nil"/>
              <w:bottom w:val="nil"/>
              <w:right w:val="nil"/>
            </w:tcBorders>
            <w:shd w:val="clear" w:color="auto" w:fill="auto"/>
            <w:noWrap/>
            <w:vAlign w:val="bottom"/>
            <w:hideMark/>
          </w:tcPr>
          <w:p w14:paraId="0F7238E2" w14:textId="77777777" w:rsidR="00B3078E" w:rsidRPr="0082174C" w:rsidRDefault="00B3078E" w:rsidP="00501FD1">
            <w:pPr>
              <w:spacing w:line="240" w:lineRule="auto"/>
              <w:rPr>
                <w:rFonts w:cs="Times New Roman"/>
                <w:color w:val="000000"/>
              </w:rPr>
            </w:pPr>
            <w:r w:rsidRPr="0082174C">
              <w:rPr>
                <w:rFonts w:cs="Times New Roman"/>
                <w:color w:val="000000"/>
              </w:rPr>
              <w:t> </w:t>
            </w:r>
          </w:p>
        </w:tc>
      </w:tr>
      <w:tr w:rsidR="00B3078E" w:rsidRPr="0082174C" w14:paraId="6F12C817" w14:textId="77777777" w:rsidTr="00501FD1">
        <w:trPr>
          <w:trHeight w:val="375"/>
        </w:trPr>
        <w:tc>
          <w:tcPr>
            <w:tcW w:w="1349" w:type="dxa"/>
            <w:vMerge/>
            <w:tcBorders>
              <w:top w:val="single" w:sz="4" w:space="0" w:color="auto"/>
              <w:left w:val="nil"/>
              <w:bottom w:val="nil"/>
              <w:right w:val="nil"/>
            </w:tcBorders>
            <w:vAlign w:val="center"/>
            <w:hideMark/>
          </w:tcPr>
          <w:p w14:paraId="22DB6A72" w14:textId="77777777" w:rsidR="00B3078E" w:rsidRPr="0082174C" w:rsidRDefault="00B3078E" w:rsidP="00501FD1">
            <w:pPr>
              <w:spacing w:line="240" w:lineRule="auto"/>
              <w:rPr>
                <w:rFonts w:cs="Times New Roman"/>
                <w:color w:val="000000"/>
              </w:rPr>
            </w:pPr>
          </w:p>
        </w:tc>
        <w:tc>
          <w:tcPr>
            <w:tcW w:w="1171" w:type="dxa"/>
            <w:tcBorders>
              <w:top w:val="nil"/>
              <w:left w:val="nil"/>
              <w:bottom w:val="nil"/>
              <w:right w:val="nil"/>
            </w:tcBorders>
            <w:shd w:val="clear" w:color="auto" w:fill="auto"/>
            <w:noWrap/>
            <w:vAlign w:val="bottom"/>
            <w:hideMark/>
          </w:tcPr>
          <w:p w14:paraId="568F5A19" w14:textId="77777777" w:rsidR="00B3078E" w:rsidRPr="0082174C" w:rsidRDefault="00B3078E" w:rsidP="00501FD1">
            <w:pPr>
              <w:spacing w:line="240" w:lineRule="auto"/>
              <w:jc w:val="center"/>
              <w:rPr>
                <w:rFonts w:cs="Times New Roman"/>
                <w:color w:val="000000"/>
              </w:rPr>
            </w:pPr>
            <w:r w:rsidRPr="0082174C">
              <w:rPr>
                <w:rFonts w:cs="Times New Roman"/>
                <w:color w:val="000000"/>
              </w:rPr>
              <w:t>DH-44</w:t>
            </w:r>
          </w:p>
        </w:tc>
        <w:tc>
          <w:tcPr>
            <w:tcW w:w="1620" w:type="dxa"/>
            <w:tcBorders>
              <w:top w:val="nil"/>
              <w:left w:val="nil"/>
              <w:bottom w:val="nil"/>
              <w:right w:val="nil"/>
            </w:tcBorders>
            <w:shd w:val="clear" w:color="auto" w:fill="auto"/>
            <w:noWrap/>
            <w:vAlign w:val="bottom"/>
            <w:hideMark/>
          </w:tcPr>
          <w:p w14:paraId="5480643F" w14:textId="77777777" w:rsidR="00B3078E" w:rsidRPr="0082174C" w:rsidRDefault="00B3078E" w:rsidP="00501FD1">
            <w:pPr>
              <w:spacing w:line="240" w:lineRule="auto"/>
              <w:jc w:val="center"/>
              <w:rPr>
                <w:rFonts w:cs="Times New Roman"/>
                <w:color w:val="000000"/>
              </w:rPr>
            </w:pPr>
            <w:r w:rsidRPr="0082174C">
              <w:rPr>
                <w:rFonts w:cs="Times New Roman"/>
                <w:color w:val="000000"/>
              </w:rPr>
              <w:t>C-PGPB</w:t>
            </w:r>
          </w:p>
        </w:tc>
        <w:tc>
          <w:tcPr>
            <w:tcW w:w="1350" w:type="dxa"/>
            <w:tcBorders>
              <w:top w:val="nil"/>
              <w:left w:val="nil"/>
              <w:bottom w:val="nil"/>
              <w:right w:val="nil"/>
            </w:tcBorders>
            <w:shd w:val="clear" w:color="auto" w:fill="auto"/>
            <w:noWrap/>
            <w:vAlign w:val="bottom"/>
            <w:hideMark/>
          </w:tcPr>
          <w:p w14:paraId="5C92A5B1" w14:textId="77777777" w:rsidR="00B3078E" w:rsidRPr="0082174C" w:rsidRDefault="00B3078E" w:rsidP="00501FD1">
            <w:pPr>
              <w:spacing w:line="240" w:lineRule="auto"/>
              <w:jc w:val="center"/>
              <w:rPr>
                <w:rFonts w:cs="Times New Roman"/>
                <w:color w:val="000000"/>
              </w:rPr>
            </w:pPr>
            <w:r w:rsidRPr="0082174C">
              <w:rPr>
                <w:rFonts w:cs="Times New Roman"/>
                <w:color w:val="000000"/>
              </w:rPr>
              <w:t>DH-267</w:t>
            </w:r>
          </w:p>
        </w:tc>
        <w:tc>
          <w:tcPr>
            <w:tcW w:w="1440" w:type="dxa"/>
            <w:tcBorders>
              <w:top w:val="nil"/>
              <w:left w:val="nil"/>
              <w:bottom w:val="nil"/>
              <w:right w:val="nil"/>
            </w:tcBorders>
            <w:shd w:val="clear" w:color="auto" w:fill="auto"/>
            <w:noWrap/>
            <w:vAlign w:val="bottom"/>
            <w:hideMark/>
          </w:tcPr>
          <w:p w14:paraId="00EB6B38" w14:textId="77777777" w:rsidR="00B3078E" w:rsidRPr="0082174C" w:rsidRDefault="00B3078E" w:rsidP="00501FD1">
            <w:pPr>
              <w:spacing w:line="240" w:lineRule="auto"/>
              <w:jc w:val="center"/>
              <w:rPr>
                <w:rFonts w:cs="Times New Roman"/>
                <w:color w:val="000000"/>
              </w:rPr>
            </w:pPr>
            <w:r w:rsidRPr="0082174C">
              <w:rPr>
                <w:rFonts w:cs="Times New Roman"/>
                <w:color w:val="000000"/>
              </w:rPr>
              <w:t>No-PGPB</w:t>
            </w:r>
          </w:p>
        </w:tc>
        <w:tc>
          <w:tcPr>
            <w:tcW w:w="1440" w:type="dxa"/>
            <w:tcBorders>
              <w:top w:val="nil"/>
              <w:left w:val="nil"/>
              <w:bottom w:val="nil"/>
              <w:right w:val="nil"/>
            </w:tcBorders>
            <w:shd w:val="clear" w:color="auto" w:fill="auto"/>
            <w:noWrap/>
            <w:vAlign w:val="bottom"/>
            <w:hideMark/>
          </w:tcPr>
          <w:p w14:paraId="627CF6BE" w14:textId="77777777" w:rsidR="00B3078E" w:rsidRPr="0082174C" w:rsidRDefault="00B3078E" w:rsidP="00501FD1">
            <w:pPr>
              <w:spacing w:line="240" w:lineRule="auto"/>
              <w:jc w:val="center"/>
              <w:rPr>
                <w:rFonts w:cs="Times New Roman"/>
                <w:color w:val="000000"/>
              </w:rPr>
            </w:pPr>
            <w:r w:rsidRPr="0082174C">
              <w:rPr>
                <w:rFonts w:cs="Times New Roman"/>
                <w:i/>
                <w:iCs/>
                <w:color w:val="000000"/>
              </w:rPr>
              <w:t>P</w:t>
            </w:r>
            <w:r w:rsidRPr="0082174C">
              <w:rPr>
                <w:rFonts w:cs="Times New Roman"/>
                <w:color w:val="000000"/>
              </w:rPr>
              <w:t>-Value</w:t>
            </w:r>
          </w:p>
        </w:tc>
      </w:tr>
      <w:tr w:rsidR="00B3078E" w:rsidRPr="0082174C" w14:paraId="0386C36E" w14:textId="77777777" w:rsidTr="00501FD1">
        <w:trPr>
          <w:trHeight w:val="375"/>
        </w:trPr>
        <w:tc>
          <w:tcPr>
            <w:tcW w:w="1349" w:type="dxa"/>
            <w:tcBorders>
              <w:top w:val="nil"/>
              <w:left w:val="nil"/>
              <w:bottom w:val="nil"/>
              <w:right w:val="nil"/>
            </w:tcBorders>
            <w:shd w:val="clear" w:color="auto" w:fill="auto"/>
            <w:noWrap/>
            <w:vAlign w:val="bottom"/>
            <w:hideMark/>
          </w:tcPr>
          <w:p w14:paraId="3E930355" w14:textId="77777777" w:rsidR="00B3078E" w:rsidRPr="0082174C" w:rsidRDefault="00B3078E" w:rsidP="00501FD1">
            <w:pPr>
              <w:spacing w:line="240" w:lineRule="auto"/>
              <w:jc w:val="center"/>
              <w:rPr>
                <w:rFonts w:cs="Times New Roman"/>
                <w:color w:val="000000"/>
              </w:rPr>
            </w:pPr>
            <w:r w:rsidRPr="0082174C">
              <w:rPr>
                <w:rFonts w:cs="Times New Roman"/>
                <w:color w:val="000000"/>
              </w:rPr>
              <w:t>(kg N ha</w:t>
            </w:r>
            <w:r w:rsidRPr="0082174C">
              <w:rPr>
                <w:rFonts w:cs="Times New Roman"/>
                <w:color w:val="000000"/>
                <w:vertAlign w:val="superscript"/>
              </w:rPr>
              <w:t>-1</w:t>
            </w:r>
            <w:r w:rsidRPr="0082174C">
              <w:rPr>
                <w:rFonts w:cs="Times New Roman"/>
                <w:color w:val="000000"/>
              </w:rPr>
              <w:t>)</w:t>
            </w:r>
          </w:p>
        </w:tc>
        <w:tc>
          <w:tcPr>
            <w:tcW w:w="5581" w:type="dxa"/>
            <w:gridSpan w:val="4"/>
            <w:tcBorders>
              <w:top w:val="nil"/>
              <w:left w:val="nil"/>
              <w:bottom w:val="nil"/>
              <w:right w:val="nil"/>
            </w:tcBorders>
            <w:shd w:val="clear" w:color="auto" w:fill="auto"/>
            <w:noWrap/>
            <w:vAlign w:val="bottom"/>
            <w:hideMark/>
          </w:tcPr>
          <w:p w14:paraId="28F399CA" w14:textId="77777777" w:rsidR="00B3078E" w:rsidRPr="0082174C" w:rsidRDefault="00B3078E" w:rsidP="00501FD1">
            <w:pPr>
              <w:spacing w:line="240" w:lineRule="auto"/>
              <w:jc w:val="center"/>
              <w:rPr>
                <w:rFonts w:cs="Times New Roman"/>
                <w:color w:val="000000"/>
              </w:rPr>
            </w:pPr>
            <w:r w:rsidRPr="0082174C">
              <w:rPr>
                <w:rFonts w:cs="Times New Roman"/>
                <w:color w:val="000000"/>
              </w:rPr>
              <w:t>--------------- kg DM ha</w:t>
            </w:r>
            <w:r w:rsidRPr="0082174C">
              <w:rPr>
                <w:rFonts w:cs="Times New Roman"/>
                <w:color w:val="000000"/>
                <w:vertAlign w:val="superscript"/>
              </w:rPr>
              <w:t>-1</w:t>
            </w:r>
            <w:r w:rsidRPr="0082174C">
              <w:rPr>
                <w:rFonts w:cs="Times New Roman"/>
                <w:color w:val="000000"/>
              </w:rPr>
              <w:t xml:space="preserve"> -----------------</w:t>
            </w:r>
          </w:p>
        </w:tc>
        <w:tc>
          <w:tcPr>
            <w:tcW w:w="1440" w:type="dxa"/>
            <w:tcBorders>
              <w:top w:val="nil"/>
              <w:left w:val="nil"/>
              <w:bottom w:val="nil"/>
              <w:right w:val="nil"/>
            </w:tcBorders>
            <w:shd w:val="clear" w:color="auto" w:fill="auto"/>
            <w:noWrap/>
            <w:vAlign w:val="bottom"/>
            <w:hideMark/>
          </w:tcPr>
          <w:p w14:paraId="245F9FEB" w14:textId="77777777" w:rsidR="00B3078E" w:rsidRPr="0082174C" w:rsidRDefault="00B3078E" w:rsidP="00501FD1">
            <w:pPr>
              <w:spacing w:line="240" w:lineRule="auto"/>
              <w:rPr>
                <w:rFonts w:cs="Times New Roman"/>
                <w:sz w:val="20"/>
                <w:szCs w:val="20"/>
              </w:rPr>
            </w:pPr>
          </w:p>
        </w:tc>
      </w:tr>
      <w:tr w:rsidR="00B3078E" w:rsidRPr="0082174C" w14:paraId="52C4F10F" w14:textId="77777777" w:rsidTr="00501FD1">
        <w:trPr>
          <w:trHeight w:val="315"/>
        </w:trPr>
        <w:tc>
          <w:tcPr>
            <w:tcW w:w="1349" w:type="dxa"/>
            <w:tcBorders>
              <w:top w:val="single" w:sz="4" w:space="0" w:color="auto"/>
              <w:left w:val="nil"/>
              <w:bottom w:val="nil"/>
              <w:right w:val="nil"/>
            </w:tcBorders>
            <w:shd w:val="clear" w:color="auto" w:fill="auto"/>
            <w:noWrap/>
            <w:vAlign w:val="bottom"/>
            <w:hideMark/>
          </w:tcPr>
          <w:p w14:paraId="64040A42" w14:textId="77777777" w:rsidR="00B3078E" w:rsidRPr="0082174C" w:rsidRDefault="00B3078E" w:rsidP="00501FD1">
            <w:pPr>
              <w:spacing w:line="240" w:lineRule="auto"/>
              <w:jc w:val="center"/>
              <w:rPr>
                <w:rFonts w:cs="Times New Roman"/>
                <w:color w:val="000000"/>
              </w:rPr>
            </w:pPr>
            <w:r>
              <w:rPr>
                <w:rFonts w:cs="Times New Roman"/>
                <w:color w:val="000000"/>
              </w:rPr>
              <w:t>NN</w:t>
            </w:r>
          </w:p>
        </w:tc>
        <w:tc>
          <w:tcPr>
            <w:tcW w:w="1171" w:type="dxa"/>
            <w:tcBorders>
              <w:top w:val="single" w:sz="4" w:space="0" w:color="auto"/>
              <w:left w:val="nil"/>
              <w:bottom w:val="nil"/>
              <w:right w:val="nil"/>
            </w:tcBorders>
            <w:shd w:val="clear" w:color="auto" w:fill="auto"/>
            <w:noWrap/>
            <w:vAlign w:val="bottom"/>
            <w:hideMark/>
          </w:tcPr>
          <w:p w14:paraId="0A0A61C4" w14:textId="77777777" w:rsidR="00B3078E" w:rsidRPr="0082174C" w:rsidRDefault="00B3078E" w:rsidP="00501FD1">
            <w:pPr>
              <w:spacing w:line="240" w:lineRule="auto"/>
              <w:jc w:val="center"/>
              <w:rPr>
                <w:rFonts w:cs="Times New Roman"/>
                <w:color w:val="000000"/>
              </w:rPr>
            </w:pPr>
            <w:r w:rsidRPr="0082174C">
              <w:rPr>
                <w:rFonts w:cs="Times New Roman"/>
                <w:color w:val="000000"/>
              </w:rPr>
              <w:t>1053</w:t>
            </w:r>
          </w:p>
        </w:tc>
        <w:tc>
          <w:tcPr>
            <w:tcW w:w="1620" w:type="dxa"/>
            <w:tcBorders>
              <w:top w:val="single" w:sz="4" w:space="0" w:color="auto"/>
              <w:left w:val="nil"/>
              <w:bottom w:val="nil"/>
              <w:right w:val="nil"/>
            </w:tcBorders>
            <w:shd w:val="clear" w:color="auto" w:fill="auto"/>
            <w:noWrap/>
            <w:vAlign w:val="bottom"/>
            <w:hideMark/>
          </w:tcPr>
          <w:p w14:paraId="4B55633C" w14:textId="77777777" w:rsidR="00B3078E" w:rsidRPr="0082174C" w:rsidRDefault="00B3078E" w:rsidP="00501FD1">
            <w:pPr>
              <w:spacing w:line="240" w:lineRule="auto"/>
              <w:jc w:val="center"/>
              <w:rPr>
                <w:rFonts w:cs="Times New Roman"/>
                <w:color w:val="000000"/>
              </w:rPr>
            </w:pPr>
            <w:r w:rsidRPr="0082174C">
              <w:rPr>
                <w:rFonts w:cs="Times New Roman"/>
                <w:color w:val="000000"/>
              </w:rPr>
              <w:t>1030</w:t>
            </w:r>
          </w:p>
        </w:tc>
        <w:tc>
          <w:tcPr>
            <w:tcW w:w="1350" w:type="dxa"/>
            <w:tcBorders>
              <w:top w:val="single" w:sz="4" w:space="0" w:color="auto"/>
              <w:left w:val="nil"/>
              <w:bottom w:val="nil"/>
              <w:right w:val="nil"/>
            </w:tcBorders>
            <w:shd w:val="clear" w:color="auto" w:fill="auto"/>
            <w:noWrap/>
            <w:vAlign w:val="bottom"/>
            <w:hideMark/>
          </w:tcPr>
          <w:p w14:paraId="25CCD621" w14:textId="77777777" w:rsidR="00B3078E" w:rsidRPr="0082174C" w:rsidRDefault="00B3078E" w:rsidP="00501FD1">
            <w:pPr>
              <w:spacing w:line="240" w:lineRule="auto"/>
              <w:jc w:val="center"/>
              <w:rPr>
                <w:rFonts w:cs="Times New Roman"/>
                <w:color w:val="000000"/>
              </w:rPr>
            </w:pPr>
            <w:r w:rsidRPr="0082174C">
              <w:rPr>
                <w:rFonts w:cs="Times New Roman"/>
                <w:color w:val="000000"/>
              </w:rPr>
              <w:t>1128</w:t>
            </w:r>
          </w:p>
        </w:tc>
        <w:tc>
          <w:tcPr>
            <w:tcW w:w="1440" w:type="dxa"/>
            <w:tcBorders>
              <w:top w:val="single" w:sz="4" w:space="0" w:color="auto"/>
              <w:left w:val="nil"/>
              <w:bottom w:val="nil"/>
              <w:right w:val="nil"/>
            </w:tcBorders>
            <w:shd w:val="clear" w:color="auto" w:fill="auto"/>
            <w:noWrap/>
            <w:vAlign w:val="bottom"/>
            <w:hideMark/>
          </w:tcPr>
          <w:p w14:paraId="3E3F87F4" w14:textId="77777777" w:rsidR="00B3078E" w:rsidRPr="0082174C" w:rsidRDefault="00B3078E" w:rsidP="00501FD1">
            <w:pPr>
              <w:spacing w:line="240" w:lineRule="auto"/>
              <w:jc w:val="center"/>
              <w:rPr>
                <w:rFonts w:cs="Times New Roman"/>
                <w:color w:val="000000"/>
              </w:rPr>
            </w:pPr>
            <w:r w:rsidRPr="0082174C">
              <w:rPr>
                <w:rFonts w:cs="Times New Roman"/>
                <w:color w:val="000000"/>
              </w:rPr>
              <w:t>1098</w:t>
            </w:r>
          </w:p>
        </w:tc>
        <w:tc>
          <w:tcPr>
            <w:tcW w:w="1440" w:type="dxa"/>
            <w:tcBorders>
              <w:top w:val="single" w:sz="4" w:space="0" w:color="auto"/>
              <w:left w:val="nil"/>
              <w:bottom w:val="nil"/>
              <w:right w:val="nil"/>
            </w:tcBorders>
            <w:shd w:val="clear" w:color="auto" w:fill="auto"/>
            <w:noWrap/>
            <w:vAlign w:val="bottom"/>
            <w:hideMark/>
          </w:tcPr>
          <w:p w14:paraId="264F7EEC" w14:textId="77777777" w:rsidR="00B3078E" w:rsidRPr="0082174C" w:rsidRDefault="00B3078E" w:rsidP="00501FD1">
            <w:pPr>
              <w:spacing w:line="240" w:lineRule="auto"/>
              <w:jc w:val="center"/>
              <w:rPr>
                <w:rFonts w:cs="Times New Roman"/>
                <w:i/>
                <w:iCs/>
                <w:color w:val="000000"/>
              </w:rPr>
            </w:pPr>
            <w:r w:rsidRPr="0082174C">
              <w:rPr>
                <w:rFonts w:cs="Times New Roman"/>
                <w:i/>
                <w:iCs/>
                <w:color w:val="000000"/>
              </w:rPr>
              <w:t>&gt;0.05</w:t>
            </w:r>
          </w:p>
        </w:tc>
      </w:tr>
      <w:tr w:rsidR="00B3078E" w:rsidRPr="0082174C" w14:paraId="4B9F894E" w14:textId="77777777" w:rsidTr="00501FD1">
        <w:trPr>
          <w:trHeight w:val="315"/>
        </w:trPr>
        <w:tc>
          <w:tcPr>
            <w:tcW w:w="1349" w:type="dxa"/>
            <w:tcBorders>
              <w:top w:val="nil"/>
              <w:left w:val="nil"/>
              <w:bottom w:val="nil"/>
              <w:right w:val="nil"/>
            </w:tcBorders>
            <w:shd w:val="clear" w:color="auto" w:fill="auto"/>
            <w:noWrap/>
            <w:vAlign w:val="bottom"/>
            <w:hideMark/>
          </w:tcPr>
          <w:p w14:paraId="6860B7AB" w14:textId="77777777" w:rsidR="00B3078E" w:rsidRPr="0082174C" w:rsidRDefault="00B3078E" w:rsidP="00501FD1">
            <w:pPr>
              <w:spacing w:line="240" w:lineRule="auto"/>
              <w:jc w:val="center"/>
              <w:rPr>
                <w:rFonts w:cs="Times New Roman"/>
                <w:color w:val="000000"/>
              </w:rPr>
            </w:pPr>
            <w:r w:rsidRPr="0082174C">
              <w:rPr>
                <w:rFonts w:cs="Times New Roman"/>
                <w:color w:val="000000"/>
              </w:rPr>
              <w:t>U</w:t>
            </w:r>
            <w:r>
              <w:rPr>
                <w:rFonts w:cs="Times New Roman"/>
                <w:color w:val="000000"/>
              </w:rPr>
              <w:t>-33</w:t>
            </w:r>
          </w:p>
        </w:tc>
        <w:tc>
          <w:tcPr>
            <w:tcW w:w="1171" w:type="dxa"/>
            <w:tcBorders>
              <w:top w:val="nil"/>
              <w:left w:val="nil"/>
              <w:bottom w:val="nil"/>
              <w:right w:val="nil"/>
            </w:tcBorders>
            <w:shd w:val="clear" w:color="auto" w:fill="auto"/>
            <w:noWrap/>
            <w:vAlign w:val="bottom"/>
            <w:hideMark/>
          </w:tcPr>
          <w:p w14:paraId="6173188D" w14:textId="77777777" w:rsidR="00B3078E" w:rsidRPr="0082174C" w:rsidRDefault="00B3078E" w:rsidP="00501FD1">
            <w:pPr>
              <w:spacing w:line="240" w:lineRule="auto"/>
              <w:jc w:val="center"/>
              <w:rPr>
                <w:rFonts w:cs="Times New Roman"/>
                <w:color w:val="000000"/>
              </w:rPr>
            </w:pPr>
            <w:r w:rsidRPr="0082174C">
              <w:rPr>
                <w:rFonts w:cs="Times New Roman"/>
                <w:color w:val="000000"/>
              </w:rPr>
              <w:t>1369</w:t>
            </w:r>
          </w:p>
        </w:tc>
        <w:tc>
          <w:tcPr>
            <w:tcW w:w="1620" w:type="dxa"/>
            <w:tcBorders>
              <w:top w:val="nil"/>
              <w:left w:val="nil"/>
              <w:bottom w:val="nil"/>
              <w:right w:val="nil"/>
            </w:tcBorders>
            <w:shd w:val="clear" w:color="auto" w:fill="auto"/>
            <w:noWrap/>
            <w:vAlign w:val="bottom"/>
            <w:hideMark/>
          </w:tcPr>
          <w:p w14:paraId="1781B59D" w14:textId="77777777" w:rsidR="00B3078E" w:rsidRPr="0082174C" w:rsidRDefault="00B3078E" w:rsidP="00501FD1">
            <w:pPr>
              <w:spacing w:line="240" w:lineRule="auto"/>
              <w:jc w:val="center"/>
              <w:rPr>
                <w:rFonts w:cs="Times New Roman"/>
                <w:color w:val="000000"/>
              </w:rPr>
            </w:pPr>
            <w:r w:rsidRPr="0082174C">
              <w:rPr>
                <w:rFonts w:cs="Times New Roman"/>
                <w:color w:val="000000"/>
              </w:rPr>
              <w:t>1574</w:t>
            </w:r>
          </w:p>
        </w:tc>
        <w:tc>
          <w:tcPr>
            <w:tcW w:w="1350" w:type="dxa"/>
            <w:tcBorders>
              <w:top w:val="nil"/>
              <w:left w:val="nil"/>
              <w:bottom w:val="nil"/>
              <w:right w:val="nil"/>
            </w:tcBorders>
            <w:shd w:val="clear" w:color="auto" w:fill="auto"/>
            <w:noWrap/>
            <w:vAlign w:val="bottom"/>
            <w:hideMark/>
          </w:tcPr>
          <w:p w14:paraId="6620FA16" w14:textId="77777777" w:rsidR="00B3078E" w:rsidRPr="0082174C" w:rsidRDefault="00B3078E" w:rsidP="00501FD1">
            <w:pPr>
              <w:spacing w:line="240" w:lineRule="auto"/>
              <w:jc w:val="center"/>
              <w:rPr>
                <w:rFonts w:cs="Times New Roman"/>
                <w:color w:val="000000"/>
              </w:rPr>
            </w:pPr>
            <w:r w:rsidRPr="0082174C">
              <w:rPr>
                <w:rFonts w:cs="Times New Roman"/>
                <w:color w:val="000000"/>
              </w:rPr>
              <w:t>1368</w:t>
            </w:r>
          </w:p>
        </w:tc>
        <w:tc>
          <w:tcPr>
            <w:tcW w:w="1440" w:type="dxa"/>
            <w:tcBorders>
              <w:top w:val="nil"/>
              <w:left w:val="nil"/>
              <w:bottom w:val="nil"/>
              <w:right w:val="nil"/>
            </w:tcBorders>
            <w:shd w:val="clear" w:color="auto" w:fill="auto"/>
            <w:noWrap/>
            <w:vAlign w:val="bottom"/>
            <w:hideMark/>
          </w:tcPr>
          <w:p w14:paraId="1A2704B9" w14:textId="77777777" w:rsidR="00B3078E" w:rsidRPr="0082174C" w:rsidRDefault="00B3078E" w:rsidP="00501FD1">
            <w:pPr>
              <w:spacing w:line="240" w:lineRule="auto"/>
              <w:jc w:val="center"/>
              <w:rPr>
                <w:rFonts w:cs="Times New Roman"/>
                <w:color w:val="000000"/>
              </w:rPr>
            </w:pPr>
            <w:r w:rsidRPr="0082174C">
              <w:rPr>
                <w:rFonts w:cs="Times New Roman"/>
                <w:color w:val="000000"/>
              </w:rPr>
              <w:t>1618</w:t>
            </w:r>
          </w:p>
        </w:tc>
        <w:tc>
          <w:tcPr>
            <w:tcW w:w="1440" w:type="dxa"/>
            <w:tcBorders>
              <w:top w:val="nil"/>
              <w:left w:val="nil"/>
              <w:bottom w:val="nil"/>
              <w:right w:val="nil"/>
            </w:tcBorders>
            <w:shd w:val="clear" w:color="auto" w:fill="auto"/>
            <w:noWrap/>
            <w:vAlign w:val="bottom"/>
            <w:hideMark/>
          </w:tcPr>
          <w:p w14:paraId="65ECE1CE" w14:textId="77777777" w:rsidR="00B3078E" w:rsidRPr="0082174C" w:rsidRDefault="00B3078E" w:rsidP="00501FD1">
            <w:pPr>
              <w:spacing w:line="240" w:lineRule="auto"/>
              <w:jc w:val="center"/>
              <w:rPr>
                <w:rFonts w:cs="Times New Roman"/>
                <w:i/>
                <w:iCs/>
                <w:color w:val="000000"/>
              </w:rPr>
            </w:pPr>
            <w:r w:rsidRPr="0082174C">
              <w:rPr>
                <w:rFonts w:cs="Times New Roman"/>
                <w:i/>
                <w:iCs/>
                <w:color w:val="000000"/>
              </w:rPr>
              <w:t>&gt;0.05</w:t>
            </w:r>
          </w:p>
        </w:tc>
      </w:tr>
      <w:tr w:rsidR="00B3078E" w:rsidRPr="0082174C" w14:paraId="2778D1EF" w14:textId="77777777" w:rsidTr="00501FD1">
        <w:trPr>
          <w:trHeight w:val="315"/>
        </w:trPr>
        <w:tc>
          <w:tcPr>
            <w:tcW w:w="1349" w:type="dxa"/>
            <w:tcBorders>
              <w:top w:val="nil"/>
              <w:left w:val="nil"/>
              <w:bottom w:val="nil"/>
              <w:right w:val="nil"/>
            </w:tcBorders>
            <w:shd w:val="clear" w:color="auto" w:fill="auto"/>
            <w:noWrap/>
            <w:vAlign w:val="bottom"/>
            <w:hideMark/>
          </w:tcPr>
          <w:p w14:paraId="42635DA3" w14:textId="77777777" w:rsidR="00B3078E" w:rsidRPr="0082174C" w:rsidRDefault="00B3078E" w:rsidP="00501FD1">
            <w:pPr>
              <w:spacing w:line="240" w:lineRule="auto"/>
              <w:jc w:val="center"/>
              <w:rPr>
                <w:rFonts w:cs="Times New Roman"/>
                <w:color w:val="000000"/>
              </w:rPr>
            </w:pPr>
            <w:r w:rsidRPr="0082174C">
              <w:rPr>
                <w:rFonts w:cs="Times New Roman"/>
                <w:color w:val="000000"/>
              </w:rPr>
              <w:t>A</w:t>
            </w:r>
            <w:r>
              <w:rPr>
                <w:rFonts w:cs="Times New Roman"/>
                <w:color w:val="000000"/>
              </w:rPr>
              <w:t>-33</w:t>
            </w:r>
          </w:p>
        </w:tc>
        <w:tc>
          <w:tcPr>
            <w:tcW w:w="1171" w:type="dxa"/>
            <w:tcBorders>
              <w:top w:val="nil"/>
              <w:left w:val="nil"/>
              <w:bottom w:val="nil"/>
              <w:right w:val="nil"/>
            </w:tcBorders>
            <w:shd w:val="clear" w:color="auto" w:fill="auto"/>
            <w:noWrap/>
            <w:vAlign w:val="bottom"/>
            <w:hideMark/>
          </w:tcPr>
          <w:p w14:paraId="790C0A0E" w14:textId="77777777" w:rsidR="00B3078E" w:rsidRPr="0082174C" w:rsidRDefault="00B3078E" w:rsidP="00501FD1">
            <w:pPr>
              <w:spacing w:line="240" w:lineRule="auto"/>
              <w:jc w:val="center"/>
              <w:rPr>
                <w:rFonts w:cs="Times New Roman"/>
                <w:color w:val="000000"/>
              </w:rPr>
            </w:pPr>
            <w:r w:rsidRPr="0082174C">
              <w:rPr>
                <w:rFonts w:cs="Times New Roman"/>
                <w:color w:val="000000"/>
              </w:rPr>
              <w:t>1466</w:t>
            </w:r>
          </w:p>
        </w:tc>
        <w:tc>
          <w:tcPr>
            <w:tcW w:w="1620" w:type="dxa"/>
            <w:tcBorders>
              <w:top w:val="nil"/>
              <w:left w:val="nil"/>
              <w:bottom w:val="nil"/>
              <w:right w:val="nil"/>
            </w:tcBorders>
            <w:shd w:val="clear" w:color="auto" w:fill="auto"/>
            <w:noWrap/>
            <w:vAlign w:val="bottom"/>
            <w:hideMark/>
          </w:tcPr>
          <w:p w14:paraId="5DEAC51A" w14:textId="77777777" w:rsidR="00B3078E" w:rsidRPr="0082174C" w:rsidRDefault="00B3078E" w:rsidP="00501FD1">
            <w:pPr>
              <w:spacing w:line="240" w:lineRule="auto"/>
              <w:jc w:val="center"/>
              <w:rPr>
                <w:rFonts w:cs="Times New Roman"/>
                <w:color w:val="000000"/>
              </w:rPr>
            </w:pPr>
            <w:r w:rsidRPr="0082174C">
              <w:rPr>
                <w:rFonts w:cs="Times New Roman"/>
                <w:color w:val="000000"/>
              </w:rPr>
              <w:t>1499</w:t>
            </w:r>
          </w:p>
        </w:tc>
        <w:tc>
          <w:tcPr>
            <w:tcW w:w="1350" w:type="dxa"/>
            <w:tcBorders>
              <w:top w:val="nil"/>
              <w:left w:val="nil"/>
              <w:bottom w:val="nil"/>
              <w:right w:val="nil"/>
            </w:tcBorders>
            <w:shd w:val="clear" w:color="auto" w:fill="auto"/>
            <w:noWrap/>
            <w:vAlign w:val="bottom"/>
            <w:hideMark/>
          </w:tcPr>
          <w:p w14:paraId="129866C4" w14:textId="77777777" w:rsidR="00B3078E" w:rsidRPr="0082174C" w:rsidRDefault="00B3078E" w:rsidP="00501FD1">
            <w:pPr>
              <w:spacing w:line="240" w:lineRule="auto"/>
              <w:jc w:val="center"/>
              <w:rPr>
                <w:rFonts w:cs="Times New Roman"/>
                <w:color w:val="000000"/>
              </w:rPr>
            </w:pPr>
            <w:r w:rsidRPr="0082174C">
              <w:rPr>
                <w:rFonts w:cs="Times New Roman"/>
                <w:color w:val="000000"/>
              </w:rPr>
              <w:t>1526</w:t>
            </w:r>
          </w:p>
        </w:tc>
        <w:tc>
          <w:tcPr>
            <w:tcW w:w="1440" w:type="dxa"/>
            <w:tcBorders>
              <w:top w:val="nil"/>
              <w:left w:val="nil"/>
              <w:bottom w:val="nil"/>
              <w:right w:val="nil"/>
            </w:tcBorders>
            <w:shd w:val="clear" w:color="auto" w:fill="auto"/>
            <w:noWrap/>
            <w:vAlign w:val="bottom"/>
            <w:hideMark/>
          </w:tcPr>
          <w:p w14:paraId="7BAB2B64" w14:textId="77777777" w:rsidR="00B3078E" w:rsidRPr="0082174C" w:rsidRDefault="00B3078E" w:rsidP="00501FD1">
            <w:pPr>
              <w:spacing w:line="240" w:lineRule="auto"/>
              <w:jc w:val="center"/>
              <w:rPr>
                <w:rFonts w:cs="Times New Roman"/>
                <w:color w:val="000000"/>
              </w:rPr>
            </w:pPr>
            <w:r w:rsidRPr="0082174C">
              <w:rPr>
                <w:rFonts w:cs="Times New Roman"/>
                <w:color w:val="000000"/>
              </w:rPr>
              <w:t>1487</w:t>
            </w:r>
          </w:p>
        </w:tc>
        <w:tc>
          <w:tcPr>
            <w:tcW w:w="1440" w:type="dxa"/>
            <w:tcBorders>
              <w:top w:val="nil"/>
              <w:left w:val="nil"/>
              <w:bottom w:val="nil"/>
              <w:right w:val="nil"/>
            </w:tcBorders>
            <w:shd w:val="clear" w:color="auto" w:fill="auto"/>
            <w:noWrap/>
            <w:vAlign w:val="bottom"/>
            <w:hideMark/>
          </w:tcPr>
          <w:p w14:paraId="70AC9263" w14:textId="77777777" w:rsidR="00B3078E" w:rsidRPr="0082174C" w:rsidRDefault="00B3078E" w:rsidP="00501FD1">
            <w:pPr>
              <w:spacing w:line="240" w:lineRule="auto"/>
              <w:jc w:val="center"/>
              <w:rPr>
                <w:rFonts w:cs="Times New Roman"/>
                <w:i/>
                <w:iCs/>
                <w:color w:val="000000"/>
              </w:rPr>
            </w:pPr>
            <w:r w:rsidRPr="0082174C">
              <w:rPr>
                <w:rFonts w:cs="Times New Roman"/>
                <w:i/>
                <w:iCs/>
                <w:color w:val="000000"/>
              </w:rPr>
              <w:t>&gt;0.05</w:t>
            </w:r>
          </w:p>
        </w:tc>
      </w:tr>
      <w:tr w:rsidR="00B3078E" w:rsidRPr="0082174C" w14:paraId="21FA3EB3" w14:textId="77777777" w:rsidTr="00501FD1">
        <w:trPr>
          <w:trHeight w:val="315"/>
        </w:trPr>
        <w:tc>
          <w:tcPr>
            <w:tcW w:w="1349" w:type="dxa"/>
            <w:tcBorders>
              <w:top w:val="nil"/>
              <w:left w:val="nil"/>
              <w:bottom w:val="nil"/>
              <w:right w:val="nil"/>
            </w:tcBorders>
            <w:shd w:val="clear" w:color="auto" w:fill="auto"/>
            <w:noWrap/>
            <w:vAlign w:val="bottom"/>
            <w:hideMark/>
          </w:tcPr>
          <w:p w14:paraId="611A7BF0" w14:textId="77777777" w:rsidR="00B3078E" w:rsidRPr="0082174C" w:rsidRDefault="00B3078E" w:rsidP="00501FD1">
            <w:pPr>
              <w:spacing w:line="240" w:lineRule="auto"/>
              <w:jc w:val="center"/>
              <w:rPr>
                <w:rFonts w:cs="Times New Roman"/>
                <w:color w:val="000000"/>
              </w:rPr>
            </w:pPr>
            <w:r w:rsidRPr="0082174C">
              <w:rPr>
                <w:rFonts w:cs="Times New Roman"/>
                <w:color w:val="000000"/>
              </w:rPr>
              <w:t>U</w:t>
            </w:r>
            <w:r>
              <w:rPr>
                <w:rFonts w:cs="Times New Roman"/>
                <w:color w:val="000000"/>
              </w:rPr>
              <w:t>-67</w:t>
            </w:r>
          </w:p>
        </w:tc>
        <w:tc>
          <w:tcPr>
            <w:tcW w:w="1171" w:type="dxa"/>
            <w:tcBorders>
              <w:top w:val="nil"/>
              <w:left w:val="nil"/>
              <w:bottom w:val="nil"/>
              <w:right w:val="nil"/>
            </w:tcBorders>
            <w:shd w:val="clear" w:color="auto" w:fill="auto"/>
            <w:noWrap/>
            <w:vAlign w:val="bottom"/>
            <w:hideMark/>
          </w:tcPr>
          <w:p w14:paraId="50119648" w14:textId="77777777" w:rsidR="00B3078E" w:rsidRPr="0082174C" w:rsidRDefault="00B3078E" w:rsidP="00501FD1">
            <w:pPr>
              <w:spacing w:line="240" w:lineRule="auto"/>
              <w:jc w:val="center"/>
              <w:rPr>
                <w:rFonts w:cs="Times New Roman"/>
                <w:color w:val="000000"/>
              </w:rPr>
            </w:pPr>
            <w:r w:rsidRPr="0082174C">
              <w:rPr>
                <w:rFonts w:cs="Times New Roman"/>
                <w:color w:val="000000"/>
              </w:rPr>
              <w:t>1666</w:t>
            </w:r>
          </w:p>
        </w:tc>
        <w:tc>
          <w:tcPr>
            <w:tcW w:w="1620" w:type="dxa"/>
            <w:tcBorders>
              <w:top w:val="nil"/>
              <w:left w:val="nil"/>
              <w:bottom w:val="nil"/>
              <w:right w:val="nil"/>
            </w:tcBorders>
            <w:shd w:val="clear" w:color="auto" w:fill="auto"/>
            <w:noWrap/>
            <w:vAlign w:val="bottom"/>
            <w:hideMark/>
          </w:tcPr>
          <w:p w14:paraId="4DBF17CE" w14:textId="77777777" w:rsidR="00B3078E" w:rsidRPr="0082174C" w:rsidRDefault="00B3078E" w:rsidP="00501FD1">
            <w:pPr>
              <w:spacing w:line="240" w:lineRule="auto"/>
              <w:jc w:val="center"/>
              <w:rPr>
                <w:rFonts w:cs="Times New Roman"/>
                <w:color w:val="000000"/>
              </w:rPr>
            </w:pPr>
            <w:r w:rsidRPr="0082174C">
              <w:rPr>
                <w:rFonts w:cs="Times New Roman"/>
                <w:color w:val="000000"/>
              </w:rPr>
              <w:t>1566</w:t>
            </w:r>
          </w:p>
        </w:tc>
        <w:tc>
          <w:tcPr>
            <w:tcW w:w="1350" w:type="dxa"/>
            <w:tcBorders>
              <w:top w:val="nil"/>
              <w:left w:val="nil"/>
              <w:bottom w:val="nil"/>
              <w:right w:val="nil"/>
            </w:tcBorders>
            <w:shd w:val="clear" w:color="auto" w:fill="auto"/>
            <w:noWrap/>
            <w:vAlign w:val="bottom"/>
            <w:hideMark/>
          </w:tcPr>
          <w:p w14:paraId="370116E6" w14:textId="77777777" w:rsidR="00B3078E" w:rsidRPr="0082174C" w:rsidRDefault="00B3078E" w:rsidP="00501FD1">
            <w:pPr>
              <w:spacing w:line="240" w:lineRule="auto"/>
              <w:jc w:val="center"/>
              <w:rPr>
                <w:rFonts w:cs="Times New Roman"/>
                <w:color w:val="000000"/>
              </w:rPr>
            </w:pPr>
            <w:r w:rsidRPr="0082174C">
              <w:rPr>
                <w:rFonts w:cs="Times New Roman"/>
                <w:color w:val="000000"/>
              </w:rPr>
              <w:t>1910</w:t>
            </w:r>
          </w:p>
        </w:tc>
        <w:tc>
          <w:tcPr>
            <w:tcW w:w="1440" w:type="dxa"/>
            <w:tcBorders>
              <w:top w:val="nil"/>
              <w:left w:val="nil"/>
              <w:bottom w:val="nil"/>
              <w:right w:val="nil"/>
            </w:tcBorders>
            <w:shd w:val="clear" w:color="auto" w:fill="auto"/>
            <w:noWrap/>
            <w:vAlign w:val="bottom"/>
            <w:hideMark/>
          </w:tcPr>
          <w:p w14:paraId="3FD83FF5" w14:textId="77777777" w:rsidR="00B3078E" w:rsidRPr="0082174C" w:rsidRDefault="00B3078E" w:rsidP="00501FD1">
            <w:pPr>
              <w:spacing w:line="240" w:lineRule="auto"/>
              <w:jc w:val="center"/>
              <w:rPr>
                <w:rFonts w:cs="Times New Roman"/>
                <w:color w:val="000000"/>
              </w:rPr>
            </w:pPr>
            <w:r w:rsidRPr="0082174C">
              <w:rPr>
                <w:rFonts w:cs="Times New Roman"/>
                <w:color w:val="000000"/>
              </w:rPr>
              <w:t>1709</w:t>
            </w:r>
          </w:p>
        </w:tc>
        <w:tc>
          <w:tcPr>
            <w:tcW w:w="1440" w:type="dxa"/>
            <w:tcBorders>
              <w:top w:val="nil"/>
              <w:left w:val="nil"/>
              <w:bottom w:val="nil"/>
              <w:right w:val="nil"/>
            </w:tcBorders>
            <w:shd w:val="clear" w:color="auto" w:fill="auto"/>
            <w:noWrap/>
            <w:vAlign w:val="bottom"/>
            <w:hideMark/>
          </w:tcPr>
          <w:p w14:paraId="661A8201" w14:textId="77777777" w:rsidR="00B3078E" w:rsidRPr="0082174C" w:rsidRDefault="00B3078E" w:rsidP="00501FD1">
            <w:pPr>
              <w:spacing w:line="240" w:lineRule="auto"/>
              <w:jc w:val="center"/>
              <w:rPr>
                <w:rFonts w:cs="Times New Roman"/>
                <w:i/>
                <w:iCs/>
                <w:color w:val="000000"/>
              </w:rPr>
            </w:pPr>
            <w:r w:rsidRPr="0082174C">
              <w:rPr>
                <w:rFonts w:cs="Times New Roman"/>
                <w:i/>
                <w:iCs/>
                <w:color w:val="000000"/>
              </w:rPr>
              <w:t>&gt;0.05</w:t>
            </w:r>
          </w:p>
        </w:tc>
      </w:tr>
      <w:tr w:rsidR="00B3078E" w:rsidRPr="0082174C" w14:paraId="6119870E" w14:textId="77777777" w:rsidTr="00501FD1">
        <w:trPr>
          <w:trHeight w:val="315"/>
        </w:trPr>
        <w:tc>
          <w:tcPr>
            <w:tcW w:w="1349" w:type="dxa"/>
            <w:tcBorders>
              <w:top w:val="nil"/>
              <w:left w:val="nil"/>
              <w:bottom w:val="nil"/>
              <w:right w:val="nil"/>
            </w:tcBorders>
            <w:shd w:val="clear" w:color="auto" w:fill="auto"/>
            <w:noWrap/>
            <w:vAlign w:val="bottom"/>
            <w:hideMark/>
          </w:tcPr>
          <w:p w14:paraId="184426CE" w14:textId="77777777" w:rsidR="00B3078E" w:rsidRPr="0082174C" w:rsidRDefault="00B3078E" w:rsidP="00501FD1">
            <w:pPr>
              <w:spacing w:line="240" w:lineRule="auto"/>
              <w:jc w:val="center"/>
              <w:rPr>
                <w:rFonts w:cs="Times New Roman"/>
                <w:color w:val="000000"/>
              </w:rPr>
            </w:pPr>
            <w:r w:rsidRPr="0082174C">
              <w:rPr>
                <w:rFonts w:cs="Times New Roman"/>
                <w:color w:val="000000"/>
              </w:rPr>
              <w:t>A</w:t>
            </w:r>
            <w:r>
              <w:rPr>
                <w:rFonts w:cs="Times New Roman"/>
                <w:color w:val="000000"/>
              </w:rPr>
              <w:t>-67</w:t>
            </w:r>
          </w:p>
        </w:tc>
        <w:tc>
          <w:tcPr>
            <w:tcW w:w="1171" w:type="dxa"/>
            <w:tcBorders>
              <w:top w:val="nil"/>
              <w:left w:val="nil"/>
              <w:bottom w:val="nil"/>
              <w:right w:val="nil"/>
            </w:tcBorders>
            <w:shd w:val="clear" w:color="auto" w:fill="auto"/>
            <w:noWrap/>
            <w:vAlign w:val="bottom"/>
            <w:hideMark/>
          </w:tcPr>
          <w:p w14:paraId="09917525" w14:textId="77777777" w:rsidR="00B3078E" w:rsidRPr="0082174C" w:rsidRDefault="00B3078E" w:rsidP="00501FD1">
            <w:pPr>
              <w:spacing w:line="240" w:lineRule="auto"/>
              <w:jc w:val="center"/>
              <w:rPr>
                <w:rFonts w:cs="Times New Roman"/>
                <w:color w:val="000000"/>
              </w:rPr>
            </w:pPr>
            <w:r w:rsidRPr="0082174C">
              <w:rPr>
                <w:rFonts w:cs="Times New Roman"/>
                <w:color w:val="000000"/>
              </w:rPr>
              <w:t>1901</w:t>
            </w:r>
          </w:p>
        </w:tc>
        <w:tc>
          <w:tcPr>
            <w:tcW w:w="1620" w:type="dxa"/>
            <w:tcBorders>
              <w:top w:val="nil"/>
              <w:left w:val="nil"/>
              <w:bottom w:val="nil"/>
              <w:right w:val="nil"/>
            </w:tcBorders>
            <w:shd w:val="clear" w:color="auto" w:fill="auto"/>
            <w:noWrap/>
            <w:vAlign w:val="bottom"/>
            <w:hideMark/>
          </w:tcPr>
          <w:p w14:paraId="2C47CAC9" w14:textId="77777777" w:rsidR="00B3078E" w:rsidRPr="0082174C" w:rsidRDefault="00B3078E" w:rsidP="00501FD1">
            <w:pPr>
              <w:spacing w:line="240" w:lineRule="auto"/>
              <w:jc w:val="center"/>
              <w:rPr>
                <w:rFonts w:cs="Times New Roman"/>
                <w:color w:val="000000"/>
              </w:rPr>
            </w:pPr>
            <w:r w:rsidRPr="0082174C">
              <w:rPr>
                <w:rFonts w:cs="Times New Roman"/>
                <w:color w:val="000000"/>
              </w:rPr>
              <w:t>2032</w:t>
            </w:r>
          </w:p>
        </w:tc>
        <w:tc>
          <w:tcPr>
            <w:tcW w:w="1350" w:type="dxa"/>
            <w:tcBorders>
              <w:top w:val="nil"/>
              <w:left w:val="nil"/>
              <w:bottom w:val="nil"/>
              <w:right w:val="nil"/>
            </w:tcBorders>
            <w:shd w:val="clear" w:color="auto" w:fill="auto"/>
            <w:noWrap/>
            <w:vAlign w:val="bottom"/>
            <w:hideMark/>
          </w:tcPr>
          <w:p w14:paraId="593B394A" w14:textId="77777777" w:rsidR="00B3078E" w:rsidRPr="0082174C" w:rsidRDefault="00B3078E" w:rsidP="00501FD1">
            <w:pPr>
              <w:spacing w:line="240" w:lineRule="auto"/>
              <w:jc w:val="center"/>
              <w:rPr>
                <w:rFonts w:cs="Times New Roman"/>
                <w:color w:val="000000"/>
              </w:rPr>
            </w:pPr>
            <w:r w:rsidRPr="0082174C">
              <w:rPr>
                <w:rFonts w:cs="Times New Roman"/>
                <w:color w:val="000000"/>
              </w:rPr>
              <w:t>2043</w:t>
            </w:r>
          </w:p>
        </w:tc>
        <w:tc>
          <w:tcPr>
            <w:tcW w:w="1440" w:type="dxa"/>
            <w:tcBorders>
              <w:top w:val="nil"/>
              <w:left w:val="nil"/>
              <w:bottom w:val="nil"/>
              <w:right w:val="nil"/>
            </w:tcBorders>
            <w:shd w:val="clear" w:color="auto" w:fill="auto"/>
            <w:noWrap/>
            <w:vAlign w:val="bottom"/>
            <w:hideMark/>
          </w:tcPr>
          <w:p w14:paraId="5011B588" w14:textId="77777777" w:rsidR="00B3078E" w:rsidRPr="0082174C" w:rsidRDefault="00B3078E" w:rsidP="00501FD1">
            <w:pPr>
              <w:spacing w:line="240" w:lineRule="auto"/>
              <w:jc w:val="center"/>
              <w:rPr>
                <w:rFonts w:cs="Times New Roman"/>
                <w:color w:val="000000"/>
              </w:rPr>
            </w:pPr>
            <w:r w:rsidRPr="0082174C">
              <w:rPr>
                <w:rFonts w:cs="Times New Roman"/>
                <w:color w:val="000000"/>
              </w:rPr>
              <w:t>1956</w:t>
            </w:r>
          </w:p>
        </w:tc>
        <w:tc>
          <w:tcPr>
            <w:tcW w:w="1440" w:type="dxa"/>
            <w:tcBorders>
              <w:top w:val="nil"/>
              <w:left w:val="nil"/>
              <w:bottom w:val="nil"/>
              <w:right w:val="nil"/>
            </w:tcBorders>
            <w:shd w:val="clear" w:color="auto" w:fill="auto"/>
            <w:noWrap/>
            <w:vAlign w:val="bottom"/>
            <w:hideMark/>
          </w:tcPr>
          <w:p w14:paraId="526E0097" w14:textId="77777777" w:rsidR="00B3078E" w:rsidRPr="0082174C" w:rsidRDefault="00B3078E" w:rsidP="00501FD1">
            <w:pPr>
              <w:spacing w:line="240" w:lineRule="auto"/>
              <w:jc w:val="center"/>
              <w:rPr>
                <w:rFonts w:cs="Times New Roman"/>
                <w:i/>
                <w:iCs/>
                <w:color w:val="000000"/>
              </w:rPr>
            </w:pPr>
            <w:r w:rsidRPr="0082174C">
              <w:rPr>
                <w:rFonts w:cs="Times New Roman"/>
                <w:i/>
                <w:iCs/>
                <w:color w:val="000000"/>
              </w:rPr>
              <w:t>&gt;0.05</w:t>
            </w:r>
          </w:p>
        </w:tc>
      </w:tr>
      <w:tr w:rsidR="00B3078E" w:rsidRPr="0082174C" w14:paraId="6D4AF085" w14:textId="77777777" w:rsidTr="00501FD1">
        <w:trPr>
          <w:trHeight w:val="315"/>
        </w:trPr>
        <w:tc>
          <w:tcPr>
            <w:tcW w:w="1349" w:type="dxa"/>
            <w:tcBorders>
              <w:top w:val="nil"/>
              <w:left w:val="nil"/>
              <w:bottom w:val="nil"/>
              <w:right w:val="nil"/>
            </w:tcBorders>
            <w:shd w:val="clear" w:color="auto" w:fill="auto"/>
            <w:noWrap/>
            <w:vAlign w:val="bottom"/>
            <w:hideMark/>
          </w:tcPr>
          <w:p w14:paraId="2B5F1B00" w14:textId="77777777" w:rsidR="00B3078E" w:rsidRPr="0082174C" w:rsidRDefault="00B3078E" w:rsidP="00501FD1">
            <w:pPr>
              <w:spacing w:line="240" w:lineRule="auto"/>
              <w:jc w:val="center"/>
              <w:rPr>
                <w:rFonts w:cs="Times New Roman"/>
                <w:color w:val="000000"/>
              </w:rPr>
            </w:pPr>
            <w:r w:rsidRPr="0082174C">
              <w:rPr>
                <w:rFonts w:cs="Times New Roman"/>
                <w:i/>
                <w:iCs/>
                <w:color w:val="000000"/>
              </w:rPr>
              <w:t>P</w:t>
            </w:r>
            <w:r w:rsidRPr="0082174C">
              <w:rPr>
                <w:rFonts w:cs="Times New Roman"/>
                <w:color w:val="000000"/>
              </w:rPr>
              <w:t>-value</w:t>
            </w:r>
          </w:p>
        </w:tc>
        <w:tc>
          <w:tcPr>
            <w:tcW w:w="1171" w:type="dxa"/>
            <w:tcBorders>
              <w:top w:val="nil"/>
              <w:left w:val="nil"/>
              <w:bottom w:val="nil"/>
              <w:right w:val="nil"/>
            </w:tcBorders>
            <w:shd w:val="clear" w:color="auto" w:fill="auto"/>
            <w:noWrap/>
            <w:vAlign w:val="bottom"/>
            <w:hideMark/>
          </w:tcPr>
          <w:p w14:paraId="7A9B8C96" w14:textId="77777777" w:rsidR="00B3078E" w:rsidRPr="0082174C" w:rsidRDefault="00B3078E" w:rsidP="00501FD1">
            <w:pPr>
              <w:spacing w:line="240" w:lineRule="auto"/>
              <w:jc w:val="center"/>
              <w:rPr>
                <w:rFonts w:cs="Times New Roman"/>
                <w:i/>
                <w:iCs/>
                <w:color w:val="000000"/>
              </w:rPr>
            </w:pPr>
            <w:r w:rsidRPr="0082174C">
              <w:rPr>
                <w:rFonts w:cs="Times New Roman"/>
                <w:i/>
                <w:iCs/>
                <w:color w:val="000000"/>
              </w:rPr>
              <w:t>&gt;0.05</w:t>
            </w:r>
          </w:p>
        </w:tc>
        <w:tc>
          <w:tcPr>
            <w:tcW w:w="1620" w:type="dxa"/>
            <w:tcBorders>
              <w:top w:val="nil"/>
              <w:left w:val="nil"/>
              <w:bottom w:val="nil"/>
              <w:right w:val="nil"/>
            </w:tcBorders>
            <w:shd w:val="clear" w:color="auto" w:fill="auto"/>
            <w:noWrap/>
            <w:vAlign w:val="bottom"/>
            <w:hideMark/>
          </w:tcPr>
          <w:p w14:paraId="3C6D6289" w14:textId="77777777" w:rsidR="00B3078E" w:rsidRPr="0082174C" w:rsidRDefault="00B3078E" w:rsidP="00501FD1">
            <w:pPr>
              <w:spacing w:line="240" w:lineRule="auto"/>
              <w:jc w:val="center"/>
              <w:rPr>
                <w:rFonts w:cs="Times New Roman"/>
                <w:i/>
                <w:iCs/>
                <w:color w:val="000000"/>
              </w:rPr>
            </w:pPr>
            <w:r w:rsidRPr="0082174C">
              <w:rPr>
                <w:rFonts w:cs="Times New Roman"/>
                <w:i/>
                <w:iCs/>
                <w:color w:val="000000"/>
              </w:rPr>
              <w:t>&gt;0.05</w:t>
            </w:r>
          </w:p>
        </w:tc>
        <w:tc>
          <w:tcPr>
            <w:tcW w:w="1350" w:type="dxa"/>
            <w:tcBorders>
              <w:top w:val="nil"/>
              <w:left w:val="nil"/>
              <w:bottom w:val="nil"/>
              <w:right w:val="nil"/>
            </w:tcBorders>
            <w:shd w:val="clear" w:color="auto" w:fill="auto"/>
            <w:noWrap/>
            <w:vAlign w:val="bottom"/>
            <w:hideMark/>
          </w:tcPr>
          <w:p w14:paraId="4B69E7FA" w14:textId="77777777" w:rsidR="00B3078E" w:rsidRPr="0082174C" w:rsidRDefault="00B3078E" w:rsidP="00501FD1">
            <w:pPr>
              <w:spacing w:line="240" w:lineRule="auto"/>
              <w:jc w:val="center"/>
              <w:rPr>
                <w:rFonts w:cs="Times New Roman"/>
                <w:i/>
                <w:iCs/>
                <w:color w:val="000000"/>
              </w:rPr>
            </w:pPr>
            <w:r w:rsidRPr="0082174C">
              <w:rPr>
                <w:rFonts w:cs="Times New Roman"/>
                <w:i/>
                <w:iCs/>
                <w:color w:val="000000"/>
              </w:rPr>
              <w:t>&gt;0.05</w:t>
            </w:r>
          </w:p>
        </w:tc>
        <w:tc>
          <w:tcPr>
            <w:tcW w:w="1440" w:type="dxa"/>
            <w:tcBorders>
              <w:top w:val="nil"/>
              <w:left w:val="nil"/>
              <w:bottom w:val="nil"/>
              <w:right w:val="nil"/>
            </w:tcBorders>
            <w:shd w:val="clear" w:color="auto" w:fill="auto"/>
            <w:noWrap/>
            <w:vAlign w:val="bottom"/>
            <w:hideMark/>
          </w:tcPr>
          <w:p w14:paraId="38F5433A" w14:textId="77777777" w:rsidR="00B3078E" w:rsidRPr="0082174C" w:rsidRDefault="00B3078E" w:rsidP="00501FD1">
            <w:pPr>
              <w:spacing w:line="240" w:lineRule="auto"/>
              <w:jc w:val="center"/>
              <w:rPr>
                <w:rFonts w:cs="Times New Roman"/>
                <w:i/>
                <w:iCs/>
                <w:color w:val="000000"/>
              </w:rPr>
            </w:pPr>
            <w:r w:rsidRPr="0082174C">
              <w:rPr>
                <w:rFonts w:cs="Times New Roman"/>
                <w:i/>
                <w:iCs/>
                <w:color w:val="000000"/>
              </w:rPr>
              <w:t>&gt;0.05</w:t>
            </w:r>
          </w:p>
        </w:tc>
        <w:tc>
          <w:tcPr>
            <w:tcW w:w="1440" w:type="dxa"/>
            <w:tcBorders>
              <w:top w:val="nil"/>
              <w:left w:val="nil"/>
              <w:bottom w:val="nil"/>
              <w:right w:val="nil"/>
            </w:tcBorders>
            <w:shd w:val="clear" w:color="auto" w:fill="auto"/>
            <w:noWrap/>
            <w:vAlign w:val="bottom"/>
            <w:hideMark/>
          </w:tcPr>
          <w:p w14:paraId="3420E701" w14:textId="77777777" w:rsidR="00B3078E" w:rsidRPr="0082174C" w:rsidRDefault="00B3078E" w:rsidP="00501FD1">
            <w:pPr>
              <w:spacing w:line="240" w:lineRule="auto"/>
              <w:rPr>
                <w:rFonts w:cs="Times New Roman"/>
                <w:sz w:val="20"/>
                <w:szCs w:val="20"/>
              </w:rPr>
            </w:pPr>
          </w:p>
        </w:tc>
      </w:tr>
      <w:tr w:rsidR="00B3078E" w:rsidRPr="0082174C" w14:paraId="0A9FFB04" w14:textId="77777777" w:rsidTr="00501FD1">
        <w:trPr>
          <w:trHeight w:val="315"/>
        </w:trPr>
        <w:tc>
          <w:tcPr>
            <w:tcW w:w="8370" w:type="dxa"/>
            <w:gridSpan w:val="6"/>
            <w:tcBorders>
              <w:top w:val="single" w:sz="4" w:space="0" w:color="auto"/>
              <w:left w:val="nil"/>
              <w:bottom w:val="nil"/>
              <w:right w:val="nil"/>
            </w:tcBorders>
            <w:shd w:val="clear" w:color="auto" w:fill="auto"/>
            <w:noWrap/>
            <w:vAlign w:val="center"/>
            <w:hideMark/>
          </w:tcPr>
          <w:p w14:paraId="6EFA1261" w14:textId="77777777" w:rsidR="00B3078E" w:rsidRPr="0082174C" w:rsidRDefault="00B3078E" w:rsidP="00501FD1">
            <w:pPr>
              <w:spacing w:line="240" w:lineRule="auto"/>
              <w:rPr>
                <w:rFonts w:cs="Times New Roman"/>
                <w:color w:val="000000"/>
              </w:rPr>
            </w:pPr>
            <w:r w:rsidRPr="0082174C">
              <w:rPr>
                <w:rFonts w:cs="Times New Roman"/>
                <w:color w:val="000000"/>
              </w:rPr>
              <w:t xml:space="preserve">Means within a column differ each </w:t>
            </w:r>
            <w:r>
              <w:rPr>
                <w:rFonts w:cs="Times New Roman"/>
                <w:color w:val="000000"/>
              </w:rPr>
              <w:t xml:space="preserve">inoculation </w:t>
            </w:r>
            <w:r w:rsidRPr="0082174C">
              <w:rPr>
                <w:rFonts w:cs="Times New Roman"/>
                <w:color w:val="000000"/>
              </w:rPr>
              <w:t xml:space="preserve">into </w:t>
            </w:r>
            <w:r>
              <w:t xml:space="preserve">N strategies </w:t>
            </w:r>
            <w:r w:rsidRPr="0082174C">
              <w:rPr>
                <w:rFonts w:cs="Times New Roman"/>
                <w:color w:val="000000"/>
              </w:rPr>
              <w:t>(</w:t>
            </w:r>
            <w:r>
              <w:rPr>
                <w:rFonts w:cs="Times New Roman"/>
                <w:i/>
                <w:iCs/>
                <w:color w:val="000000"/>
              </w:rPr>
              <w:t>P</w:t>
            </w:r>
            <w:r w:rsidRPr="0082174C">
              <w:rPr>
                <w:rFonts w:cs="Times New Roman"/>
                <w:color w:val="000000"/>
              </w:rPr>
              <w:t xml:space="preserve"> &lt; .05). </w:t>
            </w:r>
          </w:p>
        </w:tc>
      </w:tr>
      <w:tr w:rsidR="00B3078E" w:rsidRPr="0082174C" w14:paraId="2485451D" w14:textId="77777777" w:rsidTr="00501FD1">
        <w:trPr>
          <w:trHeight w:val="315"/>
        </w:trPr>
        <w:tc>
          <w:tcPr>
            <w:tcW w:w="8370" w:type="dxa"/>
            <w:gridSpan w:val="6"/>
            <w:tcBorders>
              <w:top w:val="nil"/>
              <w:left w:val="nil"/>
              <w:bottom w:val="nil"/>
              <w:right w:val="nil"/>
            </w:tcBorders>
            <w:shd w:val="clear" w:color="auto" w:fill="auto"/>
            <w:noWrap/>
            <w:vAlign w:val="center"/>
            <w:hideMark/>
          </w:tcPr>
          <w:p w14:paraId="366D91F5" w14:textId="77777777" w:rsidR="00B3078E" w:rsidRPr="0082174C" w:rsidRDefault="00B3078E" w:rsidP="00501FD1">
            <w:pPr>
              <w:spacing w:line="240" w:lineRule="auto"/>
              <w:rPr>
                <w:rFonts w:cs="Times New Roman"/>
                <w:color w:val="000000"/>
              </w:rPr>
            </w:pPr>
            <w:r w:rsidRPr="0082174C">
              <w:rPr>
                <w:rFonts w:cs="Times New Roman"/>
                <w:color w:val="000000"/>
              </w:rPr>
              <w:t xml:space="preserve">Means within a row differ each </w:t>
            </w:r>
            <w:r>
              <w:t xml:space="preserve">N strategies </w:t>
            </w:r>
            <w:r>
              <w:rPr>
                <w:rFonts w:cs="Times New Roman"/>
                <w:color w:val="000000"/>
              </w:rPr>
              <w:t>into</w:t>
            </w:r>
            <w:r w:rsidRPr="0082174C">
              <w:rPr>
                <w:rFonts w:cs="Times New Roman"/>
                <w:color w:val="000000"/>
              </w:rPr>
              <w:t xml:space="preserve"> </w:t>
            </w:r>
            <w:r>
              <w:rPr>
                <w:rFonts w:cs="Times New Roman"/>
                <w:color w:val="000000"/>
              </w:rPr>
              <w:t>inoculation</w:t>
            </w:r>
            <w:r w:rsidRPr="0082174C">
              <w:rPr>
                <w:rFonts w:cs="Times New Roman"/>
                <w:color w:val="000000"/>
              </w:rPr>
              <w:t xml:space="preserve"> (</w:t>
            </w:r>
            <w:r>
              <w:rPr>
                <w:rFonts w:cs="Times New Roman"/>
                <w:i/>
                <w:iCs/>
                <w:color w:val="000000"/>
              </w:rPr>
              <w:t>P</w:t>
            </w:r>
            <w:r w:rsidRPr="0082174C">
              <w:rPr>
                <w:rFonts w:cs="Times New Roman"/>
                <w:color w:val="000000"/>
              </w:rPr>
              <w:t xml:space="preserve"> &lt; .05).</w:t>
            </w:r>
          </w:p>
        </w:tc>
      </w:tr>
      <w:tr w:rsidR="00B3078E" w:rsidRPr="0082174C" w14:paraId="05F0B2DE" w14:textId="77777777" w:rsidTr="00501FD1">
        <w:trPr>
          <w:trHeight w:val="360"/>
        </w:trPr>
        <w:tc>
          <w:tcPr>
            <w:tcW w:w="8370" w:type="dxa"/>
            <w:gridSpan w:val="6"/>
            <w:tcBorders>
              <w:top w:val="nil"/>
              <w:left w:val="nil"/>
              <w:bottom w:val="nil"/>
              <w:right w:val="nil"/>
            </w:tcBorders>
            <w:shd w:val="clear" w:color="auto" w:fill="auto"/>
            <w:noWrap/>
            <w:vAlign w:val="center"/>
            <w:hideMark/>
          </w:tcPr>
          <w:p w14:paraId="27B92C99" w14:textId="77777777" w:rsidR="00B3078E" w:rsidRPr="0082174C" w:rsidRDefault="00B3078E" w:rsidP="00501FD1">
            <w:pPr>
              <w:spacing w:line="240" w:lineRule="auto"/>
              <w:rPr>
                <w:rFonts w:ascii="Symbol" w:hAnsi="Symbol" w:cs="Times New Roman"/>
                <w:color w:val="000000"/>
              </w:rPr>
            </w:pPr>
            <w:r>
              <w:rPr>
                <w:rFonts w:cs="Times New Roman"/>
                <w:color w:val="000000"/>
              </w:rPr>
              <w:t>SEM = 95.</w:t>
            </w:r>
          </w:p>
        </w:tc>
      </w:tr>
      <w:tr w:rsidR="00B3078E" w:rsidRPr="0082174C" w14:paraId="76EF4ED5" w14:textId="77777777" w:rsidTr="00501FD1">
        <w:trPr>
          <w:trHeight w:val="600"/>
        </w:trPr>
        <w:tc>
          <w:tcPr>
            <w:tcW w:w="8370" w:type="dxa"/>
            <w:gridSpan w:val="6"/>
            <w:tcBorders>
              <w:top w:val="nil"/>
              <w:left w:val="nil"/>
              <w:bottom w:val="nil"/>
              <w:right w:val="nil"/>
            </w:tcBorders>
            <w:shd w:val="clear" w:color="auto" w:fill="auto"/>
            <w:vAlign w:val="center"/>
            <w:hideMark/>
          </w:tcPr>
          <w:p w14:paraId="7E0A947C" w14:textId="77777777" w:rsidR="00B3078E" w:rsidRPr="0082174C" w:rsidRDefault="00B3078E" w:rsidP="00501FD1">
            <w:pPr>
              <w:spacing w:line="240" w:lineRule="auto"/>
              <w:rPr>
                <w:rFonts w:cs="Times New Roman"/>
                <w:i/>
                <w:iCs/>
                <w:color w:val="000000"/>
              </w:rPr>
            </w:pPr>
            <w:r w:rsidRPr="0082174C">
              <w:rPr>
                <w:rFonts w:cs="Times New Roman"/>
                <w:i/>
                <w:iCs/>
                <w:color w:val="000000"/>
              </w:rPr>
              <w:t>Note</w:t>
            </w:r>
            <w:r w:rsidRPr="0082174C">
              <w:rPr>
                <w:rFonts w:cs="Times New Roman"/>
                <w:color w:val="000000"/>
              </w:rPr>
              <w:t xml:space="preserve">: DH-44, </w:t>
            </w:r>
            <w:proofErr w:type="spellStart"/>
            <w:r w:rsidRPr="0082174C">
              <w:rPr>
                <w:rFonts w:cs="Times New Roman"/>
                <w:i/>
                <w:iCs/>
                <w:color w:val="000000"/>
              </w:rPr>
              <w:t>Paenibacillus</w:t>
            </w:r>
            <w:proofErr w:type="spellEnd"/>
            <w:r w:rsidRPr="0082174C">
              <w:rPr>
                <w:rFonts w:cs="Times New Roman"/>
                <w:i/>
                <w:iCs/>
                <w:color w:val="000000"/>
              </w:rPr>
              <w:t xml:space="preserve"> </w:t>
            </w:r>
            <w:proofErr w:type="spellStart"/>
            <w:r w:rsidRPr="0082174C">
              <w:rPr>
                <w:rFonts w:cs="Times New Roman"/>
                <w:i/>
                <w:iCs/>
                <w:color w:val="000000"/>
              </w:rPr>
              <w:t>riograndensis</w:t>
            </w:r>
            <w:proofErr w:type="spellEnd"/>
            <w:r w:rsidRPr="0082174C">
              <w:rPr>
                <w:rFonts w:cs="Times New Roman"/>
                <w:color w:val="000000"/>
              </w:rPr>
              <w:t xml:space="preserve">; C-PGPB, </w:t>
            </w:r>
            <w:proofErr w:type="spellStart"/>
            <w:r w:rsidRPr="0082174C">
              <w:rPr>
                <w:rFonts w:cs="Times New Roman"/>
                <w:color w:val="000000"/>
              </w:rPr>
              <w:t>UrtrishaN</w:t>
            </w:r>
            <w:proofErr w:type="spellEnd"/>
            <w:r w:rsidRPr="0082174C">
              <w:rPr>
                <w:rFonts w:cs="Times New Roman"/>
                <w:color w:val="000000"/>
              </w:rPr>
              <w:t xml:space="preserve">; DH-267, </w:t>
            </w:r>
            <w:r w:rsidRPr="0082174C">
              <w:rPr>
                <w:rFonts w:cs="Times New Roman"/>
                <w:i/>
                <w:iCs/>
                <w:color w:val="000000"/>
              </w:rPr>
              <w:t>Bacillus subtilis</w:t>
            </w:r>
            <w:r w:rsidRPr="0082174C">
              <w:rPr>
                <w:rFonts w:cs="Times New Roman"/>
                <w:color w:val="000000"/>
              </w:rPr>
              <w:t>; No-PGPB, control.</w:t>
            </w:r>
          </w:p>
        </w:tc>
      </w:tr>
      <w:tr w:rsidR="00B3078E" w:rsidRPr="0082174C" w14:paraId="52562144" w14:textId="77777777" w:rsidTr="00501FD1">
        <w:trPr>
          <w:trHeight w:val="315"/>
        </w:trPr>
        <w:tc>
          <w:tcPr>
            <w:tcW w:w="8370" w:type="dxa"/>
            <w:gridSpan w:val="6"/>
            <w:tcBorders>
              <w:top w:val="nil"/>
              <w:left w:val="nil"/>
              <w:bottom w:val="nil"/>
              <w:right w:val="nil"/>
            </w:tcBorders>
            <w:shd w:val="clear" w:color="auto" w:fill="auto"/>
            <w:noWrap/>
            <w:vAlign w:val="bottom"/>
            <w:hideMark/>
          </w:tcPr>
          <w:p w14:paraId="55B02FE6" w14:textId="77777777" w:rsidR="00B3078E" w:rsidRDefault="00B3078E" w:rsidP="00501FD1">
            <w:pPr>
              <w:spacing w:line="240" w:lineRule="auto"/>
              <w:rPr>
                <w:rFonts w:cs="Times New Roman"/>
                <w:color w:val="000000"/>
              </w:rPr>
            </w:pPr>
            <w:r w:rsidRPr="0082174C">
              <w:rPr>
                <w:rFonts w:cs="Times New Roman"/>
                <w:i/>
                <w:iCs/>
                <w:color w:val="000000"/>
              </w:rPr>
              <w:t>Note</w:t>
            </w:r>
            <w:r w:rsidRPr="0082174C">
              <w:rPr>
                <w:rFonts w:cs="Times New Roman"/>
                <w:color w:val="000000"/>
              </w:rPr>
              <w:t>: U, urea; A, ammonium sulfate.</w:t>
            </w:r>
          </w:p>
          <w:p w14:paraId="632A6165" w14:textId="77777777" w:rsidR="00B3078E" w:rsidRDefault="00B3078E" w:rsidP="00501FD1">
            <w:pPr>
              <w:spacing w:line="240" w:lineRule="auto"/>
              <w:rPr>
                <w:rFonts w:cs="Times New Roman"/>
                <w:i/>
                <w:iCs/>
                <w:color w:val="000000"/>
              </w:rPr>
            </w:pPr>
          </w:p>
          <w:p w14:paraId="6BE74D89" w14:textId="77777777" w:rsidR="00B3078E" w:rsidRDefault="00B3078E" w:rsidP="00501FD1">
            <w:pPr>
              <w:spacing w:line="240" w:lineRule="auto"/>
              <w:rPr>
                <w:rFonts w:cs="Times New Roman"/>
                <w:i/>
                <w:iCs/>
                <w:color w:val="000000"/>
              </w:rPr>
            </w:pPr>
          </w:p>
          <w:p w14:paraId="2396658D" w14:textId="77777777" w:rsidR="00B3078E" w:rsidRDefault="00B3078E" w:rsidP="00501FD1">
            <w:pPr>
              <w:spacing w:line="240" w:lineRule="auto"/>
              <w:rPr>
                <w:rFonts w:cs="Times New Roman"/>
                <w:i/>
                <w:iCs/>
                <w:color w:val="000000"/>
              </w:rPr>
            </w:pPr>
          </w:p>
          <w:p w14:paraId="5BC29189" w14:textId="77777777" w:rsidR="00B3078E" w:rsidRPr="0082174C" w:rsidRDefault="00B3078E" w:rsidP="00501FD1">
            <w:pPr>
              <w:spacing w:line="240" w:lineRule="auto"/>
              <w:rPr>
                <w:rFonts w:cs="Times New Roman"/>
                <w:i/>
                <w:iCs/>
                <w:color w:val="000000"/>
              </w:rPr>
            </w:pPr>
          </w:p>
        </w:tc>
      </w:tr>
    </w:tbl>
    <w:p w14:paraId="745832EA" w14:textId="77777777" w:rsidR="00D82451" w:rsidRDefault="00767A67" w:rsidP="00761497">
      <w:pPr>
        <w:spacing w:line="480" w:lineRule="auto"/>
        <w:rPr>
          <w:rFonts w:cs="Times New Roman"/>
        </w:rPr>
      </w:pPr>
      <w:r>
        <w:rPr>
          <w:rFonts w:cs="Times New Roman"/>
          <w:noProof/>
          <w:color w:val="000000"/>
          <w:lang w:eastAsia="pt-BR"/>
        </w:rPr>
        <w:br w:type="textWrapping" w:clear="all"/>
      </w:r>
    </w:p>
    <w:p w14:paraId="5DA8F39D" w14:textId="77777777" w:rsidR="00D82451" w:rsidRDefault="00D82451">
      <w:r>
        <w:br w:type="page"/>
      </w:r>
    </w:p>
    <w:tbl>
      <w:tblPr>
        <w:tblpPr w:leftFromText="141" w:rightFromText="141" w:vertAnchor="page" w:horzAnchor="margin" w:tblpY="1551"/>
        <w:tblW w:w="8780" w:type="dxa"/>
        <w:tblCellMar>
          <w:left w:w="70" w:type="dxa"/>
          <w:right w:w="70" w:type="dxa"/>
        </w:tblCellMar>
        <w:tblLook w:val="04A0" w:firstRow="1" w:lastRow="0" w:firstColumn="1" w:lastColumn="0" w:noHBand="0" w:noVBand="1"/>
      </w:tblPr>
      <w:tblGrid>
        <w:gridCol w:w="1242"/>
        <w:gridCol w:w="1093"/>
        <w:gridCol w:w="1349"/>
        <w:gridCol w:w="1328"/>
        <w:gridCol w:w="1093"/>
        <w:gridCol w:w="1349"/>
        <w:gridCol w:w="1326"/>
      </w:tblGrid>
      <w:tr w:rsidR="00D82451" w:rsidRPr="00D82451" w14:paraId="7D0997AE" w14:textId="77777777" w:rsidTr="00B3078E">
        <w:trPr>
          <w:trHeight w:val="810"/>
        </w:trPr>
        <w:tc>
          <w:tcPr>
            <w:tcW w:w="8780" w:type="dxa"/>
            <w:gridSpan w:val="7"/>
            <w:tcBorders>
              <w:top w:val="nil"/>
              <w:left w:val="nil"/>
              <w:bottom w:val="nil"/>
              <w:right w:val="nil"/>
            </w:tcBorders>
            <w:shd w:val="clear" w:color="auto" w:fill="auto"/>
            <w:vAlign w:val="center"/>
            <w:hideMark/>
          </w:tcPr>
          <w:p w14:paraId="02A7DE58" w14:textId="7042C6AE" w:rsidR="00D82451" w:rsidRPr="00761497" w:rsidRDefault="00D82451" w:rsidP="00B3078E">
            <w:pPr>
              <w:pStyle w:val="mytables"/>
              <w:rPr>
                <w:lang w:eastAsia="pt-BR"/>
              </w:rPr>
            </w:pPr>
            <w:bookmarkStart w:id="62" w:name="_Toc196315446"/>
            <w:r w:rsidRPr="00761497">
              <w:rPr>
                <w:lang w:eastAsia="pt-BR"/>
              </w:rPr>
              <w:lastRenderedPageBreak/>
              <w:t xml:space="preserve">Table 2.2 - </w:t>
            </w:r>
            <w:r w:rsidRPr="00761497">
              <w:rPr>
                <w:b w:val="0"/>
                <w:bCs w:val="0"/>
                <w:lang w:eastAsia="pt-BR"/>
              </w:rPr>
              <w:t>Average forage mass (FM) of Bermudagrass in response to N strategies (NN, U-33, A-33 kg, U-67, A-67), across two growing seasons (year) 2023 (1) and 2024 (2), in Crossville, Tennessee, U.S.</w:t>
            </w:r>
            <w:bookmarkEnd w:id="62"/>
          </w:p>
        </w:tc>
      </w:tr>
      <w:tr w:rsidR="00D82451" w:rsidRPr="00D82451" w14:paraId="71A76ADA" w14:textId="77777777" w:rsidTr="00B3078E">
        <w:trPr>
          <w:trHeight w:val="312"/>
        </w:trPr>
        <w:tc>
          <w:tcPr>
            <w:tcW w:w="1242" w:type="dxa"/>
            <w:vMerge w:val="restart"/>
            <w:tcBorders>
              <w:top w:val="single" w:sz="4" w:space="0" w:color="auto"/>
              <w:left w:val="nil"/>
              <w:bottom w:val="single" w:sz="4" w:space="0" w:color="000000"/>
              <w:right w:val="nil"/>
            </w:tcBorders>
            <w:shd w:val="clear" w:color="auto" w:fill="auto"/>
            <w:noWrap/>
            <w:vAlign w:val="center"/>
            <w:hideMark/>
          </w:tcPr>
          <w:p w14:paraId="740CDF03" w14:textId="77777777" w:rsidR="00D82451" w:rsidRPr="00D82451" w:rsidRDefault="00D82451" w:rsidP="00B3078E">
            <w:pPr>
              <w:spacing w:line="240" w:lineRule="auto"/>
              <w:jc w:val="center"/>
              <w:rPr>
                <w:rFonts w:cs="Times New Roman"/>
                <w:color w:val="000000"/>
                <w:lang w:val="pt-BR" w:eastAsia="pt-BR"/>
              </w:rPr>
            </w:pPr>
            <w:r w:rsidRPr="00D82451">
              <w:rPr>
                <w:rFonts w:cs="Times New Roman"/>
                <w:color w:val="000000"/>
                <w:lang w:val="pt-BR" w:eastAsia="pt-BR"/>
              </w:rPr>
              <w:t>Year</w:t>
            </w:r>
          </w:p>
        </w:tc>
        <w:tc>
          <w:tcPr>
            <w:tcW w:w="4863" w:type="dxa"/>
            <w:gridSpan w:val="4"/>
            <w:tcBorders>
              <w:top w:val="single" w:sz="4" w:space="0" w:color="auto"/>
              <w:left w:val="nil"/>
              <w:bottom w:val="nil"/>
              <w:right w:val="nil"/>
            </w:tcBorders>
            <w:shd w:val="clear" w:color="auto" w:fill="auto"/>
            <w:noWrap/>
            <w:vAlign w:val="bottom"/>
            <w:hideMark/>
          </w:tcPr>
          <w:p w14:paraId="2CD45DDE" w14:textId="77777777" w:rsidR="00D82451" w:rsidRPr="00D82451" w:rsidRDefault="00D82451" w:rsidP="00B3078E">
            <w:pPr>
              <w:spacing w:line="240" w:lineRule="auto"/>
              <w:jc w:val="center"/>
              <w:rPr>
                <w:rFonts w:cs="Times New Roman"/>
                <w:color w:val="000000"/>
                <w:lang w:val="pt-BR" w:eastAsia="pt-BR"/>
              </w:rPr>
            </w:pPr>
            <w:r w:rsidRPr="00D82451">
              <w:rPr>
                <w:rFonts w:cs="Times New Roman"/>
                <w:color w:val="000000"/>
                <w:lang w:val="pt-BR" w:eastAsia="pt-BR"/>
              </w:rPr>
              <w:t>N strategies</w:t>
            </w:r>
          </w:p>
        </w:tc>
        <w:tc>
          <w:tcPr>
            <w:tcW w:w="1349" w:type="dxa"/>
            <w:tcBorders>
              <w:top w:val="single" w:sz="4" w:space="0" w:color="auto"/>
              <w:left w:val="nil"/>
              <w:bottom w:val="nil"/>
              <w:right w:val="nil"/>
            </w:tcBorders>
            <w:shd w:val="clear" w:color="auto" w:fill="auto"/>
            <w:noWrap/>
            <w:vAlign w:val="bottom"/>
            <w:hideMark/>
          </w:tcPr>
          <w:p w14:paraId="6A21D727" w14:textId="77777777" w:rsidR="00D82451" w:rsidRPr="00D82451" w:rsidRDefault="00D82451" w:rsidP="00B3078E">
            <w:pPr>
              <w:spacing w:line="240" w:lineRule="auto"/>
              <w:rPr>
                <w:rFonts w:cs="Times New Roman"/>
                <w:color w:val="000000"/>
                <w:lang w:val="pt-BR" w:eastAsia="pt-BR"/>
              </w:rPr>
            </w:pPr>
            <w:r w:rsidRPr="00D82451">
              <w:rPr>
                <w:rFonts w:cs="Times New Roman"/>
                <w:color w:val="000000"/>
                <w:lang w:val="pt-BR" w:eastAsia="pt-BR"/>
              </w:rPr>
              <w:t> </w:t>
            </w:r>
          </w:p>
        </w:tc>
        <w:tc>
          <w:tcPr>
            <w:tcW w:w="1326" w:type="dxa"/>
            <w:tcBorders>
              <w:top w:val="single" w:sz="4" w:space="0" w:color="auto"/>
              <w:left w:val="nil"/>
              <w:bottom w:val="nil"/>
              <w:right w:val="nil"/>
            </w:tcBorders>
            <w:shd w:val="clear" w:color="auto" w:fill="auto"/>
            <w:noWrap/>
            <w:vAlign w:val="bottom"/>
            <w:hideMark/>
          </w:tcPr>
          <w:p w14:paraId="2F47D447" w14:textId="77777777" w:rsidR="00D82451" w:rsidRPr="00D82451" w:rsidRDefault="00D82451" w:rsidP="00B3078E">
            <w:pPr>
              <w:spacing w:line="240" w:lineRule="auto"/>
              <w:rPr>
                <w:rFonts w:cs="Times New Roman"/>
                <w:color w:val="000000"/>
                <w:lang w:val="pt-BR" w:eastAsia="pt-BR"/>
              </w:rPr>
            </w:pPr>
            <w:r w:rsidRPr="00D82451">
              <w:rPr>
                <w:rFonts w:cs="Times New Roman"/>
                <w:color w:val="000000"/>
                <w:lang w:val="pt-BR" w:eastAsia="pt-BR"/>
              </w:rPr>
              <w:t> </w:t>
            </w:r>
          </w:p>
        </w:tc>
      </w:tr>
      <w:tr w:rsidR="00D82451" w:rsidRPr="00D82451" w14:paraId="7BAD6193" w14:textId="77777777" w:rsidTr="00B3078E">
        <w:trPr>
          <w:trHeight w:val="89"/>
        </w:trPr>
        <w:tc>
          <w:tcPr>
            <w:tcW w:w="1242" w:type="dxa"/>
            <w:vMerge/>
            <w:tcBorders>
              <w:top w:val="single" w:sz="4" w:space="0" w:color="auto"/>
              <w:left w:val="nil"/>
              <w:bottom w:val="single" w:sz="4" w:space="0" w:color="000000"/>
              <w:right w:val="nil"/>
            </w:tcBorders>
            <w:vAlign w:val="center"/>
            <w:hideMark/>
          </w:tcPr>
          <w:p w14:paraId="3EBB1CD7" w14:textId="77777777" w:rsidR="00D82451" w:rsidRPr="00D82451" w:rsidRDefault="00D82451" w:rsidP="00B3078E">
            <w:pPr>
              <w:spacing w:line="240" w:lineRule="auto"/>
              <w:rPr>
                <w:rFonts w:cs="Times New Roman"/>
                <w:color w:val="000000"/>
                <w:lang w:val="pt-BR" w:eastAsia="pt-BR"/>
              </w:rPr>
            </w:pPr>
          </w:p>
        </w:tc>
        <w:tc>
          <w:tcPr>
            <w:tcW w:w="1093" w:type="dxa"/>
            <w:tcBorders>
              <w:top w:val="nil"/>
              <w:left w:val="nil"/>
              <w:bottom w:val="nil"/>
              <w:right w:val="nil"/>
            </w:tcBorders>
            <w:shd w:val="clear" w:color="auto" w:fill="auto"/>
            <w:noWrap/>
            <w:vAlign w:val="bottom"/>
            <w:hideMark/>
          </w:tcPr>
          <w:p w14:paraId="2B4E3076" w14:textId="77777777" w:rsidR="00D82451" w:rsidRPr="00D82451" w:rsidRDefault="00D82451" w:rsidP="00B3078E">
            <w:pPr>
              <w:spacing w:line="240" w:lineRule="auto"/>
              <w:jc w:val="center"/>
              <w:rPr>
                <w:rFonts w:cs="Times New Roman"/>
                <w:color w:val="000000"/>
                <w:lang w:val="pt-BR" w:eastAsia="pt-BR"/>
              </w:rPr>
            </w:pPr>
            <w:r w:rsidRPr="00D82451">
              <w:rPr>
                <w:rFonts w:cs="Times New Roman"/>
                <w:color w:val="000000"/>
                <w:lang w:val="pt-BR" w:eastAsia="pt-BR"/>
              </w:rPr>
              <w:t>NN</w:t>
            </w:r>
          </w:p>
        </w:tc>
        <w:tc>
          <w:tcPr>
            <w:tcW w:w="1349" w:type="dxa"/>
            <w:tcBorders>
              <w:top w:val="nil"/>
              <w:left w:val="nil"/>
              <w:bottom w:val="nil"/>
              <w:right w:val="nil"/>
            </w:tcBorders>
            <w:shd w:val="clear" w:color="auto" w:fill="auto"/>
            <w:noWrap/>
            <w:vAlign w:val="bottom"/>
            <w:hideMark/>
          </w:tcPr>
          <w:p w14:paraId="71A5D5DD" w14:textId="77777777" w:rsidR="00D82451" w:rsidRPr="00D82451" w:rsidRDefault="00D82451" w:rsidP="00B3078E">
            <w:pPr>
              <w:spacing w:line="240" w:lineRule="auto"/>
              <w:jc w:val="center"/>
              <w:rPr>
                <w:rFonts w:cs="Times New Roman"/>
                <w:color w:val="000000"/>
                <w:lang w:val="pt-BR" w:eastAsia="pt-BR"/>
              </w:rPr>
            </w:pPr>
            <w:r w:rsidRPr="00D82451">
              <w:rPr>
                <w:rFonts w:cs="Times New Roman"/>
                <w:color w:val="000000"/>
                <w:lang w:val="pt-BR" w:eastAsia="pt-BR"/>
              </w:rPr>
              <w:t>U-33</w:t>
            </w:r>
          </w:p>
        </w:tc>
        <w:tc>
          <w:tcPr>
            <w:tcW w:w="1328" w:type="dxa"/>
            <w:tcBorders>
              <w:top w:val="nil"/>
              <w:left w:val="nil"/>
              <w:bottom w:val="nil"/>
              <w:right w:val="nil"/>
            </w:tcBorders>
            <w:shd w:val="clear" w:color="auto" w:fill="auto"/>
            <w:noWrap/>
            <w:vAlign w:val="bottom"/>
            <w:hideMark/>
          </w:tcPr>
          <w:p w14:paraId="020A6591" w14:textId="77777777" w:rsidR="00D82451" w:rsidRPr="00D82451" w:rsidRDefault="00D82451" w:rsidP="00B3078E">
            <w:pPr>
              <w:spacing w:line="240" w:lineRule="auto"/>
              <w:jc w:val="center"/>
              <w:rPr>
                <w:rFonts w:cs="Times New Roman"/>
                <w:color w:val="000000"/>
                <w:lang w:val="pt-BR" w:eastAsia="pt-BR"/>
              </w:rPr>
            </w:pPr>
            <w:r w:rsidRPr="00D82451">
              <w:rPr>
                <w:rFonts w:cs="Times New Roman"/>
                <w:color w:val="000000"/>
                <w:lang w:val="pt-BR" w:eastAsia="pt-BR"/>
              </w:rPr>
              <w:t>A-33</w:t>
            </w:r>
          </w:p>
        </w:tc>
        <w:tc>
          <w:tcPr>
            <w:tcW w:w="1093" w:type="dxa"/>
            <w:tcBorders>
              <w:top w:val="nil"/>
              <w:left w:val="nil"/>
              <w:bottom w:val="nil"/>
              <w:right w:val="nil"/>
            </w:tcBorders>
            <w:shd w:val="clear" w:color="auto" w:fill="auto"/>
            <w:noWrap/>
            <w:vAlign w:val="bottom"/>
            <w:hideMark/>
          </w:tcPr>
          <w:p w14:paraId="63E71CE7" w14:textId="77777777" w:rsidR="00D82451" w:rsidRPr="00D82451" w:rsidRDefault="00D82451" w:rsidP="00B3078E">
            <w:pPr>
              <w:spacing w:line="240" w:lineRule="auto"/>
              <w:jc w:val="center"/>
              <w:rPr>
                <w:rFonts w:cs="Times New Roman"/>
                <w:color w:val="000000"/>
                <w:lang w:val="pt-BR" w:eastAsia="pt-BR"/>
              </w:rPr>
            </w:pPr>
            <w:r w:rsidRPr="00D82451">
              <w:rPr>
                <w:rFonts w:cs="Times New Roman"/>
                <w:color w:val="000000"/>
                <w:lang w:val="pt-BR" w:eastAsia="pt-BR"/>
              </w:rPr>
              <w:t>U-67</w:t>
            </w:r>
          </w:p>
        </w:tc>
        <w:tc>
          <w:tcPr>
            <w:tcW w:w="1349" w:type="dxa"/>
            <w:tcBorders>
              <w:top w:val="nil"/>
              <w:left w:val="nil"/>
              <w:bottom w:val="nil"/>
              <w:right w:val="nil"/>
            </w:tcBorders>
            <w:shd w:val="clear" w:color="auto" w:fill="auto"/>
            <w:noWrap/>
            <w:vAlign w:val="bottom"/>
            <w:hideMark/>
          </w:tcPr>
          <w:p w14:paraId="344CB0B9" w14:textId="77777777" w:rsidR="00D82451" w:rsidRPr="00D82451" w:rsidRDefault="00D82451" w:rsidP="00B3078E">
            <w:pPr>
              <w:spacing w:line="240" w:lineRule="auto"/>
              <w:jc w:val="center"/>
              <w:rPr>
                <w:rFonts w:cs="Times New Roman"/>
                <w:color w:val="000000"/>
                <w:lang w:val="pt-BR" w:eastAsia="pt-BR"/>
              </w:rPr>
            </w:pPr>
            <w:r w:rsidRPr="00D82451">
              <w:rPr>
                <w:rFonts w:cs="Times New Roman"/>
                <w:color w:val="000000"/>
                <w:lang w:val="pt-BR" w:eastAsia="pt-BR"/>
              </w:rPr>
              <w:t>A-67</w:t>
            </w:r>
          </w:p>
        </w:tc>
        <w:tc>
          <w:tcPr>
            <w:tcW w:w="1326" w:type="dxa"/>
            <w:tcBorders>
              <w:top w:val="nil"/>
              <w:left w:val="nil"/>
              <w:bottom w:val="nil"/>
              <w:right w:val="nil"/>
            </w:tcBorders>
            <w:shd w:val="clear" w:color="auto" w:fill="auto"/>
            <w:noWrap/>
            <w:vAlign w:val="bottom"/>
            <w:hideMark/>
          </w:tcPr>
          <w:p w14:paraId="7D247BC6" w14:textId="77777777" w:rsidR="00D82451" w:rsidRPr="00D82451" w:rsidRDefault="00D82451" w:rsidP="00B3078E">
            <w:pPr>
              <w:spacing w:line="240" w:lineRule="auto"/>
              <w:jc w:val="center"/>
              <w:rPr>
                <w:rFonts w:cs="Times New Roman"/>
                <w:color w:val="000000"/>
                <w:lang w:val="pt-BR" w:eastAsia="pt-BR"/>
              </w:rPr>
            </w:pPr>
            <w:r w:rsidRPr="00D82451">
              <w:rPr>
                <w:rFonts w:cs="Times New Roman"/>
                <w:i/>
                <w:iCs/>
                <w:color w:val="000000"/>
                <w:lang w:val="pt-BR" w:eastAsia="pt-BR"/>
              </w:rPr>
              <w:t>P</w:t>
            </w:r>
            <w:r w:rsidRPr="00D82451">
              <w:rPr>
                <w:rFonts w:cs="Times New Roman"/>
                <w:color w:val="000000"/>
                <w:lang w:val="pt-BR" w:eastAsia="pt-BR"/>
              </w:rPr>
              <w:t>-Value</w:t>
            </w:r>
          </w:p>
        </w:tc>
      </w:tr>
      <w:tr w:rsidR="00D82451" w:rsidRPr="00D82451" w14:paraId="29617749" w14:textId="77777777" w:rsidTr="00B3078E">
        <w:trPr>
          <w:trHeight w:val="161"/>
        </w:trPr>
        <w:tc>
          <w:tcPr>
            <w:tcW w:w="1242" w:type="dxa"/>
            <w:vMerge/>
            <w:tcBorders>
              <w:top w:val="single" w:sz="4" w:space="0" w:color="auto"/>
              <w:left w:val="nil"/>
              <w:bottom w:val="single" w:sz="4" w:space="0" w:color="000000"/>
              <w:right w:val="nil"/>
            </w:tcBorders>
            <w:vAlign w:val="center"/>
            <w:hideMark/>
          </w:tcPr>
          <w:p w14:paraId="45852DFA" w14:textId="77777777" w:rsidR="00D82451" w:rsidRPr="00D82451" w:rsidRDefault="00D82451" w:rsidP="00B3078E">
            <w:pPr>
              <w:spacing w:line="240" w:lineRule="auto"/>
              <w:rPr>
                <w:rFonts w:cs="Times New Roman"/>
                <w:color w:val="000000"/>
                <w:lang w:val="pt-BR" w:eastAsia="pt-BR"/>
              </w:rPr>
            </w:pPr>
          </w:p>
        </w:tc>
        <w:tc>
          <w:tcPr>
            <w:tcW w:w="6212" w:type="dxa"/>
            <w:gridSpan w:val="5"/>
            <w:tcBorders>
              <w:top w:val="nil"/>
              <w:left w:val="nil"/>
              <w:bottom w:val="single" w:sz="4" w:space="0" w:color="auto"/>
              <w:right w:val="nil"/>
            </w:tcBorders>
            <w:shd w:val="clear" w:color="auto" w:fill="auto"/>
            <w:noWrap/>
            <w:vAlign w:val="bottom"/>
            <w:hideMark/>
          </w:tcPr>
          <w:p w14:paraId="2141A71D" w14:textId="77777777" w:rsidR="00D82451" w:rsidRPr="00D82451" w:rsidRDefault="00D82451" w:rsidP="00B3078E">
            <w:pPr>
              <w:spacing w:line="240" w:lineRule="auto"/>
              <w:jc w:val="center"/>
              <w:rPr>
                <w:rFonts w:cs="Times New Roman"/>
                <w:color w:val="000000"/>
                <w:lang w:val="pt-BR" w:eastAsia="pt-BR"/>
              </w:rPr>
            </w:pPr>
            <w:r w:rsidRPr="00D82451">
              <w:rPr>
                <w:rFonts w:cs="Times New Roman"/>
                <w:color w:val="000000"/>
                <w:lang w:val="pt-BR" w:eastAsia="pt-BR"/>
              </w:rPr>
              <w:t>--------------- kg DM ha</w:t>
            </w:r>
            <w:r w:rsidRPr="00D82451">
              <w:rPr>
                <w:rFonts w:cs="Times New Roman"/>
                <w:color w:val="000000"/>
                <w:vertAlign w:val="superscript"/>
                <w:lang w:val="pt-BR" w:eastAsia="pt-BR"/>
              </w:rPr>
              <w:t>-1</w:t>
            </w:r>
            <w:r w:rsidRPr="00D82451">
              <w:rPr>
                <w:rFonts w:cs="Times New Roman"/>
                <w:color w:val="000000"/>
                <w:lang w:val="pt-BR" w:eastAsia="pt-BR"/>
              </w:rPr>
              <w:t xml:space="preserve"> -----------------</w:t>
            </w:r>
          </w:p>
        </w:tc>
        <w:tc>
          <w:tcPr>
            <w:tcW w:w="1326" w:type="dxa"/>
            <w:tcBorders>
              <w:top w:val="nil"/>
              <w:left w:val="nil"/>
              <w:bottom w:val="single" w:sz="4" w:space="0" w:color="auto"/>
              <w:right w:val="nil"/>
            </w:tcBorders>
            <w:shd w:val="clear" w:color="auto" w:fill="auto"/>
            <w:noWrap/>
            <w:vAlign w:val="bottom"/>
            <w:hideMark/>
          </w:tcPr>
          <w:p w14:paraId="6EB4CE76" w14:textId="77777777" w:rsidR="00D82451" w:rsidRPr="00D82451" w:rsidRDefault="00D82451" w:rsidP="00B3078E">
            <w:pPr>
              <w:spacing w:line="240" w:lineRule="auto"/>
              <w:rPr>
                <w:rFonts w:cs="Times New Roman"/>
                <w:color w:val="000000"/>
                <w:lang w:val="pt-BR" w:eastAsia="pt-BR"/>
              </w:rPr>
            </w:pPr>
            <w:r w:rsidRPr="00D82451">
              <w:rPr>
                <w:rFonts w:cs="Times New Roman"/>
                <w:color w:val="000000"/>
                <w:lang w:val="pt-BR" w:eastAsia="pt-BR"/>
              </w:rPr>
              <w:t> </w:t>
            </w:r>
          </w:p>
        </w:tc>
      </w:tr>
      <w:tr w:rsidR="00D82451" w:rsidRPr="00D82451" w14:paraId="763326DD" w14:textId="77777777" w:rsidTr="00B3078E">
        <w:trPr>
          <w:trHeight w:val="312"/>
        </w:trPr>
        <w:tc>
          <w:tcPr>
            <w:tcW w:w="1242" w:type="dxa"/>
            <w:tcBorders>
              <w:top w:val="nil"/>
              <w:left w:val="nil"/>
              <w:bottom w:val="nil"/>
              <w:right w:val="nil"/>
            </w:tcBorders>
            <w:shd w:val="clear" w:color="auto" w:fill="auto"/>
            <w:noWrap/>
            <w:vAlign w:val="bottom"/>
            <w:hideMark/>
          </w:tcPr>
          <w:p w14:paraId="1B29ED16" w14:textId="77777777" w:rsidR="00D82451" w:rsidRPr="00D82451" w:rsidRDefault="00D82451" w:rsidP="00B3078E">
            <w:pPr>
              <w:spacing w:line="240" w:lineRule="auto"/>
              <w:jc w:val="center"/>
              <w:rPr>
                <w:rFonts w:cs="Times New Roman"/>
                <w:color w:val="000000"/>
                <w:lang w:val="pt-BR" w:eastAsia="pt-BR"/>
              </w:rPr>
            </w:pPr>
            <w:r w:rsidRPr="00D82451">
              <w:rPr>
                <w:rFonts w:cs="Times New Roman"/>
                <w:color w:val="000000"/>
                <w:lang w:val="pt-BR" w:eastAsia="pt-BR"/>
              </w:rPr>
              <w:t>1</w:t>
            </w:r>
          </w:p>
        </w:tc>
        <w:tc>
          <w:tcPr>
            <w:tcW w:w="1093" w:type="dxa"/>
            <w:tcBorders>
              <w:top w:val="nil"/>
              <w:left w:val="nil"/>
              <w:bottom w:val="nil"/>
              <w:right w:val="nil"/>
            </w:tcBorders>
            <w:shd w:val="clear" w:color="auto" w:fill="auto"/>
            <w:noWrap/>
            <w:vAlign w:val="bottom"/>
            <w:hideMark/>
          </w:tcPr>
          <w:p w14:paraId="327915FF" w14:textId="77777777" w:rsidR="00D82451" w:rsidRPr="00D82451" w:rsidRDefault="00D82451" w:rsidP="00B3078E">
            <w:pPr>
              <w:spacing w:line="240" w:lineRule="auto"/>
              <w:jc w:val="center"/>
              <w:rPr>
                <w:rFonts w:cs="Times New Roman"/>
                <w:color w:val="000000"/>
                <w:lang w:val="pt-BR" w:eastAsia="pt-BR"/>
              </w:rPr>
            </w:pPr>
            <w:r w:rsidRPr="00D82451">
              <w:rPr>
                <w:rFonts w:cs="Times New Roman"/>
                <w:color w:val="000000"/>
                <w:lang w:val="pt-BR" w:eastAsia="pt-BR"/>
              </w:rPr>
              <w:t>1050</w:t>
            </w:r>
            <w:r w:rsidRPr="00D82451">
              <w:rPr>
                <w:rFonts w:cs="Times New Roman"/>
                <w:color w:val="000000"/>
                <w:vertAlign w:val="superscript"/>
                <w:lang w:val="pt-BR" w:eastAsia="pt-BR"/>
              </w:rPr>
              <w:t>D</w:t>
            </w:r>
          </w:p>
        </w:tc>
        <w:tc>
          <w:tcPr>
            <w:tcW w:w="1349" w:type="dxa"/>
            <w:tcBorders>
              <w:top w:val="nil"/>
              <w:left w:val="nil"/>
              <w:bottom w:val="nil"/>
              <w:right w:val="nil"/>
            </w:tcBorders>
            <w:shd w:val="clear" w:color="auto" w:fill="auto"/>
            <w:noWrap/>
            <w:vAlign w:val="bottom"/>
            <w:hideMark/>
          </w:tcPr>
          <w:p w14:paraId="6A4DA988" w14:textId="77777777" w:rsidR="00D82451" w:rsidRPr="00D82451" w:rsidRDefault="00D82451" w:rsidP="00B3078E">
            <w:pPr>
              <w:spacing w:line="240" w:lineRule="auto"/>
              <w:jc w:val="center"/>
              <w:rPr>
                <w:rFonts w:cs="Times New Roman"/>
                <w:color w:val="000000"/>
                <w:lang w:val="pt-BR" w:eastAsia="pt-BR"/>
              </w:rPr>
            </w:pPr>
            <w:r w:rsidRPr="00D82451">
              <w:rPr>
                <w:rFonts w:cs="Times New Roman"/>
                <w:color w:val="000000"/>
                <w:lang w:val="pt-BR" w:eastAsia="pt-BR"/>
              </w:rPr>
              <w:t>1688</w:t>
            </w:r>
            <w:r w:rsidRPr="00D82451">
              <w:rPr>
                <w:rFonts w:cs="Times New Roman"/>
                <w:color w:val="000000"/>
                <w:vertAlign w:val="superscript"/>
                <w:lang w:val="pt-BR" w:eastAsia="pt-BR"/>
              </w:rPr>
              <w:t>C</w:t>
            </w:r>
          </w:p>
        </w:tc>
        <w:tc>
          <w:tcPr>
            <w:tcW w:w="1328" w:type="dxa"/>
            <w:tcBorders>
              <w:top w:val="nil"/>
              <w:left w:val="nil"/>
              <w:bottom w:val="nil"/>
              <w:right w:val="nil"/>
            </w:tcBorders>
            <w:shd w:val="clear" w:color="auto" w:fill="auto"/>
            <w:noWrap/>
            <w:vAlign w:val="bottom"/>
            <w:hideMark/>
          </w:tcPr>
          <w:p w14:paraId="406DB4B3" w14:textId="77777777" w:rsidR="00D82451" w:rsidRPr="00D82451" w:rsidRDefault="00D82451" w:rsidP="00B3078E">
            <w:pPr>
              <w:spacing w:line="240" w:lineRule="auto"/>
              <w:jc w:val="center"/>
              <w:rPr>
                <w:rFonts w:cs="Times New Roman"/>
                <w:color w:val="000000"/>
                <w:lang w:val="pt-BR" w:eastAsia="pt-BR"/>
              </w:rPr>
            </w:pPr>
            <w:r w:rsidRPr="00D82451">
              <w:rPr>
                <w:rFonts w:cs="Times New Roman"/>
                <w:color w:val="000000"/>
                <w:lang w:val="pt-BR" w:eastAsia="pt-BR"/>
              </w:rPr>
              <w:t>1777</w:t>
            </w:r>
            <w:r w:rsidRPr="00D82451">
              <w:rPr>
                <w:rFonts w:cs="Times New Roman"/>
                <w:color w:val="000000"/>
                <w:vertAlign w:val="superscript"/>
                <w:lang w:val="pt-BR" w:eastAsia="pt-BR"/>
              </w:rPr>
              <w:t>C</w:t>
            </w:r>
          </w:p>
        </w:tc>
        <w:tc>
          <w:tcPr>
            <w:tcW w:w="1093" w:type="dxa"/>
            <w:tcBorders>
              <w:top w:val="nil"/>
              <w:left w:val="nil"/>
              <w:bottom w:val="nil"/>
              <w:right w:val="nil"/>
            </w:tcBorders>
            <w:shd w:val="clear" w:color="auto" w:fill="auto"/>
            <w:noWrap/>
            <w:vAlign w:val="bottom"/>
            <w:hideMark/>
          </w:tcPr>
          <w:p w14:paraId="4BBA1F41" w14:textId="77777777" w:rsidR="00D82451" w:rsidRPr="00D82451" w:rsidRDefault="00D82451" w:rsidP="00B3078E">
            <w:pPr>
              <w:spacing w:line="240" w:lineRule="auto"/>
              <w:jc w:val="center"/>
              <w:rPr>
                <w:rFonts w:cs="Times New Roman"/>
                <w:color w:val="000000"/>
                <w:lang w:val="pt-BR" w:eastAsia="pt-BR"/>
              </w:rPr>
            </w:pPr>
            <w:r w:rsidRPr="00D82451">
              <w:rPr>
                <w:rFonts w:cs="Times New Roman"/>
                <w:color w:val="000000"/>
                <w:lang w:val="pt-BR" w:eastAsia="pt-BR"/>
              </w:rPr>
              <w:t>2015</w:t>
            </w:r>
            <w:r w:rsidRPr="00D82451">
              <w:rPr>
                <w:rFonts w:cs="Times New Roman"/>
                <w:color w:val="000000"/>
                <w:vertAlign w:val="superscript"/>
                <w:lang w:val="pt-BR" w:eastAsia="pt-BR"/>
              </w:rPr>
              <w:t>B</w:t>
            </w:r>
          </w:p>
        </w:tc>
        <w:tc>
          <w:tcPr>
            <w:tcW w:w="1349" w:type="dxa"/>
            <w:tcBorders>
              <w:top w:val="nil"/>
              <w:left w:val="nil"/>
              <w:bottom w:val="nil"/>
              <w:right w:val="nil"/>
            </w:tcBorders>
            <w:shd w:val="clear" w:color="auto" w:fill="auto"/>
            <w:noWrap/>
            <w:vAlign w:val="bottom"/>
            <w:hideMark/>
          </w:tcPr>
          <w:p w14:paraId="3E4DCD7D" w14:textId="77777777" w:rsidR="00D82451" w:rsidRPr="00D82451" w:rsidRDefault="00D82451" w:rsidP="00B3078E">
            <w:pPr>
              <w:spacing w:line="240" w:lineRule="auto"/>
              <w:jc w:val="center"/>
              <w:rPr>
                <w:rFonts w:cs="Times New Roman"/>
                <w:color w:val="000000"/>
                <w:lang w:val="pt-BR" w:eastAsia="pt-BR"/>
              </w:rPr>
            </w:pPr>
            <w:r w:rsidRPr="00D82451">
              <w:rPr>
                <w:rFonts w:cs="Times New Roman"/>
                <w:color w:val="000000"/>
                <w:lang w:val="pt-BR" w:eastAsia="pt-BR"/>
              </w:rPr>
              <w:t>2606</w:t>
            </w:r>
            <w:r w:rsidRPr="00D82451">
              <w:rPr>
                <w:rFonts w:cs="Times New Roman"/>
                <w:color w:val="000000"/>
                <w:vertAlign w:val="superscript"/>
                <w:lang w:val="pt-BR" w:eastAsia="pt-BR"/>
              </w:rPr>
              <w:t>A</w:t>
            </w:r>
          </w:p>
        </w:tc>
        <w:tc>
          <w:tcPr>
            <w:tcW w:w="1326" w:type="dxa"/>
            <w:tcBorders>
              <w:top w:val="nil"/>
              <w:left w:val="nil"/>
              <w:bottom w:val="nil"/>
              <w:right w:val="nil"/>
            </w:tcBorders>
            <w:shd w:val="clear" w:color="auto" w:fill="auto"/>
            <w:noWrap/>
            <w:vAlign w:val="bottom"/>
            <w:hideMark/>
          </w:tcPr>
          <w:p w14:paraId="49D11C30" w14:textId="77777777" w:rsidR="00D82451" w:rsidRPr="00D82451" w:rsidRDefault="00D82451" w:rsidP="00B3078E">
            <w:pPr>
              <w:spacing w:line="240" w:lineRule="auto"/>
              <w:jc w:val="center"/>
              <w:rPr>
                <w:rFonts w:cs="Times New Roman"/>
                <w:i/>
                <w:iCs/>
                <w:color w:val="000000"/>
                <w:lang w:val="pt-BR" w:eastAsia="pt-BR"/>
              </w:rPr>
            </w:pPr>
            <w:r w:rsidRPr="00D82451">
              <w:rPr>
                <w:rFonts w:cs="Times New Roman"/>
                <w:i/>
                <w:iCs/>
                <w:color w:val="000000"/>
                <w:lang w:val="pt-BR" w:eastAsia="pt-BR"/>
              </w:rPr>
              <w:t>&lt;0.05</w:t>
            </w:r>
          </w:p>
        </w:tc>
      </w:tr>
      <w:tr w:rsidR="00D82451" w:rsidRPr="00D82451" w14:paraId="6F2F9A81" w14:textId="77777777" w:rsidTr="00B3078E">
        <w:trPr>
          <w:trHeight w:val="312"/>
        </w:trPr>
        <w:tc>
          <w:tcPr>
            <w:tcW w:w="1242" w:type="dxa"/>
            <w:tcBorders>
              <w:top w:val="nil"/>
              <w:left w:val="nil"/>
              <w:bottom w:val="single" w:sz="4" w:space="0" w:color="auto"/>
              <w:right w:val="nil"/>
            </w:tcBorders>
            <w:shd w:val="clear" w:color="auto" w:fill="auto"/>
            <w:noWrap/>
            <w:vAlign w:val="bottom"/>
            <w:hideMark/>
          </w:tcPr>
          <w:p w14:paraId="2366ECCA" w14:textId="77777777" w:rsidR="00D82451" w:rsidRPr="00D82451" w:rsidRDefault="00D82451" w:rsidP="00B3078E">
            <w:pPr>
              <w:spacing w:line="240" w:lineRule="auto"/>
              <w:jc w:val="center"/>
              <w:rPr>
                <w:rFonts w:cs="Times New Roman"/>
                <w:color w:val="000000"/>
                <w:lang w:val="pt-BR" w:eastAsia="pt-BR"/>
              </w:rPr>
            </w:pPr>
            <w:r w:rsidRPr="00D82451">
              <w:rPr>
                <w:rFonts w:cs="Times New Roman"/>
                <w:color w:val="000000"/>
                <w:lang w:val="pt-BR" w:eastAsia="pt-BR"/>
              </w:rPr>
              <w:t>2</w:t>
            </w:r>
          </w:p>
        </w:tc>
        <w:tc>
          <w:tcPr>
            <w:tcW w:w="1093" w:type="dxa"/>
            <w:tcBorders>
              <w:top w:val="nil"/>
              <w:left w:val="nil"/>
              <w:bottom w:val="nil"/>
              <w:right w:val="nil"/>
            </w:tcBorders>
            <w:shd w:val="clear" w:color="auto" w:fill="auto"/>
            <w:noWrap/>
            <w:vAlign w:val="bottom"/>
            <w:hideMark/>
          </w:tcPr>
          <w:p w14:paraId="3E96C8A4" w14:textId="77777777" w:rsidR="00D82451" w:rsidRPr="00D82451" w:rsidRDefault="00D82451" w:rsidP="00B3078E">
            <w:pPr>
              <w:spacing w:line="240" w:lineRule="auto"/>
              <w:jc w:val="center"/>
              <w:rPr>
                <w:rFonts w:cs="Times New Roman"/>
                <w:color w:val="000000"/>
                <w:lang w:val="pt-BR" w:eastAsia="pt-BR"/>
              </w:rPr>
            </w:pPr>
            <w:r w:rsidRPr="00D82451">
              <w:rPr>
                <w:rFonts w:cs="Times New Roman"/>
                <w:color w:val="000000"/>
                <w:lang w:val="pt-BR" w:eastAsia="pt-BR"/>
              </w:rPr>
              <w:t>1105</w:t>
            </w:r>
            <w:r w:rsidRPr="00D82451">
              <w:rPr>
                <w:rFonts w:cs="Times New Roman"/>
                <w:color w:val="000000"/>
                <w:vertAlign w:val="superscript"/>
                <w:lang w:val="pt-BR" w:eastAsia="pt-BR"/>
              </w:rPr>
              <w:t>C</w:t>
            </w:r>
          </w:p>
        </w:tc>
        <w:tc>
          <w:tcPr>
            <w:tcW w:w="1349" w:type="dxa"/>
            <w:tcBorders>
              <w:top w:val="nil"/>
              <w:left w:val="nil"/>
              <w:bottom w:val="nil"/>
              <w:right w:val="nil"/>
            </w:tcBorders>
            <w:shd w:val="clear" w:color="auto" w:fill="auto"/>
            <w:noWrap/>
            <w:vAlign w:val="bottom"/>
            <w:hideMark/>
          </w:tcPr>
          <w:p w14:paraId="399C0B74" w14:textId="77777777" w:rsidR="00D82451" w:rsidRPr="00D82451" w:rsidRDefault="00D82451" w:rsidP="00B3078E">
            <w:pPr>
              <w:spacing w:line="240" w:lineRule="auto"/>
              <w:jc w:val="center"/>
              <w:rPr>
                <w:rFonts w:cs="Times New Roman"/>
                <w:color w:val="000000"/>
                <w:lang w:val="pt-BR" w:eastAsia="pt-BR"/>
              </w:rPr>
            </w:pPr>
            <w:r w:rsidRPr="00D82451">
              <w:rPr>
                <w:rFonts w:cs="Times New Roman"/>
                <w:color w:val="000000"/>
                <w:lang w:val="pt-BR" w:eastAsia="pt-BR"/>
              </w:rPr>
              <w:t>1277</w:t>
            </w:r>
            <w:r w:rsidRPr="00D82451">
              <w:rPr>
                <w:rFonts w:cs="Times New Roman"/>
                <w:color w:val="000000"/>
                <w:vertAlign w:val="superscript"/>
                <w:lang w:val="pt-BR" w:eastAsia="pt-BR"/>
              </w:rPr>
              <w:t>AB</w:t>
            </w:r>
          </w:p>
        </w:tc>
        <w:tc>
          <w:tcPr>
            <w:tcW w:w="1328" w:type="dxa"/>
            <w:tcBorders>
              <w:top w:val="nil"/>
              <w:left w:val="nil"/>
              <w:bottom w:val="nil"/>
              <w:right w:val="nil"/>
            </w:tcBorders>
            <w:shd w:val="clear" w:color="auto" w:fill="auto"/>
            <w:noWrap/>
            <w:vAlign w:val="bottom"/>
            <w:hideMark/>
          </w:tcPr>
          <w:p w14:paraId="32702CBF" w14:textId="77777777" w:rsidR="00D82451" w:rsidRPr="00D82451" w:rsidRDefault="00D82451" w:rsidP="00B3078E">
            <w:pPr>
              <w:spacing w:line="240" w:lineRule="auto"/>
              <w:jc w:val="center"/>
              <w:rPr>
                <w:rFonts w:cs="Times New Roman"/>
                <w:color w:val="000000"/>
                <w:lang w:val="pt-BR" w:eastAsia="pt-BR"/>
              </w:rPr>
            </w:pPr>
            <w:r w:rsidRPr="00D82451">
              <w:rPr>
                <w:rFonts w:cs="Times New Roman"/>
                <w:color w:val="000000"/>
                <w:lang w:val="pt-BR" w:eastAsia="pt-BR"/>
              </w:rPr>
              <w:t>1212B</w:t>
            </w:r>
            <w:r w:rsidRPr="00D82451">
              <w:rPr>
                <w:rFonts w:cs="Times New Roman"/>
                <w:color w:val="000000"/>
                <w:vertAlign w:val="superscript"/>
                <w:lang w:val="pt-BR" w:eastAsia="pt-BR"/>
              </w:rPr>
              <w:t>C</w:t>
            </w:r>
          </w:p>
        </w:tc>
        <w:tc>
          <w:tcPr>
            <w:tcW w:w="1093" w:type="dxa"/>
            <w:tcBorders>
              <w:top w:val="nil"/>
              <w:left w:val="nil"/>
              <w:bottom w:val="single" w:sz="4" w:space="0" w:color="auto"/>
              <w:right w:val="nil"/>
            </w:tcBorders>
            <w:shd w:val="clear" w:color="auto" w:fill="auto"/>
            <w:noWrap/>
            <w:vAlign w:val="bottom"/>
            <w:hideMark/>
          </w:tcPr>
          <w:p w14:paraId="1471596E" w14:textId="77777777" w:rsidR="00D82451" w:rsidRPr="00D82451" w:rsidRDefault="00D82451" w:rsidP="00B3078E">
            <w:pPr>
              <w:spacing w:line="240" w:lineRule="auto"/>
              <w:jc w:val="center"/>
              <w:rPr>
                <w:rFonts w:cs="Times New Roman"/>
                <w:color w:val="000000"/>
                <w:lang w:val="pt-BR" w:eastAsia="pt-BR"/>
              </w:rPr>
            </w:pPr>
            <w:r w:rsidRPr="00D82451">
              <w:rPr>
                <w:rFonts w:cs="Times New Roman"/>
                <w:color w:val="000000"/>
                <w:lang w:val="pt-BR" w:eastAsia="pt-BR"/>
              </w:rPr>
              <w:t>1411</w:t>
            </w:r>
            <w:r w:rsidRPr="00D82451">
              <w:rPr>
                <w:rFonts w:cs="Times New Roman"/>
                <w:color w:val="000000"/>
                <w:vertAlign w:val="superscript"/>
                <w:lang w:val="pt-BR" w:eastAsia="pt-BR"/>
              </w:rPr>
              <w:t>A</w:t>
            </w:r>
          </w:p>
        </w:tc>
        <w:tc>
          <w:tcPr>
            <w:tcW w:w="1349" w:type="dxa"/>
            <w:tcBorders>
              <w:top w:val="nil"/>
              <w:left w:val="nil"/>
              <w:bottom w:val="single" w:sz="4" w:space="0" w:color="auto"/>
              <w:right w:val="nil"/>
            </w:tcBorders>
            <w:shd w:val="clear" w:color="auto" w:fill="auto"/>
            <w:noWrap/>
            <w:vAlign w:val="bottom"/>
            <w:hideMark/>
          </w:tcPr>
          <w:p w14:paraId="5B8093B8" w14:textId="77777777" w:rsidR="00D82451" w:rsidRPr="00D82451" w:rsidRDefault="00D82451" w:rsidP="00B3078E">
            <w:pPr>
              <w:spacing w:line="240" w:lineRule="auto"/>
              <w:jc w:val="center"/>
              <w:rPr>
                <w:rFonts w:cs="Times New Roman"/>
                <w:color w:val="000000"/>
                <w:lang w:val="pt-BR" w:eastAsia="pt-BR"/>
              </w:rPr>
            </w:pPr>
            <w:r w:rsidRPr="00D82451">
              <w:rPr>
                <w:rFonts w:cs="Times New Roman"/>
                <w:color w:val="000000"/>
                <w:lang w:val="pt-BR" w:eastAsia="pt-BR"/>
              </w:rPr>
              <w:t>1360</w:t>
            </w:r>
            <w:r w:rsidRPr="00D82451">
              <w:rPr>
                <w:rFonts w:cs="Times New Roman"/>
                <w:color w:val="000000"/>
                <w:vertAlign w:val="superscript"/>
                <w:lang w:val="pt-BR" w:eastAsia="pt-BR"/>
              </w:rPr>
              <w:t>AB</w:t>
            </w:r>
          </w:p>
        </w:tc>
        <w:tc>
          <w:tcPr>
            <w:tcW w:w="1326" w:type="dxa"/>
            <w:tcBorders>
              <w:top w:val="nil"/>
              <w:left w:val="nil"/>
              <w:bottom w:val="single" w:sz="4" w:space="0" w:color="auto"/>
              <w:right w:val="nil"/>
            </w:tcBorders>
            <w:shd w:val="clear" w:color="auto" w:fill="auto"/>
            <w:noWrap/>
            <w:vAlign w:val="bottom"/>
            <w:hideMark/>
          </w:tcPr>
          <w:p w14:paraId="6EAFF3F9" w14:textId="77777777" w:rsidR="00D82451" w:rsidRPr="00D82451" w:rsidRDefault="00D82451" w:rsidP="00B3078E">
            <w:pPr>
              <w:spacing w:line="240" w:lineRule="auto"/>
              <w:jc w:val="center"/>
              <w:rPr>
                <w:rFonts w:cs="Times New Roman"/>
                <w:i/>
                <w:iCs/>
                <w:color w:val="000000"/>
                <w:lang w:val="pt-BR" w:eastAsia="pt-BR"/>
              </w:rPr>
            </w:pPr>
            <w:r w:rsidRPr="00D82451">
              <w:rPr>
                <w:rFonts w:cs="Times New Roman"/>
                <w:i/>
                <w:iCs/>
                <w:color w:val="000000"/>
                <w:lang w:val="pt-BR" w:eastAsia="pt-BR"/>
              </w:rPr>
              <w:t>&lt;0.05</w:t>
            </w:r>
          </w:p>
        </w:tc>
      </w:tr>
      <w:tr w:rsidR="00D82451" w:rsidRPr="00D82451" w14:paraId="179F471B" w14:textId="77777777" w:rsidTr="00B3078E">
        <w:trPr>
          <w:trHeight w:val="312"/>
        </w:trPr>
        <w:tc>
          <w:tcPr>
            <w:tcW w:w="1242" w:type="dxa"/>
            <w:tcBorders>
              <w:top w:val="nil"/>
              <w:left w:val="nil"/>
              <w:bottom w:val="nil"/>
              <w:right w:val="nil"/>
            </w:tcBorders>
            <w:shd w:val="clear" w:color="auto" w:fill="auto"/>
            <w:noWrap/>
            <w:vAlign w:val="bottom"/>
            <w:hideMark/>
          </w:tcPr>
          <w:p w14:paraId="10473B3B" w14:textId="77777777" w:rsidR="00D82451" w:rsidRPr="00D82451" w:rsidRDefault="00D82451" w:rsidP="00B3078E">
            <w:pPr>
              <w:spacing w:line="240" w:lineRule="auto"/>
              <w:jc w:val="center"/>
              <w:rPr>
                <w:rFonts w:cs="Times New Roman"/>
                <w:color w:val="000000"/>
                <w:lang w:val="pt-BR" w:eastAsia="pt-BR"/>
              </w:rPr>
            </w:pPr>
            <w:r w:rsidRPr="00D82451">
              <w:rPr>
                <w:rFonts w:cs="Times New Roman"/>
                <w:i/>
                <w:iCs/>
                <w:color w:val="000000"/>
                <w:lang w:val="pt-BR" w:eastAsia="pt-BR"/>
              </w:rPr>
              <w:t>P</w:t>
            </w:r>
            <w:r w:rsidRPr="00D82451">
              <w:rPr>
                <w:rFonts w:cs="Times New Roman"/>
                <w:color w:val="000000"/>
                <w:lang w:val="pt-BR" w:eastAsia="pt-BR"/>
              </w:rPr>
              <w:t>-value</w:t>
            </w:r>
          </w:p>
        </w:tc>
        <w:tc>
          <w:tcPr>
            <w:tcW w:w="1093" w:type="dxa"/>
            <w:tcBorders>
              <w:top w:val="single" w:sz="4" w:space="0" w:color="auto"/>
              <w:left w:val="nil"/>
              <w:bottom w:val="nil"/>
              <w:right w:val="nil"/>
            </w:tcBorders>
            <w:shd w:val="clear" w:color="auto" w:fill="auto"/>
            <w:noWrap/>
            <w:vAlign w:val="bottom"/>
            <w:hideMark/>
          </w:tcPr>
          <w:p w14:paraId="17B7FD5C" w14:textId="77777777" w:rsidR="00D82451" w:rsidRPr="00D82451" w:rsidRDefault="00D82451" w:rsidP="00B3078E">
            <w:pPr>
              <w:spacing w:line="240" w:lineRule="auto"/>
              <w:jc w:val="center"/>
              <w:rPr>
                <w:rFonts w:cs="Times New Roman"/>
                <w:i/>
                <w:iCs/>
                <w:color w:val="000000"/>
                <w:lang w:val="pt-BR" w:eastAsia="pt-BR"/>
              </w:rPr>
            </w:pPr>
            <w:r w:rsidRPr="00D82451">
              <w:rPr>
                <w:rFonts w:cs="Times New Roman"/>
                <w:i/>
                <w:iCs/>
                <w:color w:val="000000"/>
                <w:lang w:val="pt-BR" w:eastAsia="pt-BR"/>
              </w:rPr>
              <w:t>&gt;0.05</w:t>
            </w:r>
          </w:p>
        </w:tc>
        <w:tc>
          <w:tcPr>
            <w:tcW w:w="1349" w:type="dxa"/>
            <w:tcBorders>
              <w:top w:val="single" w:sz="4" w:space="0" w:color="auto"/>
              <w:left w:val="nil"/>
              <w:bottom w:val="nil"/>
              <w:right w:val="nil"/>
            </w:tcBorders>
            <w:shd w:val="clear" w:color="auto" w:fill="auto"/>
            <w:noWrap/>
            <w:vAlign w:val="bottom"/>
            <w:hideMark/>
          </w:tcPr>
          <w:p w14:paraId="087F6B5F" w14:textId="77777777" w:rsidR="00D82451" w:rsidRPr="00D82451" w:rsidRDefault="00D82451" w:rsidP="00B3078E">
            <w:pPr>
              <w:spacing w:line="240" w:lineRule="auto"/>
              <w:jc w:val="center"/>
              <w:rPr>
                <w:rFonts w:cs="Times New Roman"/>
                <w:i/>
                <w:iCs/>
                <w:color w:val="000000"/>
                <w:lang w:val="pt-BR" w:eastAsia="pt-BR"/>
              </w:rPr>
            </w:pPr>
            <w:r w:rsidRPr="00D82451">
              <w:rPr>
                <w:rFonts w:cs="Times New Roman"/>
                <w:i/>
                <w:iCs/>
                <w:color w:val="000000"/>
                <w:lang w:val="pt-BR" w:eastAsia="pt-BR"/>
              </w:rPr>
              <w:t>&lt;0.05</w:t>
            </w:r>
          </w:p>
        </w:tc>
        <w:tc>
          <w:tcPr>
            <w:tcW w:w="1328" w:type="dxa"/>
            <w:tcBorders>
              <w:top w:val="single" w:sz="4" w:space="0" w:color="auto"/>
              <w:left w:val="nil"/>
              <w:bottom w:val="nil"/>
              <w:right w:val="nil"/>
            </w:tcBorders>
            <w:shd w:val="clear" w:color="auto" w:fill="auto"/>
            <w:noWrap/>
            <w:vAlign w:val="bottom"/>
            <w:hideMark/>
          </w:tcPr>
          <w:p w14:paraId="1B46D0CA" w14:textId="77777777" w:rsidR="00D82451" w:rsidRPr="00D82451" w:rsidRDefault="00D82451" w:rsidP="00B3078E">
            <w:pPr>
              <w:spacing w:line="240" w:lineRule="auto"/>
              <w:jc w:val="center"/>
              <w:rPr>
                <w:rFonts w:cs="Times New Roman"/>
                <w:i/>
                <w:iCs/>
                <w:color w:val="000000"/>
                <w:lang w:val="pt-BR" w:eastAsia="pt-BR"/>
              </w:rPr>
            </w:pPr>
            <w:r w:rsidRPr="00D82451">
              <w:rPr>
                <w:rFonts w:cs="Times New Roman"/>
                <w:i/>
                <w:iCs/>
                <w:color w:val="000000"/>
                <w:lang w:val="pt-BR" w:eastAsia="pt-BR"/>
              </w:rPr>
              <w:t>&lt;0.05</w:t>
            </w:r>
          </w:p>
        </w:tc>
        <w:tc>
          <w:tcPr>
            <w:tcW w:w="1093" w:type="dxa"/>
            <w:tcBorders>
              <w:top w:val="nil"/>
              <w:left w:val="nil"/>
              <w:bottom w:val="nil"/>
              <w:right w:val="nil"/>
            </w:tcBorders>
            <w:shd w:val="clear" w:color="auto" w:fill="auto"/>
            <w:noWrap/>
            <w:vAlign w:val="bottom"/>
            <w:hideMark/>
          </w:tcPr>
          <w:p w14:paraId="06C48E7B" w14:textId="77777777" w:rsidR="00D82451" w:rsidRPr="00D82451" w:rsidRDefault="00D82451" w:rsidP="00B3078E">
            <w:pPr>
              <w:spacing w:line="240" w:lineRule="auto"/>
              <w:jc w:val="center"/>
              <w:rPr>
                <w:rFonts w:cs="Times New Roman"/>
                <w:i/>
                <w:iCs/>
                <w:color w:val="000000"/>
                <w:lang w:val="pt-BR" w:eastAsia="pt-BR"/>
              </w:rPr>
            </w:pPr>
            <w:r w:rsidRPr="00D82451">
              <w:rPr>
                <w:rFonts w:cs="Times New Roman"/>
                <w:i/>
                <w:iCs/>
                <w:color w:val="000000"/>
                <w:lang w:val="pt-BR" w:eastAsia="pt-BR"/>
              </w:rPr>
              <w:t>&lt;0.05</w:t>
            </w:r>
          </w:p>
        </w:tc>
        <w:tc>
          <w:tcPr>
            <w:tcW w:w="1349" w:type="dxa"/>
            <w:tcBorders>
              <w:top w:val="nil"/>
              <w:left w:val="nil"/>
              <w:bottom w:val="nil"/>
              <w:right w:val="nil"/>
            </w:tcBorders>
            <w:shd w:val="clear" w:color="auto" w:fill="auto"/>
            <w:noWrap/>
            <w:vAlign w:val="bottom"/>
            <w:hideMark/>
          </w:tcPr>
          <w:p w14:paraId="3D9AC7E5" w14:textId="77777777" w:rsidR="00D82451" w:rsidRPr="00D82451" w:rsidRDefault="00D82451" w:rsidP="00B3078E">
            <w:pPr>
              <w:spacing w:line="240" w:lineRule="auto"/>
              <w:jc w:val="center"/>
              <w:rPr>
                <w:rFonts w:cs="Times New Roman"/>
                <w:i/>
                <w:iCs/>
                <w:color w:val="000000"/>
                <w:lang w:val="pt-BR" w:eastAsia="pt-BR"/>
              </w:rPr>
            </w:pPr>
            <w:r w:rsidRPr="00D82451">
              <w:rPr>
                <w:rFonts w:cs="Times New Roman"/>
                <w:i/>
                <w:iCs/>
                <w:color w:val="000000"/>
                <w:lang w:val="pt-BR" w:eastAsia="pt-BR"/>
              </w:rPr>
              <w:t>&lt;0.05</w:t>
            </w:r>
          </w:p>
        </w:tc>
        <w:tc>
          <w:tcPr>
            <w:tcW w:w="1326" w:type="dxa"/>
            <w:tcBorders>
              <w:top w:val="nil"/>
              <w:left w:val="nil"/>
              <w:bottom w:val="nil"/>
              <w:right w:val="nil"/>
            </w:tcBorders>
            <w:shd w:val="clear" w:color="auto" w:fill="auto"/>
            <w:noWrap/>
            <w:vAlign w:val="bottom"/>
            <w:hideMark/>
          </w:tcPr>
          <w:p w14:paraId="75F37368" w14:textId="77777777" w:rsidR="00D82451" w:rsidRPr="00D82451" w:rsidRDefault="00D82451" w:rsidP="00B3078E">
            <w:pPr>
              <w:spacing w:line="240" w:lineRule="auto"/>
              <w:jc w:val="center"/>
              <w:rPr>
                <w:rFonts w:cs="Times New Roman"/>
                <w:i/>
                <w:iCs/>
                <w:color w:val="000000"/>
                <w:lang w:val="pt-BR" w:eastAsia="pt-BR"/>
              </w:rPr>
            </w:pPr>
          </w:p>
        </w:tc>
      </w:tr>
      <w:tr w:rsidR="00D82451" w:rsidRPr="00D82451" w14:paraId="0D50B289" w14:textId="77777777" w:rsidTr="00B3078E">
        <w:trPr>
          <w:trHeight w:val="312"/>
        </w:trPr>
        <w:tc>
          <w:tcPr>
            <w:tcW w:w="8780" w:type="dxa"/>
            <w:gridSpan w:val="7"/>
            <w:tcBorders>
              <w:top w:val="single" w:sz="4" w:space="0" w:color="auto"/>
              <w:left w:val="nil"/>
              <w:bottom w:val="nil"/>
              <w:right w:val="nil"/>
            </w:tcBorders>
            <w:shd w:val="clear" w:color="auto" w:fill="auto"/>
            <w:noWrap/>
            <w:vAlign w:val="center"/>
            <w:hideMark/>
          </w:tcPr>
          <w:p w14:paraId="5477A70E" w14:textId="77777777" w:rsidR="00D82451" w:rsidRPr="00761497" w:rsidRDefault="00D82451" w:rsidP="00B3078E">
            <w:pPr>
              <w:spacing w:line="240" w:lineRule="auto"/>
              <w:rPr>
                <w:rFonts w:cs="Times New Roman"/>
                <w:color w:val="000000"/>
                <w:lang w:eastAsia="pt-BR"/>
              </w:rPr>
            </w:pPr>
            <w:r w:rsidRPr="00761497">
              <w:rPr>
                <w:rFonts w:cs="Times New Roman"/>
                <w:color w:val="000000"/>
                <w:lang w:eastAsia="pt-BR"/>
              </w:rPr>
              <w:t>Means within a column differ each N strategies into year (</w:t>
            </w:r>
            <w:r w:rsidRPr="00761497">
              <w:rPr>
                <w:rFonts w:cs="Times New Roman"/>
                <w:i/>
                <w:iCs/>
                <w:color w:val="000000"/>
                <w:lang w:eastAsia="pt-BR"/>
              </w:rPr>
              <w:t>p</w:t>
            </w:r>
            <w:r w:rsidRPr="00761497">
              <w:rPr>
                <w:rFonts w:cs="Times New Roman"/>
                <w:color w:val="000000"/>
                <w:lang w:eastAsia="pt-BR"/>
              </w:rPr>
              <w:t xml:space="preserve"> &lt; .05). </w:t>
            </w:r>
          </w:p>
        </w:tc>
      </w:tr>
      <w:tr w:rsidR="00D82451" w:rsidRPr="00D82451" w14:paraId="392F44E4" w14:textId="77777777" w:rsidTr="00B3078E">
        <w:trPr>
          <w:trHeight w:val="312"/>
        </w:trPr>
        <w:tc>
          <w:tcPr>
            <w:tcW w:w="8780" w:type="dxa"/>
            <w:gridSpan w:val="7"/>
            <w:tcBorders>
              <w:top w:val="nil"/>
              <w:left w:val="nil"/>
              <w:bottom w:val="nil"/>
              <w:right w:val="nil"/>
            </w:tcBorders>
            <w:shd w:val="clear" w:color="auto" w:fill="auto"/>
            <w:noWrap/>
            <w:vAlign w:val="center"/>
            <w:hideMark/>
          </w:tcPr>
          <w:p w14:paraId="6BDDDB34" w14:textId="69092A1F" w:rsidR="00D82451" w:rsidRPr="00761497" w:rsidRDefault="00D82451" w:rsidP="00B3078E">
            <w:pPr>
              <w:spacing w:line="240" w:lineRule="auto"/>
              <w:rPr>
                <w:rFonts w:cs="Times New Roman"/>
                <w:color w:val="000000"/>
                <w:lang w:eastAsia="pt-BR"/>
              </w:rPr>
            </w:pPr>
            <w:r w:rsidRPr="00761497">
              <w:rPr>
                <w:rFonts w:cs="Times New Roman"/>
                <w:color w:val="000000"/>
                <w:lang w:eastAsia="pt-BR"/>
              </w:rPr>
              <w:t>Means within a row differ each year into N strategies (</w:t>
            </w:r>
            <w:r w:rsidRPr="00761497">
              <w:rPr>
                <w:rFonts w:cs="Times New Roman"/>
                <w:i/>
                <w:iCs/>
                <w:color w:val="000000"/>
                <w:lang w:eastAsia="pt-BR"/>
              </w:rPr>
              <w:t>p</w:t>
            </w:r>
            <w:r w:rsidRPr="00761497">
              <w:rPr>
                <w:rFonts w:cs="Times New Roman"/>
                <w:color w:val="000000"/>
                <w:lang w:eastAsia="pt-BR"/>
              </w:rPr>
              <w:t xml:space="preserve"> &lt; .05).</w:t>
            </w:r>
          </w:p>
        </w:tc>
      </w:tr>
      <w:tr w:rsidR="00D82451" w:rsidRPr="00D82451" w14:paraId="7996F2A8" w14:textId="77777777" w:rsidTr="00B3078E">
        <w:trPr>
          <w:trHeight w:val="336"/>
        </w:trPr>
        <w:tc>
          <w:tcPr>
            <w:tcW w:w="8780" w:type="dxa"/>
            <w:gridSpan w:val="7"/>
            <w:tcBorders>
              <w:top w:val="nil"/>
              <w:left w:val="nil"/>
              <w:bottom w:val="nil"/>
              <w:right w:val="nil"/>
            </w:tcBorders>
            <w:shd w:val="clear" w:color="auto" w:fill="auto"/>
            <w:noWrap/>
            <w:vAlign w:val="center"/>
            <w:hideMark/>
          </w:tcPr>
          <w:p w14:paraId="6572A0FD" w14:textId="77777777" w:rsidR="00D82451" w:rsidRPr="00D82451" w:rsidRDefault="00D82451" w:rsidP="00B3078E">
            <w:pPr>
              <w:spacing w:line="240" w:lineRule="auto"/>
              <w:rPr>
                <w:rFonts w:cs="Times New Roman"/>
                <w:color w:val="000000"/>
                <w:lang w:val="pt-BR" w:eastAsia="pt-BR"/>
              </w:rPr>
            </w:pPr>
            <w:r w:rsidRPr="00D82451">
              <w:rPr>
                <w:rFonts w:cs="Times New Roman"/>
                <w:color w:val="000000"/>
                <w:lang w:val="pt-BR" w:eastAsia="pt-BR"/>
              </w:rPr>
              <w:t>SEM = 63.</w:t>
            </w:r>
          </w:p>
        </w:tc>
      </w:tr>
      <w:tr w:rsidR="00D82451" w:rsidRPr="00D82451" w14:paraId="186E6EF2" w14:textId="77777777" w:rsidTr="00B3078E">
        <w:trPr>
          <w:trHeight w:val="312"/>
        </w:trPr>
        <w:tc>
          <w:tcPr>
            <w:tcW w:w="8780" w:type="dxa"/>
            <w:gridSpan w:val="7"/>
            <w:tcBorders>
              <w:top w:val="nil"/>
              <w:left w:val="nil"/>
              <w:bottom w:val="nil"/>
              <w:right w:val="nil"/>
            </w:tcBorders>
            <w:shd w:val="clear" w:color="auto" w:fill="auto"/>
            <w:noWrap/>
            <w:vAlign w:val="bottom"/>
            <w:hideMark/>
          </w:tcPr>
          <w:p w14:paraId="2EE814B0" w14:textId="77777777" w:rsidR="00D82451" w:rsidRPr="00761497" w:rsidRDefault="00D82451" w:rsidP="00B3078E">
            <w:pPr>
              <w:spacing w:line="240" w:lineRule="auto"/>
              <w:rPr>
                <w:rFonts w:cs="Times New Roman"/>
                <w:i/>
                <w:iCs/>
                <w:color w:val="000000"/>
                <w:lang w:eastAsia="pt-BR"/>
              </w:rPr>
            </w:pPr>
            <w:r w:rsidRPr="00761497">
              <w:rPr>
                <w:rFonts w:cs="Times New Roman"/>
                <w:i/>
                <w:iCs/>
                <w:color w:val="000000"/>
                <w:lang w:eastAsia="pt-BR"/>
              </w:rPr>
              <w:t>Note</w:t>
            </w:r>
            <w:r w:rsidRPr="00761497">
              <w:rPr>
                <w:rFonts w:cs="Times New Roman"/>
                <w:color w:val="000000"/>
                <w:lang w:eastAsia="pt-BR"/>
              </w:rPr>
              <w:t>: U, urea; A, ammonium sulfate.</w:t>
            </w:r>
          </w:p>
        </w:tc>
      </w:tr>
    </w:tbl>
    <w:p w14:paraId="1E5762FF" w14:textId="2D1AB32B" w:rsidR="00767A67" w:rsidRDefault="00767A67" w:rsidP="00767A67">
      <w:pPr>
        <w:spacing w:line="480" w:lineRule="auto"/>
        <w:ind w:firstLine="720"/>
        <w:rPr>
          <w:rFonts w:cs="Times New Roman"/>
        </w:rPr>
      </w:pPr>
    </w:p>
    <w:p w14:paraId="0189A3F5" w14:textId="77777777" w:rsidR="00767A67" w:rsidRDefault="00767A67" w:rsidP="00767A67">
      <w:pPr>
        <w:spacing w:line="480" w:lineRule="auto"/>
        <w:ind w:firstLine="720"/>
        <w:rPr>
          <w:rFonts w:cs="Times New Roman"/>
        </w:rPr>
      </w:pPr>
    </w:p>
    <w:p w14:paraId="0A07829D" w14:textId="77777777" w:rsidR="00D82451" w:rsidRDefault="00767A67" w:rsidP="00767A67">
      <w:pPr>
        <w:spacing w:line="240" w:lineRule="auto"/>
        <w:rPr>
          <w:rFonts w:cs="Times New Roman"/>
        </w:rPr>
      </w:pPr>
      <w:r>
        <w:rPr>
          <w:rFonts w:cs="Times New Roman"/>
        </w:rPr>
        <w:br w:type="page"/>
      </w:r>
    </w:p>
    <w:tbl>
      <w:tblPr>
        <w:tblpPr w:leftFromText="141" w:rightFromText="141" w:vertAnchor="page" w:horzAnchor="margin" w:tblpY="1731"/>
        <w:tblW w:w="8135" w:type="dxa"/>
        <w:tblLook w:val="04A0" w:firstRow="1" w:lastRow="0" w:firstColumn="1" w:lastColumn="0" w:noHBand="0" w:noVBand="1"/>
      </w:tblPr>
      <w:tblGrid>
        <w:gridCol w:w="1447"/>
        <w:gridCol w:w="1163"/>
        <w:gridCol w:w="1530"/>
        <w:gridCol w:w="1260"/>
        <w:gridCol w:w="1350"/>
        <w:gridCol w:w="276"/>
        <w:gridCol w:w="954"/>
        <w:gridCol w:w="155"/>
      </w:tblGrid>
      <w:tr w:rsidR="00B3078E" w:rsidRPr="00FE148F" w14:paraId="6ADBE8F6" w14:textId="77777777" w:rsidTr="00B3078E">
        <w:trPr>
          <w:gridAfter w:val="1"/>
          <w:wAfter w:w="155" w:type="dxa"/>
          <w:trHeight w:val="1602"/>
        </w:trPr>
        <w:tc>
          <w:tcPr>
            <w:tcW w:w="7980" w:type="dxa"/>
            <w:gridSpan w:val="7"/>
            <w:tcBorders>
              <w:top w:val="nil"/>
              <w:left w:val="nil"/>
              <w:bottom w:val="nil"/>
              <w:right w:val="nil"/>
            </w:tcBorders>
            <w:shd w:val="clear" w:color="auto" w:fill="auto"/>
            <w:vAlign w:val="bottom"/>
            <w:hideMark/>
          </w:tcPr>
          <w:p w14:paraId="67600CE7" w14:textId="77777777" w:rsidR="00B3078E" w:rsidRPr="004432D5" w:rsidRDefault="00B3078E" w:rsidP="00B3078E">
            <w:pPr>
              <w:pStyle w:val="mytables"/>
            </w:pPr>
            <w:bookmarkStart w:id="63" w:name="_Toc196315447"/>
            <w:r>
              <w:lastRenderedPageBreak/>
              <w:t>T</w:t>
            </w:r>
            <w:r w:rsidRPr="004432D5">
              <w:t>able 2.</w:t>
            </w:r>
            <w:r>
              <w:t>3</w:t>
            </w:r>
            <w:r w:rsidRPr="004432D5">
              <w:t xml:space="preserve"> - </w:t>
            </w:r>
            <w:r w:rsidRPr="004432D5">
              <w:rPr>
                <w:b w:val="0"/>
                <w:bCs w:val="0"/>
              </w:rPr>
              <w:t xml:space="preserve">Average forage mass (FM) measured with rising plate method of </w:t>
            </w:r>
            <w:r>
              <w:rPr>
                <w:b w:val="0"/>
                <w:bCs w:val="0"/>
              </w:rPr>
              <w:t>b</w:t>
            </w:r>
            <w:r w:rsidRPr="004432D5">
              <w:rPr>
                <w:b w:val="0"/>
                <w:bCs w:val="0"/>
              </w:rPr>
              <w:t>ermudagrass in response to different strains of PGPB (</w:t>
            </w:r>
            <w:r>
              <w:rPr>
                <w:b w:val="0"/>
                <w:bCs w:val="0"/>
                <w:i/>
                <w:iCs/>
              </w:rPr>
              <w:t>inoculation</w:t>
            </w:r>
            <w:r w:rsidRPr="004432D5">
              <w:rPr>
                <w:b w:val="0"/>
                <w:bCs w:val="0"/>
              </w:rPr>
              <w:t xml:space="preserve">) (DH-44, C-PGBR, DH-267), </w:t>
            </w:r>
            <w:r>
              <w:rPr>
                <w:b w:val="0"/>
                <w:bCs w:val="0"/>
              </w:rPr>
              <w:t>and N strategies</w:t>
            </w:r>
            <w:r w:rsidRPr="004432D5">
              <w:rPr>
                <w:b w:val="0"/>
                <w:bCs w:val="0"/>
              </w:rPr>
              <w:t xml:space="preserve"> (33 kg, 67 kg),</w:t>
            </w:r>
            <w:r w:rsidRPr="004432D5">
              <w:rPr>
                <w:b w:val="0"/>
                <w:bCs w:val="0"/>
                <w:i/>
                <w:iCs/>
              </w:rPr>
              <w:t xml:space="preserve"> </w:t>
            </w:r>
            <w:r w:rsidRPr="004432D5">
              <w:rPr>
                <w:b w:val="0"/>
                <w:bCs w:val="0"/>
              </w:rPr>
              <w:t>(Urea, Ammonium Sulfate) across two growing seasons 2023 and 2024, in Crossville, Tennessee, U.S.</w:t>
            </w:r>
            <w:bookmarkEnd w:id="63"/>
          </w:p>
        </w:tc>
      </w:tr>
      <w:tr w:rsidR="00B3078E" w:rsidRPr="00FE148F" w14:paraId="7695BE67" w14:textId="77777777" w:rsidTr="00B3078E">
        <w:trPr>
          <w:trHeight w:val="315"/>
        </w:trPr>
        <w:tc>
          <w:tcPr>
            <w:tcW w:w="1447" w:type="dxa"/>
            <w:vMerge w:val="restart"/>
            <w:tcBorders>
              <w:top w:val="single" w:sz="4" w:space="0" w:color="auto"/>
              <w:left w:val="nil"/>
              <w:bottom w:val="nil"/>
              <w:right w:val="nil"/>
            </w:tcBorders>
            <w:shd w:val="clear" w:color="auto" w:fill="auto"/>
            <w:noWrap/>
            <w:vAlign w:val="center"/>
            <w:hideMark/>
          </w:tcPr>
          <w:p w14:paraId="1185068D" w14:textId="77777777" w:rsidR="00B3078E" w:rsidRPr="00FE148F" w:rsidRDefault="00B3078E" w:rsidP="00B3078E">
            <w:pPr>
              <w:spacing w:line="240" w:lineRule="auto"/>
              <w:jc w:val="center"/>
              <w:rPr>
                <w:rFonts w:cs="Times New Roman"/>
                <w:color w:val="000000"/>
              </w:rPr>
            </w:pPr>
            <w:r>
              <w:t>N strategies</w:t>
            </w:r>
          </w:p>
        </w:tc>
        <w:tc>
          <w:tcPr>
            <w:tcW w:w="5303" w:type="dxa"/>
            <w:gridSpan w:val="4"/>
            <w:tcBorders>
              <w:top w:val="single" w:sz="4" w:space="0" w:color="auto"/>
              <w:left w:val="nil"/>
              <w:bottom w:val="nil"/>
              <w:right w:val="nil"/>
            </w:tcBorders>
            <w:shd w:val="clear" w:color="auto" w:fill="auto"/>
            <w:noWrap/>
            <w:vAlign w:val="bottom"/>
            <w:hideMark/>
          </w:tcPr>
          <w:p w14:paraId="37591954" w14:textId="77777777" w:rsidR="00B3078E" w:rsidRPr="00FE148F" w:rsidRDefault="00B3078E" w:rsidP="00B3078E">
            <w:pPr>
              <w:spacing w:line="240" w:lineRule="auto"/>
              <w:jc w:val="center"/>
              <w:rPr>
                <w:rFonts w:cs="Times New Roman"/>
                <w:color w:val="000000"/>
              </w:rPr>
            </w:pPr>
            <w:r>
              <w:rPr>
                <w:rFonts w:cs="Times New Roman"/>
                <w:color w:val="000000"/>
              </w:rPr>
              <w:t>Inoculation</w:t>
            </w:r>
          </w:p>
        </w:tc>
        <w:tc>
          <w:tcPr>
            <w:tcW w:w="276" w:type="dxa"/>
            <w:tcBorders>
              <w:top w:val="single" w:sz="4" w:space="0" w:color="auto"/>
              <w:left w:val="nil"/>
              <w:bottom w:val="nil"/>
              <w:right w:val="nil"/>
            </w:tcBorders>
            <w:shd w:val="clear" w:color="auto" w:fill="auto"/>
            <w:noWrap/>
            <w:vAlign w:val="bottom"/>
            <w:hideMark/>
          </w:tcPr>
          <w:p w14:paraId="702D77A4" w14:textId="77777777" w:rsidR="00B3078E" w:rsidRPr="00FE148F" w:rsidRDefault="00B3078E" w:rsidP="00B3078E">
            <w:pPr>
              <w:spacing w:line="240" w:lineRule="auto"/>
              <w:rPr>
                <w:rFonts w:cs="Times New Roman"/>
                <w:color w:val="000000"/>
              </w:rPr>
            </w:pPr>
            <w:r w:rsidRPr="00FE148F">
              <w:rPr>
                <w:rFonts w:cs="Times New Roman"/>
                <w:color w:val="000000"/>
              </w:rPr>
              <w:t> </w:t>
            </w:r>
          </w:p>
        </w:tc>
        <w:tc>
          <w:tcPr>
            <w:tcW w:w="1109" w:type="dxa"/>
            <w:gridSpan w:val="2"/>
            <w:tcBorders>
              <w:top w:val="single" w:sz="4" w:space="0" w:color="auto"/>
              <w:left w:val="nil"/>
              <w:bottom w:val="nil"/>
              <w:right w:val="nil"/>
            </w:tcBorders>
            <w:shd w:val="clear" w:color="auto" w:fill="auto"/>
            <w:noWrap/>
            <w:vAlign w:val="bottom"/>
            <w:hideMark/>
          </w:tcPr>
          <w:p w14:paraId="1B53BD66" w14:textId="77777777" w:rsidR="00B3078E" w:rsidRPr="00FE148F" w:rsidRDefault="00B3078E" w:rsidP="00B3078E">
            <w:pPr>
              <w:spacing w:line="240" w:lineRule="auto"/>
              <w:rPr>
                <w:rFonts w:cs="Times New Roman"/>
                <w:color w:val="000000"/>
              </w:rPr>
            </w:pPr>
            <w:r w:rsidRPr="00FE148F">
              <w:rPr>
                <w:rFonts w:cs="Times New Roman"/>
                <w:color w:val="000000"/>
              </w:rPr>
              <w:t> </w:t>
            </w:r>
          </w:p>
        </w:tc>
      </w:tr>
      <w:tr w:rsidR="00B3078E" w:rsidRPr="00FE148F" w14:paraId="376C81D9" w14:textId="77777777" w:rsidTr="00B3078E">
        <w:trPr>
          <w:gridAfter w:val="1"/>
          <w:wAfter w:w="155" w:type="dxa"/>
          <w:trHeight w:val="375"/>
        </w:trPr>
        <w:tc>
          <w:tcPr>
            <w:tcW w:w="1447" w:type="dxa"/>
            <w:vMerge/>
            <w:tcBorders>
              <w:top w:val="single" w:sz="4" w:space="0" w:color="auto"/>
              <w:left w:val="nil"/>
              <w:bottom w:val="nil"/>
              <w:right w:val="nil"/>
            </w:tcBorders>
            <w:vAlign w:val="center"/>
            <w:hideMark/>
          </w:tcPr>
          <w:p w14:paraId="69B67924" w14:textId="77777777" w:rsidR="00B3078E" w:rsidRPr="00FE148F" w:rsidRDefault="00B3078E" w:rsidP="00B3078E">
            <w:pPr>
              <w:spacing w:line="240" w:lineRule="auto"/>
              <w:rPr>
                <w:rFonts w:cs="Times New Roman"/>
                <w:color w:val="000000"/>
              </w:rPr>
            </w:pPr>
          </w:p>
        </w:tc>
        <w:tc>
          <w:tcPr>
            <w:tcW w:w="1163" w:type="dxa"/>
            <w:tcBorders>
              <w:top w:val="nil"/>
              <w:left w:val="nil"/>
              <w:bottom w:val="nil"/>
              <w:right w:val="nil"/>
            </w:tcBorders>
            <w:shd w:val="clear" w:color="auto" w:fill="auto"/>
            <w:noWrap/>
            <w:vAlign w:val="bottom"/>
            <w:hideMark/>
          </w:tcPr>
          <w:p w14:paraId="18524082" w14:textId="77777777" w:rsidR="00B3078E" w:rsidRPr="00FE148F" w:rsidRDefault="00B3078E" w:rsidP="00B3078E">
            <w:pPr>
              <w:spacing w:line="240" w:lineRule="auto"/>
              <w:jc w:val="center"/>
              <w:rPr>
                <w:rFonts w:cs="Times New Roman"/>
                <w:color w:val="000000"/>
              </w:rPr>
            </w:pPr>
            <w:r w:rsidRPr="00FE148F">
              <w:rPr>
                <w:rFonts w:cs="Times New Roman"/>
                <w:color w:val="000000"/>
              </w:rPr>
              <w:t>DH-44</w:t>
            </w:r>
          </w:p>
        </w:tc>
        <w:tc>
          <w:tcPr>
            <w:tcW w:w="1530" w:type="dxa"/>
            <w:tcBorders>
              <w:top w:val="nil"/>
              <w:left w:val="nil"/>
              <w:bottom w:val="nil"/>
              <w:right w:val="nil"/>
            </w:tcBorders>
            <w:shd w:val="clear" w:color="auto" w:fill="auto"/>
            <w:noWrap/>
            <w:vAlign w:val="bottom"/>
            <w:hideMark/>
          </w:tcPr>
          <w:p w14:paraId="26817A51" w14:textId="77777777" w:rsidR="00B3078E" w:rsidRPr="00FE148F" w:rsidRDefault="00B3078E" w:rsidP="00B3078E">
            <w:pPr>
              <w:spacing w:line="240" w:lineRule="auto"/>
              <w:jc w:val="center"/>
              <w:rPr>
                <w:rFonts w:cs="Times New Roman"/>
                <w:color w:val="000000"/>
              </w:rPr>
            </w:pPr>
            <w:r w:rsidRPr="00FE148F">
              <w:rPr>
                <w:rFonts w:cs="Times New Roman"/>
                <w:color w:val="000000"/>
              </w:rPr>
              <w:t>C-PGPB</w:t>
            </w:r>
          </w:p>
        </w:tc>
        <w:tc>
          <w:tcPr>
            <w:tcW w:w="1260" w:type="dxa"/>
            <w:tcBorders>
              <w:top w:val="nil"/>
              <w:left w:val="nil"/>
              <w:bottom w:val="nil"/>
              <w:right w:val="nil"/>
            </w:tcBorders>
            <w:shd w:val="clear" w:color="auto" w:fill="auto"/>
            <w:noWrap/>
            <w:vAlign w:val="bottom"/>
            <w:hideMark/>
          </w:tcPr>
          <w:p w14:paraId="503E4D04" w14:textId="77777777" w:rsidR="00B3078E" w:rsidRPr="00FE148F" w:rsidRDefault="00B3078E" w:rsidP="00B3078E">
            <w:pPr>
              <w:spacing w:line="240" w:lineRule="auto"/>
              <w:jc w:val="center"/>
              <w:rPr>
                <w:rFonts w:cs="Times New Roman"/>
                <w:color w:val="000000"/>
              </w:rPr>
            </w:pPr>
            <w:r w:rsidRPr="00FE148F">
              <w:rPr>
                <w:rFonts w:cs="Times New Roman"/>
                <w:color w:val="000000"/>
              </w:rPr>
              <w:t>DH-267</w:t>
            </w:r>
          </w:p>
        </w:tc>
        <w:tc>
          <w:tcPr>
            <w:tcW w:w="1350" w:type="dxa"/>
            <w:tcBorders>
              <w:top w:val="nil"/>
              <w:left w:val="nil"/>
              <w:bottom w:val="nil"/>
              <w:right w:val="nil"/>
            </w:tcBorders>
            <w:shd w:val="clear" w:color="auto" w:fill="auto"/>
            <w:noWrap/>
            <w:vAlign w:val="bottom"/>
            <w:hideMark/>
          </w:tcPr>
          <w:p w14:paraId="011D7942" w14:textId="77777777" w:rsidR="00B3078E" w:rsidRPr="00FE148F" w:rsidRDefault="00B3078E" w:rsidP="00B3078E">
            <w:pPr>
              <w:spacing w:line="240" w:lineRule="auto"/>
              <w:jc w:val="center"/>
              <w:rPr>
                <w:rFonts w:cs="Times New Roman"/>
                <w:color w:val="000000"/>
              </w:rPr>
            </w:pPr>
            <w:r w:rsidRPr="00FE148F">
              <w:rPr>
                <w:rFonts w:cs="Times New Roman"/>
                <w:color w:val="000000"/>
              </w:rPr>
              <w:t>No-PGPB</w:t>
            </w:r>
          </w:p>
        </w:tc>
        <w:tc>
          <w:tcPr>
            <w:tcW w:w="1230" w:type="dxa"/>
            <w:gridSpan w:val="2"/>
            <w:tcBorders>
              <w:top w:val="nil"/>
              <w:left w:val="nil"/>
              <w:bottom w:val="nil"/>
              <w:right w:val="nil"/>
            </w:tcBorders>
            <w:shd w:val="clear" w:color="auto" w:fill="auto"/>
            <w:noWrap/>
            <w:vAlign w:val="bottom"/>
            <w:hideMark/>
          </w:tcPr>
          <w:p w14:paraId="62C1948B" w14:textId="77777777" w:rsidR="00B3078E" w:rsidRPr="00FE148F" w:rsidRDefault="00B3078E" w:rsidP="00B3078E">
            <w:pPr>
              <w:spacing w:line="240" w:lineRule="auto"/>
              <w:jc w:val="center"/>
              <w:rPr>
                <w:rFonts w:cs="Times New Roman"/>
                <w:color w:val="000000"/>
              </w:rPr>
            </w:pPr>
            <w:r w:rsidRPr="00FE148F">
              <w:rPr>
                <w:rFonts w:cs="Times New Roman"/>
                <w:i/>
                <w:iCs/>
                <w:color w:val="000000"/>
              </w:rPr>
              <w:t>P</w:t>
            </w:r>
            <w:r w:rsidRPr="00FE148F">
              <w:rPr>
                <w:rFonts w:cs="Times New Roman"/>
                <w:color w:val="000000"/>
              </w:rPr>
              <w:t>-Value</w:t>
            </w:r>
          </w:p>
        </w:tc>
      </w:tr>
      <w:tr w:rsidR="00B3078E" w:rsidRPr="00FE148F" w14:paraId="5C485550" w14:textId="77777777" w:rsidTr="00B3078E">
        <w:trPr>
          <w:gridAfter w:val="1"/>
          <w:wAfter w:w="155" w:type="dxa"/>
          <w:trHeight w:val="375"/>
        </w:trPr>
        <w:tc>
          <w:tcPr>
            <w:tcW w:w="1447" w:type="dxa"/>
            <w:tcBorders>
              <w:top w:val="nil"/>
              <w:left w:val="nil"/>
              <w:bottom w:val="nil"/>
              <w:right w:val="nil"/>
            </w:tcBorders>
            <w:shd w:val="clear" w:color="auto" w:fill="auto"/>
            <w:noWrap/>
            <w:vAlign w:val="bottom"/>
            <w:hideMark/>
          </w:tcPr>
          <w:p w14:paraId="58BE2F9B" w14:textId="77777777" w:rsidR="00B3078E" w:rsidRPr="00FE148F" w:rsidRDefault="00B3078E" w:rsidP="00B3078E">
            <w:pPr>
              <w:spacing w:line="240" w:lineRule="auto"/>
              <w:jc w:val="center"/>
              <w:rPr>
                <w:rFonts w:cs="Times New Roman"/>
                <w:color w:val="000000"/>
              </w:rPr>
            </w:pPr>
            <w:r w:rsidRPr="00FE148F">
              <w:rPr>
                <w:rFonts w:cs="Times New Roman"/>
                <w:color w:val="000000"/>
              </w:rPr>
              <w:t>(kg N ha</w:t>
            </w:r>
            <w:r w:rsidRPr="00FE148F">
              <w:rPr>
                <w:rFonts w:cs="Times New Roman"/>
                <w:color w:val="000000"/>
                <w:vertAlign w:val="superscript"/>
              </w:rPr>
              <w:t>-1</w:t>
            </w:r>
            <w:r w:rsidRPr="00FE148F">
              <w:rPr>
                <w:rFonts w:cs="Times New Roman"/>
                <w:color w:val="000000"/>
              </w:rPr>
              <w:t>)</w:t>
            </w:r>
          </w:p>
        </w:tc>
        <w:tc>
          <w:tcPr>
            <w:tcW w:w="5303" w:type="dxa"/>
            <w:gridSpan w:val="4"/>
            <w:tcBorders>
              <w:top w:val="nil"/>
              <w:left w:val="nil"/>
              <w:bottom w:val="nil"/>
              <w:right w:val="nil"/>
            </w:tcBorders>
            <w:shd w:val="clear" w:color="auto" w:fill="auto"/>
            <w:noWrap/>
            <w:vAlign w:val="bottom"/>
            <w:hideMark/>
          </w:tcPr>
          <w:p w14:paraId="13353BFB" w14:textId="77777777" w:rsidR="00B3078E" w:rsidRPr="00FE148F" w:rsidRDefault="00B3078E" w:rsidP="00B3078E">
            <w:pPr>
              <w:spacing w:line="240" w:lineRule="auto"/>
              <w:jc w:val="center"/>
              <w:rPr>
                <w:rFonts w:cs="Times New Roman"/>
                <w:color w:val="000000"/>
              </w:rPr>
            </w:pPr>
            <w:r w:rsidRPr="00FE148F">
              <w:rPr>
                <w:rFonts w:cs="Times New Roman"/>
                <w:color w:val="000000"/>
              </w:rPr>
              <w:t>--------------- kg DM ha</w:t>
            </w:r>
            <w:r w:rsidRPr="00FE148F">
              <w:rPr>
                <w:rFonts w:cs="Times New Roman"/>
                <w:color w:val="000000"/>
                <w:vertAlign w:val="superscript"/>
              </w:rPr>
              <w:t>-1</w:t>
            </w:r>
            <w:r w:rsidRPr="00FE148F">
              <w:rPr>
                <w:rFonts w:cs="Times New Roman"/>
                <w:color w:val="000000"/>
              </w:rPr>
              <w:t xml:space="preserve"> -----------------</w:t>
            </w:r>
          </w:p>
        </w:tc>
        <w:tc>
          <w:tcPr>
            <w:tcW w:w="1230" w:type="dxa"/>
            <w:gridSpan w:val="2"/>
            <w:tcBorders>
              <w:top w:val="nil"/>
              <w:left w:val="nil"/>
              <w:bottom w:val="nil"/>
              <w:right w:val="nil"/>
            </w:tcBorders>
            <w:shd w:val="clear" w:color="auto" w:fill="auto"/>
            <w:noWrap/>
            <w:vAlign w:val="bottom"/>
            <w:hideMark/>
          </w:tcPr>
          <w:p w14:paraId="7C4ACA85" w14:textId="77777777" w:rsidR="00B3078E" w:rsidRPr="00FE148F" w:rsidRDefault="00B3078E" w:rsidP="00B3078E">
            <w:pPr>
              <w:spacing w:line="240" w:lineRule="auto"/>
              <w:rPr>
                <w:rFonts w:cs="Times New Roman"/>
                <w:sz w:val="20"/>
                <w:szCs w:val="20"/>
              </w:rPr>
            </w:pPr>
          </w:p>
        </w:tc>
      </w:tr>
      <w:tr w:rsidR="00B3078E" w:rsidRPr="00FE148F" w14:paraId="7CCA88A4" w14:textId="77777777" w:rsidTr="00B3078E">
        <w:trPr>
          <w:gridAfter w:val="1"/>
          <w:wAfter w:w="155" w:type="dxa"/>
          <w:trHeight w:val="315"/>
        </w:trPr>
        <w:tc>
          <w:tcPr>
            <w:tcW w:w="1447" w:type="dxa"/>
            <w:tcBorders>
              <w:top w:val="single" w:sz="4" w:space="0" w:color="auto"/>
              <w:left w:val="nil"/>
              <w:bottom w:val="nil"/>
              <w:right w:val="nil"/>
            </w:tcBorders>
            <w:shd w:val="clear" w:color="auto" w:fill="auto"/>
            <w:noWrap/>
            <w:vAlign w:val="bottom"/>
            <w:hideMark/>
          </w:tcPr>
          <w:p w14:paraId="5DFDC7C9" w14:textId="77777777" w:rsidR="00B3078E" w:rsidRPr="00FE148F" w:rsidRDefault="00B3078E" w:rsidP="00B3078E">
            <w:pPr>
              <w:spacing w:line="240" w:lineRule="auto"/>
              <w:jc w:val="center"/>
              <w:rPr>
                <w:rFonts w:cs="Times New Roman"/>
                <w:color w:val="000000"/>
              </w:rPr>
            </w:pPr>
            <w:r>
              <w:rPr>
                <w:rFonts w:cs="Times New Roman"/>
                <w:color w:val="000000"/>
              </w:rPr>
              <w:t>NN</w:t>
            </w:r>
          </w:p>
        </w:tc>
        <w:tc>
          <w:tcPr>
            <w:tcW w:w="1163" w:type="dxa"/>
            <w:tcBorders>
              <w:top w:val="single" w:sz="4" w:space="0" w:color="auto"/>
              <w:left w:val="nil"/>
              <w:bottom w:val="nil"/>
              <w:right w:val="nil"/>
            </w:tcBorders>
            <w:shd w:val="clear" w:color="auto" w:fill="auto"/>
            <w:noWrap/>
            <w:vAlign w:val="bottom"/>
            <w:hideMark/>
          </w:tcPr>
          <w:p w14:paraId="6BE64F2C" w14:textId="77777777" w:rsidR="00B3078E" w:rsidRPr="00FE148F" w:rsidRDefault="00B3078E" w:rsidP="00B3078E">
            <w:pPr>
              <w:spacing w:line="240" w:lineRule="auto"/>
              <w:jc w:val="center"/>
              <w:rPr>
                <w:rFonts w:cs="Times New Roman"/>
                <w:color w:val="000000"/>
              </w:rPr>
            </w:pPr>
            <w:r w:rsidRPr="00FE148F">
              <w:rPr>
                <w:rFonts w:cs="Times New Roman"/>
                <w:color w:val="000000"/>
              </w:rPr>
              <w:t>839</w:t>
            </w:r>
          </w:p>
        </w:tc>
        <w:tc>
          <w:tcPr>
            <w:tcW w:w="1530" w:type="dxa"/>
            <w:tcBorders>
              <w:top w:val="single" w:sz="4" w:space="0" w:color="auto"/>
              <w:left w:val="nil"/>
              <w:bottom w:val="nil"/>
              <w:right w:val="nil"/>
            </w:tcBorders>
            <w:shd w:val="clear" w:color="auto" w:fill="auto"/>
            <w:noWrap/>
            <w:vAlign w:val="bottom"/>
            <w:hideMark/>
          </w:tcPr>
          <w:p w14:paraId="7D782D10" w14:textId="77777777" w:rsidR="00B3078E" w:rsidRPr="00FE148F" w:rsidRDefault="00B3078E" w:rsidP="00B3078E">
            <w:pPr>
              <w:spacing w:line="240" w:lineRule="auto"/>
              <w:jc w:val="center"/>
              <w:rPr>
                <w:rFonts w:cs="Times New Roman"/>
                <w:color w:val="000000"/>
              </w:rPr>
            </w:pPr>
            <w:r w:rsidRPr="00FE148F">
              <w:rPr>
                <w:rFonts w:cs="Times New Roman"/>
                <w:color w:val="000000"/>
              </w:rPr>
              <w:t>765</w:t>
            </w:r>
          </w:p>
        </w:tc>
        <w:tc>
          <w:tcPr>
            <w:tcW w:w="1260" w:type="dxa"/>
            <w:tcBorders>
              <w:top w:val="single" w:sz="4" w:space="0" w:color="auto"/>
              <w:left w:val="nil"/>
              <w:bottom w:val="nil"/>
              <w:right w:val="nil"/>
            </w:tcBorders>
            <w:shd w:val="clear" w:color="auto" w:fill="auto"/>
            <w:noWrap/>
            <w:vAlign w:val="bottom"/>
            <w:hideMark/>
          </w:tcPr>
          <w:p w14:paraId="0665B62D" w14:textId="77777777" w:rsidR="00B3078E" w:rsidRPr="00FE148F" w:rsidRDefault="00B3078E" w:rsidP="00B3078E">
            <w:pPr>
              <w:spacing w:line="240" w:lineRule="auto"/>
              <w:jc w:val="center"/>
              <w:rPr>
                <w:rFonts w:cs="Times New Roman"/>
                <w:color w:val="000000"/>
              </w:rPr>
            </w:pPr>
            <w:r w:rsidRPr="00FE148F">
              <w:rPr>
                <w:rFonts w:cs="Times New Roman"/>
                <w:color w:val="000000"/>
              </w:rPr>
              <w:t>815</w:t>
            </w:r>
          </w:p>
        </w:tc>
        <w:tc>
          <w:tcPr>
            <w:tcW w:w="1350" w:type="dxa"/>
            <w:tcBorders>
              <w:top w:val="single" w:sz="4" w:space="0" w:color="auto"/>
              <w:left w:val="nil"/>
              <w:bottom w:val="nil"/>
              <w:right w:val="nil"/>
            </w:tcBorders>
            <w:shd w:val="clear" w:color="auto" w:fill="auto"/>
            <w:noWrap/>
            <w:vAlign w:val="bottom"/>
            <w:hideMark/>
          </w:tcPr>
          <w:p w14:paraId="070A9D77" w14:textId="77777777" w:rsidR="00B3078E" w:rsidRPr="00FE148F" w:rsidRDefault="00B3078E" w:rsidP="00B3078E">
            <w:pPr>
              <w:spacing w:line="240" w:lineRule="auto"/>
              <w:jc w:val="center"/>
              <w:rPr>
                <w:rFonts w:cs="Times New Roman"/>
                <w:color w:val="000000"/>
              </w:rPr>
            </w:pPr>
            <w:r w:rsidRPr="00FE148F">
              <w:rPr>
                <w:rFonts w:cs="Times New Roman"/>
                <w:color w:val="000000"/>
              </w:rPr>
              <w:t>795</w:t>
            </w:r>
          </w:p>
        </w:tc>
        <w:tc>
          <w:tcPr>
            <w:tcW w:w="1230" w:type="dxa"/>
            <w:gridSpan w:val="2"/>
            <w:tcBorders>
              <w:top w:val="single" w:sz="4" w:space="0" w:color="auto"/>
              <w:left w:val="nil"/>
              <w:bottom w:val="nil"/>
              <w:right w:val="nil"/>
            </w:tcBorders>
            <w:shd w:val="clear" w:color="auto" w:fill="auto"/>
            <w:noWrap/>
            <w:vAlign w:val="bottom"/>
            <w:hideMark/>
          </w:tcPr>
          <w:p w14:paraId="3D478BCA" w14:textId="77777777" w:rsidR="00B3078E" w:rsidRPr="00FE148F" w:rsidRDefault="00B3078E" w:rsidP="00B3078E">
            <w:pPr>
              <w:spacing w:line="240" w:lineRule="auto"/>
              <w:jc w:val="center"/>
              <w:rPr>
                <w:rFonts w:cs="Times New Roman"/>
                <w:i/>
                <w:iCs/>
                <w:color w:val="000000"/>
              </w:rPr>
            </w:pPr>
            <w:r w:rsidRPr="00FE148F">
              <w:rPr>
                <w:rFonts w:cs="Times New Roman"/>
                <w:i/>
                <w:iCs/>
                <w:color w:val="000000"/>
              </w:rPr>
              <w:t>&gt;0.05</w:t>
            </w:r>
          </w:p>
        </w:tc>
      </w:tr>
      <w:tr w:rsidR="00B3078E" w:rsidRPr="00FE148F" w14:paraId="2D010AAE" w14:textId="77777777" w:rsidTr="00B3078E">
        <w:trPr>
          <w:gridAfter w:val="1"/>
          <w:wAfter w:w="155" w:type="dxa"/>
          <w:trHeight w:val="315"/>
        </w:trPr>
        <w:tc>
          <w:tcPr>
            <w:tcW w:w="1447" w:type="dxa"/>
            <w:tcBorders>
              <w:top w:val="nil"/>
              <w:left w:val="nil"/>
              <w:bottom w:val="nil"/>
              <w:right w:val="nil"/>
            </w:tcBorders>
            <w:shd w:val="clear" w:color="auto" w:fill="auto"/>
            <w:noWrap/>
            <w:vAlign w:val="bottom"/>
            <w:hideMark/>
          </w:tcPr>
          <w:p w14:paraId="00E8E7A1" w14:textId="77777777" w:rsidR="00B3078E" w:rsidRPr="00FE148F" w:rsidRDefault="00B3078E" w:rsidP="00B3078E">
            <w:pPr>
              <w:spacing w:line="240" w:lineRule="auto"/>
              <w:jc w:val="center"/>
              <w:rPr>
                <w:rFonts w:cs="Times New Roman"/>
                <w:color w:val="000000"/>
              </w:rPr>
            </w:pPr>
            <w:r w:rsidRPr="00FE148F">
              <w:rPr>
                <w:rFonts w:cs="Times New Roman"/>
                <w:color w:val="000000"/>
              </w:rPr>
              <w:t>U</w:t>
            </w:r>
            <w:r>
              <w:rPr>
                <w:rFonts w:cs="Times New Roman"/>
                <w:color w:val="000000"/>
              </w:rPr>
              <w:t>-33</w:t>
            </w:r>
          </w:p>
        </w:tc>
        <w:tc>
          <w:tcPr>
            <w:tcW w:w="1163" w:type="dxa"/>
            <w:tcBorders>
              <w:top w:val="nil"/>
              <w:left w:val="nil"/>
              <w:bottom w:val="nil"/>
              <w:right w:val="nil"/>
            </w:tcBorders>
            <w:shd w:val="clear" w:color="auto" w:fill="auto"/>
            <w:noWrap/>
            <w:vAlign w:val="bottom"/>
            <w:hideMark/>
          </w:tcPr>
          <w:p w14:paraId="020ABC45" w14:textId="77777777" w:rsidR="00B3078E" w:rsidRPr="00FE148F" w:rsidRDefault="00B3078E" w:rsidP="00B3078E">
            <w:pPr>
              <w:spacing w:line="240" w:lineRule="auto"/>
              <w:jc w:val="center"/>
              <w:rPr>
                <w:rFonts w:cs="Times New Roman"/>
                <w:color w:val="000000"/>
              </w:rPr>
            </w:pPr>
            <w:r w:rsidRPr="00FE148F">
              <w:rPr>
                <w:rFonts w:cs="Times New Roman"/>
                <w:color w:val="000000"/>
              </w:rPr>
              <w:t>931</w:t>
            </w:r>
          </w:p>
        </w:tc>
        <w:tc>
          <w:tcPr>
            <w:tcW w:w="1530" w:type="dxa"/>
            <w:tcBorders>
              <w:top w:val="nil"/>
              <w:left w:val="nil"/>
              <w:bottom w:val="nil"/>
              <w:right w:val="nil"/>
            </w:tcBorders>
            <w:shd w:val="clear" w:color="auto" w:fill="auto"/>
            <w:noWrap/>
            <w:vAlign w:val="bottom"/>
            <w:hideMark/>
          </w:tcPr>
          <w:p w14:paraId="70E5600E" w14:textId="77777777" w:rsidR="00B3078E" w:rsidRPr="00FE148F" w:rsidRDefault="00B3078E" w:rsidP="00B3078E">
            <w:pPr>
              <w:spacing w:line="240" w:lineRule="auto"/>
              <w:jc w:val="center"/>
              <w:rPr>
                <w:rFonts w:cs="Times New Roman"/>
                <w:color w:val="000000"/>
              </w:rPr>
            </w:pPr>
            <w:r w:rsidRPr="00FE148F">
              <w:rPr>
                <w:rFonts w:cs="Times New Roman"/>
                <w:color w:val="000000"/>
              </w:rPr>
              <w:t>1007</w:t>
            </w:r>
          </w:p>
        </w:tc>
        <w:tc>
          <w:tcPr>
            <w:tcW w:w="1260" w:type="dxa"/>
            <w:tcBorders>
              <w:top w:val="nil"/>
              <w:left w:val="nil"/>
              <w:bottom w:val="nil"/>
              <w:right w:val="nil"/>
            </w:tcBorders>
            <w:shd w:val="clear" w:color="auto" w:fill="auto"/>
            <w:noWrap/>
            <w:vAlign w:val="bottom"/>
            <w:hideMark/>
          </w:tcPr>
          <w:p w14:paraId="2AA2FF3F" w14:textId="77777777" w:rsidR="00B3078E" w:rsidRPr="00FE148F" w:rsidRDefault="00B3078E" w:rsidP="00B3078E">
            <w:pPr>
              <w:spacing w:line="240" w:lineRule="auto"/>
              <w:jc w:val="center"/>
              <w:rPr>
                <w:rFonts w:cs="Times New Roman"/>
                <w:color w:val="000000"/>
              </w:rPr>
            </w:pPr>
            <w:r w:rsidRPr="00FE148F">
              <w:rPr>
                <w:rFonts w:cs="Times New Roman"/>
                <w:color w:val="000000"/>
              </w:rPr>
              <w:t>939</w:t>
            </w:r>
          </w:p>
        </w:tc>
        <w:tc>
          <w:tcPr>
            <w:tcW w:w="1350" w:type="dxa"/>
            <w:tcBorders>
              <w:top w:val="nil"/>
              <w:left w:val="nil"/>
              <w:bottom w:val="nil"/>
              <w:right w:val="nil"/>
            </w:tcBorders>
            <w:shd w:val="clear" w:color="auto" w:fill="auto"/>
            <w:noWrap/>
            <w:vAlign w:val="bottom"/>
            <w:hideMark/>
          </w:tcPr>
          <w:p w14:paraId="4A26CC4F" w14:textId="77777777" w:rsidR="00B3078E" w:rsidRPr="00FE148F" w:rsidRDefault="00B3078E" w:rsidP="00B3078E">
            <w:pPr>
              <w:spacing w:line="240" w:lineRule="auto"/>
              <w:jc w:val="center"/>
              <w:rPr>
                <w:rFonts w:cs="Times New Roman"/>
                <w:color w:val="000000"/>
              </w:rPr>
            </w:pPr>
            <w:r w:rsidRPr="00FE148F">
              <w:rPr>
                <w:rFonts w:cs="Times New Roman"/>
                <w:color w:val="000000"/>
              </w:rPr>
              <w:t>1029</w:t>
            </w:r>
          </w:p>
        </w:tc>
        <w:tc>
          <w:tcPr>
            <w:tcW w:w="1230" w:type="dxa"/>
            <w:gridSpan w:val="2"/>
            <w:tcBorders>
              <w:top w:val="nil"/>
              <w:left w:val="nil"/>
              <w:bottom w:val="nil"/>
              <w:right w:val="nil"/>
            </w:tcBorders>
            <w:shd w:val="clear" w:color="auto" w:fill="auto"/>
            <w:noWrap/>
            <w:vAlign w:val="bottom"/>
            <w:hideMark/>
          </w:tcPr>
          <w:p w14:paraId="4D78C3EC" w14:textId="77777777" w:rsidR="00B3078E" w:rsidRPr="00FE148F" w:rsidRDefault="00B3078E" w:rsidP="00B3078E">
            <w:pPr>
              <w:spacing w:line="240" w:lineRule="auto"/>
              <w:jc w:val="center"/>
              <w:rPr>
                <w:rFonts w:cs="Times New Roman"/>
                <w:i/>
                <w:iCs/>
                <w:color w:val="000000"/>
              </w:rPr>
            </w:pPr>
            <w:r w:rsidRPr="00FE148F">
              <w:rPr>
                <w:rFonts w:cs="Times New Roman"/>
                <w:i/>
                <w:iCs/>
                <w:color w:val="000000"/>
              </w:rPr>
              <w:t>&gt;0.05</w:t>
            </w:r>
          </w:p>
        </w:tc>
      </w:tr>
      <w:tr w:rsidR="00B3078E" w:rsidRPr="00FE148F" w14:paraId="73D69C76" w14:textId="77777777" w:rsidTr="00B3078E">
        <w:trPr>
          <w:gridAfter w:val="1"/>
          <w:wAfter w:w="155" w:type="dxa"/>
          <w:trHeight w:val="315"/>
        </w:trPr>
        <w:tc>
          <w:tcPr>
            <w:tcW w:w="1447" w:type="dxa"/>
            <w:tcBorders>
              <w:top w:val="nil"/>
              <w:left w:val="nil"/>
              <w:bottom w:val="nil"/>
              <w:right w:val="nil"/>
            </w:tcBorders>
            <w:shd w:val="clear" w:color="auto" w:fill="auto"/>
            <w:noWrap/>
            <w:vAlign w:val="bottom"/>
            <w:hideMark/>
          </w:tcPr>
          <w:p w14:paraId="1C0375CD" w14:textId="77777777" w:rsidR="00B3078E" w:rsidRPr="00FE148F" w:rsidRDefault="00B3078E" w:rsidP="00B3078E">
            <w:pPr>
              <w:spacing w:line="240" w:lineRule="auto"/>
              <w:jc w:val="center"/>
              <w:rPr>
                <w:rFonts w:cs="Times New Roman"/>
                <w:color w:val="000000"/>
              </w:rPr>
            </w:pPr>
            <w:r w:rsidRPr="00FE148F">
              <w:rPr>
                <w:rFonts w:cs="Times New Roman"/>
                <w:color w:val="000000"/>
              </w:rPr>
              <w:t>A</w:t>
            </w:r>
            <w:r>
              <w:rPr>
                <w:rFonts w:cs="Times New Roman"/>
                <w:color w:val="000000"/>
              </w:rPr>
              <w:t>-33</w:t>
            </w:r>
          </w:p>
        </w:tc>
        <w:tc>
          <w:tcPr>
            <w:tcW w:w="1163" w:type="dxa"/>
            <w:tcBorders>
              <w:top w:val="nil"/>
              <w:left w:val="nil"/>
              <w:bottom w:val="nil"/>
              <w:right w:val="nil"/>
            </w:tcBorders>
            <w:shd w:val="clear" w:color="auto" w:fill="auto"/>
            <w:noWrap/>
            <w:vAlign w:val="bottom"/>
            <w:hideMark/>
          </w:tcPr>
          <w:p w14:paraId="4BCB02FA" w14:textId="77777777" w:rsidR="00B3078E" w:rsidRPr="00FE148F" w:rsidRDefault="00B3078E" w:rsidP="00B3078E">
            <w:pPr>
              <w:spacing w:line="240" w:lineRule="auto"/>
              <w:jc w:val="center"/>
              <w:rPr>
                <w:rFonts w:cs="Times New Roman"/>
                <w:color w:val="000000"/>
              </w:rPr>
            </w:pPr>
            <w:r w:rsidRPr="00FE148F">
              <w:rPr>
                <w:rFonts w:cs="Times New Roman"/>
                <w:color w:val="000000"/>
              </w:rPr>
              <w:t>1029</w:t>
            </w:r>
          </w:p>
        </w:tc>
        <w:tc>
          <w:tcPr>
            <w:tcW w:w="1530" w:type="dxa"/>
            <w:tcBorders>
              <w:top w:val="nil"/>
              <w:left w:val="nil"/>
              <w:bottom w:val="nil"/>
              <w:right w:val="nil"/>
            </w:tcBorders>
            <w:shd w:val="clear" w:color="auto" w:fill="auto"/>
            <w:noWrap/>
            <w:vAlign w:val="bottom"/>
            <w:hideMark/>
          </w:tcPr>
          <w:p w14:paraId="463E11ED" w14:textId="77777777" w:rsidR="00B3078E" w:rsidRPr="00FE148F" w:rsidRDefault="00B3078E" w:rsidP="00B3078E">
            <w:pPr>
              <w:spacing w:line="240" w:lineRule="auto"/>
              <w:jc w:val="center"/>
              <w:rPr>
                <w:rFonts w:cs="Times New Roman"/>
                <w:color w:val="000000"/>
              </w:rPr>
            </w:pPr>
            <w:r w:rsidRPr="00FE148F">
              <w:rPr>
                <w:rFonts w:cs="Times New Roman"/>
                <w:color w:val="000000"/>
              </w:rPr>
              <w:t>969</w:t>
            </w:r>
          </w:p>
        </w:tc>
        <w:tc>
          <w:tcPr>
            <w:tcW w:w="1260" w:type="dxa"/>
            <w:tcBorders>
              <w:top w:val="nil"/>
              <w:left w:val="nil"/>
              <w:bottom w:val="nil"/>
              <w:right w:val="nil"/>
            </w:tcBorders>
            <w:shd w:val="clear" w:color="auto" w:fill="auto"/>
            <w:noWrap/>
            <w:vAlign w:val="bottom"/>
            <w:hideMark/>
          </w:tcPr>
          <w:p w14:paraId="56429A85" w14:textId="77777777" w:rsidR="00B3078E" w:rsidRPr="00FE148F" w:rsidRDefault="00B3078E" w:rsidP="00B3078E">
            <w:pPr>
              <w:spacing w:line="240" w:lineRule="auto"/>
              <w:jc w:val="center"/>
              <w:rPr>
                <w:rFonts w:cs="Times New Roman"/>
                <w:color w:val="000000"/>
              </w:rPr>
            </w:pPr>
            <w:r w:rsidRPr="00FE148F">
              <w:rPr>
                <w:rFonts w:cs="Times New Roman"/>
                <w:color w:val="000000"/>
              </w:rPr>
              <w:t>956</w:t>
            </w:r>
          </w:p>
        </w:tc>
        <w:tc>
          <w:tcPr>
            <w:tcW w:w="1350" w:type="dxa"/>
            <w:tcBorders>
              <w:top w:val="nil"/>
              <w:left w:val="nil"/>
              <w:bottom w:val="nil"/>
              <w:right w:val="nil"/>
            </w:tcBorders>
            <w:shd w:val="clear" w:color="auto" w:fill="auto"/>
            <w:noWrap/>
            <w:vAlign w:val="bottom"/>
            <w:hideMark/>
          </w:tcPr>
          <w:p w14:paraId="542ECFF5" w14:textId="77777777" w:rsidR="00B3078E" w:rsidRPr="00FE148F" w:rsidRDefault="00B3078E" w:rsidP="00B3078E">
            <w:pPr>
              <w:spacing w:line="240" w:lineRule="auto"/>
              <w:jc w:val="center"/>
              <w:rPr>
                <w:rFonts w:cs="Times New Roman"/>
                <w:color w:val="000000"/>
              </w:rPr>
            </w:pPr>
            <w:r w:rsidRPr="00FE148F">
              <w:rPr>
                <w:rFonts w:cs="Times New Roman"/>
                <w:color w:val="000000"/>
              </w:rPr>
              <w:t>935</w:t>
            </w:r>
          </w:p>
        </w:tc>
        <w:tc>
          <w:tcPr>
            <w:tcW w:w="1230" w:type="dxa"/>
            <w:gridSpan w:val="2"/>
            <w:tcBorders>
              <w:top w:val="nil"/>
              <w:left w:val="nil"/>
              <w:bottom w:val="nil"/>
              <w:right w:val="nil"/>
            </w:tcBorders>
            <w:shd w:val="clear" w:color="auto" w:fill="auto"/>
            <w:noWrap/>
            <w:vAlign w:val="bottom"/>
            <w:hideMark/>
          </w:tcPr>
          <w:p w14:paraId="22ECDC92" w14:textId="77777777" w:rsidR="00B3078E" w:rsidRPr="00FE148F" w:rsidRDefault="00B3078E" w:rsidP="00B3078E">
            <w:pPr>
              <w:spacing w:line="240" w:lineRule="auto"/>
              <w:jc w:val="center"/>
              <w:rPr>
                <w:rFonts w:cs="Times New Roman"/>
                <w:i/>
                <w:iCs/>
                <w:color w:val="000000"/>
              </w:rPr>
            </w:pPr>
            <w:r w:rsidRPr="00FE148F">
              <w:rPr>
                <w:rFonts w:cs="Times New Roman"/>
                <w:i/>
                <w:iCs/>
                <w:color w:val="000000"/>
              </w:rPr>
              <w:t>&gt;0.05</w:t>
            </w:r>
          </w:p>
        </w:tc>
      </w:tr>
      <w:tr w:rsidR="00B3078E" w:rsidRPr="00FE148F" w14:paraId="186EAB89" w14:textId="77777777" w:rsidTr="00B3078E">
        <w:trPr>
          <w:gridAfter w:val="1"/>
          <w:wAfter w:w="155" w:type="dxa"/>
          <w:trHeight w:val="315"/>
        </w:trPr>
        <w:tc>
          <w:tcPr>
            <w:tcW w:w="1447" w:type="dxa"/>
            <w:tcBorders>
              <w:top w:val="nil"/>
              <w:left w:val="nil"/>
              <w:bottom w:val="nil"/>
              <w:right w:val="nil"/>
            </w:tcBorders>
            <w:shd w:val="clear" w:color="auto" w:fill="auto"/>
            <w:noWrap/>
            <w:vAlign w:val="bottom"/>
            <w:hideMark/>
          </w:tcPr>
          <w:p w14:paraId="0B3D4964" w14:textId="77777777" w:rsidR="00B3078E" w:rsidRPr="00FE148F" w:rsidRDefault="00B3078E" w:rsidP="00B3078E">
            <w:pPr>
              <w:spacing w:line="240" w:lineRule="auto"/>
              <w:jc w:val="center"/>
              <w:rPr>
                <w:rFonts w:cs="Times New Roman"/>
                <w:color w:val="000000"/>
              </w:rPr>
            </w:pPr>
            <w:r w:rsidRPr="00FE148F">
              <w:rPr>
                <w:rFonts w:cs="Times New Roman"/>
                <w:color w:val="000000"/>
              </w:rPr>
              <w:t>U</w:t>
            </w:r>
            <w:r>
              <w:rPr>
                <w:rFonts w:cs="Times New Roman"/>
                <w:color w:val="000000"/>
              </w:rPr>
              <w:t>-67</w:t>
            </w:r>
          </w:p>
        </w:tc>
        <w:tc>
          <w:tcPr>
            <w:tcW w:w="1163" w:type="dxa"/>
            <w:tcBorders>
              <w:top w:val="nil"/>
              <w:left w:val="nil"/>
              <w:bottom w:val="nil"/>
              <w:right w:val="nil"/>
            </w:tcBorders>
            <w:shd w:val="clear" w:color="auto" w:fill="auto"/>
            <w:noWrap/>
            <w:vAlign w:val="bottom"/>
            <w:hideMark/>
          </w:tcPr>
          <w:p w14:paraId="493531CE" w14:textId="77777777" w:rsidR="00B3078E" w:rsidRPr="00FE148F" w:rsidRDefault="00B3078E" w:rsidP="00B3078E">
            <w:pPr>
              <w:spacing w:line="240" w:lineRule="auto"/>
              <w:jc w:val="center"/>
              <w:rPr>
                <w:rFonts w:cs="Times New Roman"/>
                <w:color w:val="000000"/>
              </w:rPr>
            </w:pPr>
            <w:r w:rsidRPr="00FE148F">
              <w:rPr>
                <w:rFonts w:cs="Times New Roman"/>
                <w:color w:val="000000"/>
              </w:rPr>
              <w:t>1130</w:t>
            </w:r>
          </w:p>
        </w:tc>
        <w:tc>
          <w:tcPr>
            <w:tcW w:w="1530" w:type="dxa"/>
            <w:tcBorders>
              <w:top w:val="nil"/>
              <w:left w:val="nil"/>
              <w:bottom w:val="nil"/>
              <w:right w:val="nil"/>
            </w:tcBorders>
            <w:shd w:val="clear" w:color="auto" w:fill="auto"/>
            <w:noWrap/>
            <w:vAlign w:val="bottom"/>
            <w:hideMark/>
          </w:tcPr>
          <w:p w14:paraId="18C499AF" w14:textId="77777777" w:rsidR="00B3078E" w:rsidRPr="00FE148F" w:rsidRDefault="00B3078E" w:rsidP="00B3078E">
            <w:pPr>
              <w:spacing w:line="240" w:lineRule="auto"/>
              <w:jc w:val="center"/>
              <w:rPr>
                <w:rFonts w:cs="Times New Roman"/>
                <w:color w:val="000000"/>
              </w:rPr>
            </w:pPr>
            <w:r w:rsidRPr="00FE148F">
              <w:rPr>
                <w:rFonts w:cs="Times New Roman"/>
                <w:color w:val="000000"/>
              </w:rPr>
              <w:t>1089</w:t>
            </w:r>
          </w:p>
        </w:tc>
        <w:tc>
          <w:tcPr>
            <w:tcW w:w="1260" w:type="dxa"/>
            <w:tcBorders>
              <w:top w:val="nil"/>
              <w:left w:val="nil"/>
              <w:bottom w:val="nil"/>
              <w:right w:val="nil"/>
            </w:tcBorders>
            <w:shd w:val="clear" w:color="auto" w:fill="auto"/>
            <w:noWrap/>
            <w:vAlign w:val="bottom"/>
            <w:hideMark/>
          </w:tcPr>
          <w:p w14:paraId="49488CFD" w14:textId="77777777" w:rsidR="00B3078E" w:rsidRPr="00FE148F" w:rsidRDefault="00B3078E" w:rsidP="00B3078E">
            <w:pPr>
              <w:spacing w:line="240" w:lineRule="auto"/>
              <w:jc w:val="center"/>
              <w:rPr>
                <w:rFonts w:cs="Times New Roman"/>
                <w:color w:val="000000"/>
              </w:rPr>
            </w:pPr>
            <w:r w:rsidRPr="00FE148F">
              <w:rPr>
                <w:rFonts w:cs="Times New Roman"/>
                <w:color w:val="000000"/>
              </w:rPr>
              <w:t>1069</w:t>
            </w:r>
          </w:p>
        </w:tc>
        <w:tc>
          <w:tcPr>
            <w:tcW w:w="1350" w:type="dxa"/>
            <w:tcBorders>
              <w:top w:val="nil"/>
              <w:left w:val="nil"/>
              <w:bottom w:val="nil"/>
              <w:right w:val="nil"/>
            </w:tcBorders>
            <w:shd w:val="clear" w:color="auto" w:fill="auto"/>
            <w:noWrap/>
            <w:vAlign w:val="bottom"/>
            <w:hideMark/>
          </w:tcPr>
          <w:p w14:paraId="7F55AB82" w14:textId="77777777" w:rsidR="00B3078E" w:rsidRPr="00FE148F" w:rsidRDefault="00B3078E" w:rsidP="00B3078E">
            <w:pPr>
              <w:spacing w:line="240" w:lineRule="auto"/>
              <w:jc w:val="center"/>
              <w:rPr>
                <w:rFonts w:cs="Times New Roman"/>
                <w:color w:val="000000"/>
              </w:rPr>
            </w:pPr>
            <w:r w:rsidRPr="00FE148F">
              <w:rPr>
                <w:rFonts w:cs="Times New Roman"/>
                <w:color w:val="000000"/>
              </w:rPr>
              <w:t>1142</w:t>
            </w:r>
          </w:p>
        </w:tc>
        <w:tc>
          <w:tcPr>
            <w:tcW w:w="1230" w:type="dxa"/>
            <w:gridSpan w:val="2"/>
            <w:tcBorders>
              <w:top w:val="nil"/>
              <w:left w:val="nil"/>
              <w:bottom w:val="nil"/>
              <w:right w:val="nil"/>
            </w:tcBorders>
            <w:shd w:val="clear" w:color="auto" w:fill="auto"/>
            <w:noWrap/>
            <w:vAlign w:val="bottom"/>
            <w:hideMark/>
          </w:tcPr>
          <w:p w14:paraId="14A1A61F" w14:textId="77777777" w:rsidR="00B3078E" w:rsidRPr="00FE148F" w:rsidRDefault="00B3078E" w:rsidP="00B3078E">
            <w:pPr>
              <w:spacing w:line="240" w:lineRule="auto"/>
              <w:jc w:val="center"/>
              <w:rPr>
                <w:rFonts w:cs="Times New Roman"/>
                <w:i/>
                <w:iCs/>
                <w:color w:val="000000"/>
              </w:rPr>
            </w:pPr>
            <w:r w:rsidRPr="00FE148F">
              <w:rPr>
                <w:rFonts w:cs="Times New Roman"/>
                <w:i/>
                <w:iCs/>
                <w:color w:val="000000"/>
              </w:rPr>
              <w:t>&gt;0.05</w:t>
            </w:r>
          </w:p>
        </w:tc>
      </w:tr>
      <w:tr w:rsidR="00B3078E" w:rsidRPr="00FE148F" w14:paraId="67E368FC" w14:textId="77777777" w:rsidTr="00B3078E">
        <w:trPr>
          <w:gridAfter w:val="1"/>
          <w:wAfter w:w="155" w:type="dxa"/>
          <w:trHeight w:val="315"/>
        </w:trPr>
        <w:tc>
          <w:tcPr>
            <w:tcW w:w="1447" w:type="dxa"/>
            <w:tcBorders>
              <w:top w:val="nil"/>
              <w:left w:val="nil"/>
              <w:bottom w:val="nil"/>
              <w:right w:val="nil"/>
            </w:tcBorders>
            <w:shd w:val="clear" w:color="auto" w:fill="auto"/>
            <w:noWrap/>
            <w:vAlign w:val="bottom"/>
            <w:hideMark/>
          </w:tcPr>
          <w:p w14:paraId="68B76A0E" w14:textId="77777777" w:rsidR="00B3078E" w:rsidRPr="00FE148F" w:rsidRDefault="00B3078E" w:rsidP="00B3078E">
            <w:pPr>
              <w:spacing w:line="240" w:lineRule="auto"/>
              <w:jc w:val="center"/>
              <w:rPr>
                <w:rFonts w:cs="Times New Roman"/>
                <w:color w:val="000000"/>
              </w:rPr>
            </w:pPr>
            <w:r w:rsidRPr="00FE148F">
              <w:rPr>
                <w:rFonts w:cs="Times New Roman"/>
                <w:color w:val="000000"/>
              </w:rPr>
              <w:t>A</w:t>
            </w:r>
            <w:r>
              <w:rPr>
                <w:rFonts w:cs="Times New Roman"/>
                <w:color w:val="000000"/>
              </w:rPr>
              <w:t>-67</w:t>
            </w:r>
          </w:p>
        </w:tc>
        <w:tc>
          <w:tcPr>
            <w:tcW w:w="1163" w:type="dxa"/>
            <w:tcBorders>
              <w:top w:val="nil"/>
              <w:left w:val="nil"/>
              <w:bottom w:val="nil"/>
              <w:right w:val="nil"/>
            </w:tcBorders>
            <w:shd w:val="clear" w:color="auto" w:fill="auto"/>
            <w:noWrap/>
            <w:vAlign w:val="bottom"/>
            <w:hideMark/>
          </w:tcPr>
          <w:p w14:paraId="5F6C7945" w14:textId="77777777" w:rsidR="00B3078E" w:rsidRPr="00FE148F" w:rsidRDefault="00B3078E" w:rsidP="00B3078E">
            <w:pPr>
              <w:spacing w:line="240" w:lineRule="auto"/>
              <w:jc w:val="center"/>
              <w:rPr>
                <w:rFonts w:cs="Times New Roman"/>
                <w:color w:val="000000"/>
              </w:rPr>
            </w:pPr>
            <w:r w:rsidRPr="00FE148F">
              <w:rPr>
                <w:rFonts w:cs="Times New Roman"/>
                <w:color w:val="000000"/>
              </w:rPr>
              <w:t>988</w:t>
            </w:r>
          </w:p>
        </w:tc>
        <w:tc>
          <w:tcPr>
            <w:tcW w:w="1530" w:type="dxa"/>
            <w:tcBorders>
              <w:top w:val="nil"/>
              <w:left w:val="nil"/>
              <w:bottom w:val="nil"/>
              <w:right w:val="nil"/>
            </w:tcBorders>
            <w:shd w:val="clear" w:color="auto" w:fill="auto"/>
            <w:noWrap/>
            <w:vAlign w:val="bottom"/>
            <w:hideMark/>
          </w:tcPr>
          <w:p w14:paraId="5F753244" w14:textId="77777777" w:rsidR="00B3078E" w:rsidRPr="00FE148F" w:rsidRDefault="00B3078E" w:rsidP="00B3078E">
            <w:pPr>
              <w:spacing w:line="240" w:lineRule="auto"/>
              <w:jc w:val="center"/>
              <w:rPr>
                <w:rFonts w:cs="Times New Roman"/>
                <w:color w:val="000000"/>
              </w:rPr>
            </w:pPr>
            <w:r w:rsidRPr="00FE148F">
              <w:rPr>
                <w:rFonts w:cs="Times New Roman"/>
                <w:color w:val="000000"/>
              </w:rPr>
              <w:t>1085</w:t>
            </w:r>
          </w:p>
        </w:tc>
        <w:tc>
          <w:tcPr>
            <w:tcW w:w="1260" w:type="dxa"/>
            <w:tcBorders>
              <w:top w:val="nil"/>
              <w:left w:val="nil"/>
              <w:bottom w:val="nil"/>
              <w:right w:val="nil"/>
            </w:tcBorders>
            <w:shd w:val="clear" w:color="auto" w:fill="auto"/>
            <w:noWrap/>
            <w:vAlign w:val="bottom"/>
            <w:hideMark/>
          </w:tcPr>
          <w:p w14:paraId="2E16519E" w14:textId="77777777" w:rsidR="00B3078E" w:rsidRPr="00FE148F" w:rsidRDefault="00B3078E" w:rsidP="00B3078E">
            <w:pPr>
              <w:spacing w:line="240" w:lineRule="auto"/>
              <w:jc w:val="center"/>
              <w:rPr>
                <w:rFonts w:cs="Times New Roman"/>
                <w:color w:val="000000"/>
              </w:rPr>
            </w:pPr>
            <w:r w:rsidRPr="00FE148F">
              <w:rPr>
                <w:rFonts w:cs="Times New Roman"/>
                <w:color w:val="000000"/>
              </w:rPr>
              <w:t>1109</w:t>
            </w:r>
          </w:p>
        </w:tc>
        <w:tc>
          <w:tcPr>
            <w:tcW w:w="1350" w:type="dxa"/>
            <w:tcBorders>
              <w:top w:val="nil"/>
              <w:left w:val="nil"/>
              <w:bottom w:val="nil"/>
              <w:right w:val="nil"/>
            </w:tcBorders>
            <w:shd w:val="clear" w:color="auto" w:fill="auto"/>
            <w:noWrap/>
            <w:vAlign w:val="bottom"/>
            <w:hideMark/>
          </w:tcPr>
          <w:p w14:paraId="2945D7FE" w14:textId="77777777" w:rsidR="00B3078E" w:rsidRPr="00FE148F" w:rsidRDefault="00B3078E" w:rsidP="00B3078E">
            <w:pPr>
              <w:spacing w:line="240" w:lineRule="auto"/>
              <w:jc w:val="center"/>
              <w:rPr>
                <w:rFonts w:cs="Times New Roman"/>
                <w:color w:val="000000"/>
              </w:rPr>
            </w:pPr>
            <w:r w:rsidRPr="00FE148F">
              <w:rPr>
                <w:rFonts w:cs="Times New Roman"/>
                <w:color w:val="000000"/>
              </w:rPr>
              <w:t>1066</w:t>
            </w:r>
          </w:p>
        </w:tc>
        <w:tc>
          <w:tcPr>
            <w:tcW w:w="1230" w:type="dxa"/>
            <w:gridSpan w:val="2"/>
            <w:tcBorders>
              <w:top w:val="nil"/>
              <w:left w:val="nil"/>
              <w:bottom w:val="nil"/>
              <w:right w:val="nil"/>
            </w:tcBorders>
            <w:shd w:val="clear" w:color="auto" w:fill="auto"/>
            <w:noWrap/>
            <w:vAlign w:val="bottom"/>
            <w:hideMark/>
          </w:tcPr>
          <w:p w14:paraId="777BEA96" w14:textId="77777777" w:rsidR="00B3078E" w:rsidRPr="00FE148F" w:rsidRDefault="00B3078E" w:rsidP="00B3078E">
            <w:pPr>
              <w:spacing w:line="240" w:lineRule="auto"/>
              <w:jc w:val="center"/>
              <w:rPr>
                <w:rFonts w:cs="Times New Roman"/>
                <w:i/>
                <w:iCs/>
                <w:color w:val="000000"/>
              </w:rPr>
            </w:pPr>
            <w:r w:rsidRPr="00FE148F">
              <w:rPr>
                <w:rFonts w:cs="Times New Roman"/>
                <w:i/>
                <w:iCs/>
                <w:color w:val="000000"/>
              </w:rPr>
              <w:t>&gt;0.05</w:t>
            </w:r>
          </w:p>
        </w:tc>
      </w:tr>
      <w:tr w:rsidR="00B3078E" w:rsidRPr="00FE148F" w14:paraId="15C44B8B" w14:textId="77777777" w:rsidTr="00B3078E">
        <w:trPr>
          <w:trHeight w:val="315"/>
        </w:trPr>
        <w:tc>
          <w:tcPr>
            <w:tcW w:w="1447" w:type="dxa"/>
            <w:tcBorders>
              <w:top w:val="nil"/>
              <w:left w:val="nil"/>
              <w:bottom w:val="nil"/>
              <w:right w:val="nil"/>
            </w:tcBorders>
            <w:shd w:val="clear" w:color="auto" w:fill="auto"/>
            <w:noWrap/>
            <w:vAlign w:val="bottom"/>
            <w:hideMark/>
          </w:tcPr>
          <w:p w14:paraId="1A3F8C5A" w14:textId="77777777" w:rsidR="00B3078E" w:rsidRPr="00FE148F" w:rsidRDefault="00B3078E" w:rsidP="00B3078E">
            <w:pPr>
              <w:spacing w:line="240" w:lineRule="auto"/>
              <w:jc w:val="center"/>
              <w:rPr>
                <w:rFonts w:cs="Times New Roman"/>
                <w:color w:val="000000"/>
              </w:rPr>
            </w:pPr>
            <w:r w:rsidRPr="00FE148F">
              <w:rPr>
                <w:rFonts w:cs="Times New Roman"/>
                <w:i/>
                <w:iCs/>
                <w:color w:val="000000"/>
              </w:rPr>
              <w:t>P</w:t>
            </w:r>
            <w:r w:rsidRPr="00FE148F">
              <w:rPr>
                <w:rFonts w:cs="Times New Roman"/>
                <w:color w:val="000000"/>
              </w:rPr>
              <w:t>-value</w:t>
            </w:r>
          </w:p>
        </w:tc>
        <w:tc>
          <w:tcPr>
            <w:tcW w:w="1163" w:type="dxa"/>
            <w:tcBorders>
              <w:top w:val="nil"/>
              <w:left w:val="nil"/>
              <w:bottom w:val="nil"/>
              <w:right w:val="nil"/>
            </w:tcBorders>
            <w:shd w:val="clear" w:color="auto" w:fill="auto"/>
            <w:noWrap/>
            <w:vAlign w:val="bottom"/>
            <w:hideMark/>
          </w:tcPr>
          <w:p w14:paraId="12F81564" w14:textId="77777777" w:rsidR="00B3078E" w:rsidRPr="00FE148F" w:rsidRDefault="00B3078E" w:rsidP="00B3078E">
            <w:pPr>
              <w:spacing w:line="240" w:lineRule="auto"/>
              <w:jc w:val="center"/>
              <w:rPr>
                <w:rFonts w:cs="Times New Roman"/>
                <w:i/>
                <w:iCs/>
                <w:color w:val="000000"/>
              </w:rPr>
            </w:pPr>
            <w:r w:rsidRPr="00FE148F">
              <w:rPr>
                <w:rFonts w:cs="Times New Roman"/>
                <w:i/>
                <w:iCs/>
                <w:color w:val="000000"/>
              </w:rPr>
              <w:t>&gt;0.05</w:t>
            </w:r>
          </w:p>
        </w:tc>
        <w:tc>
          <w:tcPr>
            <w:tcW w:w="1530" w:type="dxa"/>
            <w:tcBorders>
              <w:top w:val="nil"/>
              <w:left w:val="nil"/>
              <w:bottom w:val="nil"/>
              <w:right w:val="nil"/>
            </w:tcBorders>
            <w:shd w:val="clear" w:color="auto" w:fill="auto"/>
            <w:noWrap/>
            <w:vAlign w:val="bottom"/>
            <w:hideMark/>
          </w:tcPr>
          <w:p w14:paraId="525955C0" w14:textId="77777777" w:rsidR="00B3078E" w:rsidRPr="00FE148F" w:rsidRDefault="00B3078E" w:rsidP="00B3078E">
            <w:pPr>
              <w:spacing w:line="240" w:lineRule="auto"/>
              <w:jc w:val="center"/>
              <w:rPr>
                <w:rFonts w:cs="Times New Roman"/>
                <w:i/>
                <w:iCs/>
                <w:color w:val="000000"/>
              </w:rPr>
            </w:pPr>
            <w:r w:rsidRPr="00FE148F">
              <w:rPr>
                <w:rFonts w:cs="Times New Roman"/>
                <w:i/>
                <w:iCs/>
                <w:color w:val="000000"/>
              </w:rPr>
              <w:t>&gt;0.05</w:t>
            </w:r>
          </w:p>
        </w:tc>
        <w:tc>
          <w:tcPr>
            <w:tcW w:w="1260" w:type="dxa"/>
            <w:tcBorders>
              <w:top w:val="nil"/>
              <w:left w:val="nil"/>
              <w:bottom w:val="nil"/>
              <w:right w:val="nil"/>
            </w:tcBorders>
            <w:shd w:val="clear" w:color="auto" w:fill="auto"/>
            <w:noWrap/>
            <w:vAlign w:val="bottom"/>
            <w:hideMark/>
          </w:tcPr>
          <w:p w14:paraId="483B77F9" w14:textId="77777777" w:rsidR="00B3078E" w:rsidRPr="00FE148F" w:rsidRDefault="00B3078E" w:rsidP="00B3078E">
            <w:pPr>
              <w:spacing w:line="240" w:lineRule="auto"/>
              <w:jc w:val="center"/>
              <w:rPr>
                <w:rFonts w:cs="Times New Roman"/>
                <w:i/>
                <w:iCs/>
                <w:color w:val="000000"/>
              </w:rPr>
            </w:pPr>
            <w:r w:rsidRPr="00FE148F">
              <w:rPr>
                <w:rFonts w:cs="Times New Roman"/>
                <w:i/>
                <w:iCs/>
                <w:color w:val="000000"/>
              </w:rPr>
              <w:t>&gt;0.05</w:t>
            </w:r>
          </w:p>
        </w:tc>
        <w:tc>
          <w:tcPr>
            <w:tcW w:w="1350" w:type="dxa"/>
            <w:tcBorders>
              <w:top w:val="nil"/>
              <w:left w:val="nil"/>
              <w:bottom w:val="nil"/>
              <w:right w:val="nil"/>
            </w:tcBorders>
            <w:shd w:val="clear" w:color="auto" w:fill="auto"/>
            <w:noWrap/>
            <w:vAlign w:val="bottom"/>
            <w:hideMark/>
          </w:tcPr>
          <w:p w14:paraId="2C766167" w14:textId="77777777" w:rsidR="00B3078E" w:rsidRPr="00FE148F" w:rsidRDefault="00B3078E" w:rsidP="00B3078E">
            <w:pPr>
              <w:spacing w:line="240" w:lineRule="auto"/>
              <w:jc w:val="center"/>
              <w:rPr>
                <w:rFonts w:cs="Times New Roman"/>
                <w:i/>
                <w:iCs/>
                <w:color w:val="000000"/>
              </w:rPr>
            </w:pPr>
            <w:r w:rsidRPr="00FE148F">
              <w:rPr>
                <w:rFonts w:cs="Times New Roman"/>
                <w:i/>
                <w:iCs/>
                <w:color w:val="000000"/>
              </w:rPr>
              <w:t>&gt;0.05</w:t>
            </w:r>
          </w:p>
        </w:tc>
        <w:tc>
          <w:tcPr>
            <w:tcW w:w="276" w:type="dxa"/>
            <w:tcBorders>
              <w:top w:val="nil"/>
              <w:left w:val="nil"/>
              <w:bottom w:val="nil"/>
              <w:right w:val="nil"/>
            </w:tcBorders>
            <w:shd w:val="clear" w:color="auto" w:fill="auto"/>
            <w:noWrap/>
            <w:vAlign w:val="bottom"/>
            <w:hideMark/>
          </w:tcPr>
          <w:p w14:paraId="54836D01" w14:textId="77777777" w:rsidR="00B3078E" w:rsidRPr="00FE148F" w:rsidRDefault="00B3078E" w:rsidP="00B3078E">
            <w:pPr>
              <w:spacing w:line="240" w:lineRule="auto"/>
              <w:jc w:val="center"/>
              <w:rPr>
                <w:rFonts w:cs="Times New Roman"/>
                <w:i/>
                <w:iCs/>
                <w:color w:val="000000"/>
              </w:rPr>
            </w:pPr>
          </w:p>
        </w:tc>
        <w:tc>
          <w:tcPr>
            <w:tcW w:w="1109" w:type="dxa"/>
            <w:gridSpan w:val="2"/>
            <w:tcBorders>
              <w:top w:val="nil"/>
              <w:left w:val="nil"/>
              <w:bottom w:val="nil"/>
              <w:right w:val="nil"/>
            </w:tcBorders>
            <w:shd w:val="clear" w:color="auto" w:fill="auto"/>
            <w:noWrap/>
            <w:vAlign w:val="bottom"/>
            <w:hideMark/>
          </w:tcPr>
          <w:p w14:paraId="50F9AF3B" w14:textId="77777777" w:rsidR="00B3078E" w:rsidRPr="00FE148F" w:rsidRDefault="00B3078E" w:rsidP="00B3078E">
            <w:pPr>
              <w:spacing w:line="240" w:lineRule="auto"/>
              <w:rPr>
                <w:rFonts w:cs="Times New Roman"/>
                <w:sz w:val="20"/>
                <w:szCs w:val="20"/>
              </w:rPr>
            </w:pPr>
          </w:p>
        </w:tc>
      </w:tr>
      <w:tr w:rsidR="00B3078E" w:rsidRPr="00FE148F" w14:paraId="6A3DF53A" w14:textId="77777777" w:rsidTr="00B3078E">
        <w:trPr>
          <w:gridAfter w:val="1"/>
          <w:wAfter w:w="155" w:type="dxa"/>
          <w:trHeight w:val="315"/>
        </w:trPr>
        <w:tc>
          <w:tcPr>
            <w:tcW w:w="7980" w:type="dxa"/>
            <w:gridSpan w:val="7"/>
            <w:tcBorders>
              <w:top w:val="single" w:sz="4" w:space="0" w:color="auto"/>
              <w:left w:val="nil"/>
              <w:bottom w:val="nil"/>
              <w:right w:val="nil"/>
            </w:tcBorders>
            <w:shd w:val="clear" w:color="auto" w:fill="auto"/>
            <w:noWrap/>
            <w:vAlign w:val="center"/>
            <w:hideMark/>
          </w:tcPr>
          <w:p w14:paraId="2692D68F" w14:textId="77777777" w:rsidR="00B3078E" w:rsidRPr="00FE148F" w:rsidRDefault="00B3078E" w:rsidP="00B3078E">
            <w:pPr>
              <w:spacing w:line="240" w:lineRule="auto"/>
              <w:rPr>
                <w:rFonts w:cs="Times New Roman"/>
                <w:color w:val="000000"/>
              </w:rPr>
            </w:pPr>
            <w:r w:rsidRPr="00FE148F">
              <w:rPr>
                <w:rFonts w:cs="Times New Roman"/>
                <w:color w:val="000000"/>
              </w:rPr>
              <w:t xml:space="preserve">Means within a column differ each </w:t>
            </w:r>
            <w:r w:rsidRPr="00711096">
              <w:t>inoculation</w:t>
            </w:r>
            <w:r>
              <w:rPr>
                <w:b/>
                <w:bCs/>
                <w:i/>
                <w:iCs/>
              </w:rPr>
              <w:t xml:space="preserve"> </w:t>
            </w:r>
            <w:r w:rsidRPr="00FE148F">
              <w:rPr>
                <w:rFonts w:cs="Times New Roman"/>
                <w:color w:val="000000"/>
              </w:rPr>
              <w:t xml:space="preserve">into </w:t>
            </w:r>
            <w:r>
              <w:t xml:space="preserve">N strategies </w:t>
            </w:r>
            <w:r w:rsidRPr="00FE148F">
              <w:rPr>
                <w:rFonts w:cs="Times New Roman"/>
                <w:color w:val="000000"/>
              </w:rPr>
              <w:t>(</w:t>
            </w:r>
            <w:r>
              <w:rPr>
                <w:rFonts w:cs="Times New Roman"/>
                <w:i/>
                <w:iCs/>
                <w:color w:val="000000"/>
              </w:rPr>
              <w:t>P</w:t>
            </w:r>
            <w:r w:rsidRPr="00FE148F">
              <w:rPr>
                <w:rFonts w:cs="Times New Roman"/>
                <w:color w:val="000000"/>
              </w:rPr>
              <w:t xml:space="preserve"> &lt; .05). </w:t>
            </w:r>
          </w:p>
        </w:tc>
      </w:tr>
      <w:tr w:rsidR="00B3078E" w:rsidRPr="00FE148F" w14:paraId="1BB9D0A4" w14:textId="77777777" w:rsidTr="00B3078E">
        <w:trPr>
          <w:gridAfter w:val="1"/>
          <w:wAfter w:w="155" w:type="dxa"/>
          <w:trHeight w:val="315"/>
        </w:trPr>
        <w:tc>
          <w:tcPr>
            <w:tcW w:w="7980" w:type="dxa"/>
            <w:gridSpan w:val="7"/>
            <w:tcBorders>
              <w:top w:val="nil"/>
              <w:left w:val="nil"/>
              <w:bottom w:val="nil"/>
              <w:right w:val="nil"/>
            </w:tcBorders>
            <w:shd w:val="clear" w:color="auto" w:fill="auto"/>
            <w:noWrap/>
            <w:vAlign w:val="center"/>
            <w:hideMark/>
          </w:tcPr>
          <w:p w14:paraId="65F5A4A2" w14:textId="77777777" w:rsidR="00B3078E" w:rsidRPr="00FE148F" w:rsidRDefault="00B3078E" w:rsidP="00B3078E">
            <w:pPr>
              <w:spacing w:line="240" w:lineRule="auto"/>
              <w:rPr>
                <w:rFonts w:cs="Times New Roman"/>
                <w:color w:val="000000"/>
              </w:rPr>
            </w:pPr>
            <w:r w:rsidRPr="00FE148F">
              <w:rPr>
                <w:rFonts w:cs="Times New Roman"/>
                <w:color w:val="000000"/>
              </w:rPr>
              <w:t xml:space="preserve">Means within a row differ each </w:t>
            </w:r>
            <w:r>
              <w:t xml:space="preserve">N strategies </w:t>
            </w:r>
            <w:r w:rsidRPr="00FE148F">
              <w:rPr>
                <w:rFonts w:cs="Times New Roman"/>
                <w:color w:val="000000"/>
              </w:rPr>
              <w:t xml:space="preserve">into </w:t>
            </w:r>
            <w:r w:rsidRPr="00711096">
              <w:t>inoculation</w:t>
            </w:r>
            <w:r>
              <w:rPr>
                <w:b/>
                <w:bCs/>
                <w:i/>
                <w:iCs/>
              </w:rPr>
              <w:t xml:space="preserve"> </w:t>
            </w:r>
            <w:r w:rsidRPr="00FE148F">
              <w:rPr>
                <w:rFonts w:cs="Times New Roman"/>
                <w:color w:val="000000"/>
              </w:rPr>
              <w:t>(</w:t>
            </w:r>
            <w:r>
              <w:rPr>
                <w:rFonts w:cs="Times New Roman"/>
                <w:i/>
                <w:iCs/>
                <w:color w:val="000000"/>
              </w:rPr>
              <w:t>P</w:t>
            </w:r>
            <w:r w:rsidRPr="00FE148F">
              <w:rPr>
                <w:rFonts w:cs="Times New Roman"/>
                <w:color w:val="000000"/>
              </w:rPr>
              <w:t xml:space="preserve"> &lt; .05).</w:t>
            </w:r>
          </w:p>
        </w:tc>
      </w:tr>
      <w:tr w:rsidR="00B3078E" w:rsidRPr="00FE148F" w14:paraId="26B16211" w14:textId="77777777" w:rsidTr="00B3078E">
        <w:trPr>
          <w:gridAfter w:val="1"/>
          <w:wAfter w:w="155" w:type="dxa"/>
          <w:trHeight w:val="360"/>
        </w:trPr>
        <w:tc>
          <w:tcPr>
            <w:tcW w:w="7980" w:type="dxa"/>
            <w:gridSpan w:val="7"/>
            <w:tcBorders>
              <w:top w:val="nil"/>
              <w:left w:val="nil"/>
              <w:bottom w:val="nil"/>
              <w:right w:val="nil"/>
            </w:tcBorders>
            <w:shd w:val="clear" w:color="auto" w:fill="auto"/>
            <w:noWrap/>
            <w:vAlign w:val="center"/>
            <w:hideMark/>
          </w:tcPr>
          <w:p w14:paraId="4285EBBC" w14:textId="77777777" w:rsidR="00B3078E" w:rsidRPr="00FE148F" w:rsidRDefault="00B3078E" w:rsidP="00B3078E">
            <w:pPr>
              <w:spacing w:line="240" w:lineRule="auto"/>
              <w:rPr>
                <w:rFonts w:cs="Times New Roman"/>
                <w:color w:val="000000"/>
              </w:rPr>
            </w:pPr>
            <w:r>
              <w:rPr>
                <w:rFonts w:cs="Times New Roman"/>
                <w:color w:val="000000"/>
              </w:rPr>
              <w:t>SEM = 95.</w:t>
            </w:r>
          </w:p>
        </w:tc>
      </w:tr>
      <w:tr w:rsidR="00B3078E" w:rsidRPr="00FE148F" w14:paraId="299DD6D7" w14:textId="77777777" w:rsidTr="00B3078E">
        <w:trPr>
          <w:gridAfter w:val="1"/>
          <w:wAfter w:w="155" w:type="dxa"/>
          <w:trHeight w:val="315"/>
        </w:trPr>
        <w:tc>
          <w:tcPr>
            <w:tcW w:w="7980" w:type="dxa"/>
            <w:gridSpan w:val="7"/>
            <w:tcBorders>
              <w:top w:val="nil"/>
              <w:left w:val="nil"/>
              <w:bottom w:val="nil"/>
              <w:right w:val="nil"/>
            </w:tcBorders>
            <w:shd w:val="clear" w:color="auto" w:fill="auto"/>
            <w:vAlign w:val="center"/>
            <w:hideMark/>
          </w:tcPr>
          <w:p w14:paraId="7E0BE6B0" w14:textId="77777777" w:rsidR="00B3078E" w:rsidRPr="00FE148F" w:rsidRDefault="00B3078E" w:rsidP="00B3078E">
            <w:pPr>
              <w:spacing w:line="240" w:lineRule="auto"/>
              <w:rPr>
                <w:rFonts w:cs="Times New Roman"/>
                <w:i/>
                <w:iCs/>
                <w:color w:val="000000"/>
              </w:rPr>
            </w:pPr>
            <w:r w:rsidRPr="00FE148F">
              <w:rPr>
                <w:rFonts w:cs="Times New Roman"/>
                <w:i/>
                <w:iCs/>
                <w:color w:val="000000"/>
              </w:rPr>
              <w:t>Note</w:t>
            </w:r>
            <w:r w:rsidRPr="00FE148F">
              <w:rPr>
                <w:rFonts w:cs="Times New Roman"/>
                <w:color w:val="000000"/>
              </w:rPr>
              <w:t xml:space="preserve">: DH-44, </w:t>
            </w:r>
            <w:proofErr w:type="spellStart"/>
            <w:r w:rsidRPr="00FE148F">
              <w:rPr>
                <w:rFonts w:cs="Times New Roman"/>
                <w:i/>
                <w:iCs/>
                <w:color w:val="000000"/>
              </w:rPr>
              <w:t>Paenibacillus</w:t>
            </w:r>
            <w:proofErr w:type="spellEnd"/>
            <w:r w:rsidRPr="00FE148F">
              <w:rPr>
                <w:rFonts w:cs="Times New Roman"/>
                <w:i/>
                <w:iCs/>
                <w:color w:val="000000"/>
              </w:rPr>
              <w:t xml:space="preserve"> </w:t>
            </w:r>
            <w:proofErr w:type="spellStart"/>
            <w:r w:rsidRPr="00FE148F">
              <w:rPr>
                <w:rFonts w:cs="Times New Roman"/>
                <w:i/>
                <w:iCs/>
                <w:color w:val="000000"/>
              </w:rPr>
              <w:t>riograndensis</w:t>
            </w:r>
            <w:proofErr w:type="spellEnd"/>
            <w:r w:rsidRPr="00FE148F">
              <w:rPr>
                <w:rFonts w:cs="Times New Roman"/>
                <w:color w:val="000000"/>
              </w:rPr>
              <w:t xml:space="preserve">; C-PGPB, </w:t>
            </w:r>
            <w:proofErr w:type="spellStart"/>
            <w:r w:rsidRPr="00FE148F">
              <w:rPr>
                <w:rFonts w:cs="Times New Roman"/>
                <w:color w:val="000000"/>
              </w:rPr>
              <w:t>UrtrishaN</w:t>
            </w:r>
            <w:proofErr w:type="spellEnd"/>
            <w:r w:rsidRPr="00FE148F">
              <w:rPr>
                <w:rFonts w:cs="Times New Roman"/>
                <w:color w:val="000000"/>
              </w:rPr>
              <w:t xml:space="preserve">; DH-267, </w:t>
            </w:r>
            <w:r w:rsidRPr="00FE148F">
              <w:rPr>
                <w:rFonts w:cs="Times New Roman"/>
                <w:i/>
                <w:iCs/>
                <w:color w:val="000000"/>
              </w:rPr>
              <w:t>Bacillus subtilis</w:t>
            </w:r>
            <w:r w:rsidRPr="00FE148F">
              <w:rPr>
                <w:rFonts w:cs="Times New Roman"/>
                <w:color w:val="000000"/>
              </w:rPr>
              <w:t>; No-PGPB, control.</w:t>
            </w:r>
          </w:p>
        </w:tc>
      </w:tr>
      <w:tr w:rsidR="00B3078E" w:rsidRPr="00FE148F" w14:paraId="04F67726" w14:textId="77777777" w:rsidTr="00B3078E">
        <w:trPr>
          <w:gridAfter w:val="1"/>
          <w:wAfter w:w="155" w:type="dxa"/>
          <w:trHeight w:val="315"/>
        </w:trPr>
        <w:tc>
          <w:tcPr>
            <w:tcW w:w="7980" w:type="dxa"/>
            <w:gridSpan w:val="7"/>
            <w:tcBorders>
              <w:top w:val="nil"/>
              <w:left w:val="nil"/>
              <w:bottom w:val="nil"/>
              <w:right w:val="nil"/>
            </w:tcBorders>
            <w:shd w:val="clear" w:color="auto" w:fill="auto"/>
            <w:noWrap/>
            <w:vAlign w:val="bottom"/>
            <w:hideMark/>
          </w:tcPr>
          <w:p w14:paraId="2747B4F9" w14:textId="77777777" w:rsidR="00B3078E" w:rsidRPr="00FE148F" w:rsidRDefault="00B3078E" w:rsidP="00B3078E">
            <w:pPr>
              <w:spacing w:line="240" w:lineRule="auto"/>
              <w:rPr>
                <w:rFonts w:cs="Times New Roman"/>
                <w:i/>
                <w:iCs/>
                <w:color w:val="000000"/>
              </w:rPr>
            </w:pPr>
            <w:r w:rsidRPr="00FE148F">
              <w:rPr>
                <w:rFonts w:cs="Times New Roman"/>
                <w:i/>
                <w:iCs/>
                <w:color w:val="000000"/>
              </w:rPr>
              <w:t>Note</w:t>
            </w:r>
            <w:r w:rsidRPr="00FE148F">
              <w:rPr>
                <w:rFonts w:cs="Times New Roman"/>
                <w:color w:val="000000"/>
              </w:rPr>
              <w:t>: U, urea; A, ammonium sulfate.</w:t>
            </w:r>
          </w:p>
        </w:tc>
      </w:tr>
    </w:tbl>
    <w:p w14:paraId="477673F5" w14:textId="77777777" w:rsidR="00767A67" w:rsidRDefault="00767A67" w:rsidP="00767A67">
      <w:pPr>
        <w:spacing w:line="240" w:lineRule="auto"/>
        <w:rPr>
          <w:rFonts w:cs="Times New Roman"/>
        </w:rPr>
      </w:pPr>
      <w:r>
        <w:rPr>
          <w:rFonts w:cs="Times New Roman"/>
        </w:rPr>
        <w:br w:type="page"/>
      </w:r>
    </w:p>
    <w:p w14:paraId="07FA9811" w14:textId="5648DE90" w:rsidR="00761497" w:rsidRDefault="00761497" w:rsidP="00761497">
      <w:pPr>
        <w:spacing w:line="480" w:lineRule="auto"/>
        <w:ind w:firstLine="720"/>
        <w:rPr>
          <w:rFonts w:cs="Times New Roman"/>
        </w:rPr>
      </w:pPr>
      <w:r w:rsidRPr="00037ACB">
        <w:rPr>
          <w:rFonts w:cs="Times New Roman"/>
        </w:rPr>
        <w:lastRenderedPageBreak/>
        <w:t>Tilak et al</w:t>
      </w:r>
      <w:r>
        <w:rPr>
          <w:rFonts w:cs="Times New Roman"/>
        </w:rPr>
        <w:t>.</w:t>
      </w:r>
      <w:r w:rsidRPr="00037ACB">
        <w:rPr>
          <w:rFonts w:cs="Times New Roman"/>
        </w:rPr>
        <w:t xml:space="preserve"> </w:t>
      </w:r>
      <w:r>
        <w:rPr>
          <w:rFonts w:cs="Times New Roman"/>
        </w:rPr>
        <w:t>(</w:t>
      </w:r>
      <w:r w:rsidRPr="00037ACB">
        <w:rPr>
          <w:rFonts w:cs="Times New Roman"/>
        </w:rPr>
        <w:t>2006</w:t>
      </w:r>
      <w:r>
        <w:rPr>
          <w:rFonts w:cs="Times New Roman"/>
        </w:rPr>
        <w:t xml:space="preserve">) emphasized the importance of the specific interaction between bacterial strains and host plants, noting that such relationships can be either enhanced or limited depending on environmental conditions. </w:t>
      </w:r>
    </w:p>
    <w:p w14:paraId="4577749E" w14:textId="79D22265" w:rsidR="00761497" w:rsidRDefault="00761497" w:rsidP="00761497">
      <w:pPr>
        <w:spacing w:line="480" w:lineRule="auto"/>
        <w:ind w:firstLine="720"/>
        <w:rPr>
          <w:rFonts w:cs="Times New Roman"/>
        </w:rPr>
      </w:pPr>
      <w:r>
        <w:rPr>
          <w:rFonts w:cs="Times New Roman"/>
        </w:rPr>
        <w:fldChar w:fldCharType="begin"/>
      </w:r>
      <w:r>
        <w:rPr>
          <w:rFonts w:cs="Times New Roman"/>
        </w:rPr>
        <w:instrText xml:space="preserve"> ADDIN ZOTERO_ITEM CSL_CITATION {"citationID":"EfM61ujB","properties":{"formattedCitation":"(Griffin et al., 2020)","plainCitation":"(Griffin et al., 2020)","dontUpdate":true,"noteIndex":0},"citationItems":[{"id":57,"uris":["http://zotero.org/users/local/kjHHoAYm/items/7XHTHTZX"],"itemData":{"id":57,"type":"article-journal","abstract":"Abstract\n            \n              A two‐year, small‐plot study was conducted to evaluate plant growth‐promoting rhizobacteria (PGPR) for biofertilization of fall‐stockpiled bermudagrass [\n              Cynodon dactylon\n              (L.) Pres.]. Eighteen, 10.8‐ft\n              2\n              bermudagrass (cultivar ‘Coastal’) plots were mowed to 1‐inch stubble height prior to stockpiling. Experimental treatments included a negative control, synthetic fertilizer, PGPR single‐strain DH 44, DH 44 + fertilizer, PGPR multiple‐strain Blend 20, and Blend 20 + fertilizer (n = 3). Two PGPR applications were made, one at the beginning of each stockpiling season in mid‐August, and again 30 days later. Ammonium sulfate was applied at 50 lb N/acre concurrent with the first PGPR application. Each plot was divided into three subplots, which were harvested at different periods (i.e., mid‐November, mid‐December, and mid‐January) of each year to determine forage dry matter (DM) yield and nutritive value. Forage DM yield was greatest (\n              P\n               ≤ .03) for Blend 20 + fertilizer, but it was not different (\n              P\n               = .26) from that of the synthetic fertilizer treatment. Concentration of crude protein was least (\n              P\n               &lt; .04) for DH 44 and Blend 20 treatments. Concentrations of acid detergent fiber were not different among treatments, except for the negative control which was lower (\n              P\n               &lt; .05). In vitro true digestibility was not different (\n              P\n               &lt; .05) among treatments. These results indicate that PGPR may be a viable option for biofertilization; however, further investigation into the effect of PGPR inoculants at field level is needed.","container-title":"Crop, Forage &amp; Turfgrass Management","DOI":"10.1002/cft2.20028","ISSN":"2374-3832, 2374-3832","issue":"1","journalAbbreviation":"Crop Forage &amp;amp; Turfgrass Mgmt","language":"en","page":"e20028","source":"DOI.org (Crossref)","title":"Evaluation of plant growth‐promoting rhizobacteria on stockpiled bermudagrass","volume":"6","author":[{"family":"Griffin","given":"Megan E."},{"family":"Muntifering","given":"Russell B."},{"family":"Mullenix","given":"Mary K."},{"family":"Held","given":"David W."},{"family":"Dillard","given":"Sandra L."}],"issued":{"date-parts":[["2020",1]]}}}],"schema":"https://github.com/citation-style-language/schema/raw/master/csl-citation.json"} </w:instrText>
      </w:r>
      <w:r>
        <w:rPr>
          <w:rFonts w:cs="Times New Roman"/>
        </w:rPr>
        <w:fldChar w:fldCharType="separate"/>
      </w:r>
      <w:r w:rsidRPr="00AB5CF2">
        <w:rPr>
          <w:rFonts w:cs="Times New Roman"/>
        </w:rPr>
        <w:t xml:space="preserve">Griffin et al. </w:t>
      </w:r>
      <w:r>
        <w:rPr>
          <w:rFonts w:cs="Times New Roman"/>
        </w:rPr>
        <w:t>(</w:t>
      </w:r>
      <w:r w:rsidRPr="00AB5CF2">
        <w:rPr>
          <w:rFonts w:cs="Times New Roman"/>
        </w:rPr>
        <w:t>2020)</w:t>
      </w:r>
      <w:r>
        <w:rPr>
          <w:rFonts w:cs="Times New Roman"/>
        </w:rPr>
        <w:fldChar w:fldCharType="end"/>
      </w:r>
      <w:r>
        <w:rPr>
          <w:rFonts w:cs="Times New Roman"/>
        </w:rPr>
        <w:t xml:space="preserve"> described the strain DH-44 as being isolated from the rhizosphere of bermudagrass in Auburn, AL, suggesting that the geographic origin and host plant variety from which the microorganism is isolated may influence the overall inoculation response. </w:t>
      </w:r>
    </w:p>
    <w:p w14:paraId="2E83A09B" w14:textId="5D873E3D" w:rsidR="00D36772" w:rsidRDefault="00782D56" w:rsidP="00D36772">
      <w:pPr>
        <w:spacing w:line="480" w:lineRule="auto"/>
        <w:ind w:firstLine="720"/>
        <w:rPr>
          <w:rFonts w:cs="Times New Roman"/>
        </w:rPr>
      </w:pPr>
      <w:r>
        <w:rPr>
          <w:rFonts w:cs="Times New Roman"/>
        </w:rPr>
        <w:t xml:space="preserve">Similar </w:t>
      </w:r>
      <w:r w:rsidR="00FA2EAD">
        <w:rPr>
          <w:rFonts w:cs="Times New Roman"/>
        </w:rPr>
        <w:t xml:space="preserve">average </w:t>
      </w:r>
      <w:r>
        <w:rPr>
          <w:rFonts w:cs="Times New Roman"/>
        </w:rPr>
        <w:t>FM v</w:t>
      </w:r>
      <w:r w:rsidR="00D36772">
        <w:rPr>
          <w:rFonts w:cs="Times New Roman"/>
        </w:rPr>
        <w:t xml:space="preserve">alues </w:t>
      </w:r>
      <w:r w:rsidR="00FA2EAD">
        <w:rPr>
          <w:rFonts w:cs="Times New Roman"/>
        </w:rPr>
        <w:t xml:space="preserve">have been </w:t>
      </w:r>
      <w:r>
        <w:rPr>
          <w:rFonts w:cs="Times New Roman"/>
        </w:rPr>
        <w:t xml:space="preserve">reported </w:t>
      </w:r>
      <w:r w:rsidR="00FA2EAD">
        <w:rPr>
          <w:rFonts w:cs="Times New Roman"/>
        </w:rPr>
        <w:t xml:space="preserve">in previous studies. </w:t>
      </w:r>
      <w:r w:rsidR="00882E08">
        <w:rPr>
          <w:rFonts w:cs="Times New Roman"/>
        </w:rPr>
        <w:fldChar w:fldCharType="begin"/>
      </w:r>
      <w:r w:rsidR="001631AD">
        <w:rPr>
          <w:rFonts w:cs="Times New Roman"/>
        </w:rPr>
        <w:instrText xml:space="preserve"> ADDIN ZOTERO_ITEM CSL_CITATION {"citationID":"unlGYjRV","properties":{"formattedCitation":"(Hendricks et al., 2020)","plainCitation":"(Hendricks et al., 2020)","dontUpdate":true,"noteIndex":0},"citationItems":[{"id":66,"uris":["http://zotero.org/users/local/kjHHoAYm/items/8RTECHGY"],"itemData":{"id":66,"type":"article-journal","abstract":"Abstract\n            \n              Interseeding alfalfa (\n              Medicago sativa\n              L.) into bermudagrass [\n              Cynodon dactylon\n              (L.) Pers.] can be an effective way to improve forage quality and reduce the need for additional supplementation when fed to livestock. The objective of this research was to compare the nutritive value and forage mass of bermudagrass with and without interseeded alfalfa when harvested as baleage. On 19 Feb. 2016, 0.2‐ha plots were assigned in a randomized complete block design to either ‘Tifton 85’ (T85) or T85 interseeded with ‘Bulldog 805’ alfalfa (T85+Alf) in an established field of Tifton 85 bermudagrass at the University of Georgia Tifton Campus, Tifton, GA. The T85 received 84 kg N ha\n              −1\n              four times throughout the growing season. Plots were harvested at early bloom stage every 28–35 d throughout the growing season, baled at 40–60% moisture, and individually wrapped. At each harvest, plots were evaluated for botanical composition and forage mass, and bales were sampled prior to wrapping for nutritive value analysis. The T85+Alf plots produced additional harvests each season, leading to greater herbage accumulation than T85 plots (\n              P &lt;\n               .01). The T85+Alf treatment had greater crude protein and total digestible nutrients than T85 in each of the 3 yr, suggesting this mixture will need no or less supplementation to meet the nutritional requirements of a lactating beef cow. Therefore, interseeding alfalfa into a bermudagrass system improves forage mass and nutritive value.","container-title":"Crop Science","DOI":"10.1002/csc2.20222","ISSN":"0011-183X, 1435-0653","issue":"5","journalAbbreviation":"Crop Science","language":"en","page":"2792-2801","source":"DOI.org (Crossref)","title":"Forage accumulation and nutritive value of bermudagrass and alfalfa–bermudagrass mixtures when harvested for baleage","volume":"60","author":[{"family":"Hendricks","given":"Taylor J."},{"family":"Tucker","given":"Jennifer J."},{"family":"Hancock","given":"Dennis W."},{"family":"Mullenix","given":"M. Kimberly"},{"family":"Baxter","given":"Lisa L."},{"family":"Stewart","given":"Robert L."},{"family":"Segers","given":"Jacob R."},{"family":"Bernard","given":"John K."}],"issued":{"date-parts":[["2020",9]]}}}],"schema":"https://github.com/citation-style-language/schema/raw/master/csl-citation.json"} </w:instrText>
      </w:r>
      <w:r w:rsidR="00882E08">
        <w:rPr>
          <w:rFonts w:cs="Times New Roman"/>
        </w:rPr>
        <w:fldChar w:fldCharType="separate"/>
      </w:r>
      <w:r w:rsidR="00882E08" w:rsidRPr="00882E08">
        <w:rPr>
          <w:rFonts w:cs="Times New Roman"/>
        </w:rPr>
        <w:t xml:space="preserve">Hendricks et al. </w:t>
      </w:r>
      <w:r w:rsidR="00882E08">
        <w:rPr>
          <w:rFonts w:cs="Times New Roman"/>
        </w:rPr>
        <w:t>(</w:t>
      </w:r>
      <w:r w:rsidR="00882E08" w:rsidRPr="00882E08">
        <w:rPr>
          <w:rFonts w:cs="Times New Roman"/>
        </w:rPr>
        <w:t>2020)</w:t>
      </w:r>
      <w:r w:rsidR="00882E08">
        <w:rPr>
          <w:rFonts w:cs="Times New Roman"/>
        </w:rPr>
        <w:fldChar w:fldCharType="end"/>
      </w:r>
      <w:r w:rsidR="00882E08">
        <w:rPr>
          <w:rFonts w:cs="Times New Roman"/>
        </w:rPr>
        <w:t xml:space="preserve"> </w:t>
      </w:r>
      <w:r w:rsidR="00FA2EAD">
        <w:rPr>
          <w:rFonts w:cs="Times New Roman"/>
        </w:rPr>
        <w:t>documented a total FM of 7,877 kg DM ha</w:t>
      </w:r>
      <w:r w:rsidR="00FA2EAD" w:rsidRPr="009A57A5">
        <w:rPr>
          <w:rFonts w:cs="Times New Roman"/>
          <w:vertAlign w:val="superscript"/>
        </w:rPr>
        <w:t>-1</w:t>
      </w:r>
      <w:r w:rsidR="00FA2EAD">
        <w:rPr>
          <w:rFonts w:cs="Times New Roman"/>
          <w:vertAlign w:val="superscript"/>
        </w:rPr>
        <w:t xml:space="preserve"> </w:t>
      </w:r>
      <w:r w:rsidR="00882E08">
        <w:rPr>
          <w:rFonts w:cs="Times New Roman"/>
        </w:rPr>
        <w:t xml:space="preserve">for </w:t>
      </w:r>
      <w:r>
        <w:rPr>
          <w:rFonts w:cs="Times New Roman"/>
        </w:rPr>
        <w:t xml:space="preserve">Tifton 85 </w:t>
      </w:r>
      <w:r w:rsidR="00882E08">
        <w:rPr>
          <w:rFonts w:cs="Times New Roman"/>
        </w:rPr>
        <w:t>bermudagrass monoculture in 2018</w:t>
      </w:r>
      <w:r>
        <w:rPr>
          <w:rFonts w:cs="Times New Roman"/>
        </w:rPr>
        <w:t>.</w:t>
      </w:r>
      <w:r w:rsidR="00882E08">
        <w:rPr>
          <w:rFonts w:cs="Times New Roman"/>
        </w:rPr>
        <w:t xml:space="preserve"> </w:t>
      </w:r>
      <w:r>
        <w:rPr>
          <w:rFonts w:cs="Times New Roman"/>
        </w:rPr>
        <w:t>I</w:t>
      </w:r>
      <w:r w:rsidR="001631AD">
        <w:rPr>
          <w:rFonts w:cs="Times New Roman"/>
        </w:rPr>
        <w:t>n Crossville</w:t>
      </w:r>
      <w:r>
        <w:rPr>
          <w:rFonts w:cs="Times New Roman"/>
        </w:rPr>
        <w:t xml:space="preserve">, </w:t>
      </w:r>
      <w:r w:rsidR="001631AD">
        <w:rPr>
          <w:rFonts w:cs="Times New Roman"/>
        </w:rPr>
        <w:t>TN</w:t>
      </w:r>
      <w:r>
        <w:rPr>
          <w:rFonts w:cs="Times New Roman"/>
        </w:rPr>
        <w:t xml:space="preserve">, </w:t>
      </w:r>
      <w:r>
        <w:rPr>
          <w:rFonts w:cs="Times New Roman"/>
        </w:rPr>
        <w:fldChar w:fldCharType="begin"/>
      </w:r>
      <w:r>
        <w:rPr>
          <w:rFonts w:cs="Times New Roman"/>
        </w:rPr>
        <w:instrText xml:space="preserve"> ADDIN ZOTERO_ITEM CSL_CITATION {"citationID":"DupJteLS","properties":{"formattedCitation":"(Corbin et al., 2019)","plainCitation":"(Corbin et al., 2019)","dontUpdate":true,"noteIndex":0},"citationItems":[{"id":68,"uris":["http://zotero.org/users/local/kjHHoAYm/items/W8IAE4MX"],"itemData":{"id":68,"type":"article-journal","abstract":"Core Ideas\n              \n                \n                  \n                    Comparing sources of N applied to grasses can help lead to decisions N application.\n                  \n                  \n                    This information assists southeastern producers with guidelines on N fertilization.\n                  \n                  \n                    With conventional N fertilizer increasing prices, it is important to explore different alternatives.\n                  \n                \n              \n            \n            \n              \n              \n                Alternatives to conventional N fertilization on tall fescue [\n                Schedonorus arundinaceus\n                (Schreb.) Dumort., nom. cons. cv. Kentucky‐31] and bermudagrass [\n                Cynadon dactylon\n                (L.) Pers. cv. Vaughn’s #1] were studied at the University of Tennessee Plateau Research and Education Center in Crossville, TN. The experimental period occurred from April to September 2016 and 2017, and the experimental design for each experiment was a completely randomized block design with six treatments and four replications (\n                n\n                = 24). For both species, treatments were: control (CN) without N fertilization; grass and white clover (WC) [\n                Trifolium repens\n                (L.) cv. Ladino‐Will]; grass and red clover (RC) [\n                Trifolium pretense\n                (L.) cv. Cinnamon Plus]; grass and cowpea (CW) [\n                Vigna unguiculata\n                (L.) cv. ‘Iron &amp; Clay’]; broiler litter (BL); and ammonium nitrate (AN). Legume percentage of CW in tall fescue was comparable to RC in tall fescue (\n                P\n                = 0.646) in 2016 but differed in 2017 (\n                P\n                = 0.0002). Also in tall fescue, RC treatments resulted in the greatest total herbage mass (HM) in 2017, which was 1986 kg ha\n                −1\n                more than other treatments. In 2017, RC and WC treatments in tall fescue were greater in (ADF) for most of the growing season. For bermudagrass, RC treatments resulted in the greatest HM in 2016, with 4526 kg ha\n                −1\n                more than other treatments, and in 2017 with 4289 kg ha\n                −1\n                more than other treatments. Treatments containing a single application of BL or AN in spring each year showed no differences for total HM and crude protein (CP) in both species.","container-title":"Agronomy Journal","DOI":"10.2134/agronj2018.03.0190","ISSN":"0002-1962, 1435-0645","issue":"1","journalAbbreviation":"Agronomy Journal","language":"en","page":"275-286","source":"DOI.org (Crossref)","title":"Alternatives to Conventional Nitrogen Fertilization on Tall Fescue and Bermudagrass","volume":"111","author":[{"family":"Corbin","given":"M. D."},{"family":"Nave","given":"R. L. G."},{"family":"Bates","given":"G. E."},{"family":"Butler","given":"D. M."},{"family":"Hawkins","given":"S. A."}],"issued":{"date-parts":[["2019",1]]}}}],"schema":"https://github.com/citation-style-language/schema/raw/master/csl-citation.json"} </w:instrText>
      </w:r>
      <w:r>
        <w:rPr>
          <w:rFonts w:cs="Times New Roman"/>
        </w:rPr>
        <w:fldChar w:fldCharType="separate"/>
      </w:r>
      <w:r w:rsidRPr="001631AD">
        <w:rPr>
          <w:rFonts w:cs="Times New Roman"/>
        </w:rPr>
        <w:t xml:space="preserve">Corbin et al. </w:t>
      </w:r>
      <w:r>
        <w:rPr>
          <w:rFonts w:cs="Times New Roman"/>
        </w:rPr>
        <w:t>(</w:t>
      </w:r>
      <w:r w:rsidRPr="001631AD">
        <w:rPr>
          <w:rFonts w:cs="Times New Roman"/>
        </w:rPr>
        <w:t>2019)</w:t>
      </w:r>
      <w:r>
        <w:rPr>
          <w:rFonts w:cs="Times New Roman"/>
        </w:rPr>
        <w:fldChar w:fldCharType="end"/>
      </w:r>
      <w:r>
        <w:rPr>
          <w:rFonts w:cs="Times New Roman"/>
        </w:rPr>
        <w:t xml:space="preserve"> reported</w:t>
      </w:r>
      <w:r w:rsidR="001631AD">
        <w:rPr>
          <w:rFonts w:cs="Times New Roman"/>
        </w:rPr>
        <w:t xml:space="preserve"> </w:t>
      </w:r>
      <w:r>
        <w:rPr>
          <w:rFonts w:cs="Times New Roman"/>
        </w:rPr>
        <w:t>that</w:t>
      </w:r>
      <w:r w:rsidR="001631AD">
        <w:rPr>
          <w:rFonts w:cs="Times New Roman"/>
        </w:rPr>
        <w:t xml:space="preserve"> bermudagrass </w:t>
      </w:r>
      <w:r>
        <w:rPr>
          <w:rFonts w:cs="Times New Roman"/>
        </w:rPr>
        <w:t>fertilized with 67 kg N ha</w:t>
      </w:r>
      <w:r w:rsidRPr="001631AD">
        <w:rPr>
          <w:rFonts w:cs="Times New Roman"/>
          <w:vertAlign w:val="superscript"/>
        </w:rPr>
        <w:t>-</w:t>
      </w:r>
      <w:r>
        <w:rPr>
          <w:rFonts w:cs="Times New Roman"/>
          <w:vertAlign w:val="superscript"/>
        </w:rPr>
        <w:t>1</w:t>
      </w:r>
      <w:r>
        <w:rPr>
          <w:rFonts w:cs="Times New Roman"/>
        </w:rPr>
        <w:t xml:space="preserve"> </w:t>
      </w:r>
      <w:r w:rsidR="009A57A5">
        <w:rPr>
          <w:rFonts w:cs="Times New Roman"/>
        </w:rPr>
        <w:t>produced</w:t>
      </w:r>
      <w:r>
        <w:rPr>
          <w:rFonts w:cs="Times New Roman"/>
        </w:rPr>
        <w:t xml:space="preserve"> an average of </w:t>
      </w:r>
      <w:r w:rsidR="001631AD">
        <w:rPr>
          <w:rFonts w:cs="Times New Roman"/>
        </w:rPr>
        <w:t xml:space="preserve"> </w:t>
      </w:r>
      <w:r w:rsidR="00655D47">
        <w:rPr>
          <w:rFonts w:cs="Times New Roman"/>
        </w:rPr>
        <w:t>885 kg DM  ha</w:t>
      </w:r>
      <w:r w:rsidR="00655D47" w:rsidRPr="00655D47">
        <w:rPr>
          <w:rFonts w:cs="Times New Roman"/>
          <w:vertAlign w:val="superscript"/>
        </w:rPr>
        <w:t>-1</w:t>
      </w:r>
      <w:r>
        <w:rPr>
          <w:rFonts w:cs="Times New Roman"/>
        </w:rPr>
        <w:t>in 2016, with individual harvests ranging from 324 to 2153</w:t>
      </w:r>
      <w:r w:rsidR="00655D47">
        <w:rPr>
          <w:rFonts w:cs="Times New Roman"/>
        </w:rPr>
        <w:t xml:space="preserve"> </w:t>
      </w:r>
      <w:r>
        <w:rPr>
          <w:rFonts w:cs="Times New Roman"/>
        </w:rPr>
        <w:t>kg DM  ha</w:t>
      </w:r>
      <w:r w:rsidRPr="00655D47">
        <w:rPr>
          <w:rFonts w:cs="Times New Roman"/>
          <w:vertAlign w:val="superscript"/>
        </w:rPr>
        <w:t>-1</w:t>
      </w:r>
      <w:r>
        <w:rPr>
          <w:rFonts w:cs="Times New Roman"/>
        </w:rPr>
        <w:t xml:space="preserve">. In </w:t>
      </w:r>
      <w:r w:rsidR="00FA2EAD">
        <w:rPr>
          <w:rFonts w:cs="Times New Roman"/>
        </w:rPr>
        <w:t xml:space="preserve">our </w:t>
      </w:r>
      <w:r>
        <w:rPr>
          <w:rFonts w:cs="Times New Roman"/>
        </w:rPr>
        <w:t xml:space="preserve">study, </w:t>
      </w:r>
      <w:r w:rsidR="00FA2EAD">
        <w:rPr>
          <w:rFonts w:cs="Times New Roman"/>
        </w:rPr>
        <w:t xml:space="preserve">average </w:t>
      </w:r>
      <w:r>
        <w:rPr>
          <w:rFonts w:cs="Times New Roman"/>
        </w:rPr>
        <w:t xml:space="preserve">FM ranged from </w:t>
      </w:r>
      <w:r w:rsidR="00655D47">
        <w:rPr>
          <w:rFonts w:cs="Times New Roman"/>
        </w:rPr>
        <w:t xml:space="preserve">1901 to 2043 kg DM </w:t>
      </w:r>
      <w:r w:rsidR="00FA06E8">
        <w:rPr>
          <w:rFonts w:cs="Times New Roman"/>
        </w:rPr>
        <w:t>ha</w:t>
      </w:r>
      <w:r w:rsidR="00FA06E8" w:rsidRPr="00FA06E8">
        <w:rPr>
          <w:rFonts w:cs="Times New Roman"/>
          <w:vertAlign w:val="superscript"/>
        </w:rPr>
        <w:t>-1</w:t>
      </w:r>
      <w:r w:rsidR="00655D47">
        <w:rPr>
          <w:rFonts w:cs="Times New Roman"/>
        </w:rPr>
        <w:t xml:space="preserve"> (</w:t>
      </w:r>
      <w:r w:rsidR="00655D47" w:rsidRPr="00A87B24">
        <w:rPr>
          <w:rFonts w:cs="Times New Roman"/>
          <w:b/>
          <w:bCs/>
        </w:rPr>
        <w:t>Table 2.1</w:t>
      </w:r>
      <w:r w:rsidR="00655D47">
        <w:rPr>
          <w:rFonts w:cs="Times New Roman"/>
        </w:rPr>
        <w:t>)</w:t>
      </w:r>
      <w:r w:rsidR="00FA06E8">
        <w:rPr>
          <w:rFonts w:cs="Times New Roman"/>
        </w:rPr>
        <w:t>.</w:t>
      </w:r>
    </w:p>
    <w:p w14:paraId="79CE3B30" w14:textId="4435CE77" w:rsidR="005558DE" w:rsidRDefault="005558DE" w:rsidP="00767A67">
      <w:pPr>
        <w:spacing w:line="480" w:lineRule="auto"/>
        <w:ind w:firstLine="720"/>
        <w:rPr>
          <w:rFonts w:cs="Times New Roman"/>
        </w:rPr>
      </w:pPr>
      <w:r>
        <w:rPr>
          <w:rFonts w:cs="Times New Roman"/>
        </w:rPr>
        <w:t>The FM recorded using the rising plate meter (RPM)</w:t>
      </w:r>
      <w:r w:rsidRPr="005E2BFA">
        <w:rPr>
          <w:rFonts w:cs="Times New Roman"/>
        </w:rPr>
        <w:t xml:space="preserve"> w</w:t>
      </w:r>
      <w:r>
        <w:rPr>
          <w:rFonts w:cs="Times New Roman"/>
        </w:rPr>
        <w:t>as not</w:t>
      </w:r>
      <w:r w:rsidRPr="005E2BFA">
        <w:rPr>
          <w:rFonts w:cs="Times New Roman"/>
        </w:rPr>
        <w:t xml:space="preserve"> affected by </w:t>
      </w:r>
      <w:r>
        <w:rPr>
          <w:rFonts w:cs="Times New Roman"/>
        </w:rPr>
        <w:t xml:space="preserve">the interaction between inoculation </w:t>
      </w:r>
      <w:r w:rsidRPr="005E2BFA">
        <w:rPr>
          <w:rFonts w:cs="Times New Roman"/>
        </w:rPr>
        <w:t xml:space="preserve">× </w:t>
      </w:r>
      <w:r>
        <w:t>N strategies</w:t>
      </w:r>
      <w:r w:rsidRPr="005E2BFA">
        <w:rPr>
          <w:rFonts w:cs="Times New Roman"/>
        </w:rPr>
        <w:t xml:space="preserve"> (</w:t>
      </w:r>
      <w:r w:rsidRPr="006A72CB">
        <w:rPr>
          <w:rFonts w:cs="Times New Roman"/>
          <w:i/>
          <w:iCs/>
        </w:rPr>
        <w:t>P</w:t>
      </w:r>
      <w:r w:rsidRPr="005E2BFA">
        <w:rPr>
          <w:rFonts w:cs="Times New Roman"/>
        </w:rPr>
        <w:t xml:space="preserve"> = .</w:t>
      </w:r>
      <w:r>
        <w:rPr>
          <w:rFonts w:cs="Times New Roman"/>
        </w:rPr>
        <w:t>3946</w:t>
      </w:r>
      <w:r w:rsidRPr="005E2BFA">
        <w:rPr>
          <w:rFonts w:cs="Times New Roman"/>
        </w:rPr>
        <w:t>)</w:t>
      </w:r>
      <w:r>
        <w:rPr>
          <w:rFonts w:cs="Times New Roman"/>
        </w:rPr>
        <w:t xml:space="preserve"> (</w:t>
      </w:r>
      <w:r w:rsidRPr="0041192A">
        <w:rPr>
          <w:rFonts w:cs="Times New Roman"/>
          <w:b/>
          <w:bCs/>
        </w:rPr>
        <w:t>Table 2.</w:t>
      </w:r>
      <w:r w:rsidR="00F03F76">
        <w:rPr>
          <w:rFonts w:cs="Times New Roman"/>
          <w:b/>
          <w:bCs/>
        </w:rPr>
        <w:t>3</w:t>
      </w:r>
      <w:r>
        <w:rPr>
          <w:rFonts w:cs="Times New Roman"/>
        </w:rPr>
        <w:t>)</w:t>
      </w:r>
      <w:r w:rsidRPr="005E2BFA">
        <w:rPr>
          <w:rFonts w:cs="Times New Roman"/>
        </w:rPr>
        <w:t xml:space="preserve">. </w:t>
      </w:r>
      <w:r>
        <w:rPr>
          <w:rFonts w:cs="Times New Roman"/>
        </w:rPr>
        <w:t xml:space="preserve">However, there was a </w:t>
      </w:r>
      <w:r w:rsidR="00F03F76" w:rsidRPr="00F03F76">
        <w:t xml:space="preserve">N strategy × year interaction </w:t>
      </w:r>
      <w:r w:rsidR="00F03F76">
        <w:rPr>
          <w:rFonts w:cs="Times New Roman"/>
        </w:rPr>
        <w:t>(</w:t>
      </w:r>
      <w:r w:rsidRPr="006A72CB">
        <w:rPr>
          <w:rFonts w:cs="Times New Roman"/>
          <w:i/>
          <w:iCs/>
        </w:rPr>
        <w:t>P</w:t>
      </w:r>
      <w:r>
        <w:rPr>
          <w:rFonts w:cs="Times New Roman"/>
        </w:rPr>
        <w:t xml:space="preserve">&lt; 0.0001) where greater N strategies increased average FM production. The greatest FM value of </w:t>
      </w:r>
      <w:r w:rsidR="00F03F76">
        <w:rPr>
          <w:rFonts w:cs="Times New Roman"/>
        </w:rPr>
        <w:t>2606</w:t>
      </w:r>
      <w:r>
        <w:rPr>
          <w:rFonts w:cs="Times New Roman"/>
        </w:rPr>
        <w:t xml:space="preserve"> kg DM ha</w:t>
      </w:r>
      <w:r w:rsidRPr="002300C2">
        <w:rPr>
          <w:rFonts w:cs="Times New Roman"/>
          <w:vertAlign w:val="superscript"/>
        </w:rPr>
        <w:t>-1</w:t>
      </w:r>
      <w:r>
        <w:rPr>
          <w:rFonts w:cs="Times New Roman"/>
        </w:rPr>
        <w:t xml:space="preserve"> was observed in the A-67 treatment</w:t>
      </w:r>
      <w:r w:rsidR="00F03F76">
        <w:rPr>
          <w:rFonts w:cs="Times New Roman"/>
        </w:rPr>
        <w:t xml:space="preserve"> in year one</w:t>
      </w:r>
      <w:r>
        <w:rPr>
          <w:rFonts w:cs="Times New Roman"/>
        </w:rPr>
        <w:t xml:space="preserve">, which </w:t>
      </w:r>
      <w:r w:rsidR="00F03F76">
        <w:rPr>
          <w:rFonts w:cs="Times New Roman"/>
        </w:rPr>
        <w:t xml:space="preserve">differed from </w:t>
      </w:r>
      <w:r>
        <w:rPr>
          <w:rFonts w:cs="Times New Roman"/>
        </w:rPr>
        <w:t xml:space="preserve">U-67 at </w:t>
      </w:r>
      <w:r w:rsidR="00F03F76">
        <w:rPr>
          <w:rFonts w:cs="Times New Roman"/>
        </w:rPr>
        <w:t>2015</w:t>
      </w:r>
      <w:r>
        <w:rPr>
          <w:rFonts w:cs="Times New Roman"/>
        </w:rPr>
        <w:t xml:space="preserve"> kg DM ha</w:t>
      </w:r>
      <w:r w:rsidRPr="002300C2">
        <w:rPr>
          <w:rFonts w:cs="Times New Roman"/>
          <w:vertAlign w:val="superscript"/>
        </w:rPr>
        <w:t>-1</w:t>
      </w:r>
      <w:r>
        <w:rPr>
          <w:rFonts w:cs="Times New Roman"/>
        </w:rPr>
        <w:t xml:space="preserve"> (</w:t>
      </w:r>
      <w:r w:rsidR="00F03F76" w:rsidRPr="00F03F76">
        <w:rPr>
          <w:rFonts w:cs="Times New Roman"/>
          <w:b/>
          <w:bCs/>
        </w:rPr>
        <w:t>Table 2.2</w:t>
      </w:r>
      <w:r>
        <w:rPr>
          <w:rFonts w:cs="Times New Roman"/>
        </w:rPr>
        <w:t xml:space="preserve">). </w:t>
      </w:r>
      <w:r w:rsidR="009A57A5">
        <w:rPr>
          <w:rFonts w:cs="Times New Roman"/>
        </w:rPr>
        <w:t xml:space="preserve">The </w:t>
      </w:r>
      <w:r w:rsidR="00390052">
        <w:t xml:space="preserve">N strategy </w:t>
      </w:r>
      <w:r>
        <w:rPr>
          <w:rFonts w:cs="Times New Roman"/>
        </w:rPr>
        <w:t>with 33 kg N ha</w:t>
      </w:r>
      <w:r w:rsidRPr="006A72CB">
        <w:rPr>
          <w:rFonts w:cs="Times New Roman"/>
          <w:vertAlign w:val="superscript"/>
        </w:rPr>
        <w:t>-1</w:t>
      </w:r>
      <w:r>
        <w:rPr>
          <w:rFonts w:cs="Times New Roman"/>
        </w:rPr>
        <w:t xml:space="preserve"> did not differ from each other </w:t>
      </w:r>
      <w:r w:rsidR="00F03F76">
        <w:rPr>
          <w:rFonts w:cs="Times New Roman"/>
        </w:rPr>
        <w:t xml:space="preserve">in year one </w:t>
      </w:r>
      <w:r>
        <w:rPr>
          <w:rFonts w:cs="Times New Roman"/>
        </w:rPr>
        <w:t xml:space="preserve">but showed a </w:t>
      </w:r>
      <w:r w:rsidR="00F03F76">
        <w:rPr>
          <w:rFonts w:cs="Times New Roman"/>
        </w:rPr>
        <w:t>40</w:t>
      </w:r>
      <w:r>
        <w:rPr>
          <w:rFonts w:cs="Times New Roman"/>
        </w:rPr>
        <w:t>% increase compared to the control without N application.</w:t>
      </w:r>
    </w:p>
    <w:p w14:paraId="7A1F90C1" w14:textId="48FD5761" w:rsidR="00F03F76" w:rsidRDefault="00FA2EAD" w:rsidP="00767A67">
      <w:pPr>
        <w:spacing w:line="480" w:lineRule="auto"/>
        <w:ind w:firstLine="720"/>
        <w:rPr>
          <w:rFonts w:cs="Times New Roman"/>
        </w:rPr>
      </w:pPr>
      <w:r>
        <w:rPr>
          <w:rFonts w:cs="Times New Roman"/>
        </w:rPr>
        <w:lastRenderedPageBreak/>
        <w:t xml:space="preserve">Average FM </w:t>
      </w:r>
      <w:r w:rsidR="00F03F76">
        <w:rPr>
          <w:rFonts w:cs="Times New Roman"/>
        </w:rPr>
        <w:t xml:space="preserve">differed </w:t>
      </w:r>
      <w:r>
        <w:rPr>
          <w:rFonts w:cs="Times New Roman"/>
        </w:rPr>
        <w:t>between years</w:t>
      </w:r>
      <w:r w:rsidR="00FB38E4">
        <w:rPr>
          <w:rFonts w:cs="Times New Roman"/>
        </w:rPr>
        <w:t>,</w:t>
      </w:r>
      <w:r w:rsidR="00F03F76">
        <w:rPr>
          <w:rFonts w:cs="Times New Roman"/>
        </w:rPr>
        <w:t xml:space="preserve"> with year 2 showing lesser </w:t>
      </w:r>
      <w:r w:rsidR="00FB38E4">
        <w:rPr>
          <w:rFonts w:cs="Times New Roman"/>
        </w:rPr>
        <w:t>average</w:t>
      </w:r>
      <w:r w:rsidR="00F03F76">
        <w:rPr>
          <w:rFonts w:cs="Times New Roman"/>
        </w:rPr>
        <w:t xml:space="preserve"> FM </w:t>
      </w:r>
      <w:r w:rsidR="00330935">
        <w:rPr>
          <w:rFonts w:cs="Times New Roman"/>
        </w:rPr>
        <w:t xml:space="preserve">across treatments </w:t>
      </w:r>
      <w:r w:rsidR="00FB38E4">
        <w:rPr>
          <w:rFonts w:cs="Times New Roman"/>
        </w:rPr>
        <w:t>(</w:t>
      </w:r>
      <w:r w:rsidR="00FB38E4" w:rsidRPr="00FB38E4">
        <w:rPr>
          <w:rFonts w:cs="Times New Roman"/>
          <w:b/>
          <w:bCs/>
        </w:rPr>
        <w:t>Table 2.2</w:t>
      </w:r>
      <w:r w:rsidR="00FB38E4" w:rsidRPr="00FB38E4">
        <w:rPr>
          <w:rFonts w:cs="Times New Roman"/>
        </w:rPr>
        <w:t>)</w:t>
      </w:r>
      <w:r w:rsidR="00F03F76">
        <w:rPr>
          <w:rFonts w:cs="Times New Roman"/>
        </w:rPr>
        <w:t>.</w:t>
      </w:r>
      <w:r w:rsidR="00FB38E4">
        <w:rPr>
          <w:rFonts w:cs="Times New Roman"/>
        </w:rPr>
        <w:t xml:space="preserve"> </w:t>
      </w:r>
      <w:r w:rsidR="00330935">
        <w:rPr>
          <w:rFonts w:cs="Times New Roman"/>
        </w:rPr>
        <w:t xml:space="preserve">Comparable FM patterns were observed using both direct harvest measurements and RPM estimates, particularly during year 2 </w:t>
      </w:r>
      <w:r w:rsidR="00FB38E4">
        <w:rPr>
          <w:rFonts w:cs="Times New Roman"/>
        </w:rPr>
        <w:t>(</w:t>
      </w:r>
      <w:r w:rsidR="00FB38E4" w:rsidRPr="00FB38E4">
        <w:rPr>
          <w:rFonts w:cs="Times New Roman"/>
          <w:b/>
          <w:bCs/>
        </w:rPr>
        <w:t>Table 2.2</w:t>
      </w:r>
      <w:r w:rsidR="00330935">
        <w:rPr>
          <w:rFonts w:cs="Times New Roman"/>
        </w:rPr>
        <w:t xml:space="preserve">, </w:t>
      </w:r>
      <w:r w:rsidR="00330935" w:rsidRPr="00761497">
        <w:rPr>
          <w:rFonts w:cs="Times New Roman"/>
          <w:b/>
          <w:bCs/>
        </w:rPr>
        <w:t>2.3</w:t>
      </w:r>
      <w:r w:rsidR="00330935">
        <w:rPr>
          <w:rFonts w:cs="Times New Roman"/>
        </w:rPr>
        <w:t>)</w:t>
      </w:r>
      <w:r w:rsidR="00FB38E4">
        <w:rPr>
          <w:rFonts w:cs="Times New Roman"/>
        </w:rPr>
        <w:t>.</w:t>
      </w:r>
    </w:p>
    <w:p w14:paraId="0CE3C298" w14:textId="7E4AF92F" w:rsidR="00FB38E4" w:rsidRDefault="00FB38E4" w:rsidP="00FB38E4">
      <w:pPr>
        <w:pStyle w:val="Heading3"/>
        <w:spacing w:before="0" w:after="0" w:line="480" w:lineRule="auto"/>
        <w:rPr>
          <w:rFonts w:cs="Times New Roman"/>
          <w:szCs w:val="24"/>
        </w:rPr>
      </w:pPr>
      <w:bookmarkStart w:id="64" w:name="_Toc196315258"/>
      <w:r>
        <w:rPr>
          <w:rFonts w:cs="Times New Roman"/>
          <w:szCs w:val="24"/>
        </w:rPr>
        <w:t>Forage accumulation</w:t>
      </w:r>
      <w:bookmarkEnd w:id="64"/>
    </w:p>
    <w:p w14:paraId="31C809A2" w14:textId="73212B1D" w:rsidR="003E0A16" w:rsidRDefault="00DC0BE5" w:rsidP="00DC0BE5">
      <w:pPr>
        <w:spacing w:line="480" w:lineRule="auto"/>
        <w:ind w:firstLine="720"/>
      </w:pPr>
      <w:r>
        <w:t>Forage accumulation</w:t>
      </w:r>
      <w:r w:rsidRPr="005E2BFA">
        <w:t xml:space="preserve"> </w:t>
      </w:r>
      <w:r w:rsidR="00742E18">
        <w:t xml:space="preserve">(FA) </w:t>
      </w:r>
      <w:r w:rsidRPr="005E2BFA">
        <w:t>w</w:t>
      </w:r>
      <w:r>
        <w:t>as not</w:t>
      </w:r>
      <w:r w:rsidRPr="005E2BFA">
        <w:t xml:space="preserve"> affected by the </w:t>
      </w:r>
      <w:r w:rsidR="00742E18">
        <w:t xml:space="preserve">interaction between </w:t>
      </w:r>
      <w:r>
        <w:t xml:space="preserve">inoculation </w:t>
      </w:r>
      <w:r w:rsidRPr="005E2BFA">
        <w:t xml:space="preserve">× </w:t>
      </w:r>
      <w:r>
        <w:t>N strategies</w:t>
      </w:r>
      <w:r w:rsidRPr="005E2BFA">
        <w:t xml:space="preserve"> (</w:t>
      </w:r>
      <w:r w:rsidRPr="00E96EE0">
        <w:rPr>
          <w:i/>
          <w:iCs/>
        </w:rPr>
        <w:t>P</w:t>
      </w:r>
      <w:r w:rsidRPr="005E2BFA">
        <w:t xml:space="preserve"> = .</w:t>
      </w:r>
      <w:r>
        <w:t>04430</w:t>
      </w:r>
      <w:r w:rsidRPr="005E2BFA">
        <w:t xml:space="preserve">). </w:t>
      </w:r>
      <w:r>
        <w:t>However, a</w:t>
      </w:r>
      <w:r w:rsidR="00742E18">
        <w:t xml:space="preserve"> significant interaction between</w:t>
      </w:r>
      <w:r>
        <w:t xml:space="preserve"> N strategy </w:t>
      </w:r>
      <w:r w:rsidRPr="005E2BFA">
        <w:t>×</w:t>
      </w:r>
      <w:r>
        <w:t xml:space="preserve"> year </w:t>
      </w:r>
      <w:r w:rsidR="00742E18">
        <w:t xml:space="preserve">was observed </w:t>
      </w:r>
      <w:r>
        <w:t>(</w:t>
      </w:r>
      <w:r w:rsidRPr="00FA06E8">
        <w:rPr>
          <w:i/>
          <w:iCs/>
        </w:rPr>
        <w:t>P</w:t>
      </w:r>
      <w:r>
        <w:t xml:space="preserve"> &lt; .0001)</w:t>
      </w:r>
      <w:r w:rsidR="00742E18">
        <w:t>,</w:t>
      </w:r>
      <w:r>
        <w:t xml:space="preserve"> </w:t>
      </w:r>
      <w:r w:rsidR="00742E18">
        <w:t xml:space="preserve">showing </w:t>
      </w:r>
      <w:r>
        <w:t>that</w:t>
      </w:r>
      <w:r w:rsidR="008A0AD5">
        <w:t xml:space="preserve"> </w:t>
      </w:r>
      <w:r w:rsidR="00742E18">
        <w:t xml:space="preserve">increased N rates </w:t>
      </w:r>
      <w:r>
        <w:t xml:space="preserve">increased FA production </w:t>
      </w:r>
      <w:r w:rsidR="008A0AD5">
        <w:t>i</w:t>
      </w:r>
      <w:r>
        <w:t>n year 1 (</w:t>
      </w:r>
      <w:r w:rsidRPr="00D82451">
        <w:rPr>
          <w:b/>
          <w:bCs/>
        </w:rPr>
        <w:t>Table 2.</w:t>
      </w:r>
      <w:r>
        <w:rPr>
          <w:b/>
          <w:bCs/>
        </w:rPr>
        <w:t>4</w:t>
      </w:r>
      <w:r>
        <w:t>)</w:t>
      </w:r>
      <w:r w:rsidR="008A0AD5">
        <w:t xml:space="preserve">. </w:t>
      </w:r>
      <w:r w:rsidR="00742E18">
        <w:t>Forage accumulation values</w:t>
      </w:r>
      <w:r w:rsidR="008A0AD5">
        <w:t xml:space="preserve"> differed </w:t>
      </w:r>
      <w:r w:rsidR="00742E18">
        <w:t xml:space="preserve">between </w:t>
      </w:r>
      <w:r w:rsidR="008A0AD5">
        <w:t xml:space="preserve">year 1 from year 2 </w:t>
      </w:r>
      <w:r w:rsidR="00761497" w:rsidRPr="00761497">
        <w:t>variations (</w:t>
      </w:r>
      <w:r w:rsidR="00761497" w:rsidRPr="003E0A16">
        <w:rPr>
          <w:b/>
          <w:bCs/>
        </w:rPr>
        <w:t>Table 2.4</w:t>
      </w:r>
      <w:r w:rsidR="00761497" w:rsidRPr="00761497">
        <w:t>)</w:t>
      </w:r>
      <w:r w:rsidR="003E0A16">
        <w:t xml:space="preserve"> across</w:t>
      </w:r>
      <w:r w:rsidR="00742E18">
        <w:t xml:space="preserve"> </w:t>
      </w:r>
      <w:r w:rsidR="008A0AD5">
        <w:t xml:space="preserve">all N strategies </w:t>
      </w:r>
      <w:r w:rsidR="00742E18">
        <w:t>except for the control</w:t>
      </w:r>
      <w:r w:rsidR="008A0AD5">
        <w:t xml:space="preserve"> </w:t>
      </w:r>
      <w:r w:rsidR="00742E18">
        <w:t>(</w:t>
      </w:r>
      <w:r w:rsidR="008A0AD5">
        <w:t>NN</w:t>
      </w:r>
      <w:r w:rsidR="00742E18">
        <w:t xml:space="preserve">), which showed no </w:t>
      </w:r>
      <w:r w:rsidR="003E0A16">
        <w:t>year-to-year variation.</w:t>
      </w:r>
    </w:p>
    <w:p w14:paraId="343FDAFF" w14:textId="616D1B95" w:rsidR="008A0AD5" w:rsidRDefault="003E0A16" w:rsidP="00DC0BE5">
      <w:pPr>
        <w:spacing w:line="480" w:lineRule="auto"/>
        <w:ind w:firstLine="720"/>
        <w:rPr>
          <w:rFonts w:cs="Times New Roman"/>
        </w:rPr>
      </w:pPr>
      <w:r>
        <w:t>FA was observed in A-67 treatment (7819 kg DM ha</w:t>
      </w:r>
      <w:r w:rsidRPr="00E96EE0">
        <w:rPr>
          <w:vertAlign w:val="superscript"/>
        </w:rPr>
        <w:t>-1</w:t>
      </w:r>
      <w:r>
        <w:t>), which significantly exceeded U-67 (6045 kg DM ha</w:t>
      </w:r>
      <w:r w:rsidRPr="00E96EE0">
        <w:rPr>
          <w:vertAlign w:val="superscript"/>
        </w:rPr>
        <w:t>-1</w:t>
      </w:r>
      <w:r>
        <w:t>) (</w:t>
      </w:r>
      <w:r w:rsidRPr="00D82451">
        <w:rPr>
          <w:b/>
          <w:bCs/>
        </w:rPr>
        <w:t>Table 2.</w:t>
      </w:r>
      <w:r>
        <w:rPr>
          <w:b/>
          <w:bCs/>
        </w:rPr>
        <w:t>4</w:t>
      </w:r>
      <w:r>
        <w:t>). Meanwhile, A-33 (5332 kg DM ha</w:t>
      </w:r>
      <w:r w:rsidRPr="00C1789F">
        <w:rPr>
          <w:vertAlign w:val="superscript"/>
        </w:rPr>
        <w:t>-1</w:t>
      </w:r>
      <w:r>
        <w:t>) did not differ from U-33 (5063 kg DM ha</w:t>
      </w:r>
      <w:r w:rsidRPr="00C1789F">
        <w:rPr>
          <w:vertAlign w:val="superscript"/>
        </w:rPr>
        <w:t>-1</w:t>
      </w:r>
      <w:r>
        <w:t>). The control produced the lowest FM, averaging approximately 40% less than both A-33 and U33 (</w:t>
      </w:r>
      <w:r w:rsidRPr="00D82451">
        <w:rPr>
          <w:b/>
          <w:bCs/>
        </w:rPr>
        <w:t>Table 2.</w:t>
      </w:r>
      <w:r>
        <w:rPr>
          <w:b/>
          <w:bCs/>
        </w:rPr>
        <w:t>4</w:t>
      </w:r>
      <w:r>
        <w:t xml:space="preserve">). These results align with FM trends, where similar differences were observed among N strategies and across years. The FA values for A-67 were comparable to those reported by </w:t>
      </w:r>
      <w:r>
        <w:fldChar w:fldCharType="begin"/>
      </w:r>
      <w:r>
        <w:instrText xml:space="preserve"> ADDIN ZOTERO_ITEM CSL_CITATION {"citationID":"7ESjf8u3","properties":{"formattedCitation":"(Hendricks et al., 2020)","plainCitation":"(Hendricks et al., 2020)","noteIndex":0},"citationItems":[{"id":66,"uris":["http://zotero.org/users/local/kjHHoAYm/items/8RTECHGY"],"itemData":{"id":66,"type":"article-journal","abstract":"Abstract\n            \n              Interseeding alfalfa (\n              Medicago sativa\n              L.) into bermudagrass [\n              Cynodon dactylon\n              (L.) Pers.] can be an effective way to improve forage quality and reduce the need for additional supplementation when fed to livestock. The objective of this research was to compare the nutritive value and forage mass of bermudagrass with and without interseeded alfalfa when harvested as baleage. On 19 Feb. 2016, 0.2‐ha plots were assigned in a randomized complete block design to either ‘Tifton 85’ (T85) or T85 interseeded with ‘Bulldog 805’ alfalfa (T85+Alf) in an established field of Tifton 85 bermudagrass at the University of Georgia Tifton Campus, Tifton, GA. The T85 received 84 kg N ha\n              −1\n              four times throughout the growing season. Plots were harvested at early bloom stage every 28–35 d throughout the growing season, baled at 40–60% moisture, and individually wrapped. At each harvest, plots were evaluated for botanical composition and forage mass, and bales were sampled prior to wrapping for nutritive value analysis. The T85+Alf plots produced additional harvests each season, leading to greater herbage accumulation than T85 plots (\n              P &lt;\n               .01). The T85+Alf treatment had greater crude protein and total digestible nutrients than T85 in each of the 3 yr, suggesting this mixture will need no or less supplementation to meet the nutritional requirements of a lactating beef cow. Therefore, interseeding alfalfa into a bermudagrass system improves forage mass and nutritive value.","container-title":"Crop Science","DOI":"10.1002/csc2.20222","ISSN":"0011-183X, 1435-0653","issue":"5","journalAbbreviation":"Crop Science","language":"en","page":"2792-2801","source":"DOI.org (Crossref)","title":"Forage accumulation and nutritive value of bermudagrass and alfalfa–bermudagrass mixtures when harvested for baleage","volume":"60","author":[{"family":"Hendricks","given":"Taylor J."},{"family":"Tucker","given":"Jennifer J."},{"family":"Hancock","given":"Dennis W."},{"family":"Mullenix","given":"M. Kimberly"},{"family":"Baxter","given":"Lisa L."},{"family":"Stewart","given":"Robert L."},{"family":"Segers","given":"Jacob R."},{"family":"Bernard","given":"John K."}],"issued":{"date-parts":[["2020",9]]}}}],"schema":"https://github.com/citation-style-language/schema/raw/master/csl-citation.json"} </w:instrText>
      </w:r>
      <w:r>
        <w:fldChar w:fldCharType="separate"/>
      </w:r>
      <w:r w:rsidRPr="009D68D0">
        <w:rPr>
          <w:rFonts w:cs="Times New Roman"/>
        </w:rPr>
        <w:t xml:space="preserve">Hendricks et al. </w:t>
      </w:r>
      <w:r>
        <w:rPr>
          <w:rFonts w:cs="Times New Roman"/>
        </w:rPr>
        <w:t>(</w:t>
      </w:r>
      <w:r w:rsidRPr="009D68D0">
        <w:rPr>
          <w:rFonts w:cs="Times New Roman"/>
        </w:rPr>
        <w:t>2020)</w:t>
      </w:r>
      <w:r>
        <w:fldChar w:fldCharType="end"/>
      </w:r>
      <w:r>
        <w:t xml:space="preserve">, who found Tifton 85 bermudagrass monoculture yielded up to </w:t>
      </w:r>
      <w:r>
        <w:rPr>
          <w:rFonts w:cs="Times New Roman"/>
        </w:rPr>
        <w:t>7,877 kg DM ha</w:t>
      </w:r>
      <w:r w:rsidRPr="009A57A5">
        <w:rPr>
          <w:rFonts w:cs="Times New Roman"/>
          <w:vertAlign w:val="superscript"/>
        </w:rPr>
        <w:t>-1</w:t>
      </w:r>
      <w:r>
        <w:rPr>
          <w:rFonts w:cs="Times New Roman"/>
        </w:rPr>
        <w:t>,  consistent with the results presented in our study (</w:t>
      </w:r>
      <w:r w:rsidRPr="009D68D0">
        <w:rPr>
          <w:rFonts w:cs="Times New Roman"/>
          <w:b/>
          <w:bCs/>
        </w:rPr>
        <w:t>Table 2.4</w:t>
      </w:r>
      <w:r>
        <w:rPr>
          <w:rFonts w:cs="Times New Roman"/>
        </w:rPr>
        <w:t xml:space="preserve">). </w:t>
      </w:r>
    </w:p>
    <w:p w14:paraId="2E3CBB7F" w14:textId="30D26354" w:rsidR="003E0A16" w:rsidRDefault="003E0A16" w:rsidP="003E0A16">
      <w:pPr>
        <w:spacing w:line="480" w:lineRule="auto"/>
        <w:ind w:firstLine="720"/>
      </w:pPr>
      <w:r>
        <w:rPr>
          <w:rFonts w:cs="Times New Roman"/>
        </w:rPr>
        <w:t xml:space="preserve">According to </w:t>
      </w:r>
      <w:r>
        <w:rPr>
          <w:rFonts w:cs="Times New Roman"/>
        </w:rPr>
        <w:fldChar w:fldCharType="begin"/>
      </w:r>
      <w:r>
        <w:rPr>
          <w:rFonts w:cs="Times New Roman"/>
        </w:rPr>
        <w:instrText xml:space="preserve"> ADDIN ZOTERO_ITEM CSL_CITATION {"citationID":"cCvioyGG","properties":{"formattedCitation":"(Sohm et al., 2014)","plainCitation":"(Sohm et al., 2014)","noteIndex":0},"citationItems":[{"id":97,"uris":["http://zotero.org/users/local/kjHHoAYm/items/KMW886DE"],"itemData":{"id":97,"type":"article-journal","abstract":"Bermudagrass [\n              Cynodon dactylon\n              (L.) Pers.] is a perennial grass capable of producing a large amount of forage for either hay or grazing. Information on harvest frequency and rate of N for bermudagrass production is scarce for southwest Kansas. The objectives of this research were to determine economically and environmentally justified N rates for bermudagrass grown under supplemental irrigation (161–222 mm yr\n              −1\n              ) and to determine annual harvest frequency. A field study was conducted from 2004 to 2007 near Rolla, KS, with five N rate treatments (0, 168, 336, 672, and 1344 kg N ha\n              −1\n              ). On five harvest dates per year, biomass yield, feed quality, soil nutrient content, and soil pH were measured. Biomass yield was relatively high in the second, third, and fourth harvest dates out of five harvest dates within a year. In each of these five harvest dates, biomass yield increased with increasing N rates from 0 to 672 kg N ha\n              −1\n              . A quadratic curve explained 80% of the variation for the relationship between total annual biomass yield of bermudagrass and N rate. The maximum average total annual dry matter production of about 18.5 Mg ha\n              −1\n              was possible with 900 kg N ha\n              −1\n              . The economic N rate that confers profit, however, varied from about 120 to 600 kg ha\n              −1\n              depended on value of bermudagrass forage and variable cost of production. An increase in N rate from 0 to 672 kg N ha\n              −1\n              also increased protein content and biomass feed quality without adversely affecting soil quality.","container-title":"Agronomy Journal","DOI":"10.2134/agronj13.0580","ISSN":"0002-1962, 1435-0645","issue":"4","journalAbbreviation":"Agronomy Journal","language":"en","page":"1489-1496","source":"DOI.org (Crossref)","title":"Yield and Quality of Irrigated Bermudagrass as a Function of Nitrogen Rate","volume":"106","author":[{"family":"Sohm","given":"Gregory"},{"family":"Thompson","given":"Curtis"},{"family":"Assefa","given":"Yared"},{"family":"Schlegel","given":"Alan"},{"family":"Holman","given":"John"}],"issued":{"date-parts":[["2014",7]]}}}],"schema":"https://github.com/citation-style-language/schema/raw/master/csl-citation.json"} </w:instrText>
      </w:r>
      <w:r>
        <w:rPr>
          <w:rFonts w:cs="Times New Roman"/>
        </w:rPr>
        <w:fldChar w:fldCharType="separate"/>
      </w:r>
      <w:r w:rsidRPr="00DD1F83">
        <w:rPr>
          <w:rFonts w:cs="Times New Roman"/>
        </w:rPr>
        <w:t xml:space="preserve">Sohm et al. </w:t>
      </w:r>
      <w:r>
        <w:rPr>
          <w:rFonts w:cs="Times New Roman"/>
        </w:rPr>
        <w:t>(</w:t>
      </w:r>
      <w:r w:rsidRPr="00DD1F83">
        <w:rPr>
          <w:rFonts w:cs="Times New Roman"/>
        </w:rPr>
        <w:t>2014)</w:t>
      </w:r>
      <w:r>
        <w:rPr>
          <w:rFonts w:cs="Times New Roman"/>
        </w:rPr>
        <w:fldChar w:fldCharType="end"/>
      </w:r>
      <w:r>
        <w:rPr>
          <w:rFonts w:cs="Times New Roman"/>
        </w:rPr>
        <w:t>, bermudagrass can accumulate up to 18000 kg DM ha</w:t>
      </w:r>
      <w:r w:rsidRPr="00DD1F83">
        <w:rPr>
          <w:rFonts w:cs="Times New Roman"/>
          <w:vertAlign w:val="superscript"/>
        </w:rPr>
        <w:t>-1</w:t>
      </w:r>
      <w:r>
        <w:rPr>
          <w:rFonts w:cs="Times New Roman"/>
        </w:rPr>
        <w:t xml:space="preserve"> with an N rate of 672 kg N ha</w:t>
      </w:r>
      <w:r w:rsidRPr="00DD1F83">
        <w:rPr>
          <w:rFonts w:cs="Times New Roman"/>
          <w:vertAlign w:val="superscript"/>
        </w:rPr>
        <w:t>-1</w:t>
      </w:r>
      <w:r>
        <w:rPr>
          <w:rFonts w:cs="Times New Roman"/>
        </w:rPr>
        <w:t>, approaching its biological yield potential. Their study reported no differences in yield between N rates of 672 and 1344 kg N ha</w:t>
      </w:r>
      <w:r w:rsidRPr="00DD1F83">
        <w:rPr>
          <w:rFonts w:cs="Times New Roman"/>
          <w:vertAlign w:val="superscript"/>
        </w:rPr>
        <w:t>-1</w:t>
      </w:r>
      <w:r>
        <w:rPr>
          <w:rFonts w:cs="Times New Roman"/>
        </w:rPr>
        <w:t xml:space="preserve"> due to a quadratic response described by the equation  </w:t>
      </w:r>
      <m:oMath>
        <m:r>
          <w:rPr>
            <w:rFonts w:ascii="Cambria Math" w:hAnsi="Cambria Math" w:cs="Times New Roman"/>
          </w:rPr>
          <m:t>Y=0.0000</m:t>
        </m:r>
        <m:sSup>
          <m:sSupPr>
            <m:ctrlPr>
              <w:rPr>
                <w:rFonts w:ascii="Cambria Math" w:hAnsi="Cambria Math" w:cs="Times New Roman"/>
                <w:i/>
              </w:rPr>
            </m:ctrlPr>
          </m:sSupPr>
          <m:e>
            <m:r>
              <w:rPr>
                <w:rFonts w:ascii="Cambria Math" w:hAnsi="Cambria Math" w:cs="Times New Roman"/>
              </w:rPr>
              <m:t>2x</m:t>
            </m:r>
          </m:e>
          <m:sup>
            <m:r>
              <w:rPr>
                <w:rFonts w:ascii="Cambria Math" w:hAnsi="Cambria Math" w:cs="Times New Roman"/>
              </w:rPr>
              <m:t>2</m:t>
            </m:r>
          </m:sup>
        </m:sSup>
        <m:r>
          <w:rPr>
            <w:rFonts w:ascii="Cambria Math" w:hAnsi="Cambria Math" w:cs="Times New Roman"/>
          </w:rPr>
          <m:t>+0.03x+5.4</m:t>
        </m:r>
      </m:oMath>
      <w:r>
        <w:rPr>
          <w:rFonts w:cs="Times New Roman"/>
        </w:rPr>
        <w:t xml:space="preserve">, </w:t>
      </w:r>
    </w:p>
    <w:tbl>
      <w:tblPr>
        <w:tblpPr w:leftFromText="141" w:rightFromText="141" w:vertAnchor="text" w:horzAnchor="page" w:tblpX="2311" w:tblpY="211"/>
        <w:tblW w:w="8640" w:type="dxa"/>
        <w:tblCellMar>
          <w:left w:w="70" w:type="dxa"/>
          <w:right w:w="70" w:type="dxa"/>
        </w:tblCellMar>
        <w:tblLook w:val="04A0" w:firstRow="1" w:lastRow="0" w:firstColumn="1" w:lastColumn="0" w:noHBand="0" w:noVBand="1"/>
      </w:tblPr>
      <w:tblGrid>
        <w:gridCol w:w="995"/>
        <w:gridCol w:w="874"/>
        <w:gridCol w:w="1551"/>
        <w:gridCol w:w="1170"/>
        <w:gridCol w:w="1080"/>
        <w:gridCol w:w="1080"/>
        <w:gridCol w:w="1440"/>
        <w:gridCol w:w="450"/>
      </w:tblGrid>
      <w:tr w:rsidR="00B3078E" w:rsidRPr="00DC0BE5" w14:paraId="1579238D" w14:textId="77777777" w:rsidTr="00B3078E">
        <w:trPr>
          <w:trHeight w:val="1212"/>
        </w:trPr>
        <w:tc>
          <w:tcPr>
            <w:tcW w:w="8190" w:type="dxa"/>
            <w:gridSpan w:val="7"/>
            <w:tcBorders>
              <w:top w:val="nil"/>
              <w:left w:val="nil"/>
              <w:bottom w:val="nil"/>
              <w:right w:val="nil"/>
            </w:tcBorders>
            <w:shd w:val="clear" w:color="auto" w:fill="auto"/>
            <w:vAlign w:val="center"/>
            <w:hideMark/>
          </w:tcPr>
          <w:p w14:paraId="677D98D8" w14:textId="77777777" w:rsidR="00B3078E" w:rsidRPr="00761497" w:rsidRDefault="00B3078E" w:rsidP="00B3078E">
            <w:pPr>
              <w:pStyle w:val="mytables"/>
              <w:rPr>
                <w:lang w:val="pt-BR" w:eastAsia="pt-BR"/>
              </w:rPr>
            </w:pPr>
            <w:bookmarkStart w:id="65" w:name="_Toc196315448"/>
            <w:r>
              <w:rPr>
                <w:lang w:val="pt-BR" w:eastAsia="pt-BR"/>
              </w:rPr>
              <w:lastRenderedPageBreak/>
              <w:t>T</w:t>
            </w:r>
            <w:r w:rsidRPr="00761497">
              <w:rPr>
                <w:lang w:val="pt-BR" w:eastAsia="pt-BR"/>
              </w:rPr>
              <w:t xml:space="preserve">able 2.4 - </w:t>
            </w:r>
            <w:r w:rsidRPr="00761497">
              <w:rPr>
                <w:b w:val="0"/>
                <w:bCs w:val="0"/>
                <w:lang w:val="pt-BR" w:eastAsia="pt-BR"/>
              </w:rPr>
              <w:t>Forage accumulation (FA) of Bermudagrass in response to N strategies (NN, U-33, A-33 kg, U-67, A-67), across two growing seasons (year) 2023 (1) and 2024 (2), in Crossville, Tennessee, U.S.</w:t>
            </w:r>
            <w:bookmarkEnd w:id="65"/>
          </w:p>
        </w:tc>
        <w:tc>
          <w:tcPr>
            <w:tcW w:w="450" w:type="dxa"/>
            <w:tcBorders>
              <w:top w:val="nil"/>
              <w:left w:val="nil"/>
              <w:bottom w:val="nil"/>
              <w:right w:val="nil"/>
            </w:tcBorders>
          </w:tcPr>
          <w:p w14:paraId="585D7C5F" w14:textId="77777777" w:rsidR="00B3078E" w:rsidRDefault="00B3078E" w:rsidP="00B3078E">
            <w:pPr>
              <w:pStyle w:val="mytables"/>
              <w:rPr>
                <w:b w:val="0"/>
                <w:bCs w:val="0"/>
              </w:rPr>
            </w:pPr>
          </w:p>
        </w:tc>
      </w:tr>
      <w:tr w:rsidR="00B3078E" w:rsidRPr="00DC0BE5" w14:paraId="729E8581" w14:textId="77777777" w:rsidTr="00B3078E">
        <w:trPr>
          <w:trHeight w:val="312"/>
        </w:trPr>
        <w:tc>
          <w:tcPr>
            <w:tcW w:w="995" w:type="dxa"/>
            <w:vMerge w:val="restart"/>
            <w:tcBorders>
              <w:top w:val="single" w:sz="4" w:space="0" w:color="auto"/>
              <w:left w:val="nil"/>
              <w:bottom w:val="single" w:sz="4" w:space="0" w:color="000000"/>
              <w:right w:val="nil"/>
            </w:tcBorders>
            <w:shd w:val="clear" w:color="auto" w:fill="auto"/>
            <w:noWrap/>
            <w:vAlign w:val="center"/>
            <w:hideMark/>
          </w:tcPr>
          <w:p w14:paraId="6355A64C" w14:textId="77777777" w:rsidR="00B3078E" w:rsidRPr="00DC0BE5" w:rsidRDefault="00B3078E" w:rsidP="00B3078E">
            <w:pPr>
              <w:spacing w:line="240" w:lineRule="auto"/>
              <w:jc w:val="center"/>
              <w:rPr>
                <w:rFonts w:cs="Times New Roman"/>
                <w:color w:val="000000"/>
                <w:lang w:val="pt-BR" w:eastAsia="pt-BR"/>
              </w:rPr>
            </w:pPr>
            <w:r w:rsidRPr="00DC0BE5">
              <w:rPr>
                <w:rFonts w:cs="Times New Roman"/>
                <w:color w:val="000000"/>
                <w:lang w:val="pt-BR" w:eastAsia="pt-BR"/>
              </w:rPr>
              <w:t>Year</w:t>
            </w:r>
          </w:p>
        </w:tc>
        <w:tc>
          <w:tcPr>
            <w:tcW w:w="4675" w:type="dxa"/>
            <w:gridSpan w:val="4"/>
            <w:tcBorders>
              <w:top w:val="single" w:sz="4" w:space="0" w:color="auto"/>
              <w:left w:val="nil"/>
              <w:bottom w:val="nil"/>
              <w:right w:val="nil"/>
            </w:tcBorders>
            <w:shd w:val="clear" w:color="auto" w:fill="auto"/>
            <w:noWrap/>
            <w:vAlign w:val="bottom"/>
            <w:hideMark/>
          </w:tcPr>
          <w:p w14:paraId="67D995C9" w14:textId="77777777" w:rsidR="00B3078E" w:rsidRPr="00DC0BE5" w:rsidRDefault="00B3078E" w:rsidP="00B3078E">
            <w:pPr>
              <w:spacing w:line="240" w:lineRule="auto"/>
              <w:jc w:val="center"/>
              <w:rPr>
                <w:rFonts w:cs="Times New Roman"/>
                <w:color w:val="000000"/>
                <w:lang w:val="pt-BR" w:eastAsia="pt-BR"/>
              </w:rPr>
            </w:pPr>
            <w:r>
              <w:rPr>
                <w:rFonts w:cs="Times New Roman"/>
                <w:color w:val="000000"/>
                <w:lang w:val="pt-BR" w:eastAsia="pt-BR"/>
              </w:rPr>
              <w:t xml:space="preserve">                        </w:t>
            </w:r>
            <w:r w:rsidRPr="00DC0BE5">
              <w:rPr>
                <w:rFonts w:cs="Times New Roman"/>
                <w:color w:val="000000"/>
                <w:lang w:val="pt-BR" w:eastAsia="pt-BR"/>
              </w:rPr>
              <w:t>N strategies</w:t>
            </w:r>
          </w:p>
        </w:tc>
        <w:tc>
          <w:tcPr>
            <w:tcW w:w="1080" w:type="dxa"/>
            <w:tcBorders>
              <w:top w:val="single" w:sz="4" w:space="0" w:color="auto"/>
              <w:left w:val="nil"/>
              <w:bottom w:val="nil"/>
              <w:right w:val="nil"/>
            </w:tcBorders>
            <w:shd w:val="clear" w:color="auto" w:fill="auto"/>
            <w:noWrap/>
            <w:vAlign w:val="bottom"/>
            <w:hideMark/>
          </w:tcPr>
          <w:p w14:paraId="21543A9B" w14:textId="77777777" w:rsidR="00B3078E" w:rsidRPr="00DC0BE5" w:rsidRDefault="00B3078E" w:rsidP="00B3078E">
            <w:pPr>
              <w:spacing w:line="240" w:lineRule="auto"/>
              <w:rPr>
                <w:rFonts w:cs="Times New Roman"/>
                <w:color w:val="000000"/>
                <w:lang w:val="pt-BR" w:eastAsia="pt-BR"/>
              </w:rPr>
            </w:pPr>
            <w:r w:rsidRPr="00DC0BE5">
              <w:rPr>
                <w:rFonts w:cs="Times New Roman"/>
                <w:color w:val="000000"/>
                <w:lang w:val="pt-BR" w:eastAsia="pt-BR"/>
              </w:rPr>
              <w:t> </w:t>
            </w:r>
          </w:p>
        </w:tc>
        <w:tc>
          <w:tcPr>
            <w:tcW w:w="1440" w:type="dxa"/>
            <w:tcBorders>
              <w:top w:val="single" w:sz="4" w:space="0" w:color="auto"/>
              <w:left w:val="nil"/>
              <w:bottom w:val="nil"/>
              <w:right w:val="nil"/>
            </w:tcBorders>
            <w:shd w:val="clear" w:color="auto" w:fill="auto"/>
            <w:noWrap/>
            <w:vAlign w:val="bottom"/>
            <w:hideMark/>
          </w:tcPr>
          <w:p w14:paraId="37590614" w14:textId="77777777" w:rsidR="00B3078E" w:rsidRPr="00DC0BE5" w:rsidRDefault="00B3078E" w:rsidP="00B3078E">
            <w:pPr>
              <w:spacing w:line="240" w:lineRule="auto"/>
              <w:rPr>
                <w:rFonts w:cs="Times New Roman"/>
                <w:color w:val="000000"/>
                <w:lang w:val="pt-BR" w:eastAsia="pt-BR"/>
              </w:rPr>
            </w:pPr>
            <w:r w:rsidRPr="00DC0BE5">
              <w:rPr>
                <w:rFonts w:cs="Times New Roman"/>
                <w:color w:val="000000"/>
                <w:lang w:val="pt-BR" w:eastAsia="pt-BR"/>
              </w:rPr>
              <w:t> </w:t>
            </w:r>
          </w:p>
        </w:tc>
        <w:tc>
          <w:tcPr>
            <w:tcW w:w="450" w:type="dxa"/>
            <w:tcBorders>
              <w:top w:val="single" w:sz="4" w:space="0" w:color="auto"/>
              <w:left w:val="nil"/>
              <w:bottom w:val="nil"/>
              <w:right w:val="nil"/>
            </w:tcBorders>
          </w:tcPr>
          <w:p w14:paraId="6D4B08D3" w14:textId="77777777" w:rsidR="00B3078E" w:rsidRPr="00DC0BE5" w:rsidRDefault="00B3078E" w:rsidP="00B3078E">
            <w:pPr>
              <w:spacing w:line="240" w:lineRule="auto"/>
              <w:rPr>
                <w:rFonts w:cs="Times New Roman"/>
                <w:color w:val="000000"/>
                <w:lang w:val="pt-BR" w:eastAsia="pt-BR"/>
              </w:rPr>
            </w:pPr>
          </w:p>
        </w:tc>
      </w:tr>
      <w:tr w:rsidR="00B3078E" w:rsidRPr="00DC0BE5" w14:paraId="0E0462D1" w14:textId="77777777" w:rsidTr="00B3078E">
        <w:trPr>
          <w:trHeight w:val="47"/>
        </w:trPr>
        <w:tc>
          <w:tcPr>
            <w:tcW w:w="995" w:type="dxa"/>
            <w:vMerge/>
            <w:tcBorders>
              <w:top w:val="single" w:sz="4" w:space="0" w:color="auto"/>
              <w:left w:val="nil"/>
              <w:bottom w:val="single" w:sz="4" w:space="0" w:color="000000"/>
              <w:right w:val="nil"/>
            </w:tcBorders>
            <w:vAlign w:val="center"/>
            <w:hideMark/>
          </w:tcPr>
          <w:p w14:paraId="467493A2" w14:textId="77777777" w:rsidR="00B3078E" w:rsidRPr="00DC0BE5" w:rsidRDefault="00B3078E" w:rsidP="00B3078E">
            <w:pPr>
              <w:spacing w:line="240" w:lineRule="auto"/>
              <w:rPr>
                <w:rFonts w:cs="Times New Roman"/>
                <w:color w:val="000000"/>
                <w:lang w:val="pt-BR" w:eastAsia="pt-BR"/>
              </w:rPr>
            </w:pPr>
          </w:p>
        </w:tc>
        <w:tc>
          <w:tcPr>
            <w:tcW w:w="874" w:type="dxa"/>
            <w:tcBorders>
              <w:top w:val="nil"/>
              <w:left w:val="nil"/>
              <w:bottom w:val="nil"/>
              <w:right w:val="nil"/>
            </w:tcBorders>
            <w:shd w:val="clear" w:color="auto" w:fill="auto"/>
            <w:noWrap/>
            <w:vAlign w:val="bottom"/>
            <w:hideMark/>
          </w:tcPr>
          <w:p w14:paraId="01508BBE" w14:textId="77777777" w:rsidR="00B3078E" w:rsidRPr="00DC0BE5" w:rsidRDefault="00B3078E" w:rsidP="00B3078E">
            <w:pPr>
              <w:spacing w:line="240" w:lineRule="auto"/>
              <w:jc w:val="center"/>
              <w:rPr>
                <w:rFonts w:cs="Times New Roman"/>
                <w:color w:val="000000"/>
                <w:lang w:val="pt-BR" w:eastAsia="pt-BR"/>
              </w:rPr>
            </w:pPr>
            <w:r w:rsidRPr="00DC0BE5">
              <w:rPr>
                <w:rFonts w:cs="Times New Roman"/>
                <w:color w:val="000000"/>
                <w:lang w:val="pt-BR" w:eastAsia="pt-BR"/>
              </w:rPr>
              <w:t>NN</w:t>
            </w:r>
          </w:p>
        </w:tc>
        <w:tc>
          <w:tcPr>
            <w:tcW w:w="1551" w:type="dxa"/>
            <w:tcBorders>
              <w:top w:val="nil"/>
              <w:left w:val="nil"/>
              <w:bottom w:val="nil"/>
              <w:right w:val="nil"/>
            </w:tcBorders>
            <w:shd w:val="clear" w:color="auto" w:fill="auto"/>
            <w:noWrap/>
            <w:vAlign w:val="bottom"/>
            <w:hideMark/>
          </w:tcPr>
          <w:p w14:paraId="0A0D9BFE" w14:textId="77777777" w:rsidR="00B3078E" w:rsidRPr="00DC0BE5" w:rsidRDefault="00B3078E" w:rsidP="00B3078E">
            <w:pPr>
              <w:spacing w:line="240" w:lineRule="auto"/>
              <w:jc w:val="center"/>
              <w:rPr>
                <w:rFonts w:cs="Times New Roman"/>
                <w:color w:val="000000"/>
                <w:lang w:val="pt-BR" w:eastAsia="pt-BR"/>
              </w:rPr>
            </w:pPr>
            <w:r w:rsidRPr="00DC0BE5">
              <w:rPr>
                <w:rFonts w:cs="Times New Roman"/>
                <w:color w:val="000000"/>
                <w:lang w:val="pt-BR" w:eastAsia="pt-BR"/>
              </w:rPr>
              <w:t>U-33</w:t>
            </w:r>
          </w:p>
        </w:tc>
        <w:tc>
          <w:tcPr>
            <w:tcW w:w="1170" w:type="dxa"/>
            <w:tcBorders>
              <w:top w:val="nil"/>
              <w:left w:val="nil"/>
              <w:bottom w:val="nil"/>
              <w:right w:val="nil"/>
            </w:tcBorders>
            <w:shd w:val="clear" w:color="auto" w:fill="auto"/>
            <w:noWrap/>
            <w:vAlign w:val="bottom"/>
            <w:hideMark/>
          </w:tcPr>
          <w:p w14:paraId="472619F1" w14:textId="77777777" w:rsidR="00B3078E" w:rsidRPr="00DC0BE5" w:rsidRDefault="00B3078E" w:rsidP="00B3078E">
            <w:pPr>
              <w:spacing w:line="240" w:lineRule="auto"/>
              <w:jc w:val="center"/>
              <w:rPr>
                <w:rFonts w:cs="Times New Roman"/>
                <w:color w:val="000000"/>
                <w:lang w:val="pt-BR" w:eastAsia="pt-BR"/>
              </w:rPr>
            </w:pPr>
            <w:r w:rsidRPr="00DC0BE5">
              <w:rPr>
                <w:rFonts w:cs="Times New Roman"/>
                <w:color w:val="000000"/>
                <w:lang w:val="pt-BR" w:eastAsia="pt-BR"/>
              </w:rPr>
              <w:t>A-33</w:t>
            </w:r>
          </w:p>
        </w:tc>
        <w:tc>
          <w:tcPr>
            <w:tcW w:w="1080" w:type="dxa"/>
            <w:tcBorders>
              <w:top w:val="nil"/>
              <w:left w:val="nil"/>
              <w:bottom w:val="nil"/>
              <w:right w:val="nil"/>
            </w:tcBorders>
            <w:shd w:val="clear" w:color="auto" w:fill="auto"/>
            <w:noWrap/>
            <w:vAlign w:val="bottom"/>
            <w:hideMark/>
          </w:tcPr>
          <w:p w14:paraId="1BBE2083" w14:textId="77777777" w:rsidR="00B3078E" w:rsidRPr="00DC0BE5" w:rsidRDefault="00B3078E" w:rsidP="00B3078E">
            <w:pPr>
              <w:spacing w:line="240" w:lineRule="auto"/>
              <w:jc w:val="center"/>
              <w:rPr>
                <w:rFonts w:cs="Times New Roman"/>
                <w:color w:val="000000"/>
                <w:lang w:val="pt-BR" w:eastAsia="pt-BR"/>
              </w:rPr>
            </w:pPr>
            <w:r w:rsidRPr="00DC0BE5">
              <w:rPr>
                <w:rFonts w:cs="Times New Roman"/>
                <w:color w:val="000000"/>
                <w:lang w:val="pt-BR" w:eastAsia="pt-BR"/>
              </w:rPr>
              <w:t>U-67</w:t>
            </w:r>
          </w:p>
        </w:tc>
        <w:tc>
          <w:tcPr>
            <w:tcW w:w="1080" w:type="dxa"/>
            <w:tcBorders>
              <w:top w:val="nil"/>
              <w:left w:val="nil"/>
              <w:bottom w:val="nil"/>
              <w:right w:val="nil"/>
            </w:tcBorders>
            <w:shd w:val="clear" w:color="auto" w:fill="auto"/>
            <w:noWrap/>
            <w:vAlign w:val="bottom"/>
            <w:hideMark/>
          </w:tcPr>
          <w:p w14:paraId="67F1F73D" w14:textId="77777777" w:rsidR="00B3078E" w:rsidRPr="00DC0BE5" w:rsidRDefault="00B3078E" w:rsidP="00B3078E">
            <w:pPr>
              <w:spacing w:line="240" w:lineRule="auto"/>
              <w:jc w:val="center"/>
              <w:rPr>
                <w:rFonts w:cs="Times New Roman"/>
                <w:color w:val="000000"/>
                <w:lang w:val="pt-BR" w:eastAsia="pt-BR"/>
              </w:rPr>
            </w:pPr>
            <w:r w:rsidRPr="00DC0BE5">
              <w:rPr>
                <w:rFonts w:cs="Times New Roman"/>
                <w:color w:val="000000"/>
                <w:lang w:val="pt-BR" w:eastAsia="pt-BR"/>
              </w:rPr>
              <w:t>A-67</w:t>
            </w:r>
          </w:p>
        </w:tc>
        <w:tc>
          <w:tcPr>
            <w:tcW w:w="1440" w:type="dxa"/>
            <w:tcBorders>
              <w:top w:val="nil"/>
              <w:left w:val="nil"/>
              <w:bottom w:val="nil"/>
              <w:right w:val="nil"/>
            </w:tcBorders>
            <w:shd w:val="clear" w:color="auto" w:fill="auto"/>
            <w:noWrap/>
            <w:vAlign w:val="bottom"/>
            <w:hideMark/>
          </w:tcPr>
          <w:p w14:paraId="48A6BB19" w14:textId="77777777" w:rsidR="00B3078E" w:rsidRPr="00DC0BE5" w:rsidRDefault="00B3078E" w:rsidP="00B3078E">
            <w:pPr>
              <w:spacing w:line="240" w:lineRule="auto"/>
              <w:jc w:val="center"/>
              <w:rPr>
                <w:rFonts w:cs="Times New Roman"/>
                <w:color w:val="000000"/>
                <w:lang w:val="pt-BR" w:eastAsia="pt-BR"/>
              </w:rPr>
            </w:pPr>
            <w:r w:rsidRPr="00DC0BE5">
              <w:rPr>
                <w:rFonts w:cs="Times New Roman"/>
                <w:i/>
                <w:iCs/>
                <w:color w:val="000000"/>
                <w:lang w:val="pt-BR" w:eastAsia="pt-BR"/>
              </w:rPr>
              <w:t>P</w:t>
            </w:r>
            <w:r w:rsidRPr="00DC0BE5">
              <w:rPr>
                <w:rFonts w:cs="Times New Roman"/>
                <w:color w:val="000000"/>
                <w:lang w:val="pt-BR" w:eastAsia="pt-BR"/>
              </w:rPr>
              <w:t>-Value</w:t>
            </w:r>
          </w:p>
        </w:tc>
        <w:tc>
          <w:tcPr>
            <w:tcW w:w="450" w:type="dxa"/>
            <w:tcBorders>
              <w:top w:val="nil"/>
              <w:left w:val="nil"/>
              <w:bottom w:val="nil"/>
              <w:right w:val="nil"/>
            </w:tcBorders>
          </w:tcPr>
          <w:p w14:paraId="3F64830D" w14:textId="77777777" w:rsidR="00B3078E" w:rsidRPr="00DC0BE5" w:rsidRDefault="00B3078E" w:rsidP="00B3078E">
            <w:pPr>
              <w:spacing w:line="240" w:lineRule="auto"/>
              <w:jc w:val="center"/>
              <w:rPr>
                <w:rFonts w:cs="Times New Roman"/>
                <w:i/>
                <w:iCs/>
                <w:color w:val="000000"/>
                <w:lang w:val="pt-BR" w:eastAsia="pt-BR"/>
              </w:rPr>
            </w:pPr>
          </w:p>
        </w:tc>
      </w:tr>
      <w:tr w:rsidR="00B3078E" w:rsidRPr="00DC0BE5" w14:paraId="786B4440" w14:textId="77777777" w:rsidTr="00B3078E">
        <w:trPr>
          <w:trHeight w:val="154"/>
        </w:trPr>
        <w:tc>
          <w:tcPr>
            <w:tcW w:w="995" w:type="dxa"/>
            <w:vMerge/>
            <w:tcBorders>
              <w:top w:val="single" w:sz="4" w:space="0" w:color="auto"/>
              <w:left w:val="nil"/>
              <w:bottom w:val="single" w:sz="4" w:space="0" w:color="000000"/>
              <w:right w:val="nil"/>
            </w:tcBorders>
            <w:vAlign w:val="center"/>
            <w:hideMark/>
          </w:tcPr>
          <w:p w14:paraId="594F9E47" w14:textId="77777777" w:rsidR="00B3078E" w:rsidRPr="00DC0BE5" w:rsidRDefault="00B3078E" w:rsidP="00B3078E">
            <w:pPr>
              <w:spacing w:line="240" w:lineRule="auto"/>
              <w:rPr>
                <w:rFonts w:cs="Times New Roman"/>
                <w:color w:val="000000"/>
                <w:lang w:val="pt-BR" w:eastAsia="pt-BR"/>
              </w:rPr>
            </w:pPr>
          </w:p>
        </w:tc>
        <w:tc>
          <w:tcPr>
            <w:tcW w:w="5755" w:type="dxa"/>
            <w:gridSpan w:val="5"/>
            <w:tcBorders>
              <w:top w:val="nil"/>
              <w:left w:val="nil"/>
              <w:bottom w:val="single" w:sz="4" w:space="0" w:color="auto"/>
              <w:right w:val="nil"/>
            </w:tcBorders>
            <w:shd w:val="clear" w:color="auto" w:fill="auto"/>
            <w:noWrap/>
            <w:vAlign w:val="bottom"/>
            <w:hideMark/>
          </w:tcPr>
          <w:p w14:paraId="5E77E607" w14:textId="77777777" w:rsidR="00B3078E" w:rsidRPr="00DC0BE5" w:rsidRDefault="00B3078E" w:rsidP="00B3078E">
            <w:pPr>
              <w:spacing w:line="240" w:lineRule="auto"/>
              <w:jc w:val="center"/>
              <w:rPr>
                <w:rFonts w:cs="Times New Roman"/>
                <w:color w:val="000000"/>
                <w:lang w:val="pt-BR" w:eastAsia="pt-BR"/>
              </w:rPr>
            </w:pPr>
            <w:r w:rsidRPr="00DC0BE5">
              <w:rPr>
                <w:rFonts w:cs="Times New Roman"/>
                <w:color w:val="000000"/>
                <w:lang w:val="pt-BR" w:eastAsia="pt-BR"/>
              </w:rPr>
              <w:t>--------------- kg DM ha</w:t>
            </w:r>
            <w:r w:rsidRPr="00DC0BE5">
              <w:rPr>
                <w:rFonts w:cs="Times New Roman"/>
                <w:color w:val="000000"/>
                <w:vertAlign w:val="superscript"/>
                <w:lang w:val="pt-BR" w:eastAsia="pt-BR"/>
              </w:rPr>
              <w:t>-1</w:t>
            </w:r>
            <w:r w:rsidRPr="00DC0BE5">
              <w:rPr>
                <w:rFonts w:cs="Times New Roman"/>
                <w:color w:val="000000"/>
                <w:lang w:val="pt-BR" w:eastAsia="pt-BR"/>
              </w:rPr>
              <w:t xml:space="preserve"> -----------------</w:t>
            </w:r>
          </w:p>
        </w:tc>
        <w:tc>
          <w:tcPr>
            <w:tcW w:w="1440" w:type="dxa"/>
            <w:tcBorders>
              <w:top w:val="nil"/>
              <w:left w:val="nil"/>
              <w:bottom w:val="single" w:sz="4" w:space="0" w:color="auto"/>
              <w:right w:val="nil"/>
            </w:tcBorders>
            <w:shd w:val="clear" w:color="auto" w:fill="auto"/>
            <w:noWrap/>
            <w:vAlign w:val="bottom"/>
            <w:hideMark/>
          </w:tcPr>
          <w:p w14:paraId="38C08B63" w14:textId="77777777" w:rsidR="00B3078E" w:rsidRPr="00DC0BE5" w:rsidRDefault="00B3078E" w:rsidP="00B3078E">
            <w:pPr>
              <w:spacing w:line="240" w:lineRule="auto"/>
              <w:rPr>
                <w:rFonts w:cs="Times New Roman"/>
                <w:color w:val="000000"/>
                <w:lang w:val="pt-BR" w:eastAsia="pt-BR"/>
              </w:rPr>
            </w:pPr>
            <w:r w:rsidRPr="00DC0BE5">
              <w:rPr>
                <w:rFonts w:cs="Times New Roman"/>
                <w:color w:val="000000"/>
                <w:lang w:val="pt-BR" w:eastAsia="pt-BR"/>
              </w:rPr>
              <w:t> </w:t>
            </w:r>
          </w:p>
        </w:tc>
        <w:tc>
          <w:tcPr>
            <w:tcW w:w="450" w:type="dxa"/>
            <w:tcBorders>
              <w:top w:val="nil"/>
              <w:left w:val="nil"/>
              <w:bottom w:val="single" w:sz="4" w:space="0" w:color="auto"/>
              <w:right w:val="nil"/>
            </w:tcBorders>
          </w:tcPr>
          <w:p w14:paraId="4DB01D92" w14:textId="77777777" w:rsidR="00B3078E" w:rsidRPr="00DC0BE5" w:rsidRDefault="00B3078E" w:rsidP="00B3078E">
            <w:pPr>
              <w:spacing w:line="240" w:lineRule="auto"/>
              <w:rPr>
                <w:rFonts w:cs="Times New Roman"/>
                <w:color w:val="000000"/>
                <w:lang w:val="pt-BR" w:eastAsia="pt-BR"/>
              </w:rPr>
            </w:pPr>
          </w:p>
        </w:tc>
      </w:tr>
      <w:tr w:rsidR="00B3078E" w:rsidRPr="00DC0BE5" w14:paraId="1591BCD8" w14:textId="77777777" w:rsidTr="00B3078E">
        <w:trPr>
          <w:trHeight w:val="312"/>
        </w:trPr>
        <w:tc>
          <w:tcPr>
            <w:tcW w:w="995" w:type="dxa"/>
            <w:tcBorders>
              <w:top w:val="nil"/>
              <w:left w:val="nil"/>
              <w:bottom w:val="nil"/>
              <w:right w:val="nil"/>
            </w:tcBorders>
            <w:shd w:val="clear" w:color="auto" w:fill="auto"/>
            <w:noWrap/>
            <w:vAlign w:val="bottom"/>
            <w:hideMark/>
          </w:tcPr>
          <w:p w14:paraId="46263FC3" w14:textId="77777777" w:rsidR="00B3078E" w:rsidRPr="00DC0BE5" w:rsidRDefault="00B3078E" w:rsidP="00B3078E">
            <w:pPr>
              <w:spacing w:line="240" w:lineRule="auto"/>
              <w:jc w:val="center"/>
              <w:rPr>
                <w:rFonts w:cs="Times New Roman"/>
                <w:color w:val="000000"/>
                <w:lang w:val="pt-BR" w:eastAsia="pt-BR"/>
              </w:rPr>
            </w:pPr>
            <w:r w:rsidRPr="00DC0BE5">
              <w:rPr>
                <w:rFonts w:cs="Times New Roman"/>
                <w:color w:val="000000"/>
                <w:lang w:val="pt-BR" w:eastAsia="pt-BR"/>
              </w:rPr>
              <w:t>1</w:t>
            </w:r>
          </w:p>
        </w:tc>
        <w:tc>
          <w:tcPr>
            <w:tcW w:w="874" w:type="dxa"/>
            <w:tcBorders>
              <w:top w:val="nil"/>
              <w:left w:val="nil"/>
              <w:bottom w:val="nil"/>
              <w:right w:val="nil"/>
            </w:tcBorders>
            <w:shd w:val="clear" w:color="auto" w:fill="auto"/>
            <w:noWrap/>
            <w:vAlign w:val="bottom"/>
            <w:hideMark/>
          </w:tcPr>
          <w:p w14:paraId="44690710" w14:textId="77777777" w:rsidR="00B3078E" w:rsidRPr="00DC0BE5" w:rsidRDefault="00B3078E" w:rsidP="00B3078E">
            <w:pPr>
              <w:spacing w:line="240" w:lineRule="auto"/>
              <w:jc w:val="center"/>
              <w:rPr>
                <w:rFonts w:cs="Times New Roman"/>
                <w:color w:val="000000"/>
                <w:lang w:val="pt-BR" w:eastAsia="pt-BR"/>
              </w:rPr>
            </w:pPr>
            <w:r w:rsidRPr="00DC0BE5">
              <w:rPr>
                <w:rFonts w:cs="Times New Roman"/>
                <w:color w:val="000000"/>
                <w:lang w:val="pt-BR" w:eastAsia="pt-BR"/>
              </w:rPr>
              <w:t>3151</w:t>
            </w:r>
            <w:r w:rsidRPr="00DC0BE5">
              <w:rPr>
                <w:rFonts w:cs="Times New Roman"/>
                <w:color w:val="000000"/>
                <w:vertAlign w:val="superscript"/>
                <w:lang w:val="pt-BR" w:eastAsia="pt-BR"/>
              </w:rPr>
              <w:t>D</w:t>
            </w:r>
          </w:p>
        </w:tc>
        <w:tc>
          <w:tcPr>
            <w:tcW w:w="1551" w:type="dxa"/>
            <w:tcBorders>
              <w:top w:val="nil"/>
              <w:left w:val="nil"/>
              <w:bottom w:val="nil"/>
              <w:right w:val="nil"/>
            </w:tcBorders>
            <w:shd w:val="clear" w:color="auto" w:fill="auto"/>
            <w:noWrap/>
            <w:vAlign w:val="bottom"/>
            <w:hideMark/>
          </w:tcPr>
          <w:p w14:paraId="0C40C7E2" w14:textId="77777777" w:rsidR="00B3078E" w:rsidRPr="00DC0BE5" w:rsidRDefault="00B3078E" w:rsidP="00B3078E">
            <w:pPr>
              <w:spacing w:line="240" w:lineRule="auto"/>
              <w:jc w:val="center"/>
              <w:rPr>
                <w:rFonts w:cs="Times New Roman"/>
                <w:color w:val="000000"/>
                <w:lang w:val="pt-BR" w:eastAsia="pt-BR"/>
              </w:rPr>
            </w:pPr>
            <w:r w:rsidRPr="00DC0BE5">
              <w:rPr>
                <w:rFonts w:cs="Times New Roman"/>
                <w:color w:val="000000"/>
                <w:lang w:val="pt-BR" w:eastAsia="pt-BR"/>
              </w:rPr>
              <w:t>5063</w:t>
            </w:r>
            <w:r w:rsidRPr="00DC0BE5">
              <w:rPr>
                <w:rFonts w:cs="Times New Roman"/>
                <w:color w:val="000000"/>
                <w:vertAlign w:val="superscript"/>
                <w:lang w:val="pt-BR" w:eastAsia="pt-BR"/>
              </w:rPr>
              <w:t>C</w:t>
            </w:r>
          </w:p>
        </w:tc>
        <w:tc>
          <w:tcPr>
            <w:tcW w:w="1170" w:type="dxa"/>
            <w:tcBorders>
              <w:top w:val="nil"/>
              <w:left w:val="nil"/>
              <w:bottom w:val="nil"/>
              <w:right w:val="nil"/>
            </w:tcBorders>
            <w:shd w:val="clear" w:color="auto" w:fill="auto"/>
            <w:noWrap/>
            <w:vAlign w:val="bottom"/>
            <w:hideMark/>
          </w:tcPr>
          <w:p w14:paraId="2C40DF20" w14:textId="77777777" w:rsidR="00B3078E" w:rsidRPr="00DC0BE5" w:rsidRDefault="00B3078E" w:rsidP="00B3078E">
            <w:pPr>
              <w:spacing w:line="240" w:lineRule="auto"/>
              <w:jc w:val="center"/>
              <w:rPr>
                <w:rFonts w:cs="Times New Roman"/>
                <w:color w:val="000000"/>
                <w:lang w:val="pt-BR" w:eastAsia="pt-BR"/>
              </w:rPr>
            </w:pPr>
            <w:r w:rsidRPr="00DC0BE5">
              <w:rPr>
                <w:rFonts w:cs="Times New Roman"/>
                <w:color w:val="000000"/>
                <w:lang w:val="pt-BR" w:eastAsia="pt-BR"/>
              </w:rPr>
              <w:t>5332</w:t>
            </w:r>
            <w:r w:rsidRPr="00DC0BE5">
              <w:rPr>
                <w:rFonts w:cs="Times New Roman"/>
                <w:color w:val="000000"/>
                <w:vertAlign w:val="superscript"/>
                <w:lang w:val="pt-BR" w:eastAsia="pt-BR"/>
              </w:rPr>
              <w:t>C</w:t>
            </w:r>
          </w:p>
        </w:tc>
        <w:tc>
          <w:tcPr>
            <w:tcW w:w="1080" w:type="dxa"/>
            <w:tcBorders>
              <w:top w:val="nil"/>
              <w:left w:val="nil"/>
              <w:bottom w:val="nil"/>
              <w:right w:val="nil"/>
            </w:tcBorders>
            <w:shd w:val="clear" w:color="auto" w:fill="auto"/>
            <w:noWrap/>
            <w:vAlign w:val="bottom"/>
            <w:hideMark/>
          </w:tcPr>
          <w:p w14:paraId="4FBCA70A" w14:textId="77777777" w:rsidR="00B3078E" w:rsidRPr="00DC0BE5" w:rsidRDefault="00B3078E" w:rsidP="00B3078E">
            <w:pPr>
              <w:spacing w:line="240" w:lineRule="auto"/>
              <w:jc w:val="center"/>
              <w:rPr>
                <w:rFonts w:cs="Times New Roman"/>
                <w:color w:val="000000"/>
                <w:lang w:val="pt-BR" w:eastAsia="pt-BR"/>
              </w:rPr>
            </w:pPr>
            <w:r w:rsidRPr="00DC0BE5">
              <w:rPr>
                <w:rFonts w:cs="Times New Roman"/>
                <w:color w:val="000000"/>
                <w:lang w:val="pt-BR" w:eastAsia="pt-BR"/>
              </w:rPr>
              <w:t>6045</w:t>
            </w:r>
            <w:r w:rsidRPr="00DC0BE5">
              <w:rPr>
                <w:rFonts w:cs="Times New Roman"/>
                <w:color w:val="000000"/>
                <w:vertAlign w:val="superscript"/>
                <w:lang w:val="pt-BR" w:eastAsia="pt-BR"/>
              </w:rPr>
              <w:t>B</w:t>
            </w:r>
          </w:p>
        </w:tc>
        <w:tc>
          <w:tcPr>
            <w:tcW w:w="1080" w:type="dxa"/>
            <w:tcBorders>
              <w:top w:val="nil"/>
              <w:left w:val="nil"/>
              <w:bottom w:val="nil"/>
              <w:right w:val="nil"/>
            </w:tcBorders>
            <w:shd w:val="clear" w:color="auto" w:fill="auto"/>
            <w:noWrap/>
            <w:vAlign w:val="bottom"/>
            <w:hideMark/>
          </w:tcPr>
          <w:p w14:paraId="1361115D" w14:textId="77777777" w:rsidR="00B3078E" w:rsidRPr="00DC0BE5" w:rsidRDefault="00B3078E" w:rsidP="00B3078E">
            <w:pPr>
              <w:spacing w:line="240" w:lineRule="auto"/>
              <w:jc w:val="center"/>
              <w:rPr>
                <w:rFonts w:cs="Times New Roman"/>
                <w:color w:val="000000"/>
                <w:lang w:val="pt-BR" w:eastAsia="pt-BR"/>
              </w:rPr>
            </w:pPr>
            <w:r w:rsidRPr="00DC0BE5">
              <w:rPr>
                <w:rFonts w:cs="Times New Roman"/>
                <w:color w:val="000000"/>
                <w:lang w:val="pt-BR" w:eastAsia="pt-BR"/>
              </w:rPr>
              <w:t>7819</w:t>
            </w:r>
            <w:r w:rsidRPr="00DC0BE5">
              <w:rPr>
                <w:rFonts w:cs="Times New Roman"/>
                <w:color w:val="000000"/>
                <w:vertAlign w:val="superscript"/>
                <w:lang w:val="pt-BR" w:eastAsia="pt-BR"/>
              </w:rPr>
              <w:t>A</w:t>
            </w:r>
          </w:p>
        </w:tc>
        <w:tc>
          <w:tcPr>
            <w:tcW w:w="1440" w:type="dxa"/>
            <w:tcBorders>
              <w:top w:val="nil"/>
              <w:left w:val="nil"/>
              <w:bottom w:val="nil"/>
              <w:right w:val="nil"/>
            </w:tcBorders>
            <w:shd w:val="clear" w:color="auto" w:fill="auto"/>
            <w:noWrap/>
            <w:vAlign w:val="bottom"/>
            <w:hideMark/>
          </w:tcPr>
          <w:p w14:paraId="0DE3D163" w14:textId="77777777" w:rsidR="00B3078E" w:rsidRPr="00DC0BE5" w:rsidRDefault="00B3078E" w:rsidP="00B3078E">
            <w:pPr>
              <w:spacing w:line="240" w:lineRule="auto"/>
              <w:jc w:val="center"/>
              <w:rPr>
                <w:rFonts w:cs="Times New Roman"/>
                <w:i/>
                <w:iCs/>
                <w:color w:val="000000"/>
                <w:lang w:val="pt-BR" w:eastAsia="pt-BR"/>
              </w:rPr>
            </w:pPr>
            <w:r w:rsidRPr="00DC0BE5">
              <w:rPr>
                <w:rFonts w:cs="Times New Roman"/>
                <w:i/>
                <w:iCs/>
                <w:color w:val="000000"/>
                <w:lang w:val="pt-BR" w:eastAsia="pt-BR"/>
              </w:rPr>
              <w:t>&lt;0.05</w:t>
            </w:r>
          </w:p>
        </w:tc>
        <w:tc>
          <w:tcPr>
            <w:tcW w:w="450" w:type="dxa"/>
            <w:tcBorders>
              <w:top w:val="nil"/>
              <w:left w:val="nil"/>
              <w:bottom w:val="nil"/>
              <w:right w:val="nil"/>
            </w:tcBorders>
          </w:tcPr>
          <w:p w14:paraId="77E48A12" w14:textId="77777777" w:rsidR="00B3078E" w:rsidRPr="00DC0BE5" w:rsidRDefault="00B3078E" w:rsidP="00B3078E">
            <w:pPr>
              <w:spacing w:line="240" w:lineRule="auto"/>
              <w:jc w:val="center"/>
              <w:rPr>
                <w:rFonts w:cs="Times New Roman"/>
                <w:i/>
                <w:iCs/>
                <w:color w:val="000000"/>
                <w:lang w:val="pt-BR" w:eastAsia="pt-BR"/>
              </w:rPr>
            </w:pPr>
          </w:p>
        </w:tc>
      </w:tr>
      <w:tr w:rsidR="00B3078E" w:rsidRPr="00DC0BE5" w14:paraId="66D07CB3" w14:textId="77777777" w:rsidTr="00B3078E">
        <w:trPr>
          <w:trHeight w:val="312"/>
        </w:trPr>
        <w:tc>
          <w:tcPr>
            <w:tcW w:w="995" w:type="dxa"/>
            <w:tcBorders>
              <w:top w:val="nil"/>
              <w:left w:val="nil"/>
              <w:bottom w:val="single" w:sz="4" w:space="0" w:color="auto"/>
              <w:right w:val="nil"/>
            </w:tcBorders>
            <w:shd w:val="clear" w:color="auto" w:fill="auto"/>
            <w:noWrap/>
            <w:vAlign w:val="bottom"/>
            <w:hideMark/>
          </w:tcPr>
          <w:p w14:paraId="130657F4" w14:textId="77777777" w:rsidR="00B3078E" w:rsidRPr="00DC0BE5" w:rsidRDefault="00B3078E" w:rsidP="00B3078E">
            <w:pPr>
              <w:spacing w:line="240" w:lineRule="auto"/>
              <w:jc w:val="center"/>
              <w:rPr>
                <w:rFonts w:cs="Times New Roman"/>
                <w:color w:val="000000"/>
                <w:lang w:val="pt-BR" w:eastAsia="pt-BR"/>
              </w:rPr>
            </w:pPr>
            <w:r w:rsidRPr="00DC0BE5">
              <w:rPr>
                <w:rFonts w:cs="Times New Roman"/>
                <w:color w:val="000000"/>
                <w:lang w:val="pt-BR" w:eastAsia="pt-BR"/>
              </w:rPr>
              <w:t>2</w:t>
            </w:r>
          </w:p>
        </w:tc>
        <w:tc>
          <w:tcPr>
            <w:tcW w:w="874" w:type="dxa"/>
            <w:tcBorders>
              <w:top w:val="nil"/>
              <w:left w:val="nil"/>
              <w:bottom w:val="nil"/>
              <w:right w:val="nil"/>
            </w:tcBorders>
            <w:shd w:val="clear" w:color="auto" w:fill="auto"/>
            <w:noWrap/>
            <w:vAlign w:val="bottom"/>
            <w:hideMark/>
          </w:tcPr>
          <w:p w14:paraId="7568E8EE" w14:textId="77777777" w:rsidR="00B3078E" w:rsidRPr="00DC0BE5" w:rsidRDefault="00B3078E" w:rsidP="00B3078E">
            <w:pPr>
              <w:spacing w:line="240" w:lineRule="auto"/>
              <w:jc w:val="center"/>
              <w:rPr>
                <w:rFonts w:cs="Times New Roman"/>
                <w:color w:val="000000"/>
                <w:lang w:val="pt-BR" w:eastAsia="pt-BR"/>
              </w:rPr>
            </w:pPr>
            <w:r w:rsidRPr="00DC0BE5">
              <w:rPr>
                <w:rFonts w:cs="Times New Roman"/>
                <w:color w:val="000000"/>
                <w:lang w:val="pt-BR" w:eastAsia="pt-BR"/>
              </w:rPr>
              <w:t>3315</w:t>
            </w:r>
            <w:r w:rsidRPr="00DC0BE5">
              <w:rPr>
                <w:rFonts w:cs="Times New Roman"/>
                <w:color w:val="000000"/>
                <w:vertAlign w:val="superscript"/>
                <w:lang w:val="pt-BR" w:eastAsia="pt-BR"/>
              </w:rPr>
              <w:t>C</w:t>
            </w:r>
          </w:p>
        </w:tc>
        <w:tc>
          <w:tcPr>
            <w:tcW w:w="1551" w:type="dxa"/>
            <w:tcBorders>
              <w:top w:val="nil"/>
              <w:left w:val="nil"/>
              <w:bottom w:val="nil"/>
              <w:right w:val="nil"/>
            </w:tcBorders>
            <w:shd w:val="clear" w:color="auto" w:fill="auto"/>
            <w:noWrap/>
            <w:vAlign w:val="bottom"/>
            <w:hideMark/>
          </w:tcPr>
          <w:p w14:paraId="54BCE2A1" w14:textId="77777777" w:rsidR="00B3078E" w:rsidRPr="00DC0BE5" w:rsidRDefault="00B3078E" w:rsidP="00B3078E">
            <w:pPr>
              <w:spacing w:line="240" w:lineRule="auto"/>
              <w:jc w:val="center"/>
              <w:rPr>
                <w:rFonts w:cs="Times New Roman"/>
                <w:color w:val="000000"/>
                <w:lang w:val="pt-BR" w:eastAsia="pt-BR"/>
              </w:rPr>
            </w:pPr>
            <w:r w:rsidRPr="00DC0BE5">
              <w:rPr>
                <w:rFonts w:cs="Times New Roman"/>
                <w:color w:val="000000"/>
                <w:lang w:val="pt-BR" w:eastAsia="pt-BR"/>
              </w:rPr>
              <w:t>3832</w:t>
            </w:r>
            <w:r w:rsidRPr="00DC0BE5">
              <w:rPr>
                <w:rFonts w:cs="Times New Roman"/>
                <w:color w:val="000000"/>
                <w:vertAlign w:val="superscript"/>
                <w:lang w:val="pt-BR" w:eastAsia="pt-BR"/>
              </w:rPr>
              <w:t>AB</w:t>
            </w:r>
          </w:p>
        </w:tc>
        <w:tc>
          <w:tcPr>
            <w:tcW w:w="1170" w:type="dxa"/>
            <w:tcBorders>
              <w:top w:val="nil"/>
              <w:left w:val="nil"/>
              <w:bottom w:val="nil"/>
              <w:right w:val="nil"/>
            </w:tcBorders>
            <w:shd w:val="clear" w:color="auto" w:fill="auto"/>
            <w:noWrap/>
            <w:vAlign w:val="bottom"/>
            <w:hideMark/>
          </w:tcPr>
          <w:p w14:paraId="6D4F112E" w14:textId="77777777" w:rsidR="00B3078E" w:rsidRPr="00DC0BE5" w:rsidRDefault="00B3078E" w:rsidP="00B3078E">
            <w:pPr>
              <w:spacing w:line="240" w:lineRule="auto"/>
              <w:jc w:val="center"/>
              <w:rPr>
                <w:rFonts w:cs="Times New Roman"/>
                <w:color w:val="000000"/>
                <w:lang w:val="pt-BR" w:eastAsia="pt-BR"/>
              </w:rPr>
            </w:pPr>
            <w:r w:rsidRPr="00DC0BE5">
              <w:rPr>
                <w:rFonts w:cs="Times New Roman"/>
                <w:color w:val="000000"/>
                <w:lang w:val="pt-BR" w:eastAsia="pt-BR"/>
              </w:rPr>
              <w:t>3636B</w:t>
            </w:r>
            <w:r w:rsidRPr="00DC0BE5">
              <w:rPr>
                <w:rFonts w:cs="Times New Roman"/>
                <w:color w:val="000000"/>
                <w:vertAlign w:val="superscript"/>
                <w:lang w:val="pt-BR" w:eastAsia="pt-BR"/>
              </w:rPr>
              <w:t>C</w:t>
            </w:r>
          </w:p>
        </w:tc>
        <w:tc>
          <w:tcPr>
            <w:tcW w:w="1080" w:type="dxa"/>
            <w:tcBorders>
              <w:top w:val="nil"/>
              <w:left w:val="nil"/>
              <w:bottom w:val="single" w:sz="4" w:space="0" w:color="auto"/>
              <w:right w:val="nil"/>
            </w:tcBorders>
            <w:shd w:val="clear" w:color="auto" w:fill="auto"/>
            <w:noWrap/>
            <w:vAlign w:val="bottom"/>
            <w:hideMark/>
          </w:tcPr>
          <w:p w14:paraId="0D52F19F" w14:textId="77777777" w:rsidR="00B3078E" w:rsidRPr="00DC0BE5" w:rsidRDefault="00B3078E" w:rsidP="00B3078E">
            <w:pPr>
              <w:spacing w:line="240" w:lineRule="auto"/>
              <w:jc w:val="center"/>
              <w:rPr>
                <w:rFonts w:cs="Times New Roman"/>
                <w:color w:val="000000"/>
                <w:lang w:val="pt-BR" w:eastAsia="pt-BR"/>
              </w:rPr>
            </w:pPr>
            <w:r w:rsidRPr="00DC0BE5">
              <w:rPr>
                <w:rFonts w:cs="Times New Roman"/>
                <w:color w:val="000000"/>
                <w:lang w:val="pt-BR" w:eastAsia="pt-BR"/>
              </w:rPr>
              <w:t>4234</w:t>
            </w:r>
            <w:r w:rsidRPr="00DC0BE5">
              <w:rPr>
                <w:rFonts w:cs="Times New Roman"/>
                <w:color w:val="000000"/>
                <w:vertAlign w:val="superscript"/>
                <w:lang w:val="pt-BR" w:eastAsia="pt-BR"/>
              </w:rPr>
              <w:t>A</w:t>
            </w:r>
          </w:p>
        </w:tc>
        <w:tc>
          <w:tcPr>
            <w:tcW w:w="1080" w:type="dxa"/>
            <w:tcBorders>
              <w:top w:val="nil"/>
              <w:left w:val="nil"/>
              <w:bottom w:val="single" w:sz="4" w:space="0" w:color="auto"/>
              <w:right w:val="nil"/>
            </w:tcBorders>
            <w:shd w:val="clear" w:color="auto" w:fill="auto"/>
            <w:noWrap/>
            <w:vAlign w:val="bottom"/>
            <w:hideMark/>
          </w:tcPr>
          <w:p w14:paraId="420C276B" w14:textId="77777777" w:rsidR="00B3078E" w:rsidRPr="00DC0BE5" w:rsidRDefault="00B3078E" w:rsidP="00B3078E">
            <w:pPr>
              <w:spacing w:line="240" w:lineRule="auto"/>
              <w:jc w:val="center"/>
              <w:rPr>
                <w:rFonts w:cs="Times New Roman"/>
                <w:color w:val="000000"/>
                <w:lang w:val="pt-BR" w:eastAsia="pt-BR"/>
              </w:rPr>
            </w:pPr>
            <w:r w:rsidRPr="00DC0BE5">
              <w:rPr>
                <w:rFonts w:cs="Times New Roman"/>
                <w:color w:val="000000"/>
                <w:lang w:val="pt-BR" w:eastAsia="pt-BR"/>
              </w:rPr>
              <w:t>4082</w:t>
            </w:r>
            <w:r w:rsidRPr="00DC0BE5">
              <w:rPr>
                <w:rFonts w:cs="Times New Roman"/>
                <w:color w:val="000000"/>
                <w:vertAlign w:val="superscript"/>
                <w:lang w:val="pt-BR" w:eastAsia="pt-BR"/>
              </w:rPr>
              <w:t>AB</w:t>
            </w:r>
          </w:p>
        </w:tc>
        <w:tc>
          <w:tcPr>
            <w:tcW w:w="1440" w:type="dxa"/>
            <w:tcBorders>
              <w:top w:val="nil"/>
              <w:left w:val="nil"/>
              <w:bottom w:val="single" w:sz="4" w:space="0" w:color="auto"/>
              <w:right w:val="nil"/>
            </w:tcBorders>
            <w:shd w:val="clear" w:color="auto" w:fill="auto"/>
            <w:noWrap/>
            <w:vAlign w:val="bottom"/>
            <w:hideMark/>
          </w:tcPr>
          <w:p w14:paraId="675118B9" w14:textId="77777777" w:rsidR="00B3078E" w:rsidRPr="00DC0BE5" w:rsidRDefault="00B3078E" w:rsidP="00B3078E">
            <w:pPr>
              <w:spacing w:line="240" w:lineRule="auto"/>
              <w:jc w:val="center"/>
              <w:rPr>
                <w:rFonts w:cs="Times New Roman"/>
                <w:i/>
                <w:iCs/>
                <w:color w:val="000000"/>
                <w:lang w:val="pt-BR" w:eastAsia="pt-BR"/>
              </w:rPr>
            </w:pPr>
            <w:r w:rsidRPr="00DC0BE5">
              <w:rPr>
                <w:rFonts w:cs="Times New Roman"/>
                <w:i/>
                <w:iCs/>
                <w:color w:val="000000"/>
                <w:lang w:val="pt-BR" w:eastAsia="pt-BR"/>
              </w:rPr>
              <w:t>&lt;0.05</w:t>
            </w:r>
          </w:p>
        </w:tc>
        <w:tc>
          <w:tcPr>
            <w:tcW w:w="450" w:type="dxa"/>
            <w:tcBorders>
              <w:top w:val="nil"/>
              <w:left w:val="nil"/>
              <w:bottom w:val="single" w:sz="4" w:space="0" w:color="auto"/>
              <w:right w:val="nil"/>
            </w:tcBorders>
          </w:tcPr>
          <w:p w14:paraId="2D2E5DC8" w14:textId="77777777" w:rsidR="00B3078E" w:rsidRPr="00DC0BE5" w:rsidRDefault="00B3078E" w:rsidP="00B3078E">
            <w:pPr>
              <w:spacing w:line="240" w:lineRule="auto"/>
              <w:jc w:val="center"/>
              <w:rPr>
                <w:rFonts w:cs="Times New Roman"/>
                <w:i/>
                <w:iCs/>
                <w:color w:val="000000"/>
                <w:lang w:val="pt-BR" w:eastAsia="pt-BR"/>
              </w:rPr>
            </w:pPr>
          </w:p>
        </w:tc>
      </w:tr>
      <w:tr w:rsidR="00B3078E" w:rsidRPr="00DC0BE5" w14:paraId="32B41C63" w14:textId="77777777" w:rsidTr="00B3078E">
        <w:trPr>
          <w:trHeight w:val="312"/>
        </w:trPr>
        <w:tc>
          <w:tcPr>
            <w:tcW w:w="995" w:type="dxa"/>
            <w:tcBorders>
              <w:top w:val="nil"/>
              <w:left w:val="nil"/>
              <w:bottom w:val="nil"/>
              <w:right w:val="nil"/>
            </w:tcBorders>
            <w:shd w:val="clear" w:color="auto" w:fill="auto"/>
            <w:noWrap/>
            <w:vAlign w:val="bottom"/>
            <w:hideMark/>
          </w:tcPr>
          <w:p w14:paraId="674CBDF6" w14:textId="77777777" w:rsidR="00B3078E" w:rsidRPr="00DC0BE5" w:rsidRDefault="00B3078E" w:rsidP="00B3078E">
            <w:pPr>
              <w:spacing w:line="240" w:lineRule="auto"/>
              <w:jc w:val="center"/>
              <w:rPr>
                <w:rFonts w:cs="Times New Roman"/>
                <w:color w:val="000000"/>
                <w:lang w:val="pt-BR" w:eastAsia="pt-BR"/>
              </w:rPr>
            </w:pPr>
            <w:r w:rsidRPr="00DC0BE5">
              <w:rPr>
                <w:rFonts w:cs="Times New Roman"/>
                <w:i/>
                <w:iCs/>
                <w:color w:val="000000"/>
                <w:lang w:val="pt-BR" w:eastAsia="pt-BR"/>
              </w:rPr>
              <w:t>P</w:t>
            </w:r>
            <w:r w:rsidRPr="00DC0BE5">
              <w:rPr>
                <w:rFonts w:cs="Times New Roman"/>
                <w:color w:val="000000"/>
                <w:lang w:val="pt-BR" w:eastAsia="pt-BR"/>
              </w:rPr>
              <w:t>-value</w:t>
            </w:r>
          </w:p>
        </w:tc>
        <w:tc>
          <w:tcPr>
            <w:tcW w:w="874" w:type="dxa"/>
            <w:tcBorders>
              <w:top w:val="single" w:sz="4" w:space="0" w:color="auto"/>
              <w:left w:val="nil"/>
              <w:bottom w:val="nil"/>
              <w:right w:val="nil"/>
            </w:tcBorders>
            <w:shd w:val="clear" w:color="auto" w:fill="auto"/>
            <w:noWrap/>
            <w:vAlign w:val="bottom"/>
            <w:hideMark/>
          </w:tcPr>
          <w:p w14:paraId="06206588" w14:textId="77777777" w:rsidR="00B3078E" w:rsidRPr="00DC0BE5" w:rsidRDefault="00B3078E" w:rsidP="00B3078E">
            <w:pPr>
              <w:spacing w:line="240" w:lineRule="auto"/>
              <w:jc w:val="center"/>
              <w:rPr>
                <w:rFonts w:cs="Times New Roman"/>
                <w:i/>
                <w:iCs/>
                <w:color w:val="000000"/>
                <w:lang w:val="pt-BR" w:eastAsia="pt-BR"/>
              </w:rPr>
            </w:pPr>
            <w:r w:rsidRPr="00DC0BE5">
              <w:rPr>
                <w:rFonts w:cs="Times New Roman"/>
                <w:i/>
                <w:iCs/>
                <w:color w:val="000000"/>
                <w:lang w:val="pt-BR" w:eastAsia="pt-BR"/>
              </w:rPr>
              <w:t>&gt;0.05</w:t>
            </w:r>
          </w:p>
        </w:tc>
        <w:tc>
          <w:tcPr>
            <w:tcW w:w="1551" w:type="dxa"/>
            <w:tcBorders>
              <w:top w:val="single" w:sz="4" w:space="0" w:color="auto"/>
              <w:left w:val="nil"/>
              <w:bottom w:val="nil"/>
              <w:right w:val="nil"/>
            </w:tcBorders>
            <w:shd w:val="clear" w:color="auto" w:fill="auto"/>
            <w:noWrap/>
            <w:vAlign w:val="bottom"/>
            <w:hideMark/>
          </w:tcPr>
          <w:p w14:paraId="23E3B9BF" w14:textId="77777777" w:rsidR="00B3078E" w:rsidRPr="00DC0BE5" w:rsidRDefault="00B3078E" w:rsidP="00B3078E">
            <w:pPr>
              <w:spacing w:line="240" w:lineRule="auto"/>
              <w:jc w:val="center"/>
              <w:rPr>
                <w:rFonts w:cs="Times New Roman"/>
                <w:i/>
                <w:iCs/>
                <w:color w:val="000000"/>
                <w:lang w:val="pt-BR" w:eastAsia="pt-BR"/>
              </w:rPr>
            </w:pPr>
            <w:r w:rsidRPr="00DC0BE5">
              <w:rPr>
                <w:rFonts w:cs="Times New Roman"/>
                <w:i/>
                <w:iCs/>
                <w:color w:val="000000"/>
                <w:lang w:val="pt-BR" w:eastAsia="pt-BR"/>
              </w:rPr>
              <w:t>&lt;0.05</w:t>
            </w:r>
          </w:p>
        </w:tc>
        <w:tc>
          <w:tcPr>
            <w:tcW w:w="1170" w:type="dxa"/>
            <w:tcBorders>
              <w:top w:val="single" w:sz="4" w:space="0" w:color="auto"/>
              <w:left w:val="nil"/>
              <w:bottom w:val="nil"/>
              <w:right w:val="nil"/>
            </w:tcBorders>
            <w:shd w:val="clear" w:color="auto" w:fill="auto"/>
            <w:noWrap/>
            <w:vAlign w:val="bottom"/>
            <w:hideMark/>
          </w:tcPr>
          <w:p w14:paraId="725995B9" w14:textId="77777777" w:rsidR="00B3078E" w:rsidRPr="00DC0BE5" w:rsidRDefault="00B3078E" w:rsidP="00B3078E">
            <w:pPr>
              <w:spacing w:line="240" w:lineRule="auto"/>
              <w:jc w:val="center"/>
              <w:rPr>
                <w:rFonts w:cs="Times New Roman"/>
                <w:i/>
                <w:iCs/>
                <w:color w:val="000000"/>
                <w:lang w:val="pt-BR" w:eastAsia="pt-BR"/>
              </w:rPr>
            </w:pPr>
            <w:r w:rsidRPr="00DC0BE5">
              <w:rPr>
                <w:rFonts w:cs="Times New Roman"/>
                <w:i/>
                <w:iCs/>
                <w:color w:val="000000"/>
                <w:lang w:val="pt-BR" w:eastAsia="pt-BR"/>
              </w:rPr>
              <w:t>&lt;0.05</w:t>
            </w:r>
          </w:p>
        </w:tc>
        <w:tc>
          <w:tcPr>
            <w:tcW w:w="1080" w:type="dxa"/>
            <w:tcBorders>
              <w:top w:val="nil"/>
              <w:left w:val="nil"/>
              <w:bottom w:val="nil"/>
              <w:right w:val="nil"/>
            </w:tcBorders>
            <w:shd w:val="clear" w:color="auto" w:fill="auto"/>
            <w:noWrap/>
            <w:vAlign w:val="bottom"/>
            <w:hideMark/>
          </w:tcPr>
          <w:p w14:paraId="71D1C307" w14:textId="77777777" w:rsidR="00B3078E" w:rsidRPr="00DC0BE5" w:rsidRDefault="00B3078E" w:rsidP="00B3078E">
            <w:pPr>
              <w:spacing w:line="240" w:lineRule="auto"/>
              <w:jc w:val="center"/>
              <w:rPr>
                <w:rFonts w:cs="Times New Roman"/>
                <w:i/>
                <w:iCs/>
                <w:color w:val="000000"/>
                <w:lang w:val="pt-BR" w:eastAsia="pt-BR"/>
              </w:rPr>
            </w:pPr>
            <w:r w:rsidRPr="00DC0BE5">
              <w:rPr>
                <w:rFonts w:cs="Times New Roman"/>
                <w:i/>
                <w:iCs/>
                <w:color w:val="000000"/>
                <w:lang w:val="pt-BR" w:eastAsia="pt-BR"/>
              </w:rPr>
              <w:t>&lt;0.05</w:t>
            </w:r>
          </w:p>
        </w:tc>
        <w:tc>
          <w:tcPr>
            <w:tcW w:w="1080" w:type="dxa"/>
            <w:tcBorders>
              <w:top w:val="nil"/>
              <w:left w:val="nil"/>
              <w:bottom w:val="nil"/>
              <w:right w:val="nil"/>
            </w:tcBorders>
            <w:shd w:val="clear" w:color="auto" w:fill="auto"/>
            <w:noWrap/>
            <w:vAlign w:val="bottom"/>
            <w:hideMark/>
          </w:tcPr>
          <w:p w14:paraId="1733E83E" w14:textId="77777777" w:rsidR="00B3078E" w:rsidRPr="00DC0BE5" w:rsidRDefault="00B3078E" w:rsidP="00B3078E">
            <w:pPr>
              <w:spacing w:line="240" w:lineRule="auto"/>
              <w:jc w:val="center"/>
              <w:rPr>
                <w:rFonts w:cs="Times New Roman"/>
                <w:i/>
                <w:iCs/>
                <w:color w:val="000000"/>
                <w:lang w:val="pt-BR" w:eastAsia="pt-BR"/>
              </w:rPr>
            </w:pPr>
            <w:r w:rsidRPr="00DC0BE5">
              <w:rPr>
                <w:rFonts w:cs="Times New Roman"/>
                <w:i/>
                <w:iCs/>
                <w:color w:val="000000"/>
                <w:lang w:val="pt-BR" w:eastAsia="pt-BR"/>
              </w:rPr>
              <w:t>&lt;0.05</w:t>
            </w:r>
          </w:p>
        </w:tc>
        <w:tc>
          <w:tcPr>
            <w:tcW w:w="1440" w:type="dxa"/>
            <w:tcBorders>
              <w:top w:val="nil"/>
              <w:left w:val="nil"/>
              <w:bottom w:val="nil"/>
              <w:right w:val="nil"/>
            </w:tcBorders>
            <w:shd w:val="clear" w:color="auto" w:fill="auto"/>
            <w:noWrap/>
            <w:vAlign w:val="bottom"/>
            <w:hideMark/>
          </w:tcPr>
          <w:p w14:paraId="3D616060" w14:textId="77777777" w:rsidR="00B3078E" w:rsidRPr="00DC0BE5" w:rsidRDefault="00B3078E" w:rsidP="00B3078E">
            <w:pPr>
              <w:spacing w:line="240" w:lineRule="auto"/>
              <w:jc w:val="center"/>
              <w:rPr>
                <w:rFonts w:cs="Times New Roman"/>
                <w:i/>
                <w:iCs/>
                <w:color w:val="000000"/>
                <w:lang w:val="pt-BR" w:eastAsia="pt-BR"/>
              </w:rPr>
            </w:pPr>
          </w:p>
        </w:tc>
        <w:tc>
          <w:tcPr>
            <w:tcW w:w="450" w:type="dxa"/>
            <w:tcBorders>
              <w:top w:val="nil"/>
              <w:left w:val="nil"/>
              <w:bottom w:val="nil"/>
              <w:right w:val="nil"/>
            </w:tcBorders>
          </w:tcPr>
          <w:p w14:paraId="5BBB1226" w14:textId="77777777" w:rsidR="00B3078E" w:rsidRPr="00DC0BE5" w:rsidRDefault="00B3078E" w:rsidP="00B3078E">
            <w:pPr>
              <w:spacing w:line="240" w:lineRule="auto"/>
              <w:jc w:val="center"/>
              <w:rPr>
                <w:rFonts w:cs="Times New Roman"/>
                <w:i/>
                <w:iCs/>
                <w:color w:val="000000"/>
                <w:lang w:val="pt-BR" w:eastAsia="pt-BR"/>
              </w:rPr>
            </w:pPr>
          </w:p>
        </w:tc>
      </w:tr>
      <w:tr w:rsidR="00B3078E" w:rsidRPr="00DC0BE5" w14:paraId="406DC212" w14:textId="77777777" w:rsidTr="00B3078E">
        <w:trPr>
          <w:trHeight w:val="312"/>
        </w:trPr>
        <w:tc>
          <w:tcPr>
            <w:tcW w:w="8190" w:type="dxa"/>
            <w:gridSpan w:val="7"/>
            <w:tcBorders>
              <w:top w:val="single" w:sz="4" w:space="0" w:color="auto"/>
              <w:left w:val="nil"/>
              <w:bottom w:val="nil"/>
              <w:right w:val="nil"/>
            </w:tcBorders>
            <w:shd w:val="clear" w:color="auto" w:fill="auto"/>
            <w:noWrap/>
            <w:vAlign w:val="center"/>
            <w:hideMark/>
          </w:tcPr>
          <w:p w14:paraId="42B1E0F9" w14:textId="77777777" w:rsidR="00B3078E" w:rsidRPr="00761497" w:rsidRDefault="00B3078E" w:rsidP="00B3078E">
            <w:pPr>
              <w:spacing w:line="240" w:lineRule="auto"/>
              <w:rPr>
                <w:rFonts w:cs="Times New Roman"/>
                <w:color w:val="000000"/>
                <w:lang w:eastAsia="pt-BR"/>
              </w:rPr>
            </w:pPr>
            <w:r w:rsidRPr="00761497">
              <w:rPr>
                <w:rFonts w:cs="Times New Roman"/>
                <w:color w:val="000000"/>
                <w:lang w:eastAsia="pt-BR"/>
              </w:rPr>
              <w:t>Means within a column differ each N strategies into year (</w:t>
            </w:r>
            <w:r w:rsidRPr="00761497">
              <w:rPr>
                <w:rFonts w:cs="Times New Roman"/>
                <w:i/>
                <w:iCs/>
                <w:color w:val="000000"/>
                <w:lang w:eastAsia="pt-BR"/>
              </w:rPr>
              <w:t>p</w:t>
            </w:r>
            <w:r w:rsidRPr="00761497">
              <w:rPr>
                <w:rFonts w:cs="Times New Roman"/>
                <w:color w:val="000000"/>
                <w:lang w:eastAsia="pt-BR"/>
              </w:rPr>
              <w:t xml:space="preserve"> &lt; .05). </w:t>
            </w:r>
          </w:p>
        </w:tc>
        <w:tc>
          <w:tcPr>
            <w:tcW w:w="450" w:type="dxa"/>
            <w:tcBorders>
              <w:top w:val="single" w:sz="4" w:space="0" w:color="auto"/>
              <w:left w:val="nil"/>
              <w:bottom w:val="nil"/>
              <w:right w:val="nil"/>
            </w:tcBorders>
          </w:tcPr>
          <w:p w14:paraId="3D109696" w14:textId="77777777" w:rsidR="00B3078E" w:rsidRPr="00761497" w:rsidRDefault="00B3078E" w:rsidP="00B3078E">
            <w:pPr>
              <w:spacing w:line="240" w:lineRule="auto"/>
              <w:rPr>
                <w:rFonts w:cs="Times New Roman"/>
                <w:color w:val="000000"/>
                <w:lang w:eastAsia="pt-BR"/>
              </w:rPr>
            </w:pPr>
          </w:p>
        </w:tc>
      </w:tr>
      <w:tr w:rsidR="00B3078E" w:rsidRPr="00DC0BE5" w14:paraId="7103C342" w14:textId="77777777" w:rsidTr="00B3078E">
        <w:trPr>
          <w:trHeight w:val="312"/>
        </w:trPr>
        <w:tc>
          <w:tcPr>
            <w:tcW w:w="8190" w:type="dxa"/>
            <w:gridSpan w:val="7"/>
            <w:tcBorders>
              <w:top w:val="nil"/>
              <w:left w:val="nil"/>
              <w:bottom w:val="nil"/>
              <w:right w:val="nil"/>
            </w:tcBorders>
            <w:shd w:val="clear" w:color="auto" w:fill="auto"/>
            <w:noWrap/>
            <w:vAlign w:val="center"/>
            <w:hideMark/>
          </w:tcPr>
          <w:p w14:paraId="4DBB149D" w14:textId="77777777" w:rsidR="00B3078E" w:rsidRPr="00761497" w:rsidRDefault="00B3078E" w:rsidP="00B3078E">
            <w:pPr>
              <w:spacing w:line="240" w:lineRule="auto"/>
              <w:rPr>
                <w:rFonts w:cs="Times New Roman"/>
                <w:color w:val="000000"/>
                <w:lang w:eastAsia="pt-BR"/>
              </w:rPr>
            </w:pPr>
            <w:r w:rsidRPr="00761497">
              <w:rPr>
                <w:rFonts w:cs="Times New Roman"/>
                <w:color w:val="000000"/>
                <w:lang w:eastAsia="pt-BR"/>
              </w:rPr>
              <w:t>Means without within a row differ each year into N strategies (</w:t>
            </w:r>
            <w:r w:rsidRPr="00761497">
              <w:rPr>
                <w:rFonts w:cs="Times New Roman"/>
                <w:i/>
                <w:iCs/>
                <w:color w:val="000000"/>
                <w:lang w:eastAsia="pt-BR"/>
              </w:rPr>
              <w:t>p</w:t>
            </w:r>
            <w:r w:rsidRPr="00761497">
              <w:rPr>
                <w:rFonts w:cs="Times New Roman"/>
                <w:color w:val="000000"/>
                <w:lang w:eastAsia="pt-BR"/>
              </w:rPr>
              <w:t xml:space="preserve"> &lt; .05).</w:t>
            </w:r>
          </w:p>
        </w:tc>
        <w:tc>
          <w:tcPr>
            <w:tcW w:w="450" w:type="dxa"/>
            <w:tcBorders>
              <w:top w:val="nil"/>
              <w:left w:val="nil"/>
              <w:bottom w:val="nil"/>
              <w:right w:val="nil"/>
            </w:tcBorders>
          </w:tcPr>
          <w:p w14:paraId="1D12B057" w14:textId="77777777" w:rsidR="00B3078E" w:rsidRPr="00761497" w:rsidRDefault="00B3078E" w:rsidP="00B3078E">
            <w:pPr>
              <w:spacing w:line="240" w:lineRule="auto"/>
              <w:rPr>
                <w:rFonts w:cs="Times New Roman"/>
                <w:color w:val="000000"/>
                <w:lang w:eastAsia="pt-BR"/>
              </w:rPr>
            </w:pPr>
          </w:p>
        </w:tc>
      </w:tr>
      <w:tr w:rsidR="00B3078E" w:rsidRPr="00DC0BE5" w14:paraId="5F0980C5" w14:textId="77777777" w:rsidTr="00B3078E">
        <w:trPr>
          <w:trHeight w:val="336"/>
        </w:trPr>
        <w:tc>
          <w:tcPr>
            <w:tcW w:w="8190" w:type="dxa"/>
            <w:gridSpan w:val="7"/>
            <w:tcBorders>
              <w:top w:val="nil"/>
              <w:left w:val="nil"/>
              <w:bottom w:val="nil"/>
              <w:right w:val="nil"/>
            </w:tcBorders>
            <w:shd w:val="clear" w:color="auto" w:fill="auto"/>
            <w:noWrap/>
            <w:vAlign w:val="center"/>
            <w:hideMark/>
          </w:tcPr>
          <w:p w14:paraId="3866AA05" w14:textId="77777777" w:rsidR="00B3078E" w:rsidRPr="00DC0BE5" w:rsidRDefault="00B3078E" w:rsidP="00B3078E">
            <w:pPr>
              <w:spacing w:line="240" w:lineRule="auto"/>
              <w:rPr>
                <w:rFonts w:cs="Times New Roman"/>
                <w:color w:val="000000"/>
                <w:lang w:val="pt-BR" w:eastAsia="pt-BR"/>
              </w:rPr>
            </w:pPr>
            <w:r w:rsidRPr="00DC0BE5">
              <w:rPr>
                <w:rFonts w:cs="Times New Roman"/>
                <w:color w:val="000000"/>
                <w:lang w:val="pt-BR" w:eastAsia="pt-BR"/>
              </w:rPr>
              <w:t>SEM =</w:t>
            </w:r>
            <w:r>
              <w:rPr>
                <w:rFonts w:cs="Times New Roman"/>
                <w:color w:val="000000"/>
                <w:lang w:val="pt-BR" w:eastAsia="pt-BR"/>
              </w:rPr>
              <w:t xml:space="preserve"> 189</w:t>
            </w:r>
            <w:r w:rsidRPr="00DC0BE5">
              <w:rPr>
                <w:rFonts w:cs="Times New Roman"/>
                <w:color w:val="000000"/>
                <w:lang w:val="pt-BR" w:eastAsia="pt-BR"/>
              </w:rPr>
              <w:t>.</w:t>
            </w:r>
          </w:p>
        </w:tc>
        <w:tc>
          <w:tcPr>
            <w:tcW w:w="450" w:type="dxa"/>
            <w:tcBorders>
              <w:top w:val="nil"/>
              <w:left w:val="nil"/>
              <w:bottom w:val="nil"/>
              <w:right w:val="nil"/>
            </w:tcBorders>
          </w:tcPr>
          <w:p w14:paraId="55956326" w14:textId="77777777" w:rsidR="00B3078E" w:rsidRPr="00DC0BE5" w:rsidRDefault="00B3078E" w:rsidP="00B3078E">
            <w:pPr>
              <w:spacing w:line="240" w:lineRule="auto"/>
              <w:rPr>
                <w:rFonts w:cs="Times New Roman"/>
                <w:color w:val="000000"/>
                <w:lang w:val="pt-BR" w:eastAsia="pt-BR"/>
              </w:rPr>
            </w:pPr>
          </w:p>
        </w:tc>
      </w:tr>
      <w:tr w:rsidR="00B3078E" w:rsidRPr="00DC0BE5" w14:paraId="36F8DBC1" w14:textId="77777777" w:rsidTr="00B3078E">
        <w:trPr>
          <w:trHeight w:val="312"/>
        </w:trPr>
        <w:tc>
          <w:tcPr>
            <w:tcW w:w="8190" w:type="dxa"/>
            <w:gridSpan w:val="7"/>
            <w:tcBorders>
              <w:top w:val="nil"/>
              <w:left w:val="nil"/>
              <w:bottom w:val="nil"/>
              <w:right w:val="nil"/>
            </w:tcBorders>
            <w:shd w:val="clear" w:color="auto" w:fill="auto"/>
            <w:noWrap/>
            <w:vAlign w:val="bottom"/>
            <w:hideMark/>
          </w:tcPr>
          <w:p w14:paraId="0A9DE8DA" w14:textId="77777777" w:rsidR="00B3078E" w:rsidRPr="00761497" w:rsidRDefault="00B3078E" w:rsidP="00B3078E">
            <w:pPr>
              <w:spacing w:line="240" w:lineRule="auto"/>
              <w:rPr>
                <w:rFonts w:cs="Times New Roman"/>
                <w:i/>
                <w:iCs/>
                <w:color w:val="000000"/>
                <w:lang w:eastAsia="pt-BR"/>
              </w:rPr>
            </w:pPr>
            <w:r w:rsidRPr="00761497">
              <w:rPr>
                <w:rFonts w:cs="Times New Roman"/>
                <w:i/>
                <w:iCs/>
                <w:color w:val="000000"/>
                <w:lang w:eastAsia="pt-BR"/>
              </w:rPr>
              <w:t>Note</w:t>
            </w:r>
            <w:r w:rsidRPr="00761497">
              <w:rPr>
                <w:rFonts w:cs="Times New Roman"/>
                <w:color w:val="000000"/>
                <w:lang w:eastAsia="pt-BR"/>
              </w:rPr>
              <w:t>: U, urea; A, ammonium sulfate.</w:t>
            </w:r>
          </w:p>
        </w:tc>
        <w:tc>
          <w:tcPr>
            <w:tcW w:w="450" w:type="dxa"/>
            <w:tcBorders>
              <w:top w:val="nil"/>
              <w:left w:val="nil"/>
              <w:bottom w:val="nil"/>
              <w:right w:val="nil"/>
            </w:tcBorders>
          </w:tcPr>
          <w:p w14:paraId="66FA9A28" w14:textId="77777777" w:rsidR="00B3078E" w:rsidRPr="00761497" w:rsidRDefault="00B3078E" w:rsidP="00B3078E">
            <w:pPr>
              <w:spacing w:line="240" w:lineRule="auto"/>
              <w:rPr>
                <w:rFonts w:cs="Times New Roman"/>
                <w:i/>
                <w:iCs/>
                <w:color w:val="000000"/>
                <w:lang w:eastAsia="pt-BR"/>
              </w:rPr>
            </w:pPr>
          </w:p>
        </w:tc>
      </w:tr>
    </w:tbl>
    <w:p w14:paraId="65649C0D" w14:textId="77777777" w:rsidR="008A0AD5" w:rsidRDefault="008A0AD5" w:rsidP="00DC0BE5">
      <w:pPr>
        <w:spacing w:line="480" w:lineRule="auto"/>
        <w:ind w:firstLine="720"/>
      </w:pPr>
    </w:p>
    <w:p w14:paraId="031945C7" w14:textId="055C51A9" w:rsidR="0047644D" w:rsidRPr="003E0A16" w:rsidRDefault="008A0AD5" w:rsidP="003E0A16">
      <w:pPr>
        <w:spacing w:line="240" w:lineRule="auto"/>
      </w:pPr>
      <w:r>
        <w:br w:type="page"/>
      </w:r>
    </w:p>
    <w:p w14:paraId="3622170B" w14:textId="476D88E4" w:rsidR="00DC0BE5" w:rsidRPr="0047644D" w:rsidRDefault="006B7E19" w:rsidP="00776576">
      <w:pPr>
        <w:spacing w:line="480" w:lineRule="auto"/>
        <w:rPr>
          <w:rFonts w:cs="Times New Roman"/>
        </w:rPr>
      </w:pPr>
      <w:r>
        <w:rPr>
          <w:rFonts w:cs="Times New Roman"/>
        </w:rPr>
        <w:lastRenderedPageBreak/>
        <w:t xml:space="preserve">which closely matches the FA observed for A-67 in our </w:t>
      </w:r>
      <w:r w:rsidR="003E0A16">
        <w:rPr>
          <w:rFonts w:cs="Times New Roman"/>
        </w:rPr>
        <w:t>study (</w:t>
      </w:r>
      <w:r w:rsidR="0047644D" w:rsidRPr="0047644D">
        <w:rPr>
          <w:rFonts w:cs="Times New Roman"/>
          <w:b/>
          <w:bCs/>
        </w:rPr>
        <w:t>Table 2.4</w:t>
      </w:r>
      <w:r w:rsidR="0047644D">
        <w:rPr>
          <w:rFonts w:cs="Times New Roman"/>
        </w:rPr>
        <w:t>)</w:t>
      </w:r>
      <w:r>
        <w:rPr>
          <w:rFonts w:cs="Times New Roman"/>
        </w:rPr>
        <w:t>.</w:t>
      </w:r>
    </w:p>
    <w:p w14:paraId="0CA97FC0" w14:textId="638666C9" w:rsidR="005F66DA" w:rsidRDefault="006D3E6E" w:rsidP="00776576">
      <w:pPr>
        <w:pStyle w:val="Heading3"/>
        <w:spacing w:before="0" w:after="0" w:line="480" w:lineRule="auto"/>
      </w:pPr>
      <w:bookmarkStart w:id="66" w:name="_Toc196315259"/>
      <w:r>
        <w:t xml:space="preserve">Morphological and </w:t>
      </w:r>
      <w:r w:rsidR="005F66DA">
        <w:t>Botanical Composition</w:t>
      </w:r>
      <w:bookmarkEnd w:id="66"/>
      <w:r w:rsidR="001520B7">
        <w:t xml:space="preserve"> </w:t>
      </w:r>
      <w:r w:rsidR="00153A6A">
        <w:t xml:space="preserve"> </w:t>
      </w:r>
    </w:p>
    <w:p w14:paraId="471FCC32" w14:textId="07A00867" w:rsidR="00A75978" w:rsidRDefault="00C140B6" w:rsidP="00776576">
      <w:pPr>
        <w:spacing w:line="480" w:lineRule="auto"/>
        <w:ind w:firstLine="720"/>
        <w:rPr>
          <w:rFonts w:cs="Times New Roman"/>
        </w:rPr>
      </w:pPr>
      <w:r>
        <w:t xml:space="preserve">For </w:t>
      </w:r>
      <w:r w:rsidR="000214B4">
        <w:t xml:space="preserve">dead </w:t>
      </w:r>
      <w:r>
        <w:t xml:space="preserve">material, </w:t>
      </w:r>
      <w:r w:rsidR="000214B4">
        <w:t>stem</w:t>
      </w:r>
      <w:r>
        <w:t xml:space="preserve">, </w:t>
      </w:r>
      <w:r w:rsidR="000214B4">
        <w:t>lea</w:t>
      </w:r>
      <w:r w:rsidR="00081703">
        <w:t>f</w:t>
      </w:r>
      <w:r>
        <w:t xml:space="preserve">, and </w:t>
      </w:r>
      <w:r w:rsidR="000214B4">
        <w:t xml:space="preserve">weed </w:t>
      </w:r>
      <w:r w:rsidR="00081703">
        <w:t>values</w:t>
      </w:r>
      <w:r w:rsidR="00CD78D3">
        <w:t xml:space="preserve">, there was no effect of the </w:t>
      </w:r>
      <w:r w:rsidR="006D3E6E">
        <w:rPr>
          <w:rFonts w:cs="Times New Roman"/>
        </w:rPr>
        <w:t xml:space="preserve">interaction </w:t>
      </w:r>
      <w:r w:rsidR="00CD78D3">
        <w:rPr>
          <w:rFonts w:cs="Times New Roman"/>
        </w:rPr>
        <w:t xml:space="preserve">of </w:t>
      </w:r>
      <w:r w:rsidR="006D3E6E">
        <w:rPr>
          <w:rFonts w:cs="Times New Roman"/>
        </w:rPr>
        <w:t xml:space="preserve">inoculation </w:t>
      </w:r>
      <w:r w:rsidR="006D3E6E" w:rsidRPr="005E2BFA">
        <w:rPr>
          <w:rFonts w:cs="Times New Roman"/>
        </w:rPr>
        <w:t xml:space="preserve">× </w:t>
      </w:r>
      <w:r w:rsidR="006471A3">
        <w:t>N strategies</w:t>
      </w:r>
      <w:r w:rsidR="006D3E6E" w:rsidRPr="005E2BFA">
        <w:rPr>
          <w:rFonts w:cs="Times New Roman"/>
        </w:rPr>
        <w:t xml:space="preserve"> (</w:t>
      </w:r>
      <w:r w:rsidR="006D3E6E" w:rsidRPr="00D47EF5">
        <w:rPr>
          <w:rFonts w:cs="Times New Roman"/>
          <w:i/>
          <w:iCs/>
        </w:rPr>
        <w:t>P</w:t>
      </w:r>
      <w:r w:rsidR="006D3E6E" w:rsidRPr="005E2BFA">
        <w:rPr>
          <w:rFonts w:cs="Times New Roman"/>
        </w:rPr>
        <w:t xml:space="preserve"> = .</w:t>
      </w:r>
      <w:r w:rsidR="00CD78D3">
        <w:rPr>
          <w:rFonts w:cs="Times New Roman"/>
        </w:rPr>
        <w:t>9963</w:t>
      </w:r>
      <w:r w:rsidR="006D3E6E" w:rsidRPr="005E2BFA">
        <w:rPr>
          <w:rFonts w:cs="Times New Roman"/>
        </w:rPr>
        <w:t>)</w:t>
      </w:r>
      <w:r w:rsidR="00CD78D3">
        <w:rPr>
          <w:rFonts w:cs="Times New Roman"/>
        </w:rPr>
        <w:t xml:space="preserve">, </w:t>
      </w:r>
      <w:r w:rsidR="00CD78D3" w:rsidRPr="005E2BFA">
        <w:rPr>
          <w:rFonts w:cs="Times New Roman"/>
        </w:rPr>
        <w:t>(</w:t>
      </w:r>
      <w:r w:rsidR="00CD78D3" w:rsidRPr="00D47EF5">
        <w:rPr>
          <w:rFonts w:cs="Times New Roman"/>
          <w:i/>
          <w:iCs/>
        </w:rPr>
        <w:t>P</w:t>
      </w:r>
      <w:r w:rsidR="00CD78D3" w:rsidRPr="005E2BFA">
        <w:rPr>
          <w:rFonts w:cs="Times New Roman"/>
        </w:rPr>
        <w:t xml:space="preserve"> = .</w:t>
      </w:r>
      <w:r w:rsidR="00CD78D3">
        <w:rPr>
          <w:rFonts w:cs="Times New Roman"/>
        </w:rPr>
        <w:t>7016</w:t>
      </w:r>
      <w:r w:rsidR="00CD78D3" w:rsidRPr="005E2BFA">
        <w:rPr>
          <w:rFonts w:cs="Times New Roman"/>
        </w:rPr>
        <w:t>)</w:t>
      </w:r>
      <w:r w:rsidR="00CD78D3">
        <w:rPr>
          <w:rFonts w:cs="Times New Roman"/>
        </w:rPr>
        <w:t xml:space="preserve">, </w:t>
      </w:r>
      <w:r w:rsidR="00CD78D3" w:rsidRPr="005E2BFA">
        <w:rPr>
          <w:rFonts w:cs="Times New Roman"/>
        </w:rPr>
        <w:t>(</w:t>
      </w:r>
      <w:r w:rsidR="00CD78D3" w:rsidRPr="00D47EF5">
        <w:rPr>
          <w:rFonts w:cs="Times New Roman"/>
          <w:i/>
          <w:iCs/>
        </w:rPr>
        <w:t>P</w:t>
      </w:r>
      <w:r w:rsidR="00CD78D3" w:rsidRPr="005E2BFA">
        <w:rPr>
          <w:rFonts w:cs="Times New Roman"/>
        </w:rPr>
        <w:t xml:space="preserve"> = .</w:t>
      </w:r>
      <w:r w:rsidR="00CD78D3">
        <w:rPr>
          <w:rFonts w:cs="Times New Roman"/>
        </w:rPr>
        <w:t>7132</w:t>
      </w:r>
      <w:r w:rsidR="00CD78D3" w:rsidRPr="005E2BFA">
        <w:rPr>
          <w:rFonts w:cs="Times New Roman"/>
        </w:rPr>
        <w:t>)</w:t>
      </w:r>
      <w:r w:rsidR="00CD78D3">
        <w:rPr>
          <w:rFonts w:cs="Times New Roman"/>
        </w:rPr>
        <w:t xml:space="preserve">, and </w:t>
      </w:r>
      <w:r w:rsidR="00CD78D3" w:rsidRPr="005E2BFA">
        <w:rPr>
          <w:rFonts w:cs="Times New Roman"/>
        </w:rPr>
        <w:t>(</w:t>
      </w:r>
      <w:r w:rsidR="00CD78D3" w:rsidRPr="00D47EF5">
        <w:rPr>
          <w:rFonts w:cs="Times New Roman"/>
          <w:i/>
          <w:iCs/>
        </w:rPr>
        <w:t>P</w:t>
      </w:r>
      <w:r w:rsidR="00CD78D3" w:rsidRPr="005E2BFA">
        <w:rPr>
          <w:rFonts w:cs="Times New Roman"/>
        </w:rPr>
        <w:t xml:space="preserve"> = .</w:t>
      </w:r>
      <w:r w:rsidR="00CD78D3">
        <w:rPr>
          <w:rFonts w:cs="Times New Roman"/>
        </w:rPr>
        <w:t>6157</w:t>
      </w:r>
      <w:r w:rsidR="00CD78D3" w:rsidRPr="005E2BFA">
        <w:rPr>
          <w:rFonts w:cs="Times New Roman"/>
        </w:rPr>
        <w:t>)</w:t>
      </w:r>
      <w:r w:rsidR="00CD78D3">
        <w:rPr>
          <w:rFonts w:cs="Times New Roman"/>
        </w:rPr>
        <w:t>. The mean values for each response variable were 81</w:t>
      </w:r>
      <w:r w:rsidR="00081703">
        <w:rPr>
          <w:rFonts w:cs="Times New Roman"/>
        </w:rPr>
        <w:t>.</w:t>
      </w:r>
      <w:r w:rsidR="00CD78D3">
        <w:rPr>
          <w:rFonts w:cs="Times New Roman"/>
        </w:rPr>
        <w:t>2, 293</w:t>
      </w:r>
      <w:r w:rsidR="00081703">
        <w:rPr>
          <w:rFonts w:cs="Times New Roman"/>
        </w:rPr>
        <w:t>.</w:t>
      </w:r>
      <w:r w:rsidR="00CD78D3">
        <w:rPr>
          <w:rFonts w:cs="Times New Roman"/>
        </w:rPr>
        <w:t>9, 384</w:t>
      </w:r>
      <w:r w:rsidR="00081703">
        <w:rPr>
          <w:rFonts w:cs="Times New Roman"/>
        </w:rPr>
        <w:t>.</w:t>
      </w:r>
      <w:r w:rsidR="00CD78D3">
        <w:rPr>
          <w:rFonts w:cs="Times New Roman"/>
        </w:rPr>
        <w:t>7, and 240</w:t>
      </w:r>
      <w:r w:rsidR="00081703">
        <w:rPr>
          <w:rFonts w:cs="Times New Roman"/>
        </w:rPr>
        <w:t>.</w:t>
      </w:r>
      <w:r w:rsidR="00CD78D3">
        <w:rPr>
          <w:rFonts w:cs="Times New Roman"/>
        </w:rPr>
        <w:t xml:space="preserve">2, respectively </w:t>
      </w:r>
      <w:r w:rsidR="00ED54C4">
        <w:rPr>
          <w:rFonts w:cs="Times New Roman"/>
        </w:rPr>
        <w:t>(</w:t>
      </w:r>
      <w:r w:rsidR="00ED54C4" w:rsidRPr="00767A67">
        <w:rPr>
          <w:rFonts w:cs="Times New Roman"/>
          <w:b/>
          <w:bCs/>
        </w:rPr>
        <w:t>Figure 2.</w:t>
      </w:r>
      <w:r w:rsidR="0041192A">
        <w:rPr>
          <w:rFonts w:cs="Times New Roman"/>
          <w:b/>
          <w:bCs/>
        </w:rPr>
        <w:t>1</w:t>
      </w:r>
      <w:r w:rsidR="00ED54C4">
        <w:rPr>
          <w:rFonts w:cs="Times New Roman"/>
        </w:rPr>
        <w:t>)</w:t>
      </w:r>
      <w:r w:rsidR="00FA06E8">
        <w:rPr>
          <w:rFonts w:cs="Times New Roman"/>
        </w:rPr>
        <w:t>.</w:t>
      </w:r>
      <w:r w:rsidR="00AD029D">
        <w:rPr>
          <w:rFonts w:cs="Times New Roman"/>
        </w:rPr>
        <w:t xml:space="preserve"> </w:t>
      </w:r>
      <w:r w:rsidR="006D7CEB" w:rsidRPr="00DC0BE5">
        <w:rPr>
          <w:rFonts w:cs="Times New Roman"/>
        </w:rPr>
        <w:fldChar w:fldCharType="begin"/>
      </w:r>
      <w:r w:rsidR="00A65125" w:rsidRPr="00DC0BE5">
        <w:rPr>
          <w:rFonts w:cs="Times New Roman"/>
        </w:rPr>
        <w:instrText xml:space="preserve"> ADDIN ZOTERO_ITEM CSL_CITATION {"citationID":"vDOIIINk","properties":{"formattedCitation":"(Prine &amp; Burton, 1956)","plainCitation":"(Prine &amp; Burton, 1956)","dontUpdate":true,"noteIndex":0},"citationItems":[{"id":84,"uris":["http://zotero.org/users/local/kjHHoAYm/items/8W4LUH8D"],"itemData":{"id":84,"type":"article-journal","abstract":"Synopsis\n            Increasing the nitrogen rate from 0 to 900 pounds per acre annually increased hay yield, protein percentage, protein yield, stem length, leaf length, internode length and internode number in Coastal Bermudagrass, but decreased leaf percentage, seed‐head frequency, and percentage nitrogen recovery. Increasing the clipping interval from 1 to 8 weeks increased hay yield, stem length, leaf length, plant height, seed‐head frequency, internode length, and internode number, had little effect on protein yield and percentage nitrogen recovery, and decreased the protein percentage and leaf percentage of this grass.","container-title":"Agronomy Journal","DOI":"10.2134/agronj1956.00021962004800070005x","ISSN":"0002-1962, 1435-0645","issue":"7","journalAbbreviation":"Agronomy Journal","language":"en","license":"http://onlinelibrary.wiley.com/termsAndConditions#vor","page":"296-301","source":"DOI.org (Crossref)","title":"The Effect of Nitrogen Rate and Clipping Frequency upon the Yield, Protein Content and Certain Morphological Characteristics of Coastal Bermudagrass (Cynodon dactylon, (L) Pers.)&lt;sup&gt;1&lt;/sup&gt;","volume":"48","author":[{"family":"Prine","given":"Gordon M."},{"family":"Burton","given":"Glenn W."}],"issued":{"date-parts":[["1956",7]]}}}],"schema":"https://github.com/citation-style-language/schema/raw/master/csl-citation.json"} </w:instrText>
      </w:r>
      <w:r w:rsidR="006D7CEB" w:rsidRPr="00DC0BE5">
        <w:rPr>
          <w:rFonts w:cs="Times New Roman"/>
        </w:rPr>
        <w:fldChar w:fldCharType="separate"/>
      </w:r>
      <w:r w:rsidR="006D7CEB" w:rsidRPr="00DC0BE5">
        <w:rPr>
          <w:rFonts w:cs="Times New Roman"/>
        </w:rPr>
        <w:t>According to Prine &amp; Burton (1956)</w:t>
      </w:r>
      <w:r w:rsidR="006D7CEB" w:rsidRPr="00DC0BE5">
        <w:rPr>
          <w:rFonts w:cs="Times New Roman"/>
        </w:rPr>
        <w:fldChar w:fldCharType="end"/>
      </w:r>
      <w:r w:rsidR="00DC0BE5">
        <w:rPr>
          <w:rFonts w:cs="Times New Roman"/>
        </w:rPr>
        <w:t>,</w:t>
      </w:r>
      <w:r w:rsidR="00081703" w:rsidRPr="00DC0BE5">
        <w:rPr>
          <w:rFonts w:cs="Times New Roman"/>
        </w:rPr>
        <w:t xml:space="preserve"> b</w:t>
      </w:r>
      <w:r w:rsidR="006D7CEB" w:rsidRPr="00DC0BE5">
        <w:rPr>
          <w:rFonts w:cs="Times New Roman"/>
        </w:rPr>
        <w:t xml:space="preserve">ermudagrass hay quality decreases with maturity; </w:t>
      </w:r>
      <w:r w:rsidR="00A75978" w:rsidRPr="00DC0BE5">
        <w:rPr>
          <w:rFonts w:cs="Times New Roman"/>
        </w:rPr>
        <w:t>however,</w:t>
      </w:r>
      <w:r w:rsidR="006D7CEB" w:rsidRPr="00DC0BE5">
        <w:rPr>
          <w:rFonts w:cs="Times New Roman"/>
        </w:rPr>
        <w:t xml:space="preserve"> </w:t>
      </w:r>
      <w:r w:rsidR="00DC0BE5">
        <w:rPr>
          <w:rFonts w:cs="Times New Roman"/>
        </w:rPr>
        <w:t xml:space="preserve">it </w:t>
      </w:r>
      <w:r w:rsidR="006D7CEB" w:rsidRPr="00DC0BE5">
        <w:rPr>
          <w:rFonts w:cs="Times New Roman"/>
        </w:rPr>
        <w:t xml:space="preserve">is not possible to achieve accuracy in determining age and quality of </w:t>
      </w:r>
      <w:r w:rsidR="00081703" w:rsidRPr="00DC0BE5">
        <w:rPr>
          <w:rFonts w:cs="Times New Roman"/>
        </w:rPr>
        <w:t>b</w:t>
      </w:r>
      <w:r w:rsidR="006D7CEB" w:rsidRPr="00DC0BE5">
        <w:rPr>
          <w:rFonts w:cs="Times New Roman"/>
        </w:rPr>
        <w:t>ermudagrass</w:t>
      </w:r>
      <w:r w:rsidR="006D7CEB" w:rsidRPr="00081703">
        <w:rPr>
          <w:rFonts w:cs="Times New Roman"/>
        </w:rPr>
        <w:t>.</w:t>
      </w:r>
      <w:r w:rsidR="006D7CEB">
        <w:rPr>
          <w:rFonts w:cs="Times New Roman"/>
        </w:rPr>
        <w:t xml:space="preserve"> Furthermore, Prine &amp; Burton demonstrated leaf percentual results ranging from 68.9 to 76.3% depending on varying rates of nitrogen, from 0 to 1000 kg N ha</w:t>
      </w:r>
      <w:r w:rsidR="006D7CEB" w:rsidRPr="006D7CEB">
        <w:rPr>
          <w:rFonts w:cs="Times New Roman"/>
          <w:vertAlign w:val="superscript"/>
        </w:rPr>
        <w:t>-1</w:t>
      </w:r>
      <w:r w:rsidR="006D7CEB">
        <w:rPr>
          <w:rFonts w:cs="Times New Roman"/>
        </w:rPr>
        <w:t xml:space="preserve">. </w:t>
      </w:r>
    </w:p>
    <w:p w14:paraId="4128EF29" w14:textId="77777777" w:rsidR="003E0A16" w:rsidRDefault="003E0A16" w:rsidP="00B3078E">
      <w:pPr>
        <w:pStyle w:val="Heading3"/>
        <w:spacing w:before="0" w:after="0" w:line="480" w:lineRule="auto"/>
        <w:rPr>
          <w:rFonts w:cs="Times New Roman"/>
          <w:szCs w:val="24"/>
        </w:rPr>
      </w:pPr>
      <w:bookmarkStart w:id="67" w:name="_Toc196315260"/>
      <w:r>
        <w:rPr>
          <w:rFonts w:cs="Times New Roman"/>
          <w:szCs w:val="24"/>
        </w:rPr>
        <w:t>Nutritive Value</w:t>
      </w:r>
      <w:bookmarkEnd w:id="67"/>
    </w:p>
    <w:p w14:paraId="5A6BE151" w14:textId="77777777" w:rsidR="003E0A16" w:rsidRDefault="003E0A16" w:rsidP="00B3078E">
      <w:pPr>
        <w:spacing w:line="480" w:lineRule="auto"/>
        <w:ind w:firstLine="720"/>
        <w:rPr>
          <w:rFonts w:cs="Times New Roman"/>
        </w:rPr>
      </w:pPr>
      <w:r>
        <w:rPr>
          <w:rFonts w:cs="Times New Roman"/>
        </w:rPr>
        <w:t>Crude protein (CP)</w:t>
      </w:r>
      <w:r w:rsidRPr="005E2BFA">
        <w:rPr>
          <w:rFonts w:cs="Times New Roman"/>
        </w:rPr>
        <w:t xml:space="preserve"> w</w:t>
      </w:r>
      <w:r>
        <w:rPr>
          <w:rFonts w:cs="Times New Roman"/>
        </w:rPr>
        <w:t>as not</w:t>
      </w:r>
      <w:r w:rsidRPr="005E2BFA">
        <w:rPr>
          <w:rFonts w:cs="Times New Roman"/>
        </w:rPr>
        <w:t xml:space="preserve"> affected by the </w:t>
      </w:r>
      <w:r>
        <w:rPr>
          <w:rFonts w:cs="Times New Roman"/>
        </w:rPr>
        <w:t xml:space="preserve">interaction of inoculation </w:t>
      </w:r>
      <w:r w:rsidRPr="005E2BFA">
        <w:rPr>
          <w:rFonts w:cs="Times New Roman"/>
        </w:rPr>
        <w:t xml:space="preserve">× </w:t>
      </w:r>
      <w:r>
        <w:t>N strategies</w:t>
      </w:r>
      <w:r w:rsidRPr="005E2BFA">
        <w:rPr>
          <w:rFonts w:cs="Times New Roman"/>
        </w:rPr>
        <w:t xml:space="preserve"> (</w:t>
      </w:r>
      <w:r w:rsidRPr="001764E6">
        <w:rPr>
          <w:rFonts w:cs="Times New Roman"/>
          <w:i/>
          <w:iCs/>
        </w:rPr>
        <w:t>P</w:t>
      </w:r>
      <w:r w:rsidRPr="005E2BFA">
        <w:rPr>
          <w:rFonts w:cs="Times New Roman"/>
        </w:rPr>
        <w:t xml:space="preserve"> = .</w:t>
      </w:r>
      <w:r>
        <w:rPr>
          <w:rFonts w:cs="Times New Roman"/>
        </w:rPr>
        <w:t>4363</w:t>
      </w:r>
      <w:r w:rsidRPr="005E2BFA">
        <w:rPr>
          <w:rFonts w:cs="Times New Roman"/>
        </w:rPr>
        <w:t>)</w:t>
      </w:r>
      <w:r>
        <w:rPr>
          <w:rFonts w:cs="Times New Roman"/>
        </w:rPr>
        <w:t xml:space="preserve"> (</w:t>
      </w:r>
      <w:r w:rsidRPr="00C64F12">
        <w:rPr>
          <w:rFonts w:cs="Times New Roman"/>
          <w:b/>
          <w:bCs/>
        </w:rPr>
        <w:t>Table 2.</w:t>
      </w:r>
      <w:r>
        <w:rPr>
          <w:rFonts w:cs="Times New Roman"/>
          <w:b/>
          <w:bCs/>
        </w:rPr>
        <w:t>5</w:t>
      </w:r>
      <w:r>
        <w:rPr>
          <w:rFonts w:cs="Times New Roman"/>
        </w:rPr>
        <w:t>)</w:t>
      </w:r>
      <w:r w:rsidRPr="005E2BFA">
        <w:rPr>
          <w:rFonts w:cs="Times New Roman"/>
        </w:rPr>
        <w:t xml:space="preserve">. </w:t>
      </w:r>
      <w:r>
        <w:rPr>
          <w:rFonts w:cs="Times New Roman"/>
        </w:rPr>
        <w:t xml:space="preserve">However, there was a </w:t>
      </w:r>
      <w:r>
        <w:t xml:space="preserve">N strategy </w:t>
      </w:r>
      <w:r w:rsidRPr="005E2BFA">
        <w:rPr>
          <w:rFonts w:cs="Times New Roman"/>
        </w:rPr>
        <w:t>×</w:t>
      </w:r>
      <w:r>
        <w:rPr>
          <w:rFonts w:cs="Times New Roman"/>
        </w:rPr>
        <w:t xml:space="preserve"> year</w:t>
      </w:r>
      <w:r>
        <w:t xml:space="preserve"> </w:t>
      </w:r>
      <w:r>
        <w:rPr>
          <w:rFonts w:cs="Times New Roman"/>
        </w:rPr>
        <w:t>effect (</w:t>
      </w:r>
      <w:r w:rsidRPr="001764E6">
        <w:rPr>
          <w:rFonts w:cs="Times New Roman"/>
          <w:i/>
          <w:iCs/>
        </w:rPr>
        <w:t>P</w:t>
      </w:r>
      <w:r>
        <w:rPr>
          <w:rFonts w:cs="Times New Roman"/>
        </w:rPr>
        <w:t xml:space="preserve"> &lt; .0001) where greater N strategies increased the average CP percentage. The greatest CP value of 149 g kg</w:t>
      </w:r>
      <w:r w:rsidRPr="00C1789F">
        <w:rPr>
          <w:rFonts w:cs="Times New Roman"/>
          <w:vertAlign w:val="superscript"/>
        </w:rPr>
        <w:t>-1</w:t>
      </w:r>
      <w:r>
        <w:rPr>
          <w:rFonts w:cs="Times New Roman"/>
        </w:rPr>
        <w:t xml:space="preserve"> was shown on treatment with A-67 in year 2, which differed from the other treatments. This represented an 18% increase compared to the control treatment (122 g kg</w:t>
      </w:r>
      <w:r w:rsidRPr="00E96EE0">
        <w:rPr>
          <w:rFonts w:cs="Times New Roman"/>
          <w:vertAlign w:val="superscript"/>
        </w:rPr>
        <w:t>-1</w:t>
      </w:r>
      <w:r>
        <w:rPr>
          <w:rFonts w:cs="Times New Roman"/>
        </w:rPr>
        <w:t xml:space="preserve"> CP). The standard error of the mean (SEM) for these values was 25.</w:t>
      </w:r>
    </w:p>
    <w:p w14:paraId="7A1DD2DB" w14:textId="652F1B89" w:rsidR="00776576" w:rsidRDefault="003E0A16" w:rsidP="00776576">
      <w:pPr>
        <w:spacing w:line="480" w:lineRule="auto"/>
        <w:ind w:firstLine="720"/>
        <w:rPr>
          <w:rFonts w:cs="Times New Roman"/>
        </w:rPr>
      </w:pPr>
      <w:r>
        <w:rPr>
          <w:rFonts w:cs="Times New Roman"/>
        </w:rPr>
        <w:t xml:space="preserve">Greater CP values are known to correlate with N strategies in </w:t>
      </w:r>
      <w:proofErr w:type="gramStart"/>
      <w:r>
        <w:rPr>
          <w:rFonts w:cs="Times New Roman"/>
        </w:rPr>
        <w:t>bermudagrass</w:t>
      </w:r>
      <w:proofErr w:type="gramEnd"/>
      <w:r>
        <w:rPr>
          <w:rFonts w:cs="Times New Roman"/>
        </w:rPr>
        <w:t>. Similar CP content (136 g kg</w:t>
      </w:r>
      <w:r w:rsidRPr="00F271A6">
        <w:rPr>
          <w:rFonts w:cs="Times New Roman"/>
          <w:vertAlign w:val="superscript"/>
        </w:rPr>
        <w:t>-1</w:t>
      </w:r>
      <w:r>
        <w:rPr>
          <w:rFonts w:cs="Times New Roman"/>
        </w:rPr>
        <w:t xml:space="preserve">) was reported by Sullins et al. (2023) with an </w:t>
      </w:r>
      <w:r>
        <w:t>N rate</w:t>
      </w:r>
      <w:r>
        <w:rPr>
          <w:rFonts w:cs="Times New Roman"/>
        </w:rPr>
        <w:t xml:space="preserve"> of 112 kg N ha</w:t>
      </w:r>
      <w:r w:rsidRPr="00FA06E8">
        <w:rPr>
          <w:rFonts w:cs="Times New Roman"/>
          <w:vertAlign w:val="superscript"/>
        </w:rPr>
        <w:t>-1</w:t>
      </w:r>
      <w:r>
        <w:rPr>
          <w:rFonts w:cs="Times New Roman"/>
        </w:rPr>
        <w:t>. Corbin et al. (2019) reported CP of 120 and 115 g kg</w:t>
      </w:r>
      <w:r w:rsidRPr="00655D47">
        <w:rPr>
          <w:rFonts w:cs="Times New Roman"/>
          <w:vertAlign w:val="superscript"/>
        </w:rPr>
        <w:t>-</w:t>
      </w:r>
      <w:r>
        <w:rPr>
          <w:rFonts w:cs="Times New Roman"/>
          <w:vertAlign w:val="superscript"/>
        </w:rPr>
        <w:t>1</w:t>
      </w:r>
      <w:r>
        <w:rPr>
          <w:rFonts w:cs="Times New Roman"/>
        </w:rPr>
        <w:t xml:space="preserve"> for bermudagrass fertilized with 67.2 kg N ha</w:t>
      </w:r>
      <w:r w:rsidRPr="00BB3F7D">
        <w:rPr>
          <w:rFonts w:cs="Times New Roman"/>
          <w:vertAlign w:val="superscript"/>
        </w:rPr>
        <w:t>-1</w:t>
      </w:r>
      <w:r>
        <w:rPr>
          <w:rFonts w:cs="Times New Roman"/>
        </w:rPr>
        <w:t xml:space="preserve"> at the Plateau </w:t>
      </w:r>
      <w:proofErr w:type="spellStart"/>
      <w:r>
        <w:rPr>
          <w:rFonts w:cs="Times New Roman"/>
        </w:rPr>
        <w:t>AgResearch</w:t>
      </w:r>
      <w:proofErr w:type="spellEnd"/>
      <w:r>
        <w:rPr>
          <w:rFonts w:cs="Times New Roman"/>
        </w:rPr>
        <w:t xml:space="preserve"> and Education Center</w:t>
      </w:r>
      <w:r w:rsidRPr="0025614C">
        <w:rPr>
          <w:rFonts w:cs="Times New Roman"/>
        </w:rPr>
        <w:t xml:space="preserve"> </w:t>
      </w:r>
      <w:r>
        <w:rPr>
          <w:rFonts w:cs="Times New Roman"/>
        </w:rPr>
        <w:t xml:space="preserve">in </w:t>
      </w:r>
    </w:p>
    <w:p w14:paraId="620855C7" w14:textId="77777777" w:rsidR="003E0A16" w:rsidRPr="006D7CEB" w:rsidRDefault="003E0A16" w:rsidP="003E0A16">
      <w:pPr>
        <w:spacing w:line="240" w:lineRule="auto"/>
      </w:pPr>
      <w:r>
        <w:rPr>
          <w:rFonts w:cs="Times New Roman"/>
        </w:rPr>
        <w:br w:type="page"/>
      </w:r>
      <w:r>
        <w:rPr>
          <w:noProof/>
        </w:rPr>
        <w:lastRenderedPageBreak/>
        <w:drawing>
          <wp:inline distT="0" distB="0" distL="0" distR="0" wp14:anchorId="58014E2F" wp14:editId="452157D6">
            <wp:extent cx="5486400" cy="3330575"/>
            <wp:effectExtent l="0" t="0" r="0" b="3175"/>
            <wp:docPr id="472490316" name="Chart 1">
              <a:extLst xmlns:a="http://schemas.openxmlformats.org/drawingml/2006/main">
                <a:ext uri="{FF2B5EF4-FFF2-40B4-BE49-F238E27FC236}">
                  <a16:creationId xmlns:a16="http://schemas.microsoft.com/office/drawing/2014/main" id="{382331DB-62D4-350A-6128-4E810452642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4CFB0F2" w14:textId="77777777" w:rsidR="003E0A16" w:rsidRDefault="003E0A16" w:rsidP="003E0A16">
      <w:pPr>
        <w:rPr>
          <w:rFonts w:cs="Times New Roman"/>
        </w:rPr>
      </w:pPr>
    </w:p>
    <w:p w14:paraId="5EC42534" w14:textId="49FA124F" w:rsidR="003E0A16" w:rsidRPr="00081703" w:rsidRDefault="003E0A16" w:rsidP="003E0A16">
      <w:pPr>
        <w:pStyle w:val="myfigures"/>
        <w:rPr>
          <w:b w:val="0"/>
          <w:bCs w:val="0"/>
        </w:rPr>
      </w:pPr>
      <w:bookmarkStart w:id="68" w:name="_Toc196315434"/>
      <w:r>
        <w:t>Figure 2.</w:t>
      </w:r>
      <w:r w:rsidR="00776576">
        <w:t>1</w:t>
      </w:r>
      <w:r>
        <w:t xml:space="preserve"> </w:t>
      </w:r>
      <w:r>
        <w:rPr>
          <w:b w:val="0"/>
          <w:bCs w:val="0"/>
        </w:rPr>
        <w:t>Illustrative figure showing percentages of each morphological and botanical component: dead material (DM), stem(S), leaf (L), and weed (W) throughout two harvest periods (</w:t>
      </w:r>
      <w:r w:rsidRPr="00CD78D3">
        <w:rPr>
          <w:b w:val="0"/>
          <w:bCs w:val="0"/>
        </w:rPr>
        <w:t>June 20</w:t>
      </w:r>
      <w:r w:rsidRPr="00CD78D3">
        <w:rPr>
          <w:b w:val="0"/>
          <w:bCs w:val="0"/>
          <w:vertAlign w:val="superscript"/>
        </w:rPr>
        <w:t>th</w:t>
      </w:r>
      <w:r w:rsidRPr="00CD78D3">
        <w:rPr>
          <w:b w:val="0"/>
          <w:bCs w:val="0"/>
        </w:rPr>
        <w:t>, August 8</w:t>
      </w:r>
      <w:r w:rsidRPr="00CD78D3">
        <w:rPr>
          <w:b w:val="0"/>
          <w:bCs w:val="0"/>
          <w:vertAlign w:val="superscript"/>
        </w:rPr>
        <w:t>th</w:t>
      </w:r>
      <w:r>
        <w:rPr>
          <w:b w:val="0"/>
          <w:bCs w:val="0"/>
        </w:rPr>
        <w:t xml:space="preserve"> of 2024).</w:t>
      </w:r>
      <w:bookmarkEnd w:id="68"/>
    </w:p>
    <w:p w14:paraId="7553AE67" w14:textId="25D42E4F" w:rsidR="003E0A16" w:rsidRDefault="003E0A16">
      <w:pPr>
        <w:spacing w:line="240" w:lineRule="auto"/>
        <w:rPr>
          <w:rFonts w:cs="Times New Roman"/>
        </w:rPr>
      </w:pPr>
    </w:p>
    <w:p w14:paraId="2FEE4A52" w14:textId="77777777" w:rsidR="003E0A16" w:rsidRDefault="003E0A16">
      <w:pPr>
        <w:spacing w:line="240" w:lineRule="auto"/>
        <w:rPr>
          <w:rFonts w:cs="Times New Roman"/>
        </w:rPr>
      </w:pPr>
      <w:r>
        <w:rPr>
          <w:rFonts w:cs="Times New Roman"/>
        </w:rPr>
        <w:br w:type="page"/>
      </w:r>
    </w:p>
    <w:p w14:paraId="57A4217F" w14:textId="479A6EFC" w:rsidR="005558DE" w:rsidRPr="003E0A16" w:rsidRDefault="003E0A16" w:rsidP="00B3078E">
      <w:pPr>
        <w:spacing w:line="480" w:lineRule="auto"/>
        <w:rPr>
          <w:rFonts w:cs="Times New Roman"/>
        </w:rPr>
      </w:pPr>
      <w:r>
        <w:rPr>
          <w:rFonts w:cs="Times New Roman"/>
        </w:rPr>
        <w:lastRenderedPageBreak/>
        <w:t>Crossville, TN. However, in Corbin et al.’s study, mineral fertilizer application did not produce a significant difference from the control treatment without N application, which contrasts with the current findings of this study (</w:t>
      </w:r>
      <w:r>
        <w:rPr>
          <w:rFonts w:cs="Times New Roman"/>
          <w:b/>
          <w:bCs/>
        </w:rPr>
        <w:t>Table 2.6</w:t>
      </w:r>
      <w:r>
        <w:rPr>
          <w:rFonts w:cs="Times New Roman"/>
        </w:rPr>
        <w:t xml:space="preserve">). In this study, A-67 showed a greater CP content in year 2, which may be related to the volatilization rate of ammonium sulfate when compared to urea. According to </w:t>
      </w:r>
      <w:r>
        <w:rPr>
          <w:rFonts w:cs="Times New Roman"/>
        </w:rPr>
        <w:fldChar w:fldCharType="begin"/>
      </w:r>
      <w:r>
        <w:rPr>
          <w:rFonts w:cs="Times New Roman"/>
        </w:rPr>
        <w:instrText xml:space="preserve"> ADDIN ZOTERO_ITEM CSL_CITATION {"citationID":"uqTd0FsH","properties":{"formattedCitation":"(Aggarwal et al., 1987)","plainCitation":"(Aggarwal et al., 1987)","dontUpdate":true,"noteIndex":0},"citationItems":[{"id":83,"uris":["http://zotero.org/users/local/kjHHoAYm/items/MBXWUM63"],"itemData":{"id":83,"type":"article-journal","container-title":"Journal of Arid Environments","DOI":"10.1016/S0140-1963(18)31135-2","ISSN":"01401963","issue":"2","journalAbbreviation":"Journal of Arid Environments","language":"en","license":"https://www.elsevier.com/tdm/userlicense/1.0/","page":"163-168","source":"DOI.org (Crossref)","title":"Ammonia volatilization losses from urea and their possible management for increasing nitrogen use efficiency in an arid region","volume":"13","author":[{"family":"Aggarwal","given":"R.K."},{"family":"Raina","given":"P."},{"family":"Kumar","given":"Praveen"}],"issued":{"date-parts":[["1987",9]]}}}],"schema":"https://github.com/citation-style-language/schema/raw/master/csl-citation.json"} </w:instrText>
      </w:r>
      <w:r>
        <w:rPr>
          <w:rFonts w:cs="Times New Roman"/>
        </w:rPr>
        <w:fldChar w:fldCharType="separate"/>
      </w:r>
      <w:r w:rsidRPr="00995C5B">
        <w:rPr>
          <w:rFonts w:cs="Times New Roman"/>
        </w:rPr>
        <w:t xml:space="preserve">Aggarwal et al. </w:t>
      </w:r>
      <w:r>
        <w:rPr>
          <w:rFonts w:cs="Times New Roman"/>
        </w:rPr>
        <w:t>(</w:t>
      </w:r>
      <w:r w:rsidRPr="00995C5B">
        <w:rPr>
          <w:rFonts w:cs="Times New Roman"/>
        </w:rPr>
        <w:t>1987)</w:t>
      </w:r>
      <w:r>
        <w:rPr>
          <w:rFonts w:cs="Times New Roman"/>
        </w:rPr>
        <w:fldChar w:fldCharType="end"/>
      </w:r>
      <w:r>
        <w:rPr>
          <w:rFonts w:cs="Times New Roman"/>
        </w:rPr>
        <w:t>, when ammonium sulfate and urea were applied to row crops, ammonium sulfate not only had greater values for N use efficiency (32% and 15% for ammonium sulfate and urea, respectively) but also showed lower ammonia volatilization (12% and 16 % for ammonium sulfate and urea, respectively).</w:t>
      </w:r>
    </w:p>
    <w:p w14:paraId="1CB7719E" w14:textId="03F48BCE" w:rsidR="00985CAA" w:rsidRDefault="00985CAA" w:rsidP="00B3078E">
      <w:pPr>
        <w:pStyle w:val="Heading3"/>
        <w:spacing w:before="0" w:after="0" w:line="480" w:lineRule="auto"/>
        <w:rPr>
          <w:rFonts w:cs="Times New Roman"/>
          <w:szCs w:val="24"/>
        </w:rPr>
      </w:pPr>
      <w:bookmarkStart w:id="69" w:name="_Toc196315261"/>
      <w:r>
        <w:rPr>
          <w:rFonts w:cs="Times New Roman"/>
          <w:szCs w:val="24"/>
        </w:rPr>
        <w:t>Nutritive Value</w:t>
      </w:r>
      <w:bookmarkEnd w:id="69"/>
    </w:p>
    <w:p w14:paraId="448E8B8C" w14:textId="16C74258" w:rsidR="00985CAA" w:rsidRDefault="00985CAA" w:rsidP="00B3078E">
      <w:pPr>
        <w:spacing w:line="480" w:lineRule="auto"/>
        <w:ind w:firstLine="720"/>
        <w:rPr>
          <w:rFonts w:cs="Times New Roman"/>
        </w:rPr>
      </w:pPr>
      <w:r>
        <w:rPr>
          <w:rFonts w:cs="Times New Roman"/>
        </w:rPr>
        <w:t>Crude protein (CP)</w:t>
      </w:r>
      <w:r w:rsidRPr="005E2BFA">
        <w:rPr>
          <w:rFonts w:cs="Times New Roman"/>
        </w:rPr>
        <w:t xml:space="preserve"> w</w:t>
      </w:r>
      <w:r>
        <w:rPr>
          <w:rFonts w:cs="Times New Roman"/>
        </w:rPr>
        <w:t>as not</w:t>
      </w:r>
      <w:r w:rsidRPr="005E2BFA">
        <w:rPr>
          <w:rFonts w:cs="Times New Roman"/>
        </w:rPr>
        <w:t xml:space="preserve"> affected by the </w:t>
      </w:r>
      <w:r w:rsidR="00092F47">
        <w:rPr>
          <w:rFonts w:cs="Times New Roman"/>
        </w:rPr>
        <w:t xml:space="preserve">interaction </w:t>
      </w:r>
      <w:r w:rsidR="00F726E6">
        <w:rPr>
          <w:rFonts w:cs="Times New Roman"/>
        </w:rPr>
        <w:t xml:space="preserve">of </w:t>
      </w:r>
      <w:r w:rsidR="00092F47">
        <w:rPr>
          <w:rFonts w:cs="Times New Roman"/>
        </w:rPr>
        <w:t>i</w:t>
      </w:r>
      <w:r>
        <w:rPr>
          <w:rFonts w:cs="Times New Roman"/>
        </w:rPr>
        <w:t xml:space="preserve">noculation </w:t>
      </w:r>
      <w:r w:rsidRPr="005E2BFA">
        <w:rPr>
          <w:rFonts w:cs="Times New Roman"/>
        </w:rPr>
        <w:t xml:space="preserve">× </w:t>
      </w:r>
      <w:r w:rsidR="006471A3">
        <w:t>N strategies</w:t>
      </w:r>
      <w:r w:rsidRPr="005E2BFA">
        <w:rPr>
          <w:rFonts w:cs="Times New Roman"/>
        </w:rPr>
        <w:t xml:space="preserve"> (</w:t>
      </w:r>
      <w:r w:rsidRPr="001764E6">
        <w:rPr>
          <w:rFonts w:cs="Times New Roman"/>
          <w:i/>
          <w:iCs/>
        </w:rPr>
        <w:t>P</w:t>
      </w:r>
      <w:r w:rsidRPr="005E2BFA">
        <w:rPr>
          <w:rFonts w:cs="Times New Roman"/>
        </w:rPr>
        <w:t xml:space="preserve"> = .</w:t>
      </w:r>
      <w:r w:rsidR="00195989">
        <w:rPr>
          <w:rFonts w:cs="Times New Roman"/>
        </w:rPr>
        <w:t>4363</w:t>
      </w:r>
      <w:r w:rsidRPr="005E2BFA">
        <w:rPr>
          <w:rFonts w:cs="Times New Roman"/>
        </w:rPr>
        <w:t>)</w:t>
      </w:r>
      <w:r>
        <w:rPr>
          <w:rFonts w:cs="Times New Roman"/>
        </w:rPr>
        <w:t xml:space="preserve"> (</w:t>
      </w:r>
      <w:r w:rsidR="00FA06E8" w:rsidRPr="00C64F12">
        <w:rPr>
          <w:rFonts w:cs="Times New Roman"/>
          <w:b/>
          <w:bCs/>
        </w:rPr>
        <w:t>Table</w:t>
      </w:r>
      <w:r w:rsidRPr="00C64F12">
        <w:rPr>
          <w:rFonts w:cs="Times New Roman"/>
          <w:b/>
          <w:bCs/>
        </w:rPr>
        <w:t xml:space="preserve"> 2.</w:t>
      </w:r>
      <w:r w:rsidR="00195989">
        <w:rPr>
          <w:rFonts w:cs="Times New Roman"/>
          <w:b/>
          <w:bCs/>
        </w:rPr>
        <w:t>5</w:t>
      </w:r>
      <w:r>
        <w:rPr>
          <w:rFonts w:cs="Times New Roman"/>
        </w:rPr>
        <w:t>)</w:t>
      </w:r>
      <w:r w:rsidRPr="005E2BFA">
        <w:rPr>
          <w:rFonts w:cs="Times New Roman"/>
        </w:rPr>
        <w:t xml:space="preserve">. </w:t>
      </w:r>
      <w:r>
        <w:rPr>
          <w:rFonts w:cs="Times New Roman"/>
        </w:rPr>
        <w:t xml:space="preserve">However, there was a </w:t>
      </w:r>
      <w:r w:rsidR="00654A25">
        <w:t>N strategy</w:t>
      </w:r>
      <w:r w:rsidR="00195989">
        <w:t xml:space="preserve"> </w:t>
      </w:r>
      <w:r w:rsidR="00195989" w:rsidRPr="005E2BFA">
        <w:rPr>
          <w:rFonts w:cs="Times New Roman"/>
        </w:rPr>
        <w:t>×</w:t>
      </w:r>
      <w:r w:rsidR="00195989">
        <w:rPr>
          <w:rFonts w:cs="Times New Roman"/>
        </w:rPr>
        <w:t xml:space="preserve"> year</w:t>
      </w:r>
      <w:r w:rsidR="00654A25">
        <w:t xml:space="preserve"> </w:t>
      </w:r>
      <w:r>
        <w:rPr>
          <w:rFonts w:cs="Times New Roman"/>
        </w:rPr>
        <w:t>effect (</w:t>
      </w:r>
      <w:r w:rsidRPr="001764E6">
        <w:rPr>
          <w:rFonts w:cs="Times New Roman"/>
          <w:i/>
          <w:iCs/>
        </w:rPr>
        <w:t>P</w:t>
      </w:r>
      <w:r>
        <w:rPr>
          <w:rFonts w:cs="Times New Roman"/>
        </w:rPr>
        <w:t xml:space="preserve"> </w:t>
      </w:r>
      <w:r w:rsidR="00195989">
        <w:rPr>
          <w:rFonts w:cs="Times New Roman"/>
        </w:rPr>
        <w:t>&lt;</w:t>
      </w:r>
      <w:r>
        <w:rPr>
          <w:rFonts w:cs="Times New Roman"/>
        </w:rPr>
        <w:t xml:space="preserve"> .000</w:t>
      </w:r>
      <w:r w:rsidR="00195989">
        <w:rPr>
          <w:rFonts w:cs="Times New Roman"/>
        </w:rPr>
        <w:t>1</w:t>
      </w:r>
      <w:r>
        <w:rPr>
          <w:rFonts w:cs="Times New Roman"/>
        </w:rPr>
        <w:t xml:space="preserve">) where greater N </w:t>
      </w:r>
      <w:r w:rsidR="00E94C04">
        <w:rPr>
          <w:rFonts w:cs="Times New Roman"/>
        </w:rPr>
        <w:t>strategies</w:t>
      </w:r>
      <w:r>
        <w:rPr>
          <w:rFonts w:cs="Times New Roman"/>
        </w:rPr>
        <w:t xml:space="preserve"> increased </w:t>
      </w:r>
      <w:r w:rsidR="00092F47">
        <w:rPr>
          <w:rFonts w:cs="Times New Roman"/>
        </w:rPr>
        <w:t xml:space="preserve">the </w:t>
      </w:r>
      <w:r>
        <w:rPr>
          <w:rFonts w:cs="Times New Roman"/>
        </w:rPr>
        <w:t xml:space="preserve">average CP percentage. </w:t>
      </w:r>
      <w:r w:rsidR="0025614C">
        <w:rPr>
          <w:rFonts w:cs="Times New Roman"/>
        </w:rPr>
        <w:t>The g</w:t>
      </w:r>
      <w:r>
        <w:rPr>
          <w:rFonts w:cs="Times New Roman"/>
        </w:rPr>
        <w:t>reate</w:t>
      </w:r>
      <w:r w:rsidR="0025614C">
        <w:rPr>
          <w:rFonts w:cs="Times New Roman"/>
        </w:rPr>
        <w:t>st</w:t>
      </w:r>
      <w:r>
        <w:rPr>
          <w:rFonts w:cs="Times New Roman"/>
        </w:rPr>
        <w:t xml:space="preserve"> CP value of </w:t>
      </w:r>
      <w:r w:rsidR="00674D0B">
        <w:rPr>
          <w:rFonts w:cs="Times New Roman"/>
        </w:rPr>
        <w:t>149</w:t>
      </w:r>
      <w:r>
        <w:rPr>
          <w:rFonts w:cs="Times New Roman"/>
        </w:rPr>
        <w:t xml:space="preserve"> </w:t>
      </w:r>
      <w:r w:rsidR="00C1789F">
        <w:rPr>
          <w:rFonts w:cs="Times New Roman"/>
        </w:rPr>
        <w:t>g kg</w:t>
      </w:r>
      <w:r w:rsidR="00C1789F" w:rsidRPr="00C1789F">
        <w:rPr>
          <w:rFonts w:cs="Times New Roman"/>
          <w:vertAlign w:val="superscript"/>
        </w:rPr>
        <w:t>-1</w:t>
      </w:r>
      <w:r>
        <w:rPr>
          <w:rFonts w:cs="Times New Roman"/>
        </w:rPr>
        <w:t xml:space="preserve"> </w:t>
      </w:r>
      <w:r w:rsidR="0025614C">
        <w:rPr>
          <w:rFonts w:cs="Times New Roman"/>
        </w:rPr>
        <w:t xml:space="preserve">was </w:t>
      </w:r>
      <w:r>
        <w:rPr>
          <w:rFonts w:cs="Times New Roman"/>
        </w:rPr>
        <w:t xml:space="preserve">shown on treatment with </w:t>
      </w:r>
      <w:r w:rsidR="002658D4">
        <w:rPr>
          <w:rFonts w:cs="Times New Roman"/>
        </w:rPr>
        <w:t>A-67</w:t>
      </w:r>
      <w:r w:rsidR="00674D0B">
        <w:rPr>
          <w:rFonts w:cs="Times New Roman"/>
        </w:rPr>
        <w:t xml:space="preserve"> in year 2</w:t>
      </w:r>
      <w:r>
        <w:rPr>
          <w:rFonts w:cs="Times New Roman"/>
        </w:rPr>
        <w:t xml:space="preserve">, </w:t>
      </w:r>
      <w:r w:rsidR="0025614C">
        <w:rPr>
          <w:rFonts w:cs="Times New Roman"/>
        </w:rPr>
        <w:t xml:space="preserve">which </w:t>
      </w:r>
      <w:r>
        <w:rPr>
          <w:rFonts w:cs="Times New Roman"/>
        </w:rPr>
        <w:t>differ</w:t>
      </w:r>
      <w:r w:rsidR="0025614C">
        <w:rPr>
          <w:rFonts w:cs="Times New Roman"/>
        </w:rPr>
        <w:t>ed</w:t>
      </w:r>
      <w:r>
        <w:rPr>
          <w:rFonts w:cs="Times New Roman"/>
        </w:rPr>
        <w:t xml:space="preserve"> from the other treatments</w:t>
      </w:r>
      <w:r w:rsidR="0025614C">
        <w:rPr>
          <w:rFonts w:cs="Times New Roman"/>
        </w:rPr>
        <w:t xml:space="preserve">. This represented an </w:t>
      </w:r>
      <w:r w:rsidR="00674D0B">
        <w:rPr>
          <w:rFonts w:cs="Times New Roman"/>
        </w:rPr>
        <w:t>1</w:t>
      </w:r>
      <w:r w:rsidR="0025614C">
        <w:rPr>
          <w:rFonts w:cs="Times New Roman"/>
        </w:rPr>
        <w:t>8%</w:t>
      </w:r>
      <w:r>
        <w:rPr>
          <w:rFonts w:cs="Times New Roman"/>
        </w:rPr>
        <w:t xml:space="preserve"> increase compared </w:t>
      </w:r>
      <w:r w:rsidR="0025614C">
        <w:rPr>
          <w:rFonts w:cs="Times New Roman"/>
        </w:rPr>
        <w:t>to</w:t>
      </w:r>
      <w:r>
        <w:rPr>
          <w:rFonts w:cs="Times New Roman"/>
        </w:rPr>
        <w:t xml:space="preserve"> the control </w:t>
      </w:r>
      <w:r w:rsidR="0025614C">
        <w:rPr>
          <w:rFonts w:cs="Times New Roman"/>
        </w:rPr>
        <w:t xml:space="preserve">treatment </w:t>
      </w:r>
      <w:r>
        <w:rPr>
          <w:rFonts w:cs="Times New Roman"/>
        </w:rPr>
        <w:t>(</w:t>
      </w:r>
      <w:r w:rsidR="00674D0B">
        <w:rPr>
          <w:rFonts w:cs="Times New Roman"/>
        </w:rPr>
        <w:t>122</w:t>
      </w:r>
      <w:r>
        <w:rPr>
          <w:rFonts w:cs="Times New Roman"/>
        </w:rPr>
        <w:t xml:space="preserve"> g kg</w:t>
      </w:r>
      <w:r w:rsidRPr="00E96EE0">
        <w:rPr>
          <w:rFonts w:cs="Times New Roman"/>
          <w:vertAlign w:val="superscript"/>
        </w:rPr>
        <w:t>-1</w:t>
      </w:r>
      <w:r>
        <w:rPr>
          <w:rFonts w:cs="Times New Roman"/>
        </w:rPr>
        <w:t xml:space="preserve"> CP). The standard error of the mean (SEM) for these values </w:t>
      </w:r>
      <w:r w:rsidR="00AF678A">
        <w:rPr>
          <w:rFonts w:cs="Times New Roman"/>
        </w:rPr>
        <w:t>was 25</w:t>
      </w:r>
      <w:r>
        <w:rPr>
          <w:rFonts w:cs="Times New Roman"/>
        </w:rPr>
        <w:t>.</w:t>
      </w:r>
    </w:p>
    <w:p w14:paraId="4DA4CA3D" w14:textId="77777777" w:rsidR="003E0A16" w:rsidRDefault="00985CAA" w:rsidP="004432D5">
      <w:pPr>
        <w:spacing w:line="480" w:lineRule="auto"/>
        <w:ind w:firstLine="720"/>
        <w:rPr>
          <w:rFonts w:cs="Times New Roman"/>
        </w:rPr>
      </w:pPr>
      <w:r>
        <w:rPr>
          <w:rFonts w:cs="Times New Roman"/>
        </w:rPr>
        <w:t xml:space="preserve">Greater </w:t>
      </w:r>
      <w:r w:rsidR="0025614C">
        <w:rPr>
          <w:rFonts w:cs="Times New Roman"/>
        </w:rPr>
        <w:t xml:space="preserve">CP </w:t>
      </w:r>
      <w:r>
        <w:rPr>
          <w:rFonts w:cs="Times New Roman"/>
        </w:rPr>
        <w:t xml:space="preserve">values are known to </w:t>
      </w:r>
      <w:r w:rsidR="0025614C">
        <w:rPr>
          <w:rFonts w:cs="Times New Roman"/>
        </w:rPr>
        <w:t>correlate</w:t>
      </w:r>
      <w:r>
        <w:rPr>
          <w:rFonts w:cs="Times New Roman"/>
        </w:rPr>
        <w:t xml:space="preserve"> with N </w:t>
      </w:r>
      <w:r w:rsidR="00E94C04">
        <w:rPr>
          <w:rFonts w:cs="Times New Roman"/>
        </w:rPr>
        <w:t>strategies</w:t>
      </w:r>
      <w:r>
        <w:rPr>
          <w:rFonts w:cs="Times New Roman"/>
        </w:rPr>
        <w:t xml:space="preserve"> </w:t>
      </w:r>
      <w:r w:rsidR="0025614C">
        <w:rPr>
          <w:rFonts w:cs="Times New Roman"/>
        </w:rPr>
        <w:t xml:space="preserve">in </w:t>
      </w:r>
      <w:r w:rsidR="00081703">
        <w:rPr>
          <w:rFonts w:cs="Times New Roman"/>
        </w:rPr>
        <w:t>b</w:t>
      </w:r>
      <w:r w:rsidR="004C42B9">
        <w:rPr>
          <w:rFonts w:cs="Times New Roman"/>
        </w:rPr>
        <w:t>ermudagrass</w:t>
      </w:r>
      <w:r>
        <w:rPr>
          <w:rFonts w:cs="Times New Roman"/>
        </w:rPr>
        <w:t xml:space="preserve">. Similar </w:t>
      </w:r>
      <w:r w:rsidR="0025614C">
        <w:rPr>
          <w:rFonts w:cs="Times New Roman"/>
        </w:rPr>
        <w:t>CP content (</w:t>
      </w:r>
      <w:r>
        <w:rPr>
          <w:rFonts w:cs="Times New Roman"/>
        </w:rPr>
        <w:t>136 g kg</w:t>
      </w:r>
      <w:r w:rsidRPr="00F271A6">
        <w:rPr>
          <w:rFonts w:cs="Times New Roman"/>
          <w:vertAlign w:val="superscript"/>
        </w:rPr>
        <w:t>-1</w:t>
      </w:r>
      <w:r w:rsidR="0025614C">
        <w:rPr>
          <w:rFonts w:cs="Times New Roman"/>
        </w:rPr>
        <w:t xml:space="preserve">) </w:t>
      </w:r>
      <w:r>
        <w:rPr>
          <w:rFonts w:cs="Times New Roman"/>
        </w:rPr>
        <w:t>w</w:t>
      </w:r>
      <w:r w:rsidR="0025614C">
        <w:rPr>
          <w:rFonts w:cs="Times New Roman"/>
        </w:rPr>
        <w:t>as reported</w:t>
      </w:r>
      <w:r>
        <w:rPr>
          <w:rFonts w:cs="Times New Roman"/>
        </w:rPr>
        <w:t xml:space="preserve"> by Sullins et al. (2023) </w:t>
      </w:r>
      <w:r w:rsidR="0025614C">
        <w:rPr>
          <w:rFonts w:cs="Times New Roman"/>
        </w:rPr>
        <w:t xml:space="preserve">with </w:t>
      </w:r>
      <w:r>
        <w:rPr>
          <w:rFonts w:cs="Times New Roman"/>
        </w:rPr>
        <w:t>a</w:t>
      </w:r>
      <w:r w:rsidR="0025614C">
        <w:rPr>
          <w:rFonts w:cs="Times New Roman"/>
        </w:rPr>
        <w:t>n</w:t>
      </w:r>
      <w:r>
        <w:rPr>
          <w:rFonts w:cs="Times New Roman"/>
        </w:rPr>
        <w:t xml:space="preserve"> </w:t>
      </w:r>
      <w:r w:rsidR="006471A3">
        <w:t xml:space="preserve">N </w:t>
      </w:r>
      <w:r w:rsidR="00081703">
        <w:t>rate</w:t>
      </w:r>
      <w:r>
        <w:rPr>
          <w:rFonts w:cs="Times New Roman"/>
        </w:rPr>
        <w:t xml:space="preserve"> of 112 kg N </w:t>
      </w:r>
      <w:r w:rsidR="00FA06E8">
        <w:rPr>
          <w:rFonts w:cs="Times New Roman"/>
        </w:rPr>
        <w:t>ha</w:t>
      </w:r>
      <w:r w:rsidR="00FA06E8" w:rsidRPr="00FA06E8">
        <w:rPr>
          <w:rFonts w:cs="Times New Roman"/>
          <w:vertAlign w:val="superscript"/>
        </w:rPr>
        <w:t>-1</w:t>
      </w:r>
      <w:r w:rsidR="0025614C">
        <w:rPr>
          <w:rFonts w:cs="Times New Roman"/>
        </w:rPr>
        <w:t xml:space="preserve">. Corbin et al. (2019) reported </w:t>
      </w:r>
      <w:r>
        <w:rPr>
          <w:rFonts w:cs="Times New Roman"/>
        </w:rPr>
        <w:t>CP of 120 and 115 g kg</w:t>
      </w:r>
      <w:r w:rsidRPr="00655D47">
        <w:rPr>
          <w:rFonts w:cs="Times New Roman"/>
          <w:vertAlign w:val="superscript"/>
        </w:rPr>
        <w:t>-</w:t>
      </w:r>
      <w:r>
        <w:rPr>
          <w:rFonts w:cs="Times New Roman"/>
          <w:vertAlign w:val="superscript"/>
        </w:rPr>
        <w:t>1</w:t>
      </w:r>
      <w:r>
        <w:rPr>
          <w:rFonts w:cs="Times New Roman"/>
        </w:rPr>
        <w:t xml:space="preserve"> </w:t>
      </w:r>
      <w:r w:rsidR="0025614C">
        <w:rPr>
          <w:rFonts w:cs="Times New Roman"/>
        </w:rPr>
        <w:t xml:space="preserve">for bermudagrass </w:t>
      </w:r>
      <w:r>
        <w:rPr>
          <w:rFonts w:cs="Times New Roman"/>
        </w:rPr>
        <w:t>fertilized with 67.2 kg N ha</w:t>
      </w:r>
      <w:r w:rsidRPr="00BB3F7D">
        <w:rPr>
          <w:rFonts w:cs="Times New Roman"/>
          <w:vertAlign w:val="superscript"/>
        </w:rPr>
        <w:t>-1</w:t>
      </w:r>
      <w:r>
        <w:rPr>
          <w:rFonts w:cs="Times New Roman"/>
        </w:rPr>
        <w:t xml:space="preserve"> at the Plateau </w:t>
      </w:r>
      <w:proofErr w:type="spellStart"/>
      <w:r>
        <w:rPr>
          <w:rFonts w:cs="Times New Roman"/>
        </w:rPr>
        <w:t>AgResearch</w:t>
      </w:r>
      <w:proofErr w:type="spellEnd"/>
      <w:r>
        <w:rPr>
          <w:rFonts w:cs="Times New Roman"/>
        </w:rPr>
        <w:t xml:space="preserve"> </w:t>
      </w:r>
      <w:r w:rsidR="0025614C">
        <w:rPr>
          <w:rFonts w:cs="Times New Roman"/>
        </w:rPr>
        <w:t>and Education C</w:t>
      </w:r>
      <w:r>
        <w:rPr>
          <w:rFonts w:cs="Times New Roman"/>
        </w:rPr>
        <w:t>enter</w:t>
      </w:r>
      <w:r w:rsidR="0025614C" w:rsidRPr="0025614C">
        <w:rPr>
          <w:rFonts w:cs="Times New Roman"/>
        </w:rPr>
        <w:t xml:space="preserve"> </w:t>
      </w:r>
      <w:r w:rsidR="0025614C">
        <w:rPr>
          <w:rFonts w:cs="Times New Roman"/>
        </w:rPr>
        <w:t>in Crossville, TN</w:t>
      </w:r>
      <w:r>
        <w:rPr>
          <w:rFonts w:cs="Times New Roman"/>
        </w:rPr>
        <w:t xml:space="preserve">. However, in </w:t>
      </w:r>
      <w:r w:rsidR="0025614C">
        <w:rPr>
          <w:rFonts w:cs="Times New Roman"/>
        </w:rPr>
        <w:t>Corbin et al.’s study</w:t>
      </w:r>
      <w:r>
        <w:rPr>
          <w:rFonts w:cs="Times New Roman"/>
        </w:rPr>
        <w:t xml:space="preserve">, mineral fertilizer </w:t>
      </w:r>
      <w:r w:rsidR="0025614C">
        <w:rPr>
          <w:rFonts w:cs="Times New Roman"/>
        </w:rPr>
        <w:t xml:space="preserve">application </w:t>
      </w:r>
      <w:r>
        <w:rPr>
          <w:rFonts w:cs="Times New Roman"/>
        </w:rPr>
        <w:t xml:space="preserve">did not </w:t>
      </w:r>
      <w:r w:rsidR="0025614C">
        <w:rPr>
          <w:rFonts w:cs="Times New Roman"/>
        </w:rPr>
        <w:t>produce a significant</w:t>
      </w:r>
      <w:r>
        <w:rPr>
          <w:rFonts w:cs="Times New Roman"/>
        </w:rPr>
        <w:t xml:space="preserve"> difference from the </w:t>
      </w:r>
      <w:r w:rsidR="0025614C">
        <w:rPr>
          <w:rFonts w:cs="Times New Roman"/>
        </w:rPr>
        <w:t xml:space="preserve">control </w:t>
      </w:r>
      <w:r>
        <w:rPr>
          <w:rFonts w:cs="Times New Roman"/>
        </w:rPr>
        <w:t>treatment without N application</w:t>
      </w:r>
      <w:r w:rsidR="0025614C">
        <w:rPr>
          <w:rFonts w:cs="Times New Roman"/>
        </w:rPr>
        <w:t xml:space="preserve">, which </w:t>
      </w:r>
    </w:p>
    <w:tbl>
      <w:tblPr>
        <w:tblW w:w="8040" w:type="dxa"/>
        <w:tblLook w:val="04A0" w:firstRow="1" w:lastRow="0" w:firstColumn="1" w:lastColumn="0" w:noHBand="0" w:noVBand="1"/>
      </w:tblPr>
      <w:tblGrid>
        <w:gridCol w:w="1466"/>
        <w:gridCol w:w="1144"/>
        <w:gridCol w:w="1620"/>
        <w:gridCol w:w="1350"/>
        <w:gridCol w:w="1350"/>
        <w:gridCol w:w="1110"/>
      </w:tblGrid>
      <w:tr w:rsidR="003E0A16" w:rsidRPr="00013625" w14:paraId="2BA2D5A0" w14:textId="77777777" w:rsidTr="00C659AB">
        <w:trPr>
          <w:trHeight w:val="1620"/>
        </w:trPr>
        <w:tc>
          <w:tcPr>
            <w:tcW w:w="8040" w:type="dxa"/>
            <w:gridSpan w:val="6"/>
            <w:tcBorders>
              <w:top w:val="nil"/>
              <w:left w:val="nil"/>
              <w:bottom w:val="nil"/>
              <w:right w:val="nil"/>
            </w:tcBorders>
            <w:shd w:val="clear" w:color="auto" w:fill="auto"/>
            <w:vAlign w:val="bottom"/>
            <w:hideMark/>
          </w:tcPr>
          <w:p w14:paraId="23A27D04" w14:textId="378123DF" w:rsidR="003E0A16" w:rsidRPr="00013625" w:rsidRDefault="003E0A16" w:rsidP="00C659AB">
            <w:pPr>
              <w:pStyle w:val="mytables"/>
            </w:pPr>
            <w:r>
              <w:rPr>
                <w:rFonts w:cs="Times New Roman"/>
              </w:rPr>
              <w:lastRenderedPageBreak/>
              <w:br w:type="page"/>
            </w:r>
            <w:bookmarkStart w:id="70" w:name="_Toc196315449"/>
            <w:r w:rsidRPr="00013625">
              <w:t>Table 2.</w:t>
            </w:r>
            <w:r>
              <w:t>5</w:t>
            </w:r>
            <w:r w:rsidRPr="00013625">
              <w:t xml:space="preserve"> - </w:t>
            </w:r>
            <w:r w:rsidRPr="004432D5">
              <w:rPr>
                <w:b w:val="0"/>
                <w:bCs w:val="0"/>
              </w:rPr>
              <w:t xml:space="preserve">Average crude protein (CP) of </w:t>
            </w:r>
            <w:r>
              <w:rPr>
                <w:b w:val="0"/>
                <w:bCs w:val="0"/>
              </w:rPr>
              <w:t>b</w:t>
            </w:r>
            <w:r w:rsidRPr="004432D5">
              <w:rPr>
                <w:b w:val="0"/>
                <w:bCs w:val="0"/>
              </w:rPr>
              <w:t xml:space="preserve">ermudagrass in response to different </w:t>
            </w:r>
            <w:r>
              <w:rPr>
                <w:b w:val="0"/>
                <w:bCs w:val="0"/>
              </w:rPr>
              <w:t>inoculation</w:t>
            </w:r>
            <w:r w:rsidRPr="004432D5">
              <w:rPr>
                <w:b w:val="0"/>
                <w:bCs w:val="0"/>
              </w:rPr>
              <w:t xml:space="preserve"> (DH-44, C-PGBR, DH-267), </w:t>
            </w:r>
            <w:r>
              <w:rPr>
                <w:b w:val="0"/>
                <w:bCs w:val="0"/>
              </w:rPr>
              <w:t>and N strategies</w:t>
            </w:r>
            <w:r w:rsidRPr="004432D5">
              <w:rPr>
                <w:b w:val="0"/>
                <w:bCs w:val="0"/>
              </w:rPr>
              <w:t xml:space="preserve"> (33 kg, 67 kg),</w:t>
            </w:r>
            <w:r w:rsidRPr="004432D5">
              <w:rPr>
                <w:b w:val="0"/>
                <w:bCs w:val="0"/>
                <w:i/>
                <w:iCs/>
              </w:rPr>
              <w:t xml:space="preserve"> </w:t>
            </w:r>
            <w:r w:rsidRPr="004432D5">
              <w:rPr>
                <w:b w:val="0"/>
                <w:bCs w:val="0"/>
              </w:rPr>
              <w:t>(</w:t>
            </w:r>
            <w:r>
              <w:rPr>
                <w:b w:val="0"/>
                <w:bCs w:val="0"/>
              </w:rPr>
              <w:t>u</w:t>
            </w:r>
            <w:r w:rsidRPr="004432D5">
              <w:rPr>
                <w:b w:val="0"/>
                <w:bCs w:val="0"/>
              </w:rPr>
              <w:t xml:space="preserve">rea, </w:t>
            </w:r>
            <w:r>
              <w:rPr>
                <w:b w:val="0"/>
                <w:bCs w:val="0"/>
              </w:rPr>
              <w:t>a</w:t>
            </w:r>
            <w:r w:rsidRPr="004432D5">
              <w:rPr>
                <w:b w:val="0"/>
                <w:bCs w:val="0"/>
              </w:rPr>
              <w:t>mmonium Sulfate) across two growing seasons</w:t>
            </w:r>
            <w:r>
              <w:rPr>
                <w:b w:val="0"/>
                <w:bCs w:val="0"/>
              </w:rPr>
              <w:t>,</w:t>
            </w:r>
            <w:r w:rsidRPr="004432D5">
              <w:rPr>
                <w:b w:val="0"/>
                <w:bCs w:val="0"/>
              </w:rPr>
              <w:t xml:space="preserve"> 2023 and 2024, in Crossville, Tennessee, U.S.</w:t>
            </w:r>
            <w:bookmarkEnd w:id="70"/>
          </w:p>
        </w:tc>
      </w:tr>
      <w:tr w:rsidR="003E0A16" w:rsidRPr="00013625" w14:paraId="2FE17517" w14:textId="77777777" w:rsidTr="00C659AB">
        <w:trPr>
          <w:trHeight w:val="315"/>
        </w:trPr>
        <w:tc>
          <w:tcPr>
            <w:tcW w:w="1466" w:type="dxa"/>
            <w:vMerge w:val="restart"/>
            <w:tcBorders>
              <w:top w:val="single" w:sz="4" w:space="0" w:color="auto"/>
              <w:left w:val="nil"/>
              <w:bottom w:val="nil"/>
              <w:right w:val="nil"/>
            </w:tcBorders>
            <w:shd w:val="clear" w:color="auto" w:fill="auto"/>
            <w:noWrap/>
            <w:vAlign w:val="center"/>
            <w:hideMark/>
          </w:tcPr>
          <w:p w14:paraId="20EA266E" w14:textId="77777777" w:rsidR="003E0A16" w:rsidRPr="00013625" w:rsidRDefault="003E0A16" w:rsidP="00C659AB">
            <w:pPr>
              <w:spacing w:line="240" w:lineRule="auto"/>
              <w:jc w:val="center"/>
              <w:rPr>
                <w:rFonts w:cs="Times New Roman"/>
                <w:color w:val="000000"/>
              </w:rPr>
            </w:pPr>
            <w:r>
              <w:t>N strategies</w:t>
            </w:r>
          </w:p>
        </w:tc>
        <w:tc>
          <w:tcPr>
            <w:tcW w:w="5464" w:type="dxa"/>
            <w:gridSpan w:val="4"/>
            <w:tcBorders>
              <w:top w:val="single" w:sz="4" w:space="0" w:color="auto"/>
              <w:left w:val="nil"/>
              <w:bottom w:val="nil"/>
              <w:right w:val="nil"/>
            </w:tcBorders>
            <w:shd w:val="clear" w:color="auto" w:fill="auto"/>
            <w:noWrap/>
            <w:vAlign w:val="bottom"/>
            <w:hideMark/>
          </w:tcPr>
          <w:p w14:paraId="51D1127E" w14:textId="77777777" w:rsidR="003E0A16" w:rsidRPr="00013625" w:rsidRDefault="003E0A16" w:rsidP="00C659AB">
            <w:pPr>
              <w:spacing w:line="240" w:lineRule="auto"/>
              <w:jc w:val="center"/>
              <w:rPr>
                <w:rFonts w:cs="Times New Roman"/>
                <w:color w:val="000000"/>
              </w:rPr>
            </w:pPr>
            <w:r>
              <w:rPr>
                <w:rFonts w:cs="Times New Roman"/>
                <w:color w:val="000000"/>
              </w:rPr>
              <w:t>Inoculation</w:t>
            </w:r>
          </w:p>
        </w:tc>
        <w:tc>
          <w:tcPr>
            <w:tcW w:w="1110" w:type="dxa"/>
            <w:tcBorders>
              <w:top w:val="single" w:sz="4" w:space="0" w:color="auto"/>
              <w:left w:val="nil"/>
              <w:bottom w:val="nil"/>
              <w:right w:val="nil"/>
            </w:tcBorders>
            <w:shd w:val="clear" w:color="auto" w:fill="auto"/>
            <w:noWrap/>
            <w:vAlign w:val="bottom"/>
            <w:hideMark/>
          </w:tcPr>
          <w:p w14:paraId="5CBF3F04" w14:textId="77777777" w:rsidR="003E0A16" w:rsidRPr="00013625" w:rsidRDefault="003E0A16" w:rsidP="00C659AB">
            <w:pPr>
              <w:spacing w:line="240" w:lineRule="auto"/>
              <w:rPr>
                <w:rFonts w:cs="Times New Roman"/>
                <w:color w:val="000000"/>
              </w:rPr>
            </w:pPr>
            <w:r w:rsidRPr="00013625">
              <w:rPr>
                <w:rFonts w:cs="Times New Roman"/>
                <w:color w:val="000000"/>
              </w:rPr>
              <w:t> </w:t>
            </w:r>
          </w:p>
        </w:tc>
      </w:tr>
      <w:tr w:rsidR="003E0A16" w:rsidRPr="00013625" w14:paraId="7BBAE5D2" w14:textId="77777777" w:rsidTr="00C659AB">
        <w:trPr>
          <w:trHeight w:val="375"/>
        </w:trPr>
        <w:tc>
          <w:tcPr>
            <w:tcW w:w="1466" w:type="dxa"/>
            <w:vMerge/>
            <w:tcBorders>
              <w:top w:val="single" w:sz="4" w:space="0" w:color="auto"/>
              <w:left w:val="nil"/>
              <w:bottom w:val="nil"/>
              <w:right w:val="nil"/>
            </w:tcBorders>
            <w:vAlign w:val="center"/>
            <w:hideMark/>
          </w:tcPr>
          <w:p w14:paraId="7755B7C3" w14:textId="77777777" w:rsidR="003E0A16" w:rsidRPr="00013625" w:rsidRDefault="003E0A16" w:rsidP="00C659AB">
            <w:pPr>
              <w:spacing w:line="240" w:lineRule="auto"/>
              <w:rPr>
                <w:rFonts w:cs="Times New Roman"/>
                <w:color w:val="000000"/>
              </w:rPr>
            </w:pPr>
          </w:p>
        </w:tc>
        <w:tc>
          <w:tcPr>
            <w:tcW w:w="1144" w:type="dxa"/>
            <w:tcBorders>
              <w:top w:val="nil"/>
              <w:left w:val="nil"/>
              <w:bottom w:val="nil"/>
              <w:right w:val="nil"/>
            </w:tcBorders>
            <w:shd w:val="clear" w:color="auto" w:fill="auto"/>
            <w:noWrap/>
            <w:vAlign w:val="bottom"/>
            <w:hideMark/>
          </w:tcPr>
          <w:p w14:paraId="2E77ADD3" w14:textId="77777777" w:rsidR="003E0A16" w:rsidRPr="00013625" w:rsidRDefault="003E0A16" w:rsidP="00C659AB">
            <w:pPr>
              <w:spacing w:line="240" w:lineRule="auto"/>
              <w:jc w:val="center"/>
              <w:rPr>
                <w:rFonts w:cs="Times New Roman"/>
                <w:color w:val="000000"/>
              </w:rPr>
            </w:pPr>
            <w:r w:rsidRPr="00013625">
              <w:rPr>
                <w:rFonts w:cs="Times New Roman"/>
                <w:color w:val="000000"/>
              </w:rPr>
              <w:t>DH-44</w:t>
            </w:r>
          </w:p>
        </w:tc>
        <w:tc>
          <w:tcPr>
            <w:tcW w:w="1620" w:type="dxa"/>
            <w:tcBorders>
              <w:top w:val="nil"/>
              <w:left w:val="nil"/>
              <w:bottom w:val="nil"/>
              <w:right w:val="nil"/>
            </w:tcBorders>
            <w:shd w:val="clear" w:color="auto" w:fill="auto"/>
            <w:noWrap/>
            <w:vAlign w:val="bottom"/>
            <w:hideMark/>
          </w:tcPr>
          <w:p w14:paraId="40544667" w14:textId="77777777" w:rsidR="003E0A16" w:rsidRPr="00013625" w:rsidRDefault="003E0A16" w:rsidP="00C659AB">
            <w:pPr>
              <w:spacing w:line="240" w:lineRule="auto"/>
              <w:jc w:val="center"/>
              <w:rPr>
                <w:rFonts w:cs="Times New Roman"/>
                <w:color w:val="000000"/>
              </w:rPr>
            </w:pPr>
            <w:r w:rsidRPr="00013625">
              <w:rPr>
                <w:rFonts w:cs="Times New Roman"/>
                <w:color w:val="000000"/>
              </w:rPr>
              <w:t>C-PGPB</w:t>
            </w:r>
          </w:p>
        </w:tc>
        <w:tc>
          <w:tcPr>
            <w:tcW w:w="1350" w:type="dxa"/>
            <w:tcBorders>
              <w:top w:val="nil"/>
              <w:left w:val="nil"/>
              <w:bottom w:val="nil"/>
              <w:right w:val="nil"/>
            </w:tcBorders>
            <w:shd w:val="clear" w:color="auto" w:fill="auto"/>
            <w:noWrap/>
            <w:vAlign w:val="bottom"/>
            <w:hideMark/>
          </w:tcPr>
          <w:p w14:paraId="7C1DB395" w14:textId="77777777" w:rsidR="003E0A16" w:rsidRPr="00013625" w:rsidRDefault="003E0A16" w:rsidP="00C659AB">
            <w:pPr>
              <w:spacing w:line="240" w:lineRule="auto"/>
              <w:jc w:val="center"/>
              <w:rPr>
                <w:rFonts w:cs="Times New Roman"/>
                <w:color w:val="000000"/>
              </w:rPr>
            </w:pPr>
            <w:r w:rsidRPr="00013625">
              <w:rPr>
                <w:rFonts w:cs="Times New Roman"/>
                <w:color w:val="000000"/>
              </w:rPr>
              <w:t>DH-267</w:t>
            </w:r>
          </w:p>
        </w:tc>
        <w:tc>
          <w:tcPr>
            <w:tcW w:w="1350" w:type="dxa"/>
            <w:tcBorders>
              <w:top w:val="nil"/>
              <w:left w:val="nil"/>
              <w:bottom w:val="nil"/>
              <w:right w:val="nil"/>
            </w:tcBorders>
            <w:shd w:val="clear" w:color="auto" w:fill="auto"/>
            <w:noWrap/>
            <w:vAlign w:val="bottom"/>
            <w:hideMark/>
          </w:tcPr>
          <w:p w14:paraId="1A7F56FD" w14:textId="77777777" w:rsidR="003E0A16" w:rsidRPr="00013625" w:rsidRDefault="003E0A16" w:rsidP="00C659AB">
            <w:pPr>
              <w:spacing w:line="240" w:lineRule="auto"/>
              <w:jc w:val="center"/>
              <w:rPr>
                <w:rFonts w:cs="Times New Roman"/>
                <w:color w:val="000000"/>
              </w:rPr>
            </w:pPr>
            <w:r w:rsidRPr="00013625">
              <w:rPr>
                <w:rFonts w:cs="Times New Roman"/>
                <w:color w:val="000000"/>
              </w:rPr>
              <w:t>No-PGPB</w:t>
            </w:r>
          </w:p>
        </w:tc>
        <w:tc>
          <w:tcPr>
            <w:tcW w:w="1110" w:type="dxa"/>
            <w:tcBorders>
              <w:top w:val="nil"/>
              <w:left w:val="nil"/>
              <w:bottom w:val="nil"/>
              <w:right w:val="nil"/>
            </w:tcBorders>
            <w:shd w:val="clear" w:color="auto" w:fill="auto"/>
            <w:noWrap/>
            <w:vAlign w:val="bottom"/>
            <w:hideMark/>
          </w:tcPr>
          <w:p w14:paraId="2238E521" w14:textId="77777777" w:rsidR="003E0A16" w:rsidRPr="00013625" w:rsidRDefault="003E0A16" w:rsidP="00C659AB">
            <w:pPr>
              <w:spacing w:line="240" w:lineRule="auto"/>
              <w:jc w:val="center"/>
              <w:rPr>
                <w:rFonts w:cs="Times New Roman"/>
                <w:color w:val="000000"/>
              </w:rPr>
            </w:pPr>
            <w:r w:rsidRPr="00013625">
              <w:rPr>
                <w:rFonts w:cs="Times New Roman"/>
                <w:i/>
                <w:iCs/>
                <w:color w:val="000000"/>
              </w:rPr>
              <w:t>P</w:t>
            </w:r>
            <w:r w:rsidRPr="00013625">
              <w:rPr>
                <w:rFonts w:cs="Times New Roman"/>
                <w:color w:val="000000"/>
              </w:rPr>
              <w:t>-Value</w:t>
            </w:r>
          </w:p>
        </w:tc>
      </w:tr>
      <w:tr w:rsidR="003E0A16" w:rsidRPr="00013625" w14:paraId="3F9A2763" w14:textId="77777777" w:rsidTr="00C659AB">
        <w:trPr>
          <w:trHeight w:val="375"/>
        </w:trPr>
        <w:tc>
          <w:tcPr>
            <w:tcW w:w="1466" w:type="dxa"/>
            <w:tcBorders>
              <w:top w:val="nil"/>
              <w:left w:val="nil"/>
              <w:bottom w:val="nil"/>
              <w:right w:val="nil"/>
            </w:tcBorders>
            <w:shd w:val="clear" w:color="auto" w:fill="auto"/>
            <w:noWrap/>
            <w:vAlign w:val="bottom"/>
            <w:hideMark/>
          </w:tcPr>
          <w:p w14:paraId="4C0FAA64" w14:textId="77777777" w:rsidR="003E0A16" w:rsidRPr="00013625" w:rsidRDefault="003E0A16" w:rsidP="00C659AB">
            <w:pPr>
              <w:spacing w:line="240" w:lineRule="auto"/>
              <w:jc w:val="center"/>
              <w:rPr>
                <w:rFonts w:cs="Times New Roman"/>
                <w:color w:val="000000"/>
              </w:rPr>
            </w:pPr>
            <w:r w:rsidRPr="00013625">
              <w:rPr>
                <w:rFonts w:cs="Times New Roman"/>
                <w:color w:val="000000"/>
              </w:rPr>
              <w:t>(kg N ha</w:t>
            </w:r>
            <w:r w:rsidRPr="00013625">
              <w:rPr>
                <w:rFonts w:cs="Times New Roman"/>
                <w:color w:val="000000"/>
                <w:vertAlign w:val="superscript"/>
              </w:rPr>
              <w:t>-1</w:t>
            </w:r>
            <w:r w:rsidRPr="00013625">
              <w:rPr>
                <w:rFonts w:cs="Times New Roman"/>
                <w:color w:val="000000"/>
              </w:rPr>
              <w:t>)</w:t>
            </w:r>
          </w:p>
        </w:tc>
        <w:tc>
          <w:tcPr>
            <w:tcW w:w="5464" w:type="dxa"/>
            <w:gridSpan w:val="4"/>
            <w:tcBorders>
              <w:top w:val="nil"/>
              <w:left w:val="nil"/>
              <w:bottom w:val="nil"/>
              <w:right w:val="nil"/>
            </w:tcBorders>
            <w:shd w:val="clear" w:color="auto" w:fill="auto"/>
            <w:noWrap/>
            <w:vAlign w:val="bottom"/>
            <w:hideMark/>
          </w:tcPr>
          <w:p w14:paraId="100896F9" w14:textId="77777777" w:rsidR="003E0A16" w:rsidRPr="00013625" w:rsidRDefault="003E0A16" w:rsidP="00C659AB">
            <w:pPr>
              <w:spacing w:line="240" w:lineRule="auto"/>
              <w:jc w:val="center"/>
              <w:rPr>
                <w:rFonts w:cs="Times New Roman"/>
                <w:color w:val="000000"/>
              </w:rPr>
            </w:pPr>
            <w:r w:rsidRPr="00013625">
              <w:rPr>
                <w:rFonts w:cs="Times New Roman"/>
                <w:color w:val="000000"/>
              </w:rPr>
              <w:t>------------------- g kg</w:t>
            </w:r>
            <w:r w:rsidRPr="00013625">
              <w:rPr>
                <w:rFonts w:cs="Times New Roman"/>
                <w:color w:val="000000"/>
                <w:vertAlign w:val="superscript"/>
              </w:rPr>
              <w:t>-1</w:t>
            </w:r>
            <w:r w:rsidRPr="00013625">
              <w:rPr>
                <w:rFonts w:cs="Times New Roman"/>
                <w:color w:val="000000"/>
              </w:rPr>
              <w:t xml:space="preserve"> ---------------------</w:t>
            </w:r>
          </w:p>
        </w:tc>
        <w:tc>
          <w:tcPr>
            <w:tcW w:w="1110" w:type="dxa"/>
            <w:tcBorders>
              <w:top w:val="nil"/>
              <w:left w:val="nil"/>
              <w:bottom w:val="nil"/>
              <w:right w:val="nil"/>
            </w:tcBorders>
            <w:shd w:val="clear" w:color="auto" w:fill="auto"/>
            <w:noWrap/>
            <w:vAlign w:val="bottom"/>
            <w:hideMark/>
          </w:tcPr>
          <w:p w14:paraId="34947D5D" w14:textId="77777777" w:rsidR="003E0A16" w:rsidRPr="00013625" w:rsidRDefault="003E0A16" w:rsidP="00C659AB">
            <w:pPr>
              <w:spacing w:line="240" w:lineRule="auto"/>
              <w:rPr>
                <w:rFonts w:cs="Times New Roman"/>
                <w:sz w:val="20"/>
                <w:szCs w:val="20"/>
              </w:rPr>
            </w:pPr>
          </w:p>
        </w:tc>
      </w:tr>
      <w:tr w:rsidR="003E0A16" w:rsidRPr="00013625" w14:paraId="1C066211" w14:textId="77777777" w:rsidTr="00C659AB">
        <w:trPr>
          <w:trHeight w:val="315"/>
        </w:trPr>
        <w:tc>
          <w:tcPr>
            <w:tcW w:w="1466" w:type="dxa"/>
            <w:tcBorders>
              <w:top w:val="single" w:sz="4" w:space="0" w:color="auto"/>
              <w:left w:val="nil"/>
              <w:bottom w:val="nil"/>
              <w:right w:val="nil"/>
            </w:tcBorders>
            <w:shd w:val="clear" w:color="auto" w:fill="auto"/>
            <w:noWrap/>
            <w:vAlign w:val="bottom"/>
            <w:hideMark/>
          </w:tcPr>
          <w:p w14:paraId="17E5C933" w14:textId="77777777" w:rsidR="003E0A16" w:rsidRPr="00013625" w:rsidRDefault="003E0A16" w:rsidP="00C659AB">
            <w:pPr>
              <w:spacing w:line="240" w:lineRule="auto"/>
              <w:jc w:val="center"/>
              <w:rPr>
                <w:rFonts w:cs="Times New Roman"/>
                <w:color w:val="000000"/>
              </w:rPr>
            </w:pPr>
            <w:r>
              <w:rPr>
                <w:rFonts w:cs="Times New Roman"/>
                <w:color w:val="000000"/>
              </w:rPr>
              <w:t>NN</w:t>
            </w:r>
          </w:p>
        </w:tc>
        <w:tc>
          <w:tcPr>
            <w:tcW w:w="1144" w:type="dxa"/>
            <w:tcBorders>
              <w:top w:val="single" w:sz="4" w:space="0" w:color="auto"/>
              <w:left w:val="nil"/>
              <w:bottom w:val="nil"/>
              <w:right w:val="nil"/>
            </w:tcBorders>
            <w:shd w:val="clear" w:color="auto" w:fill="auto"/>
            <w:noWrap/>
            <w:vAlign w:val="bottom"/>
            <w:hideMark/>
          </w:tcPr>
          <w:p w14:paraId="656460E6" w14:textId="77777777" w:rsidR="003E0A16" w:rsidRPr="00013625" w:rsidRDefault="003E0A16" w:rsidP="00C659AB">
            <w:pPr>
              <w:spacing w:line="240" w:lineRule="auto"/>
              <w:jc w:val="center"/>
              <w:rPr>
                <w:rFonts w:cs="Times New Roman"/>
                <w:color w:val="000000"/>
              </w:rPr>
            </w:pPr>
            <w:r w:rsidRPr="00013625">
              <w:rPr>
                <w:rFonts w:cs="Times New Roman"/>
                <w:color w:val="000000"/>
              </w:rPr>
              <w:t>124.8</w:t>
            </w:r>
          </w:p>
        </w:tc>
        <w:tc>
          <w:tcPr>
            <w:tcW w:w="1620" w:type="dxa"/>
            <w:tcBorders>
              <w:top w:val="single" w:sz="4" w:space="0" w:color="auto"/>
              <w:left w:val="nil"/>
              <w:bottom w:val="nil"/>
              <w:right w:val="nil"/>
            </w:tcBorders>
            <w:shd w:val="clear" w:color="auto" w:fill="auto"/>
            <w:noWrap/>
            <w:vAlign w:val="bottom"/>
            <w:hideMark/>
          </w:tcPr>
          <w:p w14:paraId="56E63A4F" w14:textId="77777777" w:rsidR="003E0A16" w:rsidRPr="00013625" w:rsidRDefault="003E0A16" w:rsidP="00C659AB">
            <w:pPr>
              <w:spacing w:line="240" w:lineRule="auto"/>
              <w:jc w:val="center"/>
              <w:rPr>
                <w:rFonts w:cs="Times New Roman"/>
                <w:color w:val="000000"/>
              </w:rPr>
            </w:pPr>
            <w:r w:rsidRPr="00013625">
              <w:rPr>
                <w:rFonts w:cs="Times New Roman"/>
                <w:color w:val="000000"/>
              </w:rPr>
              <w:t>128.8</w:t>
            </w:r>
          </w:p>
        </w:tc>
        <w:tc>
          <w:tcPr>
            <w:tcW w:w="1350" w:type="dxa"/>
            <w:tcBorders>
              <w:top w:val="single" w:sz="4" w:space="0" w:color="auto"/>
              <w:left w:val="nil"/>
              <w:bottom w:val="nil"/>
              <w:right w:val="nil"/>
            </w:tcBorders>
            <w:shd w:val="clear" w:color="auto" w:fill="auto"/>
            <w:noWrap/>
            <w:vAlign w:val="bottom"/>
            <w:hideMark/>
          </w:tcPr>
          <w:p w14:paraId="5957D1F9" w14:textId="77777777" w:rsidR="003E0A16" w:rsidRPr="00013625" w:rsidRDefault="003E0A16" w:rsidP="00C659AB">
            <w:pPr>
              <w:spacing w:line="240" w:lineRule="auto"/>
              <w:jc w:val="center"/>
              <w:rPr>
                <w:rFonts w:cs="Times New Roman"/>
                <w:color w:val="000000"/>
              </w:rPr>
            </w:pPr>
            <w:r w:rsidRPr="00013625">
              <w:rPr>
                <w:rFonts w:cs="Times New Roman"/>
                <w:color w:val="000000"/>
              </w:rPr>
              <w:t>124.3</w:t>
            </w:r>
          </w:p>
        </w:tc>
        <w:tc>
          <w:tcPr>
            <w:tcW w:w="1350" w:type="dxa"/>
            <w:tcBorders>
              <w:top w:val="single" w:sz="4" w:space="0" w:color="auto"/>
              <w:left w:val="nil"/>
              <w:bottom w:val="nil"/>
              <w:right w:val="nil"/>
            </w:tcBorders>
            <w:shd w:val="clear" w:color="auto" w:fill="auto"/>
            <w:noWrap/>
            <w:vAlign w:val="bottom"/>
            <w:hideMark/>
          </w:tcPr>
          <w:p w14:paraId="191F1F2B" w14:textId="77777777" w:rsidR="003E0A16" w:rsidRPr="00013625" w:rsidRDefault="003E0A16" w:rsidP="00C659AB">
            <w:pPr>
              <w:spacing w:line="240" w:lineRule="auto"/>
              <w:jc w:val="center"/>
              <w:rPr>
                <w:rFonts w:cs="Times New Roman"/>
                <w:color w:val="000000"/>
              </w:rPr>
            </w:pPr>
            <w:r w:rsidRPr="00013625">
              <w:rPr>
                <w:rFonts w:cs="Times New Roman"/>
                <w:color w:val="000000"/>
              </w:rPr>
              <w:t>125.5</w:t>
            </w:r>
          </w:p>
        </w:tc>
        <w:tc>
          <w:tcPr>
            <w:tcW w:w="1110" w:type="dxa"/>
            <w:tcBorders>
              <w:top w:val="single" w:sz="4" w:space="0" w:color="auto"/>
              <w:left w:val="nil"/>
              <w:bottom w:val="nil"/>
              <w:right w:val="nil"/>
            </w:tcBorders>
            <w:shd w:val="clear" w:color="auto" w:fill="auto"/>
            <w:noWrap/>
            <w:vAlign w:val="bottom"/>
            <w:hideMark/>
          </w:tcPr>
          <w:p w14:paraId="59FB62B3" w14:textId="77777777" w:rsidR="003E0A16" w:rsidRPr="00013625" w:rsidRDefault="003E0A16" w:rsidP="00C659AB">
            <w:pPr>
              <w:spacing w:line="240" w:lineRule="auto"/>
              <w:jc w:val="center"/>
              <w:rPr>
                <w:rFonts w:cs="Times New Roman"/>
                <w:i/>
                <w:iCs/>
                <w:color w:val="000000"/>
              </w:rPr>
            </w:pPr>
            <w:r w:rsidRPr="00013625">
              <w:rPr>
                <w:rFonts w:cs="Times New Roman"/>
                <w:i/>
                <w:iCs/>
                <w:color w:val="000000"/>
              </w:rPr>
              <w:t>&gt;0.05</w:t>
            </w:r>
          </w:p>
        </w:tc>
      </w:tr>
      <w:tr w:rsidR="003E0A16" w:rsidRPr="00013625" w14:paraId="028CB2B5" w14:textId="77777777" w:rsidTr="00C659AB">
        <w:trPr>
          <w:trHeight w:val="315"/>
        </w:trPr>
        <w:tc>
          <w:tcPr>
            <w:tcW w:w="1466" w:type="dxa"/>
            <w:tcBorders>
              <w:top w:val="nil"/>
              <w:left w:val="nil"/>
              <w:bottom w:val="nil"/>
              <w:right w:val="nil"/>
            </w:tcBorders>
            <w:shd w:val="clear" w:color="auto" w:fill="auto"/>
            <w:noWrap/>
            <w:vAlign w:val="bottom"/>
            <w:hideMark/>
          </w:tcPr>
          <w:p w14:paraId="3BECF560" w14:textId="77777777" w:rsidR="003E0A16" w:rsidRPr="00013625" w:rsidRDefault="003E0A16" w:rsidP="00C659AB">
            <w:pPr>
              <w:spacing w:line="240" w:lineRule="auto"/>
              <w:jc w:val="center"/>
              <w:rPr>
                <w:rFonts w:cs="Times New Roman"/>
                <w:color w:val="000000"/>
              </w:rPr>
            </w:pPr>
            <w:r w:rsidRPr="00013625">
              <w:rPr>
                <w:rFonts w:cs="Times New Roman"/>
                <w:color w:val="000000"/>
              </w:rPr>
              <w:t>U</w:t>
            </w:r>
            <w:r>
              <w:rPr>
                <w:rFonts w:cs="Times New Roman"/>
                <w:color w:val="000000"/>
              </w:rPr>
              <w:t>-33</w:t>
            </w:r>
          </w:p>
        </w:tc>
        <w:tc>
          <w:tcPr>
            <w:tcW w:w="1144" w:type="dxa"/>
            <w:tcBorders>
              <w:top w:val="nil"/>
              <w:left w:val="nil"/>
              <w:bottom w:val="nil"/>
              <w:right w:val="nil"/>
            </w:tcBorders>
            <w:shd w:val="clear" w:color="auto" w:fill="auto"/>
            <w:noWrap/>
            <w:vAlign w:val="bottom"/>
            <w:hideMark/>
          </w:tcPr>
          <w:p w14:paraId="0C8E3D7E" w14:textId="77777777" w:rsidR="003E0A16" w:rsidRPr="00013625" w:rsidRDefault="003E0A16" w:rsidP="00C659AB">
            <w:pPr>
              <w:spacing w:line="240" w:lineRule="auto"/>
              <w:jc w:val="center"/>
              <w:rPr>
                <w:rFonts w:cs="Times New Roman"/>
                <w:color w:val="000000"/>
              </w:rPr>
            </w:pPr>
            <w:r w:rsidRPr="00013625">
              <w:rPr>
                <w:rFonts w:cs="Times New Roman"/>
                <w:color w:val="000000"/>
              </w:rPr>
              <w:t>126.6</w:t>
            </w:r>
          </w:p>
        </w:tc>
        <w:tc>
          <w:tcPr>
            <w:tcW w:w="1620" w:type="dxa"/>
            <w:tcBorders>
              <w:top w:val="nil"/>
              <w:left w:val="nil"/>
              <w:bottom w:val="nil"/>
              <w:right w:val="nil"/>
            </w:tcBorders>
            <w:shd w:val="clear" w:color="auto" w:fill="auto"/>
            <w:noWrap/>
            <w:vAlign w:val="bottom"/>
            <w:hideMark/>
          </w:tcPr>
          <w:p w14:paraId="47D9C78A" w14:textId="77777777" w:rsidR="003E0A16" w:rsidRPr="00013625" w:rsidRDefault="003E0A16" w:rsidP="00C659AB">
            <w:pPr>
              <w:spacing w:line="240" w:lineRule="auto"/>
              <w:jc w:val="center"/>
              <w:rPr>
                <w:rFonts w:cs="Times New Roman"/>
                <w:color w:val="000000"/>
              </w:rPr>
            </w:pPr>
            <w:r w:rsidRPr="00013625">
              <w:rPr>
                <w:rFonts w:cs="Times New Roman"/>
                <w:color w:val="000000"/>
              </w:rPr>
              <w:t>131.2</w:t>
            </w:r>
          </w:p>
        </w:tc>
        <w:tc>
          <w:tcPr>
            <w:tcW w:w="1350" w:type="dxa"/>
            <w:tcBorders>
              <w:top w:val="nil"/>
              <w:left w:val="nil"/>
              <w:bottom w:val="nil"/>
              <w:right w:val="nil"/>
            </w:tcBorders>
            <w:shd w:val="clear" w:color="auto" w:fill="auto"/>
            <w:noWrap/>
            <w:vAlign w:val="bottom"/>
            <w:hideMark/>
          </w:tcPr>
          <w:p w14:paraId="08C8DEE4" w14:textId="77777777" w:rsidR="003E0A16" w:rsidRPr="00013625" w:rsidRDefault="003E0A16" w:rsidP="00C659AB">
            <w:pPr>
              <w:spacing w:line="240" w:lineRule="auto"/>
              <w:jc w:val="center"/>
              <w:rPr>
                <w:rFonts w:cs="Times New Roman"/>
                <w:color w:val="000000"/>
              </w:rPr>
            </w:pPr>
            <w:r w:rsidRPr="00013625">
              <w:rPr>
                <w:rFonts w:cs="Times New Roman"/>
                <w:color w:val="000000"/>
              </w:rPr>
              <w:t>123.2</w:t>
            </w:r>
          </w:p>
        </w:tc>
        <w:tc>
          <w:tcPr>
            <w:tcW w:w="1350" w:type="dxa"/>
            <w:tcBorders>
              <w:top w:val="nil"/>
              <w:left w:val="nil"/>
              <w:bottom w:val="nil"/>
              <w:right w:val="nil"/>
            </w:tcBorders>
            <w:shd w:val="clear" w:color="auto" w:fill="auto"/>
            <w:noWrap/>
            <w:vAlign w:val="bottom"/>
            <w:hideMark/>
          </w:tcPr>
          <w:p w14:paraId="1D1B7792" w14:textId="77777777" w:rsidR="003E0A16" w:rsidRPr="00013625" w:rsidRDefault="003E0A16" w:rsidP="00C659AB">
            <w:pPr>
              <w:spacing w:line="240" w:lineRule="auto"/>
              <w:jc w:val="center"/>
              <w:rPr>
                <w:rFonts w:cs="Times New Roman"/>
                <w:color w:val="000000"/>
              </w:rPr>
            </w:pPr>
            <w:r w:rsidRPr="00013625">
              <w:rPr>
                <w:rFonts w:cs="Times New Roman"/>
                <w:color w:val="000000"/>
              </w:rPr>
              <w:t>126.0</w:t>
            </w:r>
          </w:p>
        </w:tc>
        <w:tc>
          <w:tcPr>
            <w:tcW w:w="1110" w:type="dxa"/>
            <w:tcBorders>
              <w:top w:val="nil"/>
              <w:left w:val="nil"/>
              <w:bottom w:val="nil"/>
              <w:right w:val="nil"/>
            </w:tcBorders>
            <w:shd w:val="clear" w:color="auto" w:fill="auto"/>
            <w:noWrap/>
            <w:vAlign w:val="bottom"/>
            <w:hideMark/>
          </w:tcPr>
          <w:p w14:paraId="41C6CBFE" w14:textId="77777777" w:rsidR="003E0A16" w:rsidRPr="00013625" w:rsidRDefault="003E0A16" w:rsidP="00C659AB">
            <w:pPr>
              <w:spacing w:line="240" w:lineRule="auto"/>
              <w:jc w:val="center"/>
              <w:rPr>
                <w:rFonts w:cs="Times New Roman"/>
                <w:i/>
                <w:iCs/>
                <w:color w:val="000000"/>
              </w:rPr>
            </w:pPr>
            <w:r w:rsidRPr="00013625">
              <w:rPr>
                <w:rFonts w:cs="Times New Roman"/>
                <w:i/>
                <w:iCs/>
                <w:color w:val="000000"/>
              </w:rPr>
              <w:t>&gt;0.05</w:t>
            </w:r>
          </w:p>
        </w:tc>
      </w:tr>
      <w:tr w:rsidR="003E0A16" w:rsidRPr="00013625" w14:paraId="25E2BC3A" w14:textId="77777777" w:rsidTr="00C659AB">
        <w:trPr>
          <w:trHeight w:val="315"/>
        </w:trPr>
        <w:tc>
          <w:tcPr>
            <w:tcW w:w="1466" w:type="dxa"/>
            <w:tcBorders>
              <w:top w:val="nil"/>
              <w:left w:val="nil"/>
              <w:bottom w:val="nil"/>
              <w:right w:val="nil"/>
            </w:tcBorders>
            <w:shd w:val="clear" w:color="auto" w:fill="auto"/>
            <w:noWrap/>
            <w:vAlign w:val="bottom"/>
            <w:hideMark/>
          </w:tcPr>
          <w:p w14:paraId="6AB07EA7" w14:textId="77777777" w:rsidR="003E0A16" w:rsidRPr="00013625" w:rsidRDefault="003E0A16" w:rsidP="00C659AB">
            <w:pPr>
              <w:spacing w:line="240" w:lineRule="auto"/>
              <w:jc w:val="center"/>
              <w:rPr>
                <w:rFonts w:cs="Times New Roman"/>
                <w:color w:val="000000"/>
              </w:rPr>
            </w:pPr>
            <w:r w:rsidRPr="00013625">
              <w:rPr>
                <w:rFonts w:cs="Times New Roman"/>
                <w:color w:val="000000"/>
              </w:rPr>
              <w:t>A</w:t>
            </w:r>
            <w:r>
              <w:rPr>
                <w:rFonts w:cs="Times New Roman"/>
                <w:color w:val="000000"/>
              </w:rPr>
              <w:t>-33</w:t>
            </w:r>
          </w:p>
        </w:tc>
        <w:tc>
          <w:tcPr>
            <w:tcW w:w="1144" w:type="dxa"/>
            <w:tcBorders>
              <w:top w:val="nil"/>
              <w:left w:val="nil"/>
              <w:bottom w:val="nil"/>
              <w:right w:val="nil"/>
            </w:tcBorders>
            <w:shd w:val="clear" w:color="auto" w:fill="auto"/>
            <w:noWrap/>
            <w:vAlign w:val="bottom"/>
            <w:hideMark/>
          </w:tcPr>
          <w:p w14:paraId="0FF7AFA7" w14:textId="77777777" w:rsidR="003E0A16" w:rsidRPr="00013625" w:rsidRDefault="003E0A16" w:rsidP="00C659AB">
            <w:pPr>
              <w:spacing w:line="240" w:lineRule="auto"/>
              <w:jc w:val="center"/>
              <w:rPr>
                <w:rFonts w:cs="Times New Roman"/>
                <w:color w:val="000000"/>
              </w:rPr>
            </w:pPr>
            <w:r w:rsidRPr="00013625">
              <w:rPr>
                <w:rFonts w:cs="Times New Roman"/>
                <w:color w:val="000000"/>
              </w:rPr>
              <w:t>137.4</w:t>
            </w:r>
          </w:p>
        </w:tc>
        <w:tc>
          <w:tcPr>
            <w:tcW w:w="1620" w:type="dxa"/>
            <w:tcBorders>
              <w:top w:val="nil"/>
              <w:left w:val="nil"/>
              <w:bottom w:val="nil"/>
              <w:right w:val="nil"/>
            </w:tcBorders>
            <w:shd w:val="clear" w:color="auto" w:fill="auto"/>
            <w:noWrap/>
            <w:vAlign w:val="bottom"/>
            <w:hideMark/>
          </w:tcPr>
          <w:p w14:paraId="2C1A6220" w14:textId="77777777" w:rsidR="003E0A16" w:rsidRPr="00013625" w:rsidRDefault="003E0A16" w:rsidP="00C659AB">
            <w:pPr>
              <w:spacing w:line="240" w:lineRule="auto"/>
              <w:jc w:val="center"/>
              <w:rPr>
                <w:rFonts w:cs="Times New Roman"/>
                <w:color w:val="000000"/>
              </w:rPr>
            </w:pPr>
            <w:r w:rsidRPr="00013625">
              <w:rPr>
                <w:rFonts w:cs="Times New Roman"/>
                <w:color w:val="000000"/>
              </w:rPr>
              <w:t>126.1</w:t>
            </w:r>
          </w:p>
        </w:tc>
        <w:tc>
          <w:tcPr>
            <w:tcW w:w="1350" w:type="dxa"/>
            <w:tcBorders>
              <w:top w:val="nil"/>
              <w:left w:val="nil"/>
              <w:bottom w:val="nil"/>
              <w:right w:val="nil"/>
            </w:tcBorders>
            <w:shd w:val="clear" w:color="auto" w:fill="auto"/>
            <w:noWrap/>
            <w:vAlign w:val="bottom"/>
            <w:hideMark/>
          </w:tcPr>
          <w:p w14:paraId="0B3331E8" w14:textId="77777777" w:rsidR="003E0A16" w:rsidRPr="00013625" w:rsidRDefault="003E0A16" w:rsidP="00C659AB">
            <w:pPr>
              <w:spacing w:line="240" w:lineRule="auto"/>
              <w:jc w:val="center"/>
              <w:rPr>
                <w:rFonts w:cs="Times New Roman"/>
                <w:color w:val="000000"/>
              </w:rPr>
            </w:pPr>
            <w:r w:rsidRPr="00013625">
              <w:rPr>
                <w:rFonts w:cs="Times New Roman"/>
                <w:color w:val="000000"/>
              </w:rPr>
              <w:t>126.0</w:t>
            </w:r>
          </w:p>
        </w:tc>
        <w:tc>
          <w:tcPr>
            <w:tcW w:w="1350" w:type="dxa"/>
            <w:tcBorders>
              <w:top w:val="nil"/>
              <w:left w:val="nil"/>
              <w:bottom w:val="nil"/>
              <w:right w:val="nil"/>
            </w:tcBorders>
            <w:shd w:val="clear" w:color="auto" w:fill="auto"/>
            <w:noWrap/>
            <w:vAlign w:val="bottom"/>
            <w:hideMark/>
          </w:tcPr>
          <w:p w14:paraId="460E414F" w14:textId="77777777" w:rsidR="003E0A16" w:rsidRPr="00013625" w:rsidRDefault="003E0A16" w:rsidP="00C659AB">
            <w:pPr>
              <w:spacing w:line="240" w:lineRule="auto"/>
              <w:jc w:val="center"/>
              <w:rPr>
                <w:rFonts w:cs="Times New Roman"/>
                <w:color w:val="000000"/>
              </w:rPr>
            </w:pPr>
            <w:r w:rsidRPr="00013625">
              <w:rPr>
                <w:rFonts w:cs="Times New Roman"/>
                <w:color w:val="000000"/>
              </w:rPr>
              <w:t>126.6</w:t>
            </w:r>
          </w:p>
        </w:tc>
        <w:tc>
          <w:tcPr>
            <w:tcW w:w="1110" w:type="dxa"/>
            <w:tcBorders>
              <w:top w:val="nil"/>
              <w:left w:val="nil"/>
              <w:bottom w:val="nil"/>
              <w:right w:val="nil"/>
            </w:tcBorders>
            <w:shd w:val="clear" w:color="auto" w:fill="auto"/>
            <w:noWrap/>
            <w:vAlign w:val="bottom"/>
            <w:hideMark/>
          </w:tcPr>
          <w:p w14:paraId="2BEC5E19" w14:textId="77777777" w:rsidR="003E0A16" w:rsidRPr="00013625" w:rsidRDefault="003E0A16" w:rsidP="00C659AB">
            <w:pPr>
              <w:spacing w:line="240" w:lineRule="auto"/>
              <w:jc w:val="center"/>
              <w:rPr>
                <w:rFonts w:cs="Times New Roman"/>
                <w:i/>
                <w:iCs/>
                <w:color w:val="000000"/>
              </w:rPr>
            </w:pPr>
            <w:r w:rsidRPr="00013625">
              <w:rPr>
                <w:rFonts w:cs="Times New Roman"/>
                <w:i/>
                <w:iCs/>
                <w:color w:val="000000"/>
              </w:rPr>
              <w:t>&gt;0.05</w:t>
            </w:r>
          </w:p>
        </w:tc>
      </w:tr>
      <w:tr w:rsidR="003E0A16" w:rsidRPr="00013625" w14:paraId="2240599C" w14:textId="77777777" w:rsidTr="00C659AB">
        <w:trPr>
          <w:trHeight w:val="315"/>
        </w:trPr>
        <w:tc>
          <w:tcPr>
            <w:tcW w:w="1466" w:type="dxa"/>
            <w:tcBorders>
              <w:top w:val="nil"/>
              <w:left w:val="nil"/>
              <w:bottom w:val="nil"/>
              <w:right w:val="nil"/>
            </w:tcBorders>
            <w:shd w:val="clear" w:color="auto" w:fill="auto"/>
            <w:noWrap/>
            <w:vAlign w:val="bottom"/>
            <w:hideMark/>
          </w:tcPr>
          <w:p w14:paraId="065BBA11" w14:textId="77777777" w:rsidR="003E0A16" w:rsidRPr="00013625" w:rsidRDefault="003E0A16" w:rsidP="00C659AB">
            <w:pPr>
              <w:spacing w:line="240" w:lineRule="auto"/>
              <w:jc w:val="center"/>
              <w:rPr>
                <w:rFonts w:cs="Times New Roman"/>
                <w:color w:val="000000"/>
              </w:rPr>
            </w:pPr>
            <w:r>
              <w:rPr>
                <w:rFonts w:cs="Times New Roman"/>
                <w:color w:val="000000"/>
              </w:rPr>
              <w:t>U-67</w:t>
            </w:r>
          </w:p>
        </w:tc>
        <w:tc>
          <w:tcPr>
            <w:tcW w:w="1144" w:type="dxa"/>
            <w:tcBorders>
              <w:top w:val="nil"/>
              <w:left w:val="nil"/>
              <w:bottom w:val="nil"/>
              <w:right w:val="nil"/>
            </w:tcBorders>
            <w:shd w:val="clear" w:color="auto" w:fill="auto"/>
            <w:noWrap/>
            <w:vAlign w:val="bottom"/>
            <w:hideMark/>
          </w:tcPr>
          <w:p w14:paraId="07FDCC1C" w14:textId="77777777" w:rsidR="003E0A16" w:rsidRPr="00013625" w:rsidRDefault="003E0A16" w:rsidP="00C659AB">
            <w:pPr>
              <w:spacing w:line="240" w:lineRule="auto"/>
              <w:jc w:val="center"/>
              <w:rPr>
                <w:rFonts w:cs="Times New Roman"/>
                <w:color w:val="000000"/>
              </w:rPr>
            </w:pPr>
            <w:r w:rsidRPr="00013625">
              <w:rPr>
                <w:rFonts w:cs="Times New Roman"/>
                <w:color w:val="000000"/>
              </w:rPr>
              <w:t>128.8</w:t>
            </w:r>
          </w:p>
        </w:tc>
        <w:tc>
          <w:tcPr>
            <w:tcW w:w="1620" w:type="dxa"/>
            <w:tcBorders>
              <w:top w:val="nil"/>
              <w:left w:val="nil"/>
              <w:bottom w:val="nil"/>
              <w:right w:val="nil"/>
            </w:tcBorders>
            <w:shd w:val="clear" w:color="auto" w:fill="auto"/>
            <w:noWrap/>
            <w:vAlign w:val="bottom"/>
            <w:hideMark/>
          </w:tcPr>
          <w:p w14:paraId="2E8C0EE9" w14:textId="77777777" w:rsidR="003E0A16" w:rsidRPr="00013625" w:rsidRDefault="003E0A16" w:rsidP="00C659AB">
            <w:pPr>
              <w:spacing w:line="240" w:lineRule="auto"/>
              <w:jc w:val="center"/>
              <w:rPr>
                <w:rFonts w:cs="Times New Roman"/>
                <w:color w:val="000000"/>
              </w:rPr>
            </w:pPr>
            <w:r w:rsidRPr="00013625">
              <w:rPr>
                <w:rFonts w:cs="Times New Roman"/>
                <w:color w:val="000000"/>
              </w:rPr>
              <w:t>130.1</w:t>
            </w:r>
          </w:p>
        </w:tc>
        <w:tc>
          <w:tcPr>
            <w:tcW w:w="1350" w:type="dxa"/>
            <w:tcBorders>
              <w:top w:val="nil"/>
              <w:left w:val="nil"/>
              <w:bottom w:val="nil"/>
              <w:right w:val="nil"/>
            </w:tcBorders>
            <w:shd w:val="clear" w:color="auto" w:fill="auto"/>
            <w:noWrap/>
            <w:vAlign w:val="bottom"/>
            <w:hideMark/>
          </w:tcPr>
          <w:p w14:paraId="4E24D816" w14:textId="77777777" w:rsidR="003E0A16" w:rsidRPr="00013625" w:rsidRDefault="003E0A16" w:rsidP="00C659AB">
            <w:pPr>
              <w:spacing w:line="240" w:lineRule="auto"/>
              <w:jc w:val="center"/>
              <w:rPr>
                <w:rFonts w:cs="Times New Roman"/>
                <w:color w:val="000000"/>
              </w:rPr>
            </w:pPr>
            <w:r w:rsidRPr="00013625">
              <w:rPr>
                <w:rFonts w:cs="Times New Roman"/>
                <w:color w:val="000000"/>
              </w:rPr>
              <w:t>124.4</w:t>
            </w:r>
          </w:p>
        </w:tc>
        <w:tc>
          <w:tcPr>
            <w:tcW w:w="1350" w:type="dxa"/>
            <w:tcBorders>
              <w:top w:val="nil"/>
              <w:left w:val="nil"/>
              <w:bottom w:val="nil"/>
              <w:right w:val="nil"/>
            </w:tcBorders>
            <w:shd w:val="clear" w:color="auto" w:fill="auto"/>
            <w:noWrap/>
            <w:vAlign w:val="bottom"/>
            <w:hideMark/>
          </w:tcPr>
          <w:p w14:paraId="76829CDB" w14:textId="77777777" w:rsidR="003E0A16" w:rsidRPr="00013625" w:rsidRDefault="003E0A16" w:rsidP="00C659AB">
            <w:pPr>
              <w:spacing w:line="240" w:lineRule="auto"/>
              <w:jc w:val="center"/>
              <w:rPr>
                <w:rFonts w:cs="Times New Roman"/>
                <w:color w:val="000000"/>
              </w:rPr>
            </w:pPr>
            <w:r w:rsidRPr="00013625">
              <w:rPr>
                <w:rFonts w:cs="Times New Roman"/>
                <w:color w:val="000000"/>
              </w:rPr>
              <w:t>133.2</w:t>
            </w:r>
          </w:p>
        </w:tc>
        <w:tc>
          <w:tcPr>
            <w:tcW w:w="1110" w:type="dxa"/>
            <w:tcBorders>
              <w:top w:val="nil"/>
              <w:left w:val="nil"/>
              <w:bottom w:val="nil"/>
              <w:right w:val="nil"/>
            </w:tcBorders>
            <w:shd w:val="clear" w:color="auto" w:fill="auto"/>
            <w:noWrap/>
            <w:vAlign w:val="bottom"/>
            <w:hideMark/>
          </w:tcPr>
          <w:p w14:paraId="0BC867BC" w14:textId="77777777" w:rsidR="003E0A16" w:rsidRPr="00013625" w:rsidRDefault="003E0A16" w:rsidP="00C659AB">
            <w:pPr>
              <w:spacing w:line="240" w:lineRule="auto"/>
              <w:jc w:val="center"/>
              <w:rPr>
                <w:rFonts w:cs="Times New Roman"/>
                <w:i/>
                <w:iCs/>
                <w:color w:val="000000"/>
              </w:rPr>
            </w:pPr>
            <w:r w:rsidRPr="00013625">
              <w:rPr>
                <w:rFonts w:cs="Times New Roman"/>
                <w:i/>
                <w:iCs/>
                <w:color w:val="000000"/>
              </w:rPr>
              <w:t>&gt;0.05</w:t>
            </w:r>
          </w:p>
        </w:tc>
      </w:tr>
      <w:tr w:rsidR="003E0A16" w:rsidRPr="00013625" w14:paraId="2769286D" w14:textId="77777777" w:rsidTr="00C659AB">
        <w:trPr>
          <w:trHeight w:val="315"/>
        </w:trPr>
        <w:tc>
          <w:tcPr>
            <w:tcW w:w="1466" w:type="dxa"/>
            <w:tcBorders>
              <w:top w:val="nil"/>
              <w:left w:val="nil"/>
              <w:bottom w:val="nil"/>
              <w:right w:val="nil"/>
            </w:tcBorders>
            <w:shd w:val="clear" w:color="auto" w:fill="auto"/>
            <w:noWrap/>
            <w:vAlign w:val="bottom"/>
            <w:hideMark/>
          </w:tcPr>
          <w:p w14:paraId="19BA85FF" w14:textId="77777777" w:rsidR="003E0A16" w:rsidRPr="00013625" w:rsidRDefault="003E0A16" w:rsidP="00C659AB">
            <w:pPr>
              <w:spacing w:line="240" w:lineRule="auto"/>
              <w:jc w:val="center"/>
              <w:rPr>
                <w:rFonts w:cs="Times New Roman"/>
                <w:color w:val="000000"/>
              </w:rPr>
            </w:pPr>
            <w:r w:rsidRPr="00013625">
              <w:rPr>
                <w:rFonts w:cs="Times New Roman"/>
                <w:color w:val="000000"/>
              </w:rPr>
              <w:t>A</w:t>
            </w:r>
            <w:r>
              <w:rPr>
                <w:rFonts w:cs="Times New Roman"/>
                <w:color w:val="000000"/>
              </w:rPr>
              <w:t>-67</w:t>
            </w:r>
          </w:p>
        </w:tc>
        <w:tc>
          <w:tcPr>
            <w:tcW w:w="1144" w:type="dxa"/>
            <w:tcBorders>
              <w:top w:val="nil"/>
              <w:left w:val="nil"/>
              <w:bottom w:val="nil"/>
              <w:right w:val="nil"/>
            </w:tcBorders>
            <w:shd w:val="clear" w:color="auto" w:fill="auto"/>
            <w:noWrap/>
            <w:vAlign w:val="bottom"/>
            <w:hideMark/>
          </w:tcPr>
          <w:p w14:paraId="23B356B0" w14:textId="77777777" w:rsidR="003E0A16" w:rsidRPr="00013625" w:rsidRDefault="003E0A16" w:rsidP="00C659AB">
            <w:pPr>
              <w:spacing w:line="240" w:lineRule="auto"/>
              <w:jc w:val="center"/>
              <w:rPr>
                <w:rFonts w:cs="Times New Roman"/>
                <w:color w:val="000000"/>
              </w:rPr>
            </w:pPr>
            <w:r w:rsidRPr="00013625">
              <w:rPr>
                <w:rFonts w:cs="Times New Roman"/>
                <w:color w:val="000000"/>
              </w:rPr>
              <w:t>137.7</w:t>
            </w:r>
          </w:p>
        </w:tc>
        <w:tc>
          <w:tcPr>
            <w:tcW w:w="1620" w:type="dxa"/>
            <w:tcBorders>
              <w:top w:val="nil"/>
              <w:left w:val="nil"/>
              <w:bottom w:val="nil"/>
              <w:right w:val="nil"/>
            </w:tcBorders>
            <w:shd w:val="clear" w:color="auto" w:fill="auto"/>
            <w:noWrap/>
            <w:vAlign w:val="bottom"/>
            <w:hideMark/>
          </w:tcPr>
          <w:p w14:paraId="3211699E" w14:textId="77777777" w:rsidR="003E0A16" w:rsidRPr="00013625" w:rsidRDefault="003E0A16" w:rsidP="00C659AB">
            <w:pPr>
              <w:spacing w:line="240" w:lineRule="auto"/>
              <w:jc w:val="center"/>
              <w:rPr>
                <w:rFonts w:cs="Times New Roman"/>
                <w:color w:val="000000"/>
              </w:rPr>
            </w:pPr>
            <w:r w:rsidRPr="00013625">
              <w:rPr>
                <w:rFonts w:cs="Times New Roman"/>
                <w:color w:val="000000"/>
              </w:rPr>
              <w:t>136.3</w:t>
            </w:r>
          </w:p>
        </w:tc>
        <w:tc>
          <w:tcPr>
            <w:tcW w:w="1350" w:type="dxa"/>
            <w:tcBorders>
              <w:top w:val="nil"/>
              <w:left w:val="nil"/>
              <w:bottom w:val="nil"/>
              <w:right w:val="nil"/>
            </w:tcBorders>
            <w:shd w:val="clear" w:color="auto" w:fill="auto"/>
            <w:noWrap/>
            <w:vAlign w:val="bottom"/>
            <w:hideMark/>
          </w:tcPr>
          <w:p w14:paraId="610D9768" w14:textId="77777777" w:rsidR="003E0A16" w:rsidRPr="00013625" w:rsidRDefault="003E0A16" w:rsidP="00C659AB">
            <w:pPr>
              <w:spacing w:line="240" w:lineRule="auto"/>
              <w:jc w:val="center"/>
              <w:rPr>
                <w:rFonts w:cs="Times New Roman"/>
                <w:color w:val="000000"/>
              </w:rPr>
            </w:pPr>
            <w:r w:rsidRPr="00013625">
              <w:rPr>
                <w:rFonts w:cs="Times New Roman"/>
                <w:color w:val="000000"/>
              </w:rPr>
              <w:t>139.9</w:t>
            </w:r>
          </w:p>
        </w:tc>
        <w:tc>
          <w:tcPr>
            <w:tcW w:w="1350" w:type="dxa"/>
            <w:tcBorders>
              <w:top w:val="nil"/>
              <w:left w:val="nil"/>
              <w:bottom w:val="nil"/>
              <w:right w:val="nil"/>
            </w:tcBorders>
            <w:shd w:val="clear" w:color="auto" w:fill="auto"/>
            <w:noWrap/>
            <w:vAlign w:val="bottom"/>
            <w:hideMark/>
          </w:tcPr>
          <w:p w14:paraId="617655C8" w14:textId="77777777" w:rsidR="003E0A16" w:rsidRPr="00013625" w:rsidRDefault="003E0A16" w:rsidP="00C659AB">
            <w:pPr>
              <w:spacing w:line="240" w:lineRule="auto"/>
              <w:jc w:val="center"/>
              <w:rPr>
                <w:rFonts w:cs="Times New Roman"/>
                <w:color w:val="000000"/>
              </w:rPr>
            </w:pPr>
            <w:r w:rsidRPr="00013625">
              <w:rPr>
                <w:rFonts w:cs="Times New Roman"/>
                <w:color w:val="000000"/>
              </w:rPr>
              <w:t>137.7</w:t>
            </w:r>
          </w:p>
        </w:tc>
        <w:tc>
          <w:tcPr>
            <w:tcW w:w="1110" w:type="dxa"/>
            <w:tcBorders>
              <w:top w:val="nil"/>
              <w:left w:val="nil"/>
              <w:bottom w:val="nil"/>
              <w:right w:val="nil"/>
            </w:tcBorders>
            <w:shd w:val="clear" w:color="auto" w:fill="auto"/>
            <w:noWrap/>
            <w:vAlign w:val="bottom"/>
            <w:hideMark/>
          </w:tcPr>
          <w:p w14:paraId="13C5D42B" w14:textId="77777777" w:rsidR="003E0A16" w:rsidRPr="00013625" w:rsidRDefault="003E0A16" w:rsidP="00C659AB">
            <w:pPr>
              <w:spacing w:line="240" w:lineRule="auto"/>
              <w:jc w:val="center"/>
              <w:rPr>
                <w:rFonts w:cs="Times New Roman"/>
                <w:i/>
                <w:iCs/>
                <w:color w:val="000000"/>
              </w:rPr>
            </w:pPr>
            <w:r w:rsidRPr="00013625">
              <w:rPr>
                <w:rFonts w:cs="Times New Roman"/>
                <w:i/>
                <w:iCs/>
                <w:color w:val="000000"/>
              </w:rPr>
              <w:t>&gt;0.05</w:t>
            </w:r>
          </w:p>
        </w:tc>
      </w:tr>
      <w:tr w:rsidR="003E0A16" w:rsidRPr="00013625" w14:paraId="73322F25" w14:textId="77777777" w:rsidTr="00C659AB">
        <w:trPr>
          <w:trHeight w:val="315"/>
        </w:trPr>
        <w:tc>
          <w:tcPr>
            <w:tcW w:w="1466" w:type="dxa"/>
            <w:tcBorders>
              <w:top w:val="nil"/>
              <w:left w:val="nil"/>
              <w:bottom w:val="nil"/>
              <w:right w:val="nil"/>
            </w:tcBorders>
            <w:shd w:val="clear" w:color="auto" w:fill="auto"/>
            <w:noWrap/>
            <w:vAlign w:val="bottom"/>
            <w:hideMark/>
          </w:tcPr>
          <w:p w14:paraId="084096EC" w14:textId="77777777" w:rsidR="003E0A16" w:rsidRPr="00013625" w:rsidRDefault="003E0A16" w:rsidP="00C659AB">
            <w:pPr>
              <w:spacing w:line="240" w:lineRule="auto"/>
              <w:jc w:val="center"/>
              <w:rPr>
                <w:rFonts w:cs="Times New Roman"/>
                <w:color w:val="000000"/>
              </w:rPr>
            </w:pPr>
            <w:r w:rsidRPr="00013625">
              <w:rPr>
                <w:rFonts w:cs="Times New Roman"/>
                <w:i/>
                <w:iCs/>
                <w:color w:val="000000"/>
              </w:rPr>
              <w:t>P</w:t>
            </w:r>
            <w:r w:rsidRPr="00013625">
              <w:rPr>
                <w:rFonts w:cs="Times New Roman"/>
                <w:color w:val="000000"/>
              </w:rPr>
              <w:t>-value</w:t>
            </w:r>
          </w:p>
        </w:tc>
        <w:tc>
          <w:tcPr>
            <w:tcW w:w="1144" w:type="dxa"/>
            <w:tcBorders>
              <w:top w:val="nil"/>
              <w:left w:val="nil"/>
              <w:bottom w:val="nil"/>
              <w:right w:val="nil"/>
            </w:tcBorders>
            <w:shd w:val="clear" w:color="auto" w:fill="auto"/>
            <w:noWrap/>
            <w:vAlign w:val="bottom"/>
            <w:hideMark/>
          </w:tcPr>
          <w:p w14:paraId="30EA8D7D" w14:textId="77777777" w:rsidR="003E0A16" w:rsidRPr="00013625" w:rsidRDefault="003E0A16" w:rsidP="00C659AB">
            <w:pPr>
              <w:spacing w:line="240" w:lineRule="auto"/>
              <w:jc w:val="center"/>
              <w:rPr>
                <w:rFonts w:cs="Times New Roman"/>
                <w:i/>
                <w:iCs/>
                <w:color w:val="000000"/>
              </w:rPr>
            </w:pPr>
            <w:r w:rsidRPr="00013625">
              <w:rPr>
                <w:rFonts w:cs="Times New Roman"/>
                <w:i/>
                <w:iCs/>
                <w:color w:val="000000"/>
              </w:rPr>
              <w:t>&gt;0.05</w:t>
            </w:r>
          </w:p>
        </w:tc>
        <w:tc>
          <w:tcPr>
            <w:tcW w:w="1620" w:type="dxa"/>
            <w:tcBorders>
              <w:top w:val="nil"/>
              <w:left w:val="nil"/>
              <w:bottom w:val="nil"/>
              <w:right w:val="nil"/>
            </w:tcBorders>
            <w:shd w:val="clear" w:color="auto" w:fill="auto"/>
            <w:noWrap/>
            <w:vAlign w:val="bottom"/>
            <w:hideMark/>
          </w:tcPr>
          <w:p w14:paraId="3142BF44" w14:textId="77777777" w:rsidR="003E0A16" w:rsidRPr="00013625" w:rsidRDefault="003E0A16" w:rsidP="00C659AB">
            <w:pPr>
              <w:spacing w:line="240" w:lineRule="auto"/>
              <w:jc w:val="center"/>
              <w:rPr>
                <w:rFonts w:cs="Times New Roman"/>
                <w:i/>
                <w:iCs/>
                <w:color w:val="000000"/>
              </w:rPr>
            </w:pPr>
            <w:r w:rsidRPr="00013625">
              <w:rPr>
                <w:rFonts w:cs="Times New Roman"/>
                <w:i/>
                <w:iCs/>
                <w:color w:val="000000"/>
              </w:rPr>
              <w:t>&gt;0.05</w:t>
            </w:r>
          </w:p>
        </w:tc>
        <w:tc>
          <w:tcPr>
            <w:tcW w:w="1350" w:type="dxa"/>
            <w:tcBorders>
              <w:top w:val="nil"/>
              <w:left w:val="nil"/>
              <w:bottom w:val="nil"/>
              <w:right w:val="nil"/>
            </w:tcBorders>
            <w:shd w:val="clear" w:color="auto" w:fill="auto"/>
            <w:noWrap/>
            <w:vAlign w:val="bottom"/>
            <w:hideMark/>
          </w:tcPr>
          <w:p w14:paraId="68B058C9" w14:textId="77777777" w:rsidR="003E0A16" w:rsidRPr="00013625" w:rsidRDefault="003E0A16" w:rsidP="00C659AB">
            <w:pPr>
              <w:spacing w:line="240" w:lineRule="auto"/>
              <w:jc w:val="center"/>
              <w:rPr>
                <w:rFonts w:cs="Times New Roman"/>
                <w:i/>
                <w:iCs/>
                <w:color w:val="000000"/>
              </w:rPr>
            </w:pPr>
            <w:r w:rsidRPr="00013625">
              <w:rPr>
                <w:rFonts w:cs="Times New Roman"/>
                <w:i/>
                <w:iCs/>
                <w:color w:val="000000"/>
              </w:rPr>
              <w:t>&gt;0.05</w:t>
            </w:r>
          </w:p>
        </w:tc>
        <w:tc>
          <w:tcPr>
            <w:tcW w:w="1350" w:type="dxa"/>
            <w:tcBorders>
              <w:top w:val="nil"/>
              <w:left w:val="nil"/>
              <w:bottom w:val="nil"/>
              <w:right w:val="nil"/>
            </w:tcBorders>
            <w:shd w:val="clear" w:color="auto" w:fill="auto"/>
            <w:noWrap/>
            <w:vAlign w:val="bottom"/>
            <w:hideMark/>
          </w:tcPr>
          <w:p w14:paraId="504B02FE" w14:textId="77777777" w:rsidR="003E0A16" w:rsidRPr="00013625" w:rsidRDefault="003E0A16" w:rsidP="00C659AB">
            <w:pPr>
              <w:spacing w:line="240" w:lineRule="auto"/>
              <w:jc w:val="center"/>
              <w:rPr>
                <w:rFonts w:cs="Times New Roman"/>
                <w:i/>
                <w:iCs/>
                <w:color w:val="000000"/>
              </w:rPr>
            </w:pPr>
            <w:r w:rsidRPr="00013625">
              <w:rPr>
                <w:rFonts w:cs="Times New Roman"/>
                <w:i/>
                <w:iCs/>
                <w:color w:val="000000"/>
              </w:rPr>
              <w:t>&gt;0.05</w:t>
            </w:r>
          </w:p>
        </w:tc>
        <w:tc>
          <w:tcPr>
            <w:tcW w:w="1110" w:type="dxa"/>
            <w:tcBorders>
              <w:top w:val="nil"/>
              <w:left w:val="nil"/>
              <w:bottom w:val="nil"/>
              <w:right w:val="nil"/>
            </w:tcBorders>
            <w:shd w:val="clear" w:color="auto" w:fill="auto"/>
            <w:noWrap/>
            <w:vAlign w:val="bottom"/>
            <w:hideMark/>
          </w:tcPr>
          <w:p w14:paraId="68BE9A4B" w14:textId="77777777" w:rsidR="003E0A16" w:rsidRPr="00013625" w:rsidRDefault="003E0A16" w:rsidP="00C659AB">
            <w:pPr>
              <w:spacing w:line="240" w:lineRule="auto"/>
              <w:rPr>
                <w:rFonts w:cs="Times New Roman"/>
                <w:sz w:val="20"/>
                <w:szCs w:val="20"/>
              </w:rPr>
            </w:pPr>
          </w:p>
        </w:tc>
      </w:tr>
      <w:tr w:rsidR="003E0A16" w:rsidRPr="00013625" w14:paraId="41F70DC1" w14:textId="77777777" w:rsidTr="00C659AB">
        <w:trPr>
          <w:trHeight w:val="315"/>
        </w:trPr>
        <w:tc>
          <w:tcPr>
            <w:tcW w:w="8040" w:type="dxa"/>
            <w:gridSpan w:val="6"/>
            <w:tcBorders>
              <w:top w:val="single" w:sz="4" w:space="0" w:color="auto"/>
              <w:left w:val="nil"/>
              <w:bottom w:val="nil"/>
              <w:right w:val="nil"/>
            </w:tcBorders>
            <w:shd w:val="clear" w:color="auto" w:fill="auto"/>
            <w:noWrap/>
            <w:vAlign w:val="center"/>
            <w:hideMark/>
          </w:tcPr>
          <w:p w14:paraId="6747A0F7" w14:textId="77777777" w:rsidR="003E0A16" w:rsidRPr="00013625" w:rsidRDefault="003E0A16" w:rsidP="00C659AB">
            <w:pPr>
              <w:spacing w:line="240" w:lineRule="auto"/>
              <w:rPr>
                <w:rFonts w:cs="Times New Roman"/>
                <w:color w:val="000000"/>
              </w:rPr>
            </w:pPr>
            <w:r w:rsidRPr="00013625">
              <w:rPr>
                <w:rFonts w:cs="Times New Roman"/>
                <w:color w:val="000000"/>
              </w:rPr>
              <w:t xml:space="preserve">Means within a column differ each </w:t>
            </w:r>
            <w:r w:rsidRPr="00711096">
              <w:t>inoculation</w:t>
            </w:r>
            <w:r>
              <w:rPr>
                <w:b/>
                <w:bCs/>
                <w:i/>
                <w:iCs/>
              </w:rPr>
              <w:t xml:space="preserve"> </w:t>
            </w:r>
            <w:r w:rsidRPr="00013625">
              <w:rPr>
                <w:rFonts w:cs="Times New Roman"/>
                <w:color w:val="000000"/>
              </w:rPr>
              <w:t xml:space="preserve">into </w:t>
            </w:r>
            <w:r>
              <w:t xml:space="preserve">N strategies </w:t>
            </w:r>
            <w:r w:rsidRPr="00013625">
              <w:rPr>
                <w:rFonts w:cs="Times New Roman"/>
                <w:color w:val="000000"/>
              </w:rPr>
              <w:t>(</w:t>
            </w:r>
            <w:r w:rsidRPr="00A70E8C">
              <w:rPr>
                <w:rFonts w:cs="Times New Roman"/>
                <w:i/>
                <w:iCs/>
                <w:color w:val="000000"/>
              </w:rPr>
              <w:t>P</w:t>
            </w:r>
            <w:r w:rsidRPr="00013625">
              <w:rPr>
                <w:rFonts w:cs="Times New Roman"/>
                <w:color w:val="000000"/>
              </w:rPr>
              <w:t xml:space="preserve"> &lt; .05). </w:t>
            </w:r>
          </w:p>
        </w:tc>
      </w:tr>
      <w:tr w:rsidR="003E0A16" w:rsidRPr="00013625" w14:paraId="0F4DC6E5" w14:textId="77777777" w:rsidTr="00C659AB">
        <w:trPr>
          <w:trHeight w:val="315"/>
        </w:trPr>
        <w:tc>
          <w:tcPr>
            <w:tcW w:w="8040" w:type="dxa"/>
            <w:gridSpan w:val="6"/>
            <w:tcBorders>
              <w:top w:val="nil"/>
              <w:left w:val="nil"/>
              <w:bottom w:val="nil"/>
              <w:right w:val="nil"/>
            </w:tcBorders>
            <w:shd w:val="clear" w:color="auto" w:fill="auto"/>
            <w:noWrap/>
            <w:vAlign w:val="center"/>
            <w:hideMark/>
          </w:tcPr>
          <w:p w14:paraId="3DD77FC7" w14:textId="77777777" w:rsidR="003E0A16" w:rsidRPr="00013625" w:rsidRDefault="003E0A16" w:rsidP="00C659AB">
            <w:pPr>
              <w:spacing w:line="240" w:lineRule="auto"/>
              <w:rPr>
                <w:rFonts w:cs="Times New Roman"/>
                <w:color w:val="000000"/>
              </w:rPr>
            </w:pPr>
            <w:r w:rsidRPr="00013625">
              <w:rPr>
                <w:rFonts w:cs="Times New Roman"/>
                <w:color w:val="000000"/>
              </w:rPr>
              <w:t xml:space="preserve">Means without within a row differ each </w:t>
            </w:r>
            <w:r>
              <w:t xml:space="preserve">N strategies </w:t>
            </w:r>
            <w:r w:rsidRPr="00013625">
              <w:rPr>
                <w:rFonts w:cs="Times New Roman"/>
                <w:color w:val="000000"/>
              </w:rPr>
              <w:t xml:space="preserve">into </w:t>
            </w:r>
            <w:r w:rsidRPr="00711096">
              <w:t>inoculation</w:t>
            </w:r>
            <w:r>
              <w:rPr>
                <w:b/>
                <w:bCs/>
                <w:i/>
                <w:iCs/>
              </w:rPr>
              <w:t xml:space="preserve"> </w:t>
            </w:r>
            <w:r w:rsidRPr="00013625">
              <w:rPr>
                <w:rFonts w:cs="Times New Roman"/>
                <w:color w:val="000000"/>
              </w:rPr>
              <w:t>(</w:t>
            </w:r>
            <w:r w:rsidRPr="00A70E8C">
              <w:rPr>
                <w:rFonts w:cs="Times New Roman"/>
                <w:i/>
                <w:iCs/>
                <w:color w:val="000000"/>
              </w:rPr>
              <w:t>P</w:t>
            </w:r>
            <w:r w:rsidRPr="00013625">
              <w:rPr>
                <w:rFonts w:cs="Times New Roman"/>
                <w:color w:val="000000"/>
              </w:rPr>
              <w:t xml:space="preserve"> &lt; .05).</w:t>
            </w:r>
          </w:p>
        </w:tc>
      </w:tr>
      <w:tr w:rsidR="003E0A16" w:rsidRPr="00013625" w14:paraId="1DF4C899" w14:textId="77777777" w:rsidTr="00C659AB">
        <w:trPr>
          <w:trHeight w:val="360"/>
        </w:trPr>
        <w:tc>
          <w:tcPr>
            <w:tcW w:w="8040" w:type="dxa"/>
            <w:gridSpan w:val="6"/>
            <w:tcBorders>
              <w:top w:val="nil"/>
              <w:left w:val="nil"/>
              <w:bottom w:val="nil"/>
              <w:right w:val="nil"/>
            </w:tcBorders>
            <w:shd w:val="clear" w:color="auto" w:fill="auto"/>
            <w:noWrap/>
            <w:vAlign w:val="center"/>
            <w:hideMark/>
          </w:tcPr>
          <w:p w14:paraId="35D3EB40" w14:textId="77777777" w:rsidR="003E0A16" w:rsidRPr="00013625" w:rsidRDefault="003E0A16" w:rsidP="00C659AB">
            <w:pPr>
              <w:spacing w:line="240" w:lineRule="auto"/>
              <w:rPr>
                <w:rFonts w:cs="Times New Roman"/>
                <w:color w:val="000000"/>
              </w:rPr>
            </w:pPr>
            <w:r>
              <w:rPr>
                <w:rFonts w:cs="Times New Roman"/>
                <w:color w:val="000000"/>
              </w:rPr>
              <w:t>SEM = 3.4.</w:t>
            </w:r>
          </w:p>
        </w:tc>
      </w:tr>
      <w:tr w:rsidR="003E0A16" w:rsidRPr="00013625" w14:paraId="39548CDE" w14:textId="77777777" w:rsidTr="00C659AB">
        <w:trPr>
          <w:trHeight w:val="315"/>
        </w:trPr>
        <w:tc>
          <w:tcPr>
            <w:tcW w:w="8040" w:type="dxa"/>
            <w:gridSpan w:val="6"/>
            <w:tcBorders>
              <w:top w:val="nil"/>
              <w:left w:val="nil"/>
              <w:bottom w:val="nil"/>
              <w:right w:val="nil"/>
            </w:tcBorders>
            <w:shd w:val="clear" w:color="auto" w:fill="auto"/>
            <w:vAlign w:val="center"/>
            <w:hideMark/>
          </w:tcPr>
          <w:p w14:paraId="52C060F6" w14:textId="77777777" w:rsidR="003E0A16" w:rsidRPr="00013625" w:rsidRDefault="003E0A16" w:rsidP="00C659AB">
            <w:pPr>
              <w:spacing w:line="240" w:lineRule="auto"/>
              <w:rPr>
                <w:rFonts w:cs="Times New Roman"/>
                <w:i/>
                <w:iCs/>
                <w:color w:val="000000"/>
              </w:rPr>
            </w:pPr>
            <w:r w:rsidRPr="00013625">
              <w:rPr>
                <w:rFonts w:cs="Times New Roman"/>
                <w:i/>
                <w:iCs/>
                <w:color w:val="000000"/>
              </w:rPr>
              <w:t>Note</w:t>
            </w:r>
            <w:r w:rsidRPr="00013625">
              <w:rPr>
                <w:rFonts w:cs="Times New Roman"/>
                <w:color w:val="000000"/>
              </w:rPr>
              <w:t xml:space="preserve">: DH-44, </w:t>
            </w:r>
            <w:proofErr w:type="spellStart"/>
            <w:r w:rsidRPr="00013625">
              <w:rPr>
                <w:rFonts w:cs="Times New Roman"/>
                <w:i/>
                <w:iCs/>
                <w:color w:val="000000"/>
              </w:rPr>
              <w:t>Paenibacillus</w:t>
            </w:r>
            <w:proofErr w:type="spellEnd"/>
            <w:r w:rsidRPr="00013625">
              <w:rPr>
                <w:rFonts w:cs="Times New Roman"/>
                <w:i/>
                <w:iCs/>
                <w:color w:val="000000"/>
              </w:rPr>
              <w:t xml:space="preserve"> </w:t>
            </w:r>
            <w:proofErr w:type="spellStart"/>
            <w:r w:rsidRPr="00013625">
              <w:rPr>
                <w:rFonts w:cs="Times New Roman"/>
                <w:i/>
                <w:iCs/>
                <w:color w:val="000000"/>
              </w:rPr>
              <w:t>riograndensis</w:t>
            </w:r>
            <w:proofErr w:type="spellEnd"/>
            <w:r w:rsidRPr="00013625">
              <w:rPr>
                <w:rFonts w:cs="Times New Roman"/>
                <w:color w:val="000000"/>
              </w:rPr>
              <w:t xml:space="preserve">; C-PGPB, </w:t>
            </w:r>
            <w:proofErr w:type="spellStart"/>
            <w:r w:rsidRPr="00013625">
              <w:rPr>
                <w:rFonts w:cs="Times New Roman"/>
                <w:color w:val="000000"/>
              </w:rPr>
              <w:t>UrtrishaN</w:t>
            </w:r>
            <w:proofErr w:type="spellEnd"/>
            <w:r w:rsidRPr="00013625">
              <w:rPr>
                <w:rFonts w:cs="Times New Roman"/>
                <w:color w:val="000000"/>
              </w:rPr>
              <w:t xml:space="preserve">; DH-267, </w:t>
            </w:r>
            <w:r w:rsidRPr="00013625">
              <w:rPr>
                <w:rFonts w:cs="Times New Roman"/>
                <w:i/>
                <w:iCs/>
                <w:color w:val="000000"/>
              </w:rPr>
              <w:t>Bacillus subtilis</w:t>
            </w:r>
            <w:r w:rsidRPr="00013625">
              <w:rPr>
                <w:rFonts w:cs="Times New Roman"/>
                <w:color w:val="000000"/>
              </w:rPr>
              <w:t>; No-PGPB, control.</w:t>
            </w:r>
          </w:p>
        </w:tc>
      </w:tr>
      <w:tr w:rsidR="003E0A16" w:rsidRPr="00013625" w14:paraId="34775194" w14:textId="77777777" w:rsidTr="00C659AB">
        <w:trPr>
          <w:trHeight w:val="315"/>
        </w:trPr>
        <w:tc>
          <w:tcPr>
            <w:tcW w:w="8040" w:type="dxa"/>
            <w:gridSpan w:val="6"/>
            <w:tcBorders>
              <w:top w:val="nil"/>
              <w:left w:val="nil"/>
              <w:bottom w:val="nil"/>
              <w:right w:val="nil"/>
            </w:tcBorders>
            <w:shd w:val="clear" w:color="auto" w:fill="auto"/>
            <w:noWrap/>
            <w:vAlign w:val="bottom"/>
            <w:hideMark/>
          </w:tcPr>
          <w:p w14:paraId="7BACEFC5" w14:textId="77777777" w:rsidR="003E0A16" w:rsidRPr="00013625" w:rsidRDefault="003E0A16" w:rsidP="00C659AB">
            <w:pPr>
              <w:spacing w:line="240" w:lineRule="auto"/>
              <w:rPr>
                <w:rFonts w:cs="Times New Roman"/>
                <w:i/>
                <w:iCs/>
                <w:color w:val="000000"/>
              </w:rPr>
            </w:pPr>
            <w:r w:rsidRPr="00013625">
              <w:rPr>
                <w:rFonts w:cs="Times New Roman"/>
                <w:i/>
                <w:iCs/>
                <w:color w:val="000000"/>
              </w:rPr>
              <w:t>Note</w:t>
            </w:r>
            <w:r w:rsidRPr="00013625">
              <w:rPr>
                <w:rFonts w:cs="Times New Roman"/>
                <w:color w:val="000000"/>
              </w:rPr>
              <w:t>: U, urea; A, ammonium sulfate.</w:t>
            </w:r>
          </w:p>
        </w:tc>
      </w:tr>
    </w:tbl>
    <w:p w14:paraId="0D311B6E" w14:textId="153BF03B" w:rsidR="003E0A16" w:rsidRDefault="003E0A16">
      <w:pPr>
        <w:spacing w:line="240" w:lineRule="auto"/>
        <w:rPr>
          <w:rFonts w:cs="Times New Roman"/>
        </w:rPr>
      </w:pPr>
    </w:p>
    <w:p w14:paraId="41DF4C18" w14:textId="77777777" w:rsidR="003E0A16" w:rsidRDefault="003E0A16">
      <w:pPr>
        <w:spacing w:line="240" w:lineRule="auto"/>
        <w:rPr>
          <w:rFonts w:cs="Times New Roman"/>
        </w:rPr>
      </w:pPr>
      <w:r>
        <w:rPr>
          <w:rFonts w:cs="Times New Roman"/>
        </w:rPr>
        <w:br w:type="page"/>
      </w:r>
    </w:p>
    <w:p w14:paraId="28E8017F" w14:textId="54E0746D" w:rsidR="004432D5" w:rsidRDefault="0025614C" w:rsidP="003E0A16">
      <w:pPr>
        <w:spacing w:line="480" w:lineRule="auto"/>
        <w:rPr>
          <w:rFonts w:cs="Times New Roman"/>
        </w:rPr>
      </w:pPr>
      <w:r>
        <w:rPr>
          <w:rFonts w:cs="Times New Roman"/>
        </w:rPr>
        <w:lastRenderedPageBreak/>
        <w:t xml:space="preserve">contrasts with the </w:t>
      </w:r>
      <w:r w:rsidR="00985CAA">
        <w:rPr>
          <w:rFonts w:cs="Times New Roman"/>
        </w:rPr>
        <w:t xml:space="preserve">current </w:t>
      </w:r>
      <w:r>
        <w:rPr>
          <w:rFonts w:cs="Times New Roman"/>
        </w:rPr>
        <w:t xml:space="preserve">findings of this study </w:t>
      </w:r>
      <w:r w:rsidR="00985CAA">
        <w:rPr>
          <w:rFonts w:cs="Times New Roman"/>
        </w:rPr>
        <w:t>(</w:t>
      </w:r>
      <w:r w:rsidR="00195989">
        <w:rPr>
          <w:rFonts w:cs="Times New Roman"/>
          <w:b/>
          <w:bCs/>
        </w:rPr>
        <w:t>Table 2.6</w:t>
      </w:r>
      <w:r w:rsidR="00985CAA">
        <w:rPr>
          <w:rFonts w:cs="Times New Roman"/>
        </w:rPr>
        <w:t>)</w:t>
      </w:r>
      <w:r>
        <w:rPr>
          <w:rFonts w:cs="Times New Roman"/>
        </w:rPr>
        <w:t xml:space="preserve">. In this study, </w:t>
      </w:r>
      <w:r w:rsidR="00985CAA">
        <w:rPr>
          <w:rFonts w:cs="Times New Roman"/>
        </w:rPr>
        <w:t xml:space="preserve">A-67 showed </w:t>
      </w:r>
      <w:r>
        <w:rPr>
          <w:rFonts w:cs="Times New Roman"/>
        </w:rPr>
        <w:t xml:space="preserve">a </w:t>
      </w:r>
      <w:r w:rsidR="00985CAA">
        <w:rPr>
          <w:rFonts w:cs="Times New Roman"/>
        </w:rPr>
        <w:t>greater CP</w:t>
      </w:r>
      <w:r>
        <w:rPr>
          <w:rFonts w:cs="Times New Roman"/>
        </w:rPr>
        <w:t xml:space="preserve"> content</w:t>
      </w:r>
      <w:r w:rsidR="00AF678A">
        <w:rPr>
          <w:rFonts w:cs="Times New Roman"/>
        </w:rPr>
        <w:t xml:space="preserve"> in year 2</w:t>
      </w:r>
      <w:r>
        <w:rPr>
          <w:rFonts w:cs="Times New Roman"/>
        </w:rPr>
        <w:t xml:space="preserve">, which </w:t>
      </w:r>
      <w:r w:rsidR="00985CAA">
        <w:rPr>
          <w:rFonts w:cs="Times New Roman"/>
        </w:rPr>
        <w:t>may be related to the</w:t>
      </w:r>
      <w:r w:rsidR="00995C5B">
        <w:rPr>
          <w:rFonts w:cs="Times New Roman"/>
        </w:rPr>
        <w:t xml:space="preserve"> volatilization rate of ammonium sulfate when compared to urea. According to </w:t>
      </w:r>
      <w:r w:rsidR="00995C5B">
        <w:rPr>
          <w:rFonts w:cs="Times New Roman"/>
        </w:rPr>
        <w:fldChar w:fldCharType="begin"/>
      </w:r>
      <w:r w:rsidR="00A65125">
        <w:rPr>
          <w:rFonts w:cs="Times New Roman"/>
        </w:rPr>
        <w:instrText xml:space="preserve"> ADDIN ZOTERO_ITEM CSL_CITATION {"citationID":"uqTd0FsH","properties":{"formattedCitation":"(Aggarwal et al., 1987)","plainCitation":"(Aggarwal et al., 1987)","dontUpdate":true,"noteIndex":0},"citationItems":[{"id":83,"uris":["http://zotero.org/users/local/kjHHoAYm/items/MBXWUM63"],"itemData":{"id":83,"type":"article-journal","container-title":"Journal of Arid Environments","DOI":"10.1016/S0140-1963(18)31135-2","ISSN":"01401963","issue":"2","journalAbbreviation":"Journal of Arid Environments","language":"en","license":"https://www.elsevier.com/tdm/userlicense/1.0/","page":"163-168","source":"DOI.org (Crossref)","title":"Ammonia volatilization losses from urea and their possible management for increasing nitrogen use efficiency in an arid region","volume":"13","author":[{"family":"Aggarwal","given":"R.K."},{"family":"Raina","given":"P."},{"family":"Kumar","given":"Praveen"}],"issued":{"date-parts":[["1987",9]]}}}],"schema":"https://github.com/citation-style-language/schema/raw/master/csl-citation.json"} </w:instrText>
      </w:r>
      <w:r w:rsidR="00995C5B">
        <w:rPr>
          <w:rFonts w:cs="Times New Roman"/>
        </w:rPr>
        <w:fldChar w:fldCharType="separate"/>
      </w:r>
      <w:r w:rsidR="00995C5B" w:rsidRPr="00995C5B">
        <w:rPr>
          <w:rFonts w:cs="Times New Roman"/>
        </w:rPr>
        <w:t xml:space="preserve">Aggarwal et al. </w:t>
      </w:r>
      <w:r w:rsidR="00995C5B">
        <w:rPr>
          <w:rFonts w:cs="Times New Roman"/>
        </w:rPr>
        <w:t>(</w:t>
      </w:r>
      <w:r w:rsidR="00995C5B" w:rsidRPr="00995C5B">
        <w:rPr>
          <w:rFonts w:cs="Times New Roman"/>
        </w:rPr>
        <w:t>1987)</w:t>
      </w:r>
      <w:r w:rsidR="00995C5B">
        <w:rPr>
          <w:rFonts w:cs="Times New Roman"/>
        </w:rPr>
        <w:fldChar w:fldCharType="end"/>
      </w:r>
      <w:r w:rsidR="00995C5B">
        <w:rPr>
          <w:rFonts w:cs="Times New Roman"/>
        </w:rPr>
        <w:t xml:space="preserve">, when ammonium sulfate and urea were applied to </w:t>
      </w:r>
      <w:r w:rsidR="002E6014">
        <w:rPr>
          <w:rFonts w:cs="Times New Roman"/>
        </w:rPr>
        <w:t>row</w:t>
      </w:r>
      <w:r w:rsidR="00995C5B">
        <w:rPr>
          <w:rFonts w:cs="Times New Roman"/>
        </w:rPr>
        <w:t xml:space="preserve"> crops, ammonium sulfate not only had greater values for N use efficiency (32% and 15% for </w:t>
      </w:r>
      <w:r w:rsidR="00CC64CC">
        <w:rPr>
          <w:rFonts w:cs="Times New Roman"/>
        </w:rPr>
        <w:t xml:space="preserve">ammonium </w:t>
      </w:r>
      <w:r w:rsidR="00995C5B">
        <w:rPr>
          <w:rFonts w:cs="Times New Roman"/>
        </w:rPr>
        <w:t xml:space="preserve">sulfate and </w:t>
      </w:r>
      <w:r w:rsidR="00CC64CC">
        <w:rPr>
          <w:rFonts w:cs="Times New Roman"/>
        </w:rPr>
        <w:t>urea</w:t>
      </w:r>
      <w:r w:rsidR="00995C5B">
        <w:rPr>
          <w:rFonts w:cs="Times New Roman"/>
        </w:rPr>
        <w:t xml:space="preserve">, respectively) but also showed </w:t>
      </w:r>
      <w:r w:rsidR="00CC64CC">
        <w:rPr>
          <w:rFonts w:cs="Times New Roman"/>
        </w:rPr>
        <w:t xml:space="preserve">lower </w:t>
      </w:r>
      <w:r w:rsidR="00995C5B">
        <w:rPr>
          <w:rFonts w:cs="Times New Roman"/>
        </w:rPr>
        <w:t>ammonia volatilization (12</w:t>
      </w:r>
      <w:r w:rsidR="00081703">
        <w:rPr>
          <w:rFonts w:cs="Times New Roman"/>
        </w:rPr>
        <w:t>%</w:t>
      </w:r>
      <w:r w:rsidR="00995C5B">
        <w:rPr>
          <w:rFonts w:cs="Times New Roman"/>
        </w:rPr>
        <w:t xml:space="preserve"> and 16 % for </w:t>
      </w:r>
      <w:r w:rsidR="00CC64CC">
        <w:rPr>
          <w:rFonts w:cs="Times New Roman"/>
        </w:rPr>
        <w:t xml:space="preserve">ammonium </w:t>
      </w:r>
      <w:r w:rsidR="00995C5B">
        <w:rPr>
          <w:rFonts w:cs="Times New Roman"/>
        </w:rPr>
        <w:t xml:space="preserve">sulfate and </w:t>
      </w:r>
      <w:r w:rsidR="00CC64CC">
        <w:rPr>
          <w:rFonts w:cs="Times New Roman"/>
        </w:rPr>
        <w:t>urea</w:t>
      </w:r>
      <w:r w:rsidR="00995C5B">
        <w:rPr>
          <w:rFonts w:cs="Times New Roman"/>
        </w:rPr>
        <w:t>, respectively).</w:t>
      </w:r>
    </w:p>
    <w:p w14:paraId="0363B176" w14:textId="77777777" w:rsidR="003E0A16" w:rsidRDefault="003E0A16" w:rsidP="003E0A16">
      <w:pPr>
        <w:spacing w:line="480" w:lineRule="auto"/>
        <w:ind w:firstLine="720"/>
        <w:rPr>
          <w:rFonts w:cs="Times New Roman"/>
        </w:rPr>
      </w:pPr>
      <w:proofErr w:type="gramStart"/>
      <w:r>
        <w:rPr>
          <w:rFonts w:cs="Times New Roman"/>
        </w:rPr>
        <w:t>The</w:t>
      </w:r>
      <w:r>
        <w:rPr>
          <w:rFonts w:cs="Times New Roman"/>
          <w:i/>
          <w:iCs/>
        </w:rPr>
        <w:t xml:space="preserve"> in</w:t>
      </w:r>
      <w:proofErr w:type="gramEnd"/>
      <w:r>
        <w:rPr>
          <w:rFonts w:cs="Times New Roman"/>
          <w:i/>
          <w:iCs/>
        </w:rPr>
        <w:t xml:space="preserve"> </w:t>
      </w:r>
      <w:r w:rsidRPr="001A5F09">
        <w:rPr>
          <w:rFonts w:cs="Times New Roman"/>
          <w:i/>
          <w:iCs/>
        </w:rPr>
        <w:t>vitro</w:t>
      </w:r>
      <w:r>
        <w:rPr>
          <w:rFonts w:cs="Times New Roman"/>
        </w:rPr>
        <w:t xml:space="preserve"> dry matter digestibility 48h (IVDMD)</w:t>
      </w:r>
      <w:r w:rsidRPr="005E2BFA">
        <w:rPr>
          <w:rFonts w:cs="Times New Roman"/>
        </w:rPr>
        <w:t xml:space="preserve"> </w:t>
      </w:r>
      <w:r>
        <w:rPr>
          <w:rFonts w:cs="Times New Roman"/>
        </w:rPr>
        <w:t>and neutral detergent fiber digestibility 48h (NDFD) were not</w:t>
      </w:r>
      <w:r w:rsidRPr="005E2BFA">
        <w:rPr>
          <w:rFonts w:cs="Times New Roman"/>
        </w:rPr>
        <w:t xml:space="preserve"> affected by the </w:t>
      </w:r>
      <w:r>
        <w:rPr>
          <w:rFonts w:cs="Times New Roman"/>
        </w:rPr>
        <w:t xml:space="preserve">interaction inoculation </w:t>
      </w:r>
      <w:r w:rsidRPr="005E2BFA">
        <w:rPr>
          <w:rFonts w:cs="Times New Roman"/>
        </w:rPr>
        <w:t xml:space="preserve">× </w:t>
      </w:r>
      <w:r>
        <w:t>N strategies</w:t>
      </w:r>
      <w:r w:rsidRPr="005E2BFA">
        <w:rPr>
          <w:rFonts w:cs="Times New Roman"/>
        </w:rPr>
        <w:t xml:space="preserve"> (</w:t>
      </w:r>
      <w:r w:rsidRPr="00D47EF5">
        <w:rPr>
          <w:rFonts w:cs="Times New Roman"/>
          <w:i/>
          <w:iCs/>
        </w:rPr>
        <w:t>P</w:t>
      </w:r>
      <w:r w:rsidRPr="005E2BFA">
        <w:rPr>
          <w:rFonts w:cs="Times New Roman"/>
        </w:rPr>
        <w:t xml:space="preserve"> = .</w:t>
      </w:r>
      <w:r>
        <w:rPr>
          <w:rFonts w:cs="Times New Roman"/>
        </w:rPr>
        <w:t>4240</w:t>
      </w:r>
      <w:r w:rsidRPr="005E2BFA">
        <w:rPr>
          <w:rFonts w:cs="Times New Roman"/>
        </w:rPr>
        <w:t>)</w:t>
      </w:r>
      <w:r>
        <w:rPr>
          <w:rFonts w:cs="Times New Roman"/>
        </w:rPr>
        <w:t xml:space="preserve"> (P = .1347), respectively (</w:t>
      </w:r>
      <w:r w:rsidRPr="005C2EB2">
        <w:rPr>
          <w:rFonts w:cs="Times New Roman"/>
          <w:b/>
          <w:bCs/>
        </w:rPr>
        <w:t>Table 2.</w:t>
      </w:r>
      <w:r>
        <w:rPr>
          <w:rFonts w:cs="Times New Roman"/>
          <w:b/>
          <w:bCs/>
        </w:rPr>
        <w:t>7</w:t>
      </w:r>
      <w:r>
        <w:rPr>
          <w:rFonts w:cs="Times New Roman"/>
        </w:rPr>
        <w:t>) (</w:t>
      </w:r>
      <w:r w:rsidRPr="005C2EB2">
        <w:rPr>
          <w:rFonts w:cs="Times New Roman"/>
          <w:b/>
          <w:bCs/>
        </w:rPr>
        <w:t>Table 2.</w:t>
      </w:r>
      <w:r>
        <w:rPr>
          <w:rFonts w:cs="Times New Roman"/>
          <w:b/>
          <w:bCs/>
        </w:rPr>
        <w:t>8</w:t>
      </w:r>
      <w:r w:rsidRPr="005C2EB2">
        <w:rPr>
          <w:rFonts w:cs="Times New Roman"/>
        </w:rPr>
        <w:t>)</w:t>
      </w:r>
      <w:r w:rsidRPr="005E2BFA">
        <w:rPr>
          <w:rFonts w:cs="Times New Roman"/>
        </w:rPr>
        <w:t xml:space="preserve">. </w:t>
      </w:r>
      <w:r>
        <w:rPr>
          <w:rFonts w:cs="Times New Roman"/>
        </w:rPr>
        <w:t xml:space="preserve">Additionally, there was a </w:t>
      </w:r>
      <w:r>
        <w:t xml:space="preserve">year </w:t>
      </w:r>
      <w:r>
        <w:rPr>
          <w:rFonts w:cs="Times New Roman"/>
        </w:rPr>
        <w:t>effect (</w:t>
      </w:r>
      <w:r w:rsidRPr="00D47EF5">
        <w:rPr>
          <w:rFonts w:cs="Times New Roman"/>
          <w:i/>
          <w:iCs/>
        </w:rPr>
        <w:t>P</w:t>
      </w:r>
      <w:r>
        <w:rPr>
          <w:rFonts w:cs="Times New Roman"/>
        </w:rPr>
        <w:t xml:space="preserve"> &lt; 0.0001) (</w:t>
      </w:r>
      <w:r w:rsidRPr="00D47EF5">
        <w:rPr>
          <w:rFonts w:cs="Times New Roman"/>
          <w:i/>
          <w:iCs/>
        </w:rPr>
        <w:t>P</w:t>
      </w:r>
      <w:r>
        <w:rPr>
          <w:rFonts w:cs="Times New Roman"/>
        </w:rPr>
        <w:t xml:space="preserve"> &lt; 0.0001) for both variables reporting greater values for 2024 (year 2) for both variables (</w:t>
      </w:r>
      <w:r w:rsidRPr="005C2EB2">
        <w:rPr>
          <w:rFonts w:cs="Times New Roman"/>
          <w:b/>
          <w:bCs/>
        </w:rPr>
        <w:t>Table 2.</w:t>
      </w:r>
      <w:r>
        <w:rPr>
          <w:rFonts w:cs="Times New Roman"/>
          <w:b/>
          <w:bCs/>
        </w:rPr>
        <w:t>9</w:t>
      </w:r>
      <w:r>
        <w:rPr>
          <w:rFonts w:cs="Times New Roman"/>
        </w:rPr>
        <w:t xml:space="preserve">). </w:t>
      </w:r>
    </w:p>
    <w:p w14:paraId="229BA89A" w14:textId="77777777" w:rsidR="003E0A16" w:rsidRDefault="003E0A16" w:rsidP="003E0A16">
      <w:pPr>
        <w:spacing w:line="480" w:lineRule="auto"/>
        <w:ind w:firstLine="720"/>
        <w:rPr>
          <w:rFonts w:cs="Times New Roman"/>
        </w:rPr>
      </w:pPr>
      <w:r>
        <w:rPr>
          <w:rFonts w:cs="Times New Roman"/>
        </w:rPr>
        <w:fldChar w:fldCharType="begin"/>
      </w:r>
      <w:r>
        <w:rPr>
          <w:rFonts w:cs="Times New Roman"/>
        </w:rPr>
        <w:instrText xml:space="preserve"> ADDIN ZOTERO_ITEM CSL_CITATION {"citationID":"Mc3745cR","properties":{"formattedCitation":"(Pedreira et al., 1999)","plainCitation":"(Pedreira et al., 1999)","dontUpdate":true,"noteIndex":0},"citationItems":[{"id":70,"uris":["http://zotero.org/users/local/kjHHoAYm/items/KD9LD665"],"itemData":{"id":70,"type":"article-journal","abstract":"‘Florakirk’ bermudagrass [\n              Cynodon dactylon\n              (L.) Pers.] is a recently released cultivar for the lower southeastern USA, but its evaluation under grazing has been limited to southern Florida. Herbage accumulation, crude protein (CP), and in vitro digestible organic matter (IVDOM) responses of Florakirk to grazing management were studied in 1993 and 1994 on a sandy, siliceous, hyperthermic Ultic Haplaquod in northern Florida. Treatments were replicated twice in a randomized block design and consisted of all combinations of three lengths of grazing cycle (GC) (7, 21, and 35 d) and three postgraze stubble heights (SH) (8, 16, and 24 cm). Actual grazing periods were from 1 to 12 h. Herbage accumulation ranged from 6.9 to 17 Mg ha\n              −1\n              and was maximized when pastures were grazed to a 24‐cm SH every 7 d in 1993, and to 24 cm every 35 d in 1994. Lowest herbage accumulation occurred when pastures were grazed to an 8‐cm SH every 21 d. Treatment combinations involving GC 7 were associated with high herbage accumulation in both years of the study. Nutritive value varied relatively little across the range of treatments imposed. Crude protein concentration ranged from 96 to 113 g kg\n              −1\n              in 1993 and from 121 to 134 g kg\n              −1\n              in 1994. Lower CP was associated with longer GCs in both years. In vitro digestible organic matter concentration was greatest at short SHs for all but the shortest GCs in 1993 and was greatest at intermediate GCs in 1994. Florakirk herbage accumulation was affected primarily by SH, and nutritive value was affected primarily by GC. Grazing to a SH of approximately 20 cm every 14 d is predicted by regression models to result in near maximum levels of both herbage accumulation and nutritive value.","container-title":"Agronomy Journal","DOI":"10.2134/agronj1999.915796x","ISSN":"0002-1962, 1435-0645","issue":"5","journalAbbreviation":"Agronomy Journal","language":"en","page":"796-801","source":"DOI.org (Crossref)","title":"Productivity and Nutritive Value of ‘Florakirk’ Bermudagrass as Affected by Grazing Management","volume":"91","author":[{"family":"Pedreira","given":"Carlos G. S."},{"family":"Sollenberger","given":"Lynn E."},{"family":"Mislevy","given":"Paul"}],"issued":{"date-parts":[["1999",9]]}}}],"schema":"https://github.com/citation-style-language/schema/raw/master/csl-citation.json"} </w:instrText>
      </w:r>
      <w:r>
        <w:rPr>
          <w:rFonts w:cs="Times New Roman"/>
        </w:rPr>
        <w:fldChar w:fldCharType="separate"/>
      </w:r>
      <w:r w:rsidRPr="00D90391">
        <w:rPr>
          <w:rFonts w:cs="Times New Roman"/>
        </w:rPr>
        <w:t>Pedre</w:t>
      </w:r>
      <w:r w:rsidRPr="004A414F">
        <w:rPr>
          <w:rFonts w:cs="Times New Roman"/>
        </w:rPr>
        <w:t xml:space="preserve">ira et al. </w:t>
      </w:r>
      <w:r>
        <w:rPr>
          <w:rFonts w:cs="Times New Roman"/>
        </w:rPr>
        <w:t>(</w:t>
      </w:r>
      <w:r w:rsidRPr="004A414F">
        <w:rPr>
          <w:rFonts w:cs="Times New Roman"/>
        </w:rPr>
        <w:t>1999)</w:t>
      </w:r>
      <w:r>
        <w:rPr>
          <w:rFonts w:cs="Times New Roman"/>
        </w:rPr>
        <w:fldChar w:fldCharType="end"/>
      </w:r>
      <w:r>
        <w:rPr>
          <w:rFonts w:cs="Times New Roman"/>
        </w:rPr>
        <w:t>, described a regression model for “</w:t>
      </w:r>
      <w:proofErr w:type="spellStart"/>
      <w:r>
        <w:rPr>
          <w:rFonts w:cs="Times New Roman"/>
        </w:rPr>
        <w:t>Florakirk</w:t>
      </w:r>
      <w:proofErr w:type="spellEnd"/>
      <w:r>
        <w:rPr>
          <w:rFonts w:cs="Times New Roman"/>
        </w:rPr>
        <w:t xml:space="preserve">” bermudagrass based on grazing cycles, showing that forage mass decreased with longer grazing intervals. This decrease was associated with a significant reduction in CP and </w:t>
      </w:r>
      <w:r w:rsidRPr="001A5F09">
        <w:rPr>
          <w:rFonts w:cs="Times New Roman"/>
          <w:i/>
          <w:iCs/>
        </w:rPr>
        <w:t>in vitro</w:t>
      </w:r>
      <w:r>
        <w:rPr>
          <w:rFonts w:cs="Times New Roman"/>
        </w:rPr>
        <w:t xml:space="preserve"> digestibility of organic matter, with CP content ranging from 96 to 133g kg</w:t>
      </w:r>
      <w:r w:rsidRPr="00EA193B">
        <w:rPr>
          <w:rFonts w:cs="Times New Roman"/>
          <w:vertAlign w:val="superscript"/>
        </w:rPr>
        <w:t>-1</w:t>
      </w:r>
      <w:r>
        <w:rPr>
          <w:rFonts w:cs="Times New Roman"/>
        </w:rPr>
        <w:t xml:space="preserve"> over the experimental period. </w:t>
      </w:r>
    </w:p>
    <w:p w14:paraId="013C9106" w14:textId="6EAE4728" w:rsidR="002E6014" w:rsidRDefault="003E0A16" w:rsidP="004432D5">
      <w:pPr>
        <w:spacing w:line="480" w:lineRule="auto"/>
        <w:ind w:firstLine="720"/>
        <w:rPr>
          <w:rFonts w:cs="Times New Roman"/>
        </w:rPr>
      </w:pPr>
      <w:r>
        <w:rPr>
          <w:rFonts w:cs="Times New Roman"/>
        </w:rPr>
        <w:t xml:space="preserve">The decline in forage nutritive value with plant maturity is well-known in forage systems, including effects on chemical composition, morphology, and animal performance. Earlier studies have shown that IVDMD decreases as bermudagrass matures </w:t>
      </w:r>
      <w:r>
        <w:rPr>
          <w:rFonts w:cs="Times New Roman"/>
        </w:rPr>
        <w:fldChar w:fldCharType="begin"/>
      </w:r>
      <w:r>
        <w:rPr>
          <w:rFonts w:cs="Times New Roman"/>
        </w:rPr>
        <w:instrText xml:space="preserve"> ADDIN ZOTERO_ITEM CSL_CITATION {"citationID":"VXtgbN8i","properties":{"formattedCitation":"(Akin et al., 1977)","plainCitation":"(Akin et al., 1977)","noteIndex":0},"citationItems":[{"id":72,"uris":["http://zotero.org/users/local/kjHHoAYm/items/3RS27MZ6"],"itemData":{"id":72,"type":"article-journal","container-title":"Journal of Agricultural and Food Chemistry","DOI":"10.1021/jf60209a034","ISSN":"0021-8561, 1520-5118","issue":"1","journalAbbreviation":"J. Agric. Food Chem.","language":"en","page":"179-186","source":"DOI.org (Crossref)","title":"Changes with maturity in anatomy, histochemistry, chemistry, and tissue digestibility of bermudagrass plant parts","volume":"25","author":[{"family":"Akin","given":"Danny E."},{"family":"Robinson","given":"E. L."},{"family":"Barton","given":"Franklin E."},{"family":"Himmelsbach","given":"David S."}],"issued":{"date-parts":[["1977",1]]}}}],"schema":"https://github.com/citation-style-language/schema/raw/master/csl-citation.json"} </w:instrText>
      </w:r>
      <w:r>
        <w:rPr>
          <w:rFonts w:cs="Times New Roman"/>
        </w:rPr>
        <w:fldChar w:fldCharType="separate"/>
      </w:r>
      <w:r w:rsidRPr="00486018">
        <w:rPr>
          <w:rFonts w:cs="Times New Roman"/>
        </w:rPr>
        <w:t>(Akin et al., 1977)</w:t>
      </w:r>
      <w:r>
        <w:rPr>
          <w:rFonts w:cs="Times New Roman"/>
        </w:rPr>
        <w:fldChar w:fldCharType="end"/>
      </w:r>
      <w:r>
        <w:rPr>
          <w:rFonts w:cs="Times New Roman"/>
        </w:rPr>
        <w:t xml:space="preserve">. Similarly, warm-season grasses tend to show reduced CP </w:t>
      </w:r>
    </w:p>
    <w:tbl>
      <w:tblPr>
        <w:tblW w:w="8640" w:type="dxa"/>
        <w:tblCellMar>
          <w:left w:w="70" w:type="dxa"/>
          <w:right w:w="70" w:type="dxa"/>
        </w:tblCellMar>
        <w:tblLook w:val="04A0" w:firstRow="1" w:lastRow="0" w:firstColumn="1" w:lastColumn="0" w:noHBand="0" w:noVBand="1"/>
      </w:tblPr>
      <w:tblGrid>
        <w:gridCol w:w="1121"/>
        <w:gridCol w:w="1219"/>
        <w:gridCol w:w="1440"/>
        <w:gridCol w:w="1260"/>
        <w:gridCol w:w="1350"/>
        <w:gridCol w:w="990"/>
        <w:gridCol w:w="1260"/>
      </w:tblGrid>
      <w:tr w:rsidR="00195989" w:rsidRPr="00195989" w14:paraId="20BBE878" w14:textId="77777777" w:rsidTr="00195989">
        <w:trPr>
          <w:trHeight w:val="312"/>
        </w:trPr>
        <w:tc>
          <w:tcPr>
            <w:tcW w:w="8640" w:type="dxa"/>
            <w:gridSpan w:val="7"/>
            <w:tcBorders>
              <w:top w:val="nil"/>
              <w:left w:val="nil"/>
              <w:bottom w:val="nil"/>
              <w:right w:val="nil"/>
            </w:tcBorders>
            <w:shd w:val="clear" w:color="auto" w:fill="auto"/>
            <w:vAlign w:val="center"/>
            <w:hideMark/>
          </w:tcPr>
          <w:p w14:paraId="3DAC9423" w14:textId="37E349AB" w:rsidR="00195989" w:rsidRPr="003E0A16" w:rsidRDefault="00195989" w:rsidP="00674D0B">
            <w:pPr>
              <w:pStyle w:val="mytables"/>
              <w:rPr>
                <w:lang w:eastAsia="pt-BR"/>
              </w:rPr>
            </w:pPr>
            <w:bookmarkStart w:id="71" w:name="_Toc196315450"/>
            <w:r w:rsidRPr="003E0A16">
              <w:rPr>
                <w:lang w:eastAsia="pt-BR"/>
              </w:rPr>
              <w:lastRenderedPageBreak/>
              <w:t>Table 2.</w:t>
            </w:r>
            <w:r w:rsidR="00674D0B" w:rsidRPr="003E0A16">
              <w:rPr>
                <w:lang w:eastAsia="pt-BR"/>
              </w:rPr>
              <w:t>6</w:t>
            </w:r>
            <w:r w:rsidRPr="003E0A16">
              <w:rPr>
                <w:lang w:eastAsia="pt-BR"/>
              </w:rPr>
              <w:t xml:space="preserve"> - </w:t>
            </w:r>
            <w:r w:rsidRPr="003E0A16">
              <w:rPr>
                <w:b w:val="0"/>
                <w:bCs w:val="0"/>
                <w:lang w:eastAsia="pt-BR"/>
              </w:rPr>
              <w:t>Crude protein (CP) of Bermudagrass in response to N strategies (NN, U-33, A-33 kg, U-67, A-67), across two growing seasons (year) 2023 (1) and 2024 (2), in Crossville, Tennessee, U.S.</w:t>
            </w:r>
            <w:bookmarkEnd w:id="71"/>
          </w:p>
        </w:tc>
      </w:tr>
      <w:tr w:rsidR="00195989" w:rsidRPr="00195989" w14:paraId="3616444C" w14:textId="77777777" w:rsidTr="00195989">
        <w:trPr>
          <w:trHeight w:val="312"/>
        </w:trPr>
        <w:tc>
          <w:tcPr>
            <w:tcW w:w="1121" w:type="dxa"/>
            <w:vMerge w:val="restart"/>
            <w:tcBorders>
              <w:top w:val="single" w:sz="4" w:space="0" w:color="auto"/>
              <w:left w:val="nil"/>
              <w:bottom w:val="single" w:sz="4" w:space="0" w:color="000000"/>
              <w:right w:val="nil"/>
            </w:tcBorders>
            <w:shd w:val="clear" w:color="auto" w:fill="auto"/>
            <w:noWrap/>
            <w:vAlign w:val="center"/>
            <w:hideMark/>
          </w:tcPr>
          <w:p w14:paraId="63D210B1" w14:textId="77777777" w:rsidR="00195989" w:rsidRPr="00195989" w:rsidRDefault="00195989" w:rsidP="00195989">
            <w:pPr>
              <w:spacing w:line="240" w:lineRule="auto"/>
              <w:jc w:val="center"/>
              <w:rPr>
                <w:rFonts w:cs="Times New Roman"/>
                <w:color w:val="000000"/>
                <w:lang w:val="pt-BR" w:eastAsia="pt-BR"/>
              </w:rPr>
            </w:pPr>
            <w:r w:rsidRPr="00195989">
              <w:rPr>
                <w:rFonts w:cs="Times New Roman"/>
                <w:color w:val="000000"/>
                <w:lang w:val="pt-BR" w:eastAsia="pt-BR"/>
              </w:rPr>
              <w:t>Year</w:t>
            </w:r>
          </w:p>
        </w:tc>
        <w:tc>
          <w:tcPr>
            <w:tcW w:w="6259" w:type="dxa"/>
            <w:gridSpan w:val="5"/>
            <w:tcBorders>
              <w:top w:val="single" w:sz="4" w:space="0" w:color="auto"/>
              <w:left w:val="nil"/>
              <w:bottom w:val="nil"/>
              <w:right w:val="nil"/>
            </w:tcBorders>
            <w:shd w:val="clear" w:color="auto" w:fill="auto"/>
            <w:noWrap/>
            <w:vAlign w:val="center"/>
            <w:hideMark/>
          </w:tcPr>
          <w:p w14:paraId="0CD752FC" w14:textId="77777777" w:rsidR="00195989" w:rsidRPr="00195989" w:rsidRDefault="00195989" w:rsidP="00195989">
            <w:pPr>
              <w:spacing w:line="240" w:lineRule="auto"/>
              <w:jc w:val="center"/>
              <w:rPr>
                <w:rFonts w:cs="Times New Roman"/>
                <w:color w:val="000000"/>
                <w:lang w:val="pt-BR" w:eastAsia="pt-BR"/>
              </w:rPr>
            </w:pPr>
            <w:r w:rsidRPr="00195989">
              <w:rPr>
                <w:rFonts w:cs="Times New Roman"/>
                <w:color w:val="000000"/>
                <w:lang w:val="pt-BR" w:eastAsia="pt-BR"/>
              </w:rPr>
              <w:t>N strategies</w:t>
            </w:r>
          </w:p>
        </w:tc>
        <w:tc>
          <w:tcPr>
            <w:tcW w:w="1260" w:type="dxa"/>
            <w:tcBorders>
              <w:top w:val="single" w:sz="4" w:space="0" w:color="auto"/>
              <w:left w:val="nil"/>
              <w:bottom w:val="nil"/>
              <w:right w:val="nil"/>
            </w:tcBorders>
            <w:shd w:val="clear" w:color="auto" w:fill="auto"/>
            <w:noWrap/>
            <w:vAlign w:val="bottom"/>
            <w:hideMark/>
          </w:tcPr>
          <w:p w14:paraId="3B974A9D" w14:textId="77777777" w:rsidR="00195989" w:rsidRPr="00195989" w:rsidRDefault="00195989" w:rsidP="00195989">
            <w:pPr>
              <w:spacing w:line="240" w:lineRule="auto"/>
              <w:rPr>
                <w:rFonts w:cs="Times New Roman"/>
                <w:color w:val="000000"/>
                <w:lang w:val="pt-BR" w:eastAsia="pt-BR"/>
              </w:rPr>
            </w:pPr>
            <w:r w:rsidRPr="00195989">
              <w:rPr>
                <w:rFonts w:cs="Times New Roman"/>
                <w:color w:val="000000"/>
                <w:lang w:val="pt-BR" w:eastAsia="pt-BR"/>
              </w:rPr>
              <w:t> </w:t>
            </w:r>
          </w:p>
        </w:tc>
      </w:tr>
      <w:tr w:rsidR="00195989" w:rsidRPr="00195989" w14:paraId="693CE188" w14:textId="77777777" w:rsidTr="00674D0B">
        <w:trPr>
          <w:trHeight w:val="312"/>
        </w:trPr>
        <w:tc>
          <w:tcPr>
            <w:tcW w:w="1121" w:type="dxa"/>
            <w:vMerge/>
            <w:tcBorders>
              <w:top w:val="single" w:sz="4" w:space="0" w:color="auto"/>
              <w:left w:val="nil"/>
              <w:bottom w:val="single" w:sz="4" w:space="0" w:color="000000"/>
              <w:right w:val="nil"/>
            </w:tcBorders>
            <w:vAlign w:val="center"/>
            <w:hideMark/>
          </w:tcPr>
          <w:p w14:paraId="0F46FA98" w14:textId="77777777" w:rsidR="00195989" w:rsidRPr="00195989" w:rsidRDefault="00195989" w:rsidP="00195989">
            <w:pPr>
              <w:spacing w:line="240" w:lineRule="auto"/>
              <w:rPr>
                <w:rFonts w:cs="Times New Roman"/>
                <w:color w:val="000000"/>
                <w:lang w:val="pt-BR" w:eastAsia="pt-BR"/>
              </w:rPr>
            </w:pPr>
          </w:p>
        </w:tc>
        <w:tc>
          <w:tcPr>
            <w:tcW w:w="1219" w:type="dxa"/>
            <w:tcBorders>
              <w:top w:val="nil"/>
              <w:left w:val="nil"/>
              <w:bottom w:val="nil"/>
              <w:right w:val="nil"/>
            </w:tcBorders>
            <w:shd w:val="clear" w:color="auto" w:fill="auto"/>
            <w:noWrap/>
            <w:vAlign w:val="bottom"/>
            <w:hideMark/>
          </w:tcPr>
          <w:p w14:paraId="31084AAC" w14:textId="77777777" w:rsidR="00195989" w:rsidRPr="00195989" w:rsidRDefault="00195989" w:rsidP="00195989">
            <w:pPr>
              <w:spacing w:line="240" w:lineRule="auto"/>
              <w:jc w:val="center"/>
              <w:rPr>
                <w:rFonts w:cs="Times New Roman"/>
                <w:color w:val="000000"/>
                <w:lang w:val="pt-BR" w:eastAsia="pt-BR"/>
              </w:rPr>
            </w:pPr>
            <w:r w:rsidRPr="00195989">
              <w:rPr>
                <w:rFonts w:cs="Times New Roman"/>
                <w:color w:val="000000"/>
                <w:lang w:val="pt-BR" w:eastAsia="pt-BR"/>
              </w:rPr>
              <w:t>NN</w:t>
            </w:r>
          </w:p>
        </w:tc>
        <w:tc>
          <w:tcPr>
            <w:tcW w:w="1440" w:type="dxa"/>
            <w:tcBorders>
              <w:top w:val="nil"/>
              <w:left w:val="nil"/>
              <w:bottom w:val="nil"/>
              <w:right w:val="nil"/>
            </w:tcBorders>
            <w:shd w:val="clear" w:color="auto" w:fill="auto"/>
            <w:noWrap/>
            <w:vAlign w:val="bottom"/>
            <w:hideMark/>
          </w:tcPr>
          <w:p w14:paraId="26257DD4" w14:textId="77777777" w:rsidR="00195989" w:rsidRPr="00195989" w:rsidRDefault="00195989" w:rsidP="00195989">
            <w:pPr>
              <w:spacing w:line="240" w:lineRule="auto"/>
              <w:jc w:val="center"/>
              <w:rPr>
                <w:rFonts w:cs="Times New Roman"/>
                <w:color w:val="000000"/>
                <w:lang w:val="pt-BR" w:eastAsia="pt-BR"/>
              </w:rPr>
            </w:pPr>
            <w:r w:rsidRPr="00195989">
              <w:rPr>
                <w:rFonts w:cs="Times New Roman"/>
                <w:color w:val="000000"/>
                <w:lang w:val="pt-BR" w:eastAsia="pt-BR"/>
              </w:rPr>
              <w:t>U-33</w:t>
            </w:r>
          </w:p>
        </w:tc>
        <w:tc>
          <w:tcPr>
            <w:tcW w:w="1260" w:type="dxa"/>
            <w:tcBorders>
              <w:top w:val="nil"/>
              <w:left w:val="nil"/>
              <w:bottom w:val="nil"/>
              <w:right w:val="nil"/>
            </w:tcBorders>
            <w:shd w:val="clear" w:color="auto" w:fill="auto"/>
            <w:noWrap/>
            <w:vAlign w:val="bottom"/>
            <w:hideMark/>
          </w:tcPr>
          <w:p w14:paraId="07590396" w14:textId="77777777" w:rsidR="00195989" w:rsidRPr="00195989" w:rsidRDefault="00195989" w:rsidP="00195989">
            <w:pPr>
              <w:spacing w:line="240" w:lineRule="auto"/>
              <w:jc w:val="center"/>
              <w:rPr>
                <w:rFonts w:cs="Times New Roman"/>
                <w:color w:val="000000"/>
                <w:lang w:val="pt-BR" w:eastAsia="pt-BR"/>
              </w:rPr>
            </w:pPr>
            <w:r w:rsidRPr="00195989">
              <w:rPr>
                <w:rFonts w:cs="Times New Roman"/>
                <w:color w:val="000000"/>
                <w:lang w:val="pt-BR" w:eastAsia="pt-BR"/>
              </w:rPr>
              <w:t>A-33</w:t>
            </w:r>
          </w:p>
        </w:tc>
        <w:tc>
          <w:tcPr>
            <w:tcW w:w="1350" w:type="dxa"/>
            <w:tcBorders>
              <w:top w:val="nil"/>
              <w:left w:val="nil"/>
              <w:bottom w:val="nil"/>
              <w:right w:val="nil"/>
            </w:tcBorders>
            <w:shd w:val="clear" w:color="auto" w:fill="auto"/>
            <w:noWrap/>
            <w:vAlign w:val="bottom"/>
            <w:hideMark/>
          </w:tcPr>
          <w:p w14:paraId="7CEB5599" w14:textId="77777777" w:rsidR="00195989" w:rsidRPr="00195989" w:rsidRDefault="00195989" w:rsidP="00195989">
            <w:pPr>
              <w:spacing w:line="240" w:lineRule="auto"/>
              <w:jc w:val="center"/>
              <w:rPr>
                <w:rFonts w:cs="Times New Roman"/>
                <w:color w:val="000000"/>
                <w:lang w:val="pt-BR" w:eastAsia="pt-BR"/>
              </w:rPr>
            </w:pPr>
            <w:r w:rsidRPr="00195989">
              <w:rPr>
                <w:rFonts w:cs="Times New Roman"/>
                <w:color w:val="000000"/>
                <w:lang w:val="pt-BR" w:eastAsia="pt-BR"/>
              </w:rPr>
              <w:t>U-67</w:t>
            </w:r>
          </w:p>
        </w:tc>
        <w:tc>
          <w:tcPr>
            <w:tcW w:w="990" w:type="dxa"/>
            <w:tcBorders>
              <w:top w:val="nil"/>
              <w:left w:val="nil"/>
              <w:bottom w:val="nil"/>
              <w:right w:val="nil"/>
            </w:tcBorders>
            <w:shd w:val="clear" w:color="auto" w:fill="auto"/>
            <w:noWrap/>
            <w:vAlign w:val="bottom"/>
            <w:hideMark/>
          </w:tcPr>
          <w:p w14:paraId="6B3FD30E" w14:textId="77777777" w:rsidR="00195989" w:rsidRPr="00195989" w:rsidRDefault="00195989" w:rsidP="00195989">
            <w:pPr>
              <w:spacing w:line="240" w:lineRule="auto"/>
              <w:jc w:val="center"/>
              <w:rPr>
                <w:rFonts w:cs="Times New Roman"/>
                <w:color w:val="000000"/>
                <w:lang w:val="pt-BR" w:eastAsia="pt-BR"/>
              </w:rPr>
            </w:pPr>
            <w:r w:rsidRPr="00195989">
              <w:rPr>
                <w:rFonts w:cs="Times New Roman"/>
                <w:color w:val="000000"/>
                <w:lang w:val="pt-BR" w:eastAsia="pt-BR"/>
              </w:rPr>
              <w:t>A-67</w:t>
            </w:r>
          </w:p>
        </w:tc>
        <w:tc>
          <w:tcPr>
            <w:tcW w:w="1260" w:type="dxa"/>
            <w:tcBorders>
              <w:top w:val="nil"/>
              <w:left w:val="nil"/>
              <w:bottom w:val="nil"/>
              <w:right w:val="nil"/>
            </w:tcBorders>
            <w:shd w:val="clear" w:color="auto" w:fill="auto"/>
            <w:noWrap/>
            <w:vAlign w:val="bottom"/>
            <w:hideMark/>
          </w:tcPr>
          <w:p w14:paraId="0A909F53" w14:textId="77777777" w:rsidR="00195989" w:rsidRPr="00195989" w:rsidRDefault="00195989" w:rsidP="00195989">
            <w:pPr>
              <w:spacing w:line="240" w:lineRule="auto"/>
              <w:jc w:val="center"/>
              <w:rPr>
                <w:rFonts w:cs="Times New Roman"/>
                <w:color w:val="000000"/>
                <w:lang w:val="pt-BR" w:eastAsia="pt-BR"/>
              </w:rPr>
            </w:pPr>
            <w:r w:rsidRPr="00195989">
              <w:rPr>
                <w:rFonts w:cs="Times New Roman"/>
                <w:i/>
                <w:iCs/>
                <w:color w:val="000000"/>
                <w:lang w:val="pt-BR" w:eastAsia="pt-BR"/>
              </w:rPr>
              <w:t>P</w:t>
            </w:r>
            <w:r w:rsidRPr="00195989">
              <w:rPr>
                <w:rFonts w:cs="Times New Roman"/>
                <w:color w:val="000000"/>
                <w:lang w:val="pt-BR" w:eastAsia="pt-BR"/>
              </w:rPr>
              <w:t>-Value</w:t>
            </w:r>
          </w:p>
        </w:tc>
      </w:tr>
      <w:tr w:rsidR="00195989" w:rsidRPr="00195989" w14:paraId="05BE2A0D" w14:textId="77777777" w:rsidTr="00195989">
        <w:trPr>
          <w:trHeight w:val="372"/>
        </w:trPr>
        <w:tc>
          <w:tcPr>
            <w:tcW w:w="1121" w:type="dxa"/>
            <w:vMerge/>
            <w:tcBorders>
              <w:top w:val="single" w:sz="4" w:space="0" w:color="auto"/>
              <w:left w:val="nil"/>
              <w:bottom w:val="single" w:sz="4" w:space="0" w:color="000000"/>
              <w:right w:val="nil"/>
            </w:tcBorders>
            <w:vAlign w:val="center"/>
            <w:hideMark/>
          </w:tcPr>
          <w:p w14:paraId="5FA508F4" w14:textId="77777777" w:rsidR="00195989" w:rsidRPr="00195989" w:rsidRDefault="00195989" w:rsidP="00195989">
            <w:pPr>
              <w:spacing w:line="240" w:lineRule="auto"/>
              <w:rPr>
                <w:rFonts w:cs="Times New Roman"/>
                <w:color w:val="000000"/>
                <w:lang w:val="pt-BR" w:eastAsia="pt-BR"/>
              </w:rPr>
            </w:pPr>
          </w:p>
        </w:tc>
        <w:tc>
          <w:tcPr>
            <w:tcW w:w="6259" w:type="dxa"/>
            <w:gridSpan w:val="5"/>
            <w:tcBorders>
              <w:top w:val="nil"/>
              <w:left w:val="nil"/>
              <w:bottom w:val="single" w:sz="4" w:space="0" w:color="auto"/>
              <w:right w:val="nil"/>
            </w:tcBorders>
            <w:shd w:val="clear" w:color="auto" w:fill="auto"/>
            <w:noWrap/>
            <w:vAlign w:val="bottom"/>
            <w:hideMark/>
          </w:tcPr>
          <w:p w14:paraId="59555DB8" w14:textId="77777777" w:rsidR="00195989" w:rsidRPr="00195989" w:rsidRDefault="00195989" w:rsidP="00195989">
            <w:pPr>
              <w:spacing w:line="240" w:lineRule="auto"/>
              <w:jc w:val="center"/>
              <w:rPr>
                <w:rFonts w:cs="Times New Roman"/>
                <w:color w:val="000000"/>
                <w:lang w:val="pt-BR" w:eastAsia="pt-BR"/>
              </w:rPr>
            </w:pPr>
            <w:r w:rsidRPr="00195989">
              <w:rPr>
                <w:rFonts w:cs="Times New Roman"/>
                <w:color w:val="000000"/>
                <w:lang w:val="pt-BR" w:eastAsia="pt-BR"/>
              </w:rPr>
              <w:t>--------------- g kg</w:t>
            </w:r>
            <w:r w:rsidRPr="00195989">
              <w:rPr>
                <w:rFonts w:cs="Times New Roman"/>
                <w:color w:val="000000"/>
                <w:vertAlign w:val="superscript"/>
                <w:lang w:val="pt-BR" w:eastAsia="pt-BR"/>
              </w:rPr>
              <w:t>-1</w:t>
            </w:r>
            <w:r w:rsidRPr="00195989">
              <w:rPr>
                <w:rFonts w:cs="Times New Roman"/>
                <w:color w:val="000000"/>
                <w:lang w:val="pt-BR" w:eastAsia="pt-BR"/>
              </w:rPr>
              <w:t xml:space="preserve"> -----------------</w:t>
            </w:r>
          </w:p>
        </w:tc>
        <w:tc>
          <w:tcPr>
            <w:tcW w:w="1260" w:type="dxa"/>
            <w:tcBorders>
              <w:top w:val="nil"/>
              <w:left w:val="nil"/>
              <w:bottom w:val="single" w:sz="4" w:space="0" w:color="auto"/>
              <w:right w:val="nil"/>
            </w:tcBorders>
            <w:shd w:val="clear" w:color="auto" w:fill="auto"/>
            <w:noWrap/>
            <w:vAlign w:val="bottom"/>
            <w:hideMark/>
          </w:tcPr>
          <w:p w14:paraId="3AF936F5" w14:textId="77777777" w:rsidR="00195989" w:rsidRPr="00195989" w:rsidRDefault="00195989" w:rsidP="00195989">
            <w:pPr>
              <w:spacing w:line="240" w:lineRule="auto"/>
              <w:rPr>
                <w:rFonts w:cs="Times New Roman"/>
                <w:color w:val="000000"/>
                <w:lang w:val="pt-BR" w:eastAsia="pt-BR"/>
              </w:rPr>
            </w:pPr>
            <w:r w:rsidRPr="00195989">
              <w:rPr>
                <w:rFonts w:cs="Times New Roman"/>
                <w:color w:val="000000"/>
                <w:lang w:val="pt-BR" w:eastAsia="pt-BR"/>
              </w:rPr>
              <w:t> </w:t>
            </w:r>
          </w:p>
        </w:tc>
      </w:tr>
      <w:tr w:rsidR="00195989" w:rsidRPr="00195989" w14:paraId="24714A31" w14:textId="77777777" w:rsidTr="00674D0B">
        <w:trPr>
          <w:trHeight w:val="312"/>
        </w:trPr>
        <w:tc>
          <w:tcPr>
            <w:tcW w:w="1121" w:type="dxa"/>
            <w:tcBorders>
              <w:top w:val="nil"/>
              <w:left w:val="nil"/>
              <w:bottom w:val="nil"/>
              <w:right w:val="nil"/>
            </w:tcBorders>
            <w:shd w:val="clear" w:color="auto" w:fill="auto"/>
            <w:noWrap/>
            <w:vAlign w:val="bottom"/>
            <w:hideMark/>
          </w:tcPr>
          <w:p w14:paraId="6B5FEE6A" w14:textId="77777777" w:rsidR="00195989" w:rsidRPr="00195989" w:rsidRDefault="00195989" w:rsidP="00195989">
            <w:pPr>
              <w:spacing w:line="240" w:lineRule="auto"/>
              <w:jc w:val="center"/>
              <w:rPr>
                <w:rFonts w:cs="Times New Roman"/>
                <w:color w:val="000000"/>
                <w:lang w:val="pt-BR" w:eastAsia="pt-BR"/>
              </w:rPr>
            </w:pPr>
            <w:r w:rsidRPr="00195989">
              <w:rPr>
                <w:rFonts w:cs="Times New Roman"/>
                <w:color w:val="000000"/>
                <w:lang w:val="pt-BR" w:eastAsia="pt-BR"/>
              </w:rPr>
              <w:t>1</w:t>
            </w:r>
          </w:p>
        </w:tc>
        <w:tc>
          <w:tcPr>
            <w:tcW w:w="1219" w:type="dxa"/>
            <w:tcBorders>
              <w:top w:val="nil"/>
              <w:left w:val="nil"/>
              <w:bottom w:val="nil"/>
              <w:right w:val="nil"/>
            </w:tcBorders>
            <w:shd w:val="clear" w:color="auto" w:fill="auto"/>
            <w:noWrap/>
            <w:vAlign w:val="bottom"/>
            <w:hideMark/>
          </w:tcPr>
          <w:p w14:paraId="5A4A5377" w14:textId="77777777" w:rsidR="00195989" w:rsidRPr="00195989" w:rsidRDefault="00195989" w:rsidP="00195989">
            <w:pPr>
              <w:spacing w:line="240" w:lineRule="auto"/>
              <w:jc w:val="center"/>
              <w:rPr>
                <w:rFonts w:cs="Times New Roman"/>
                <w:color w:val="000000"/>
                <w:lang w:val="pt-BR" w:eastAsia="pt-BR"/>
              </w:rPr>
            </w:pPr>
            <w:r w:rsidRPr="00195989">
              <w:rPr>
                <w:rFonts w:cs="Times New Roman"/>
                <w:color w:val="000000"/>
                <w:lang w:val="pt-BR" w:eastAsia="pt-BR"/>
              </w:rPr>
              <w:t>129</w:t>
            </w:r>
            <w:r w:rsidRPr="00195989">
              <w:rPr>
                <w:rFonts w:cs="Times New Roman"/>
                <w:color w:val="000000"/>
                <w:vertAlign w:val="superscript"/>
                <w:lang w:val="pt-BR" w:eastAsia="pt-BR"/>
              </w:rPr>
              <w:t>A</w:t>
            </w:r>
          </w:p>
        </w:tc>
        <w:tc>
          <w:tcPr>
            <w:tcW w:w="1440" w:type="dxa"/>
            <w:tcBorders>
              <w:top w:val="nil"/>
              <w:left w:val="nil"/>
              <w:bottom w:val="nil"/>
              <w:right w:val="nil"/>
            </w:tcBorders>
            <w:shd w:val="clear" w:color="auto" w:fill="auto"/>
            <w:noWrap/>
            <w:vAlign w:val="bottom"/>
            <w:hideMark/>
          </w:tcPr>
          <w:p w14:paraId="7070D8EA" w14:textId="77777777" w:rsidR="00195989" w:rsidRPr="00195989" w:rsidRDefault="00195989" w:rsidP="00195989">
            <w:pPr>
              <w:spacing w:line="240" w:lineRule="auto"/>
              <w:jc w:val="center"/>
              <w:rPr>
                <w:rFonts w:cs="Times New Roman"/>
                <w:color w:val="000000"/>
                <w:lang w:val="pt-BR" w:eastAsia="pt-BR"/>
              </w:rPr>
            </w:pPr>
            <w:r w:rsidRPr="00195989">
              <w:rPr>
                <w:rFonts w:cs="Times New Roman"/>
                <w:color w:val="000000"/>
                <w:lang w:val="pt-BR" w:eastAsia="pt-BR"/>
              </w:rPr>
              <w:t>127</w:t>
            </w:r>
            <w:r w:rsidRPr="00195989">
              <w:rPr>
                <w:rFonts w:cs="Times New Roman"/>
                <w:color w:val="000000"/>
                <w:vertAlign w:val="superscript"/>
                <w:lang w:val="pt-BR" w:eastAsia="pt-BR"/>
              </w:rPr>
              <w:t>A</w:t>
            </w:r>
          </w:p>
        </w:tc>
        <w:tc>
          <w:tcPr>
            <w:tcW w:w="1260" w:type="dxa"/>
            <w:tcBorders>
              <w:top w:val="nil"/>
              <w:left w:val="nil"/>
              <w:bottom w:val="nil"/>
              <w:right w:val="nil"/>
            </w:tcBorders>
            <w:shd w:val="clear" w:color="auto" w:fill="auto"/>
            <w:noWrap/>
            <w:vAlign w:val="bottom"/>
            <w:hideMark/>
          </w:tcPr>
          <w:p w14:paraId="343E7D4C" w14:textId="77777777" w:rsidR="00195989" w:rsidRPr="00195989" w:rsidRDefault="00195989" w:rsidP="00195989">
            <w:pPr>
              <w:spacing w:line="240" w:lineRule="auto"/>
              <w:jc w:val="center"/>
              <w:rPr>
                <w:rFonts w:cs="Times New Roman"/>
                <w:color w:val="000000"/>
                <w:lang w:val="pt-BR" w:eastAsia="pt-BR"/>
              </w:rPr>
            </w:pPr>
            <w:r w:rsidRPr="00195989">
              <w:rPr>
                <w:rFonts w:cs="Times New Roman"/>
                <w:color w:val="000000"/>
                <w:lang w:val="pt-BR" w:eastAsia="pt-BR"/>
              </w:rPr>
              <w:t>128</w:t>
            </w:r>
            <w:r w:rsidRPr="00195989">
              <w:rPr>
                <w:rFonts w:cs="Times New Roman"/>
                <w:color w:val="000000"/>
                <w:vertAlign w:val="superscript"/>
                <w:lang w:val="pt-BR" w:eastAsia="pt-BR"/>
              </w:rPr>
              <w:t>A</w:t>
            </w:r>
          </w:p>
        </w:tc>
        <w:tc>
          <w:tcPr>
            <w:tcW w:w="1350" w:type="dxa"/>
            <w:tcBorders>
              <w:top w:val="nil"/>
              <w:left w:val="nil"/>
              <w:bottom w:val="nil"/>
              <w:right w:val="nil"/>
            </w:tcBorders>
            <w:shd w:val="clear" w:color="auto" w:fill="auto"/>
            <w:noWrap/>
            <w:vAlign w:val="bottom"/>
            <w:hideMark/>
          </w:tcPr>
          <w:p w14:paraId="5C59A2DA" w14:textId="77777777" w:rsidR="00195989" w:rsidRPr="00195989" w:rsidRDefault="00195989" w:rsidP="00195989">
            <w:pPr>
              <w:spacing w:line="240" w:lineRule="auto"/>
              <w:jc w:val="center"/>
              <w:rPr>
                <w:rFonts w:cs="Times New Roman"/>
                <w:color w:val="000000"/>
                <w:lang w:val="pt-BR" w:eastAsia="pt-BR"/>
              </w:rPr>
            </w:pPr>
            <w:r w:rsidRPr="00195989">
              <w:rPr>
                <w:rFonts w:cs="Times New Roman"/>
                <w:color w:val="000000"/>
                <w:lang w:val="pt-BR" w:eastAsia="pt-BR"/>
              </w:rPr>
              <w:t>124</w:t>
            </w:r>
            <w:r w:rsidRPr="00195989">
              <w:rPr>
                <w:rFonts w:cs="Times New Roman"/>
                <w:color w:val="000000"/>
                <w:vertAlign w:val="superscript"/>
                <w:lang w:val="pt-BR" w:eastAsia="pt-BR"/>
              </w:rPr>
              <w:t>A</w:t>
            </w:r>
          </w:p>
        </w:tc>
        <w:tc>
          <w:tcPr>
            <w:tcW w:w="990" w:type="dxa"/>
            <w:tcBorders>
              <w:top w:val="nil"/>
              <w:left w:val="nil"/>
              <w:bottom w:val="nil"/>
              <w:right w:val="nil"/>
            </w:tcBorders>
            <w:shd w:val="clear" w:color="auto" w:fill="auto"/>
            <w:noWrap/>
            <w:vAlign w:val="bottom"/>
            <w:hideMark/>
          </w:tcPr>
          <w:p w14:paraId="75C961A7" w14:textId="77777777" w:rsidR="00195989" w:rsidRPr="00195989" w:rsidRDefault="00195989" w:rsidP="00195989">
            <w:pPr>
              <w:spacing w:line="240" w:lineRule="auto"/>
              <w:jc w:val="center"/>
              <w:rPr>
                <w:rFonts w:cs="Times New Roman"/>
                <w:color w:val="000000"/>
                <w:lang w:val="pt-BR" w:eastAsia="pt-BR"/>
              </w:rPr>
            </w:pPr>
            <w:r w:rsidRPr="00195989">
              <w:rPr>
                <w:rFonts w:cs="Times New Roman"/>
                <w:color w:val="000000"/>
                <w:lang w:val="pt-BR" w:eastAsia="pt-BR"/>
              </w:rPr>
              <w:t>124</w:t>
            </w:r>
            <w:r w:rsidRPr="00195989">
              <w:rPr>
                <w:rFonts w:cs="Times New Roman"/>
                <w:color w:val="000000"/>
                <w:vertAlign w:val="superscript"/>
                <w:lang w:val="pt-BR" w:eastAsia="pt-BR"/>
              </w:rPr>
              <w:t>A</w:t>
            </w:r>
          </w:p>
        </w:tc>
        <w:tc>
          <w:tcPr>
            <w:tcW w:w="1260" w:type="dxa"/>
            <w:tcBorders>
              <w:top w:val="nil"/>
              <w:left w:val="nil"/>
              <w:bottom w:val="nil"/>
              <w:right w:val="nil"/>
            </w:tcBorders>
            <w:shd w:val="clear" w:color="auto" w:fill="auto"/>
            <w:noWrap/>
            <w:vAlign w:val="bottom"/>
            <w:hideMark/>
          </w:tcPr>
          <w:p w14:paraId="49B4496A" w14:textId="77777777" w:rsidR="00195989" w:rsidRPr="00195989" w:rsidRDefault="00195989" w:rsidP="00195989">
            <w:pPr>
              <w:spacing w:line="240" w:lineRule="auto"/>
              <w:jc w:val="center"/>
              <w:rPr>
                <w:rFonts w:cs="Times New Roman"/>
                <w:i/>
                <w:iCs/>
                <w:color w:val="000000"/>
                <w:lang w:val="pt-BR" w:eastAsia="pt-BR"/>
              </w:rPr>
            </w:pPr>
            <w:r w:rsidRPr="00195989">
              <w:rPr>
                <w:rFonts w:cs="Times New Roman"/>
                <w:i/>
                <w:iCs/>
                <w:color w:val="000000"/>
                <w:lang w:val="pt-BR" w:eastAsia="pt-BR"/>
              </w:rPr>
              <w:t>&lt;0.05</w:t>
            </w:r>
          </w:p>
        </w:tc>
      </w:tr>
      <w:tr w:rsidR="00195989" w:rsidRPr="00195989" w14:paraId="222AE18B" w14:textId="77777777" w:rsidTr="00674D0B">
        <w:trPr>
          <w:trHeight w:val="312"/>
        </w:trPr>
        <w:tc>
          <w:tcPr>
            <w:tcW w:w="1121" w:type="dxa"/>
            <w:tcBorders>
              <w:top w:val="nil"/>
              <w:left w:val="nil"/>
              <w:bottom w:val="single" w:sz="4" w:space="0" w:color="auto"/>
              <w:right w:val="nil"/>
            </w:tcBorders>
            <w:shd w:val="clear" w:color="auto" w:fill="auto"/>
            <w:noWrap/>
            <w:vAlign w:val="bottom"/>
            <w:hideMark/>
          </w:tcPr>
          <w:p w14:paraId="2937F5BF" w14:textId="77777777" w:rsidR="00195989" w:rsidRPr="00195989" w:rsidRDefault="00195989" w:rsidP="00195989">
            <w:pPr>
              <w:spacing w:line="240" w:lineRule="auto"/>
              <w:jc w:val="center"/>
              <w:rPr>
                <w:rFonts w:cs="Times New Roman"/>
                <w:color w:val="000000"/>
                <w:lang w:val="pt-BR" w:eastAsia="pt-BR"/>
              </w:rPr>
            </w:pPr>
            <w:r w:rsidRPr="00195989">
              <w:rPr>
                <w:rFonts w:cs="Times New Roman"/>
                <w:color w:val="000000"/>
                <w:lang w:val="pt-BR" w:eastAsia="pt-BR"/>
              </w:rPr>
              <w:t>2</w:t>
            </w:r>
          </w:p>
        </w:tc>
        <w:tc>
          <w:tcPr>
            <w:tcW w:w="1219" w:type="dxa"/>
            <w:tcBorders>
              <w:top w:val="nil"/>
              <w:left w:val="nil"/>
              <w:bottom w:val="nil"/>
              <w:right w:val="nil"/>
            </w:tcBorders>
            <w:shd w:val="clear" w:color="auto" w:fill="auto"/>
            <w:noWrap/>
            <w:vAlign w:val="bottom"/>
            <w:hideMark/>
          </w:tcPr>
          <w:p w14:paraId="62DB5FD9" w14:textId="77777777" w:rsidR="00195989" w:rsidRPr="00195989" w:rsidRDefault="00195989" w:rsidP="00195989">
            <w:pPr>
              <w:spacing w:line="240" w:lineRule="auto"/>
              <w:jc w:val="center"/>
              <w:rPr>
                <w:rFonts w:cs="Times New Roman"/>
                <w:color w:val="000000"/>
                <w:lang w:val="pt-BR" w:eastAsia="pt-BR"/>
              </w:rPr>
            </w:pPr>
            <w:r w:rsidRPr="00195989">
              <w:rPr>
                <w:rFonts w:cs="Times New Roman"/>
                <w:color w:val="000000"/>
                <w:lang w:val="pt-BR" w:eastAsia="pt-BR"/>
              </w:rPr>
              <w:t>122</w:t>
            </w:r>
            <w:r w:rsidRPr="00195989">
              <w:rPr>
                <w:rFonts w:cs="Times New Roman"/>
                <w:color w:val="000000"/>
                <w:vertAlign w:val="superscript"/>
                <w:lang w:val="pt-BR" w:eastAsia="pt-BR"/>
              </w:rPr>
              <w:t>D</w:t>
            </w:r>
          </w:p>
        </w:tc>
        <w:tc>
          <w:tcPr>
            <w:tcW w:w="1440" w:type="dxa"/>
            <w:tcBorders>
              <w:top w:val="nil"/>
              <w:left w:val="nil"/>
              <w:bottom w:val="nil"/>
              <w:right w:val="nil"/>
            </w:tcBorders>
            <w:shd w:val="clear" w:color="auto" w:fill="auto"/>
            <w:noWrap/>
            <w:vAlign w:val="bottom"/>
            <w:hideMark/>
          </w:tcPr>
          <w:p w14:paraId="14F90245" w14:textId="77777777" w:rsidR="00195989" w:rsidRPr="00195989" w:rsidRDefault="00195989" w:rsidP="00195989">
            <w:pPr>
              <w:spacing w:line="240" w:lineRule="auto"/>
              <w:jc w:val="center"/>
              <w:rPr>
                <w:rFonts w:cs="Times New Roman"/>
                <w:color w:val="000000"/>
                <w:lang w:val="pt-BR" w:eastAsia="pt-BR"/>
              </w:rPr>
            </w:pPr>
            <w:r w:rsidRPr="00195989">
              <w:rPr>
                <w:rFonts w:cs="Times New Roman"/>
                <w:color w:val="000000"/>
                <w:lang w:val="pt-BR" w:eastAsia="pt-BR"/>
              </w:rPr>
              <w:t>126</w:t>
            </w:r>
            <w:r w:rsidRPr="00195989">
              <w:rPr>
                <w:rFonts w:cs="Times New Roman"/>
                <w:color w:val="000000"/>
                <w:vertAlign w:val="superscript"/>
                <w:lang w:val="pt-BR" w:eastAsia="pt-BR"/>
              </w:rPr>
              <w:t>CD</w:t>
            </w:r>
          </w:p>
        </w:tc>
        <w:tc>
          <w:tcPr>
            <w:tcW w:w="1260" w:type="dxa"/>
            <w:tcBorders>
              <w:top w:val="nil"/>
              <w:left w:val="nil"/>
              <w:bottom w:val="nil"/>
              <w:right w:val="nil"/>
            </w:tcBorders>
            <w:shd w:val="clear" w:color="auto" w:fill="auto"/>
            <w:noWrap/>
            <w:vAlign w:val="bottom"/>
            <w:hideMark/>
          </w:tcPr>
          <w:p w14:paraId="2FD8BCE7" w14:textId="77777777" w:rsidR="00195989" w:rsidRPr="00195989" w:rsidRDefault="00195989" w:rsidP="00195989">
            <w:pPr>
              <w:spacing w:line="240" w:lineRule="auto"/>
              <w:jc w:val="center"/>
              <w:rPr>
                <w:rFonts w:cs="Times New Roman"/>
                <w:color w:val="000000"/>
                <w:lang w:val="pt-BR" w:eastAsia="pt-BR"/>
              </w:rPr>
            </w:pPr>
            <w:r w:rsidRPr="00195989">
              <w:rPr>
                <w:rFonts w:cs="Times New Roman"/>
                <w:color w:val="000000"/>
                <w:lang w:val="pt-BR" w:eastAsia="pt-BR"/>
              </w:rPr>
              <w:t>130</w:t>
            </w:r>
            <w:r w:rsidRPr="00195989">
              <w:rPr>
                <w:rFonts w:cs="Times New Roman"/>
                <w:color w:val="000000"/>
                <w:vertAlign w:val="superscript"/>
                <w:lang w:val="pt-BR" w:eastAsia="pt-BR"/>
              </w:rPr>
              <w:t>BC</w:t>
            </w:r>
          </w:p>
        </w:tc>
        <w:tc>
          <w:tcPr>
            <w:tcW w:w="1350" w:type="dxa"/>
            <w:tcBorders>
              <w:top w:val="nil"/>
              <w:left w:val="nil"/>
              <w:bottom w:val="single" w:sz="4" w:space="0" w:color="auto"/>
              <w:right w:val="nil"/>
            </w:tcBorders>
            <w:shd w:val="clear" w:color="auto" w:fill="auto"/>
            <w:noWrap/>
            <w:vAlign w:val="bottom"/>
            <w:hideMark/>
          </w:tcPr>
          <w:p w14:paraId="28D3A75C" w14:textId="77777777" w:rsidR="00195989" w:rsidRPr="00195989" w:rsidRDefault="00195989" w:rsidP="00195989">
            <w:pPr>
              <w:spacing w:line="240" w:lineRule="auto"/>
              <w:jc w:val="center"/>
              <w:rPr>
                <w:rFonts w:cs="Times New Roman"/>
                <w:color w:val="000000"/>
                <w:lang w:val="pt-BR" w:eastAsia="pt-BR"/>
              </w:rPr>
            </w:pPr>
            <w:r w:rsidRPr="00195989">
              <w:rPr>
                <w:rFonts w:cs="Times New Roman"/>
                <w:color w:val="000000"/>
                <w:lang w:val="pt-BR" w:eastAsia="pt-BR"/>
              </w:rPr>
              <w:t>134</w:t>
            </w:r>
            <w:r w:rsidRPr="00195989">
              <w:rPr>
                <w:rFonts w:cs="Times New Roman"/>
                <w:color w:val="000000"/>
                <w:vertAlign w:val="superscript"/>
                <w:lang w:val="pt-BR" w:eastAsia="pt-BR"/>
              </w:rPr>
              <w:t>B</w:t>
            </w:r>
          </w:p>
        </w:tc>
        <w:tc>
          <w:tcPr>
            <w:tcW w:w="990" w:type="dxa"/>
            <w:tcBorders>
              <w:top w:val="nil"/>
              <w:left w:val="nil"/>
              <w:bottom w:val="single" w:sz="4" w:space="0" w:color="auto"/>
              <w:right w:val="nil"/>
            </w:tcBorders>
            <w:shd w:val="clear" w:color="auto" w:fill="auto"/>
            <w:noWrap/>
            <w:vAlign w:val="bottom"/>
            <w:hideMark/>
          </w:tcPr>
          <w:p w14:paraId="5AC84C29" w14:textId="77777777" w:rsidR="00195989" w:rsidRPr="00195989" w:rsidRDefault="00195989" w:rsidP="00195989">
            <w:pPr>
              <w:spacing w:line="240" w:lineRule="auto"/>
              <w:jc w:val="center"/>
              <w:rPr>
                <w:rFonts w:cs="Times New Roman"/>
                <w:color w:val="000000"/>
                <w:lang w:val="pt-BR" w:eastAsia="pt-BR"/>
              </w:rPr>
            </w:pPr>
            <w:r w:rsidRPr="00195989">
              <w:rPr>
                <w:rFonts w:cs="Times New Roman"/>
                <w:color w:val="000000"/>
                <w:lang w:val="pt-BR" w:eastAsia="pt-BR"/>
              </w:rPr>
              <w:t>149</w:t>
            </w:r>
            <w:r w:rsidRPr="00195989">
              <w:rPr>
                <w:rFonts w:cs="Times New Roman"/>
                <w:color w:val="000000"/>
                <w:vertAlign w:val="superscript"/>
                <w:lang w:val="pt-BR" w:eastAsia="pt-BR"/>
              </w:rPr>
              <w:t>A</w:t>
            </w:r>
          </w:p>
        </w:tc>
        <w:tc>
          <w:tcPr>
            <w:tcW w:w="1260" w:type="dxa"/>
            <w:tcBorders>
              <w:top w:val="nil"/>
              <w:left w:val="nil"/>
              <w:bottom w:val="single" w:sz="4" w:space="0" w:color="auto"/>
              <w:right w:val="nil"/>
            </w:tcBorders>
            <w:shd w:val="clear" w:color="auto" w:fill="auto"/>
            <w:noWrap/>
            <w:vAlign w:val="bottom"/>
            <w:hideMark/>
          </w:tcPr>
          <w:p w14:paraId="511EB5A2" w14:textId="77777777" w:rsidR="00195989" w:rsidRPr="00195989" w:rsidRDefault="00195989" w:rsidP="00195989">
            <w:pPr>
              <w:spacing w:line="240" w:lineRule="auto"/>
              <w:jc w:val="center"/>
              <w:rPr>
                <w:rFonts w:cs="Times New Roman"/>
                <w:i/>
                <w:iCs/>
                <w:color w:val="000000"/>
                <w:lang w:val="pt-BR" w:eastAsia="pt-BR"/>
              </w:rPr>
            </w:pPr>
            <w:r w:rsidRPr="00195989">
              <w:rPr>
                <w:rFonts w:cs="Times New Roman"/>
                <w:i/>
                <w:iCs/>
                <w:color w:val="000000"/>
                <w:lang w:val="pt-BR" w:eastAsia="pt-BR"/>
              </w:rPr>
              <w:t>&lt;0.05</w:t>
            </w:r>
          </w:p>
        </w:tc>
      </w:tr>
      <w:tr w:rsidR="00195989" w:rsidRPr="00195989" w14:paraId="4E3F4125" w14:textId="77777777" w:rsidTr="00674D0B">
        <w:trPr>
          <w:trHeight w:val="312"/>
        </w:trPr>
        <w:tc>
          <w:tcPr>
            <w:tcW w:w="1121" w:type="dxa"/>
            <w:tcBorders>
              <w:top w:val="nil"/>
              <w:left w:val="nil"/>
              <w:bottom w:val="nil"/>
              <w:right w:val="nil"/>
            </w:tcBorders>
            <w:shd w:val="clear" w:color="auto" w:fill="auto"/>
            <w:noWrap/>
            <w:vAlign w:val="bottom"/>
            <w:hideMark/>
          </w:tcPr>
          <w:p w14:paraId="621B553B" w14:textId="77777777" w:rsidR="00195989" w:rsidRPr="00195989" w:rsidRDefault="00195989" w:rsidP="00195989">
            <w:pPr>
              <w:spacing w:line="240" w:lineRule="auto"/>
              <w:jc w:val="center"/>
              <w:rPr>
                <w:rFonts w:cs="Times New Roman"/>
                <w:color w:val="000000"/>
                <w:lang w:val="pt-BR" w:eastAsia="pt-BR"/>
              </w:rPr>
            </w:pPr>
            <w:r w:rsidRPr="00195989">
              <w:rPr>
                <w:rFonts w:cs="Times New Roman"/>
                <w:i/>
                <w:iCs/>
                <w:color w:val="000000"/>
                <w:lang w:val="pt-BR" w:eastAsia="pt-BR"/>
              </w:rPr>
              <w:t>P</w:t>
            </w:r>
            <w:r w:rsidRPr="00195989">
              <w:rPr>
                <w:rFonts w:cs="Times New Roman"/>
                <w:color w:val="000000"/>
                <w:lang w:val="pt-BR" w:eastAsia="pt-BR"/>
              </w:rPr>
              <w:t>-value</w:t>
            </w:r>
          </w:p>
        </w:tc>
        <w:tc>
          <w:tcPr>
            <w:tcW w:w="1219" w:type="dxa"/>
            <w:tcBorders>
              <w:top w:val="single" w:sz="4" w:space="0" w:color="auto"/>
              <w:left w:val="nil"/>
              <w:bottom w:val="nil"/>
              <w:right w:val="nil"/>
            </w:tcBorders>
            <w:shd w:val="clear" w:color="auto" w:fill="auto"/>
            <w:noWrap/>
            <w:vAlign w:val="bottom"/>
            <w:hideMark/>
          </w:tcPr>
          <w:p w14:paraId="4DA19A11" w14:textId="77777777" w:rsidR="00195989" w:rsidRPr="00195989" w:rsidRDefault="00195989" w:rsidP="00195989">
            <w:pPr>
              <w:spacing w:line="240" w:lineRule="auto"/>
              <w:jc w:val="center"/>
              <w:rPr>
                <w:rFonts w:cs="Times New Roman"/>
                <w:i/>
                <w:iCs/>
                <w:color w:val="000000"/>
                <w:lang w:val="pt-BR" w:eastAsia="pt-BR"/>
              </w:rPr>
            </w:pPr>
            <w:r w:rsidRPr="00195989">
              <w:rPr>
                <w:rFonts w:cs="Times New Roman"/>
                <w:i/>
                <w:iCs/>
                <w:color w:val="000000"/>
                <w:lang w:val="pt-BR" w:eastAsia="pt-BR"/>
              </w:rPr>
              <w:t>&lt;0.05</w:t>
            </w:r>
          </w:p>
        </w:tc>
        <w:tc>
          <w:tcPr>
            <w:tcW w:w="1440" w:type="dxa"/>
            <w:tcBorders>
              <w:top w:val="single" w:sz="4" w:space="0" w:color="auto"/>
              <w:left w:val="nil"/>
              <w:bottom w:val="nil"/>
              <w:right w:val="nil"/>
            </w:tcBorders>
            <w:shd w:val="clear" w:color="auto" w:fill="auto"/>
            <w:noWrap/>
            <w:vAlign w:val="bottom"/>
            <w:hideMark/>
          </w:tcPr>
          <w:p w14:paraId="4BA04BA7" w14:textId="77777777" w:rsidR="00195989" w:rsidRPr="00195989" w:rsidRDefault="00195989" w:rsidP="00195989">
            <w:pPr>
              <w:spacing w:line="240" w:lineRule="auto"/>
              <w:jc w:val="center"/>
              <w:rPr>
                <w:rFonts w:cs="Times New Roman"/>
                <w:i/>
                <w:iCs/>
                <w:color w:val="000000"/>
                <w:lang w:val="pt-BR" w:eastAsia="pt-BR"/>
              </w:rPr>
            </w:pPr>
            <w:r w:rsidRPr="00195989">
              <w:rPr>
                <w:rFonts w:cs="Times New Roman"/>
                <w:i/>
                <w:iCs/>
                <w:color w:val="000000"/>
                <w:lang w:val="pt-BR" w:eastAsia="pt-BR"/>
              </w:rPr>
              <w:t>&gt;0.05</w:t>
            </w:r>
          </w:p>
        </w:tc>
        <w:tc>
          <w:tcPr>
            <w:tcW w:w="1260" w:type="dxa"/>
            <w:tcBorders>
              <w:top w:val="single" w:sz="4" w:space="0" w:color="auto"/>
              <w:left w:val="nil"/>
              <w:bottom w:val="nil"/>
              <w:right w:val="nil"/>
            </w:tcBorders>
            <w:shd w:val="clear" w:color="auto" w:fill="auto"/>
            <w:noWrap/>
            <w:vAlign w:val="bottom"/>
            <w:hideMark/>
          </w:tcPr>
          <w:p w14:paraId="5F831876" w14:textId="77777777" w:rsidR="00195989" w:rsidRPr="00195989" w:rsidRDefault="00195989" w:rsidP="00195989">
            <w:pPr>
              <w:spacing w:line="240" w:lineRule="auto"/>
              <w:jc w:val="center"/>
              <w:rPr>
                <w:rFonts w:cs="Times New Roman"/>
                <w:i/>
                <w:iCs/>
                <w:color w:val="000000"/>
                <w:lang w:val="pt-BR" w:eastAsia="pt-BR"/>
              </w:rPr>
            </w:pPr>
            <w:r w:rsidRPr="00195989">
              <w:rPr>
                <w:rFonts w:cs="Times New Roman"/>
                <w:i/>
                <w:iCs/>
                <w:color w:val="000000"/>
                <w:lang w:val="pt-BR" w:eastAsia="pt-BR"/>
              </w:rPr>
              <w:t>&gt;0.05</w:t>
            </w:r>
          </w:p>
        </w:tc>
        <w:tc>
          <w:tcPr>
            <w:tcW w:w="1350" w:type="dxa"/>
            <w:tcBorders>
              <w:top w:val="nil"/>
              <w:left w:val="nil"/>
              <w:bottom w:val="nil"/>
              <w:right w:val="nil"/>
            </w:tcBorders>
            <w:shd w:val="clear" w:color="auto" w:fill="auto"/>
            <w:noWrap/>
            <w:vAlign w:val="bottom"/>
            <w:hideMark/>
          </w:tcPr>
          <w:p w14:paraId="434E5C0E" w14:textId="77777777" w:rsidR="00195989" w:rsidRPr="00195989" w:rsidRDefault="00195989" w:rsidP="00195989">
            <w:pPr>
              <w:spacing w:line="240" w:lineRule="auto"/>
              <w:jc w:val="center"/>
              <w:rPr>
                <w:rFonts w:cs="Times New Roman"/>
                <w:i/>
                <w:iCs/>
                <w:color w:val="000000"/>
                <w:lang w:val="pt-BR" w:eastAsia="pt-BR"/>
              </w:rPr>
            </w:pPr>
            <w:r w:rsidRPr="00195989">
              <w:rPr>
                <w:rFonts w:cs="Times New Roman"/>
                <w:i/>
                <w:iCs/>
                <w:color w:val="000000"/>
                <w:lang w:val="pt-BR" w:eastAsia="pt-BR"/>
              </w:rPr>
              <w:t>&lt;0.05</w:t>
            </w:r>
          </w:p>
        </w:tc>
        <w:tc>
          <w:tcPr>
            <w:tcW w:w="990" w:type="dxa"/>
            <w:tcBorders>
              <w:top w:val="nil"/>
              <w:left w:val="nil"/>
              <w:bottom w:val="nil"/>
              <w:right w:val="nil"/>
            </w:tcBorders>
            <w:shd w:val="clear" w:color="auto" w:fill="auto"/>
            <w:noWrap/>
            <w:vAlign w:val="bottom"/>
            <w:hideMark/>
          </w:tcPr>
          <w:p w14:paraId="302E6239" w14:textId="77777777" w:rsidR="00195989" w:rsidRPr="00195989" w:rsidRDefault="00195989" w:rsidP="00195989">
            <w:pPr>
              <w:spacing w:line="240" w:lineRule="auto"/>
              <w:jc w:val="center"/>
              <w:rPr>
                <w:rFonts w:cs="Times New Roman"/>
                <w:i/>
                <w:iCs/>
                <w:color w:val="000000"/>
                <w:lang w:val="pt-BR" w:eastAsia="pt-BR"/>
              </w:rPr>
            </w:pPr>
            <w:r w:rsidRPr="00195989">
              <w:rPr>
                <w:rFonts w:cs="Times New Roman"/>
                <w:i/>
                <w:iCs/>
                <w:color w:val="000000"/>
                <w:lang w:val="pt-BR" w:eastAsia="pt-BR"/>
              </w:rPr>
              <w:t>&lt;0.05</w:t>
            </w:r>
          </w:p>
        </w:tc>
        <w:tc>
          <w:tcPr>
            <w:tcW w:w="1260" w:type="dxa"/>
            <w:tcBorders>
              <w:top w:val="nil"/>
              <w:left w:val="nil"/>
              <w:bottom w:val="nil"/>
              <w:right w:val="nil"/>
            </w:tcBorders>
            <w:shd w:val="clear" w:color="auto" w:fill="auto"/>
            <w:noWrap/>
            <w:vAlign w:val="bottom"/>
            <w:hideMark/>
          </w:tcPr>
          <w:p w14:paraId="7E7AF613" w14:textId="77777777" w:rsidR="00195989" w:rsidRPr="00195989" w:rsidRDefault="00195989" w:rsidP="00195989">
            <w:pPr>
              <w:spacing w:line="240" w:lineRule="auto"/>
              <w:jc w:val="center"/>
              <w:rPr>
                <w:rFonts w:cs="Times New Roman"/>
                <w:i/>
                <w:iCs/>
                <w:color w:val="000000"/>
                <w:lang w:val="pt-BR" w:eastAsia="pt-BR"/>
              </w:rPr>
            </w:pPr>
          </w:p>
        </w:tc>
      </w:tr>
      <w:tr w:rsidR="00195989" w:rsidRPr="00195989" w14:paraId="4E290D4B" w14:textId="77777777" w:rsidTr="00195989">
        <w:trPr>
          <w:trHeight w:val="312"/>
        </w:trPr>
        <w:tc>
          <w:tcPr>
            <w:tcW w:w="8640" w:type="dxa"/>
            <w:gridSpan w:val="7"/>
            <w:tcBorders>
              <w:top w:val="single" w:sz="4" w:space="0" w:color="auto"/>
              <w:left w:val="nil"/>
              <w:bottom w:val="nil"/>
              <w:right w:val="nil"/>
            </w:tcBorders>
            <w:shd w:val="clear" w:color="auto" w:fill="auto"/>
            <w:noWrap/>
            <w:vAlign w:val="center"/>
            <w:hideMark/>
          </w:tcPr>
          <w:p w14:paraId="6BB30739" w14:textId="77777777" w:rsidR="00195989" w:rsidRPr="003E0A16" w:rsidRDefault="00195989" w:rsidP="00195989">
            <w:pPr>
              <w:spacing w:line="240" w:lineRule="auto"/>
              <w:rPr>
                <w:rFonts w:cs="Times New Roman"/>
                <w:color w:val="000000"/>
                <w:lang w:eastAsia="pt-BR"/>
              </w:rPr>
            </w:pPr>
            <w:r w:rsidRPr="003E0A16">
              <w:rPr>
                <w:rFonts w:cs="Times New Roman"/>
                <w:color w:val="000000"/>
                <w:lang w:eastAsia="pt-BR"/>
              </w:rPr>
              <w:t>Means within a column differ each N strategies into year (</w:t>
            </w:r>
            <w:r w:rsidRPr="003E0A16">
              <w:rPr>
                <w:rFonts w:cs="Times New Roman"/>
                <w:i/>
                <w:iCs/>
                <w:color w:val="000000"/>
                <w:lang w:eastAsia="pt-BR"/>
              </w:rPr>
              <w:t>p</w:t>
            </w:r>
            <w:r w:rsidRPr="003E0A16">
              <w:rPr>
                <w:rFonts w:cs="Times New Roman"/>
                <w:color w:val="000000"/>
                <w:lang w:eastAsia="pt-BR"/>
              </w:rPr>
              <w:t xml:space="preserve"> &lt; .05). </w:t>
            </w:r>
          </w:p>
        </w:tc>
      </w:tr>
      <w:tr w:rsidR="00195989" w:rsidRPr="00195989" w14:paraId="65793463" w14:textId="77777777" w:rsidTr="00195989">
        <w:trPr>
          <w:trHeight w:val="312"/>
        </w:trPr>
        <w:tc>
          <w:tcPr>
            <w:tcW w:w="8640" w:type="dxa"/>
            <w:gridSpan w:val="7"/>
            <w:tcBorders>
              <w:top w:val="nil"/>
              <w:left w:val="nil"/>
              <w:bottom w:val="nil"/>
              <w:right w:val="nil"/>
            </w:tcBorders>
            <w:shd w:val="clear" w:color="auto" w:fill="auto"/>
            <w:noWrap/>
            <w:vAlign w:val="center"/>
            <w:hideMark/>
          </w:tcPr>
          <w:p w14:paraId="17EFCC31" w14:textId="77777777" w:rsidR="00195989" w:rsidRPr="003E0A16" w:rsidRDefault="00195989" w:rsidP="00195989">
            <w:pPr>
              <w:spacing w:line="240" w:lineRule="auto"/>
              <w:rPr>
                <w:rFonts w:cs="Times New Roman"/>
                <w:color w:val="000000"/>
                <w:lang w:eastAsia="pt-BR"/>
              </w:rPr>
            </w:pPr>
            <w:r w:rsidRPr="003E0A16">
              <w:rPr>
                <w:rFonts w:cs="Times New Roman"/>
                <w:color w:val="000000"/>
                <w:lang w:eastAsia="pt-BR"/>
              </w:rPr>
              <w:t>Means without within a row differ each year into N strategies (</w:t>
            </w:r>
            <w:r w:rsidRPr="003E0A16">
              <w:rPr>
                <w:rFonts w:cs="Times New Roman"/>
                <w:i/>
                <w:iCs/>
                <w:color w:val="000000"/>
                <w:lang w:eastAsia="pt-BR"/>
              </w:rPr>
              <w:t>p</w:t>
            </w:r>
            <w:r w:rsidRPr="003E0A16">
              <w:rPr>
                <w:rFonts w:cs="Times New Roman"/>
                <w:color w:val="000000"/>
                <w:lang w:eastAsia="pt-BR"/>
              </w:rPr>
              <w:t xml:space="preserve"> &lt; .05).</w:t>
            </w:r>
          </w:p>
        </w:tc>
      </w:tr>
      <w:tr w:rsidR="00195989" w:rsidRPr="00195989" w14:paraId="070F317D" w14:textId="77777777" w:rsidTr="00195989">
        <w:trPr>
          <w:trHeight w:val="336"/>
        </w:trPr>
        <w:tc>
          <w:tcPr>
            <w:tcW w:w="8640" w:type="dxa"/>
            <w:gridSpan w:val="7"/>
            <w:tcBorders>
              <w:top w:val="nil"/>
              <w:left w:val="nil"/>
              <w:bottom w:val="nil"/>
              <w:right w:val="nil"/>
            </w:tcBorders>
            <w:shd w:val="clear" w:color="auto" w:fill="auto"/>
            <w:noWrap/>
            <w:vAlign w:val="center"/>
            <w:hideMark/>
          </w:tcPr>
          <w:p w14:paraId="75DBA9D4" w14:textId="7CA5B03B" w:rsidR="00195989" w:rsidRPr="00195989" w:rsidRDefault="00195989" w:rsidP="00195989">
            <w:pPr>
              <w:spacing w:line="240" w:lineRule="auto"/>
              <w:rPr>
                <w:rFonts w:cs="Times New Roman"/>
                <w:color w:val="000000"/>
                <w:lang w:val="pt-BR" w:eastAsia="pt-BR"/>
              </w:rPr>
            </w:pPr>
            <w:r w:rsidRPr="00195989">
              <w:rPr>
                <w:rFonts w:cs="Times New Roman"/>
                <w:color w:val="000000"/>
                <w:lang w:val="pt-BR" w:eastAsia="pt-BR"/>
              </w:rPr>
              <w:t xml:space="preserve">SEM = </w:t>
            </w:r>
            <w:r w:rsidR="00674D0B">
              <w:rPr>
                <w:rFonts w:cs="Times New Roman"/>
                <w:color w:val="000000"/>
                <w:lang w:val="pt-BR" w:eastAsia="pt-BR"/>
              </w:rPr>
              <w:t>25</w:t>
            </w:r>
            <w:r w:rsidRPr="00195989">
              <w:rPr>
                <w:rFonts w:cs="Times New Roman"/>
                <w:color w:val="000000"/>
                <w:lang w:val="pt-BR" w:eastAsia="pt-BR"/>
              </w:rPr>
              <w:t>.</w:t>
            </w:r>
          </w:p>
        </w:tc>
      </w:tr>
      <w:tr w:rsidR="00195989" w:rsidRPr="00195989" w14:paraId="735E2A3C" w14:textId="77777777" w:rsidTr="00195989">
        <w:trPr>
          <w:trHeight w:val="312"/>
        </w:trPr>
        <w:tc>
          <w:tcPr>
            <w:tcW w:w="8640" w:type="dxa"/>
            <w:gridSpan w:val="7"/>
            <w:tcBorders>
              <w:top w:val="nil"/>
              <w:left w:val="nil"/>
              <w:bottom w:val="nil"/>
              <w:right w:val="nil"/>
            </w:tcBorders>
            <w:shd w:val="clear" w:color="auto" w:fill="auto"/>
            <w:noWrap/>
            <w:vAlign w:val="bottom"/>
            <w:hideMark/>
          </w:tcPr>
          <w:p w14:paraId="6CEA4B78" w14:textId="77777777" w:rsidR="00195989" w:rsidRPr="003E0A16" w:rsidRDefault="00195989" w:rsidP="00195989">
            <w:pPr>
              <w:spacing w:line="240" w:lineRule="auto"/>
              <w:rPr>
                <w:rFonts w:cs="Times New Roman"/>
                <w:i/>
                <w:iCs/>
                <w:color w:val="000000"/>
                <w:lang w:eastAsia="pt-BR"/>
              </w:rPr>
            </w:pPr>
            <w:r w:rsidRPr="003E0A16">
              <w:rPr>
                <w:rFonts w:cs="Times New Roman"/>
                <w:i/>
                <w:iCs/>
                <w:color w:val="000000"/>
                <w:lang w:eastAsia="pt-BR"/>
              </w:rPr>
              <w:t>Note</w:t>
            </w:r>
            <w:r w:rsidRPr="003E0A16">
              <w:rPr>
                <w:rFonts w:cs="Times New Roman"/>
                <w:color w:val="000000"/>
                <w:lang w:eastAsia="pt-BR"/>
              </w:rPr>
              <w:t>: U, urea; A, ammonium sulfate.</w:t>
            </w:r>
          </w:p>
        </w:tc>
      </w:tr>
    </w:tbl>
    <w:p w14:paraId="172567BA" w14:textId="2CB2EE2E" w:rsidR="00D93941" w:rsidRPr="00037ACB" w:rsidRDefault="00D93941" w:rsidP="00AF7902">
      <w:pPr>
        <w:spacing w:line="480" w:lineRule="auto"/>
        <w:ind w:firstLine="720"/>
        <w:rPr>
          <w:rFonts w:cs="Times New Roman"/>
        </w:rPr>
      </w:pPr>
    </w:p>
    <w:p w14:paraId="094B22A5" w14:textId="77777777" w:rsidR="005558DE" w:rsidRDefault="005558DE">
      <w:pPr>
        <w:spacing w:line="240" w:lineRule="auto"/>
        <w:rPr>
          <w:rFonts w:cs="Times New Roman"/>
        </w:rPr>
      </w:pPr>
      <w:r>
        <w:rPr>
          <w:rFonts w:cs="Times New Roman"/>
        </w:rPr>
        <w:br w:type="page"/>
      </w:r>
    </w:p>
    <w:tbl>
      <w:tblPr>
        <w:tblW w:w="8576" w:type="dxa"/>
        <w:tblLook w:val="04A0" w:firstRow="1" w:lastRow="0" w:firstColumn="1" w:lastColumn="0" w:noHBand="0" w:noVBand="1"/>
      </w:tblPr>
      <w:tblGrid>
        <w:gridCol w:w="1475"/>
        <w:gridCol w:w="1315"/>
        <w:gridCol w:w="1800"/>
        <w:gridCol w:w="1260"/>
        <w:gridCol w:w="1260"/>
        <w:gridCol w:w="236"/>
        <w:gridCol w:w="850"/>
        <w:gridCol w:w="380"/>
      </w:tblGrid>
      <w:tr w:rsidR="008671E7" w:rsidRPr="00C8735D" w14:paraId="3CCFF309" w14:textId="77777777" w:rsidTr="00A70E8C">
        <w:trPr>
          <w:gridAfter w:val="1"/>
          <w:wAfter w:w="380" w:type="dxa"/>
          <w:trHeight w:val="1620"/>
        </w:trPr>
        <w:tc>
          <w:tcPr>
            <w:tcW w:w="8196" w:type="dxa"/>
            <w:gridSpan w:val="7"/>
            <w:tcBorders>
              <w:top w:val="nil"/>
              <w:left w:val="nil"/>
              <w:bottom w:val="nil"/>
              <w:right w:val="nil"/>
            </w:tcBorders>
            <w:shd w:val="clear" w:color="auto" w:fill="auto"/>
            <w:vAlign w:val="bottom"/>
            <w:hideMark/>
          </w:tcPr>
          <w:p w14:paraId="055584AF" w14:textId="13133062" w:rsidR="008671E7" w:rsidRPr="00C8735D" w:rsidRDefault="003E0A16" w:rsidP="004432D5">
            <w:pPr>
              <w:pStyle w:val="mytables"/>
            </w:pPr>
            <w:bookmarkStart w:id="72" w:name="_Toc196315451"/>
            <w:r>
              <w:lastRenderedPageBreak/>
              <w:t>T</w:t>
            </w:r>
            <w:r w:rsidR="008671E7" w:rsidRPr="00C8735D">
              <w:t>able 2.</w:t>
            </w:r>
            <w:r w:rsidR="00AF678A">
              <w:t>7</w:t>
            </w:r>
            <w:r w:rsidR="008671E7" w:rsidRPr="00C8735D">
              <w:t xml:space="preserve"> - </w:t>
            </w:r>
            <w:r w:rsidR="008671E7" w:rsidRPr="004432D5">
              <w:rPr>
                <w:b w:val="0"/>
                <w:bCs w:val="0"/>
              </w:rPr>
              <w:t xml:space="preserve">Average in vitro dry matter digestibility 48 hours (IVTDMD48) of </w:t>
            </w:r>
            <w:r w:rsidR="00081703">
              <w:rPr>
                <w:b w:val="0"/>
                <w:bCs w:val="0"/>
              </w:rPr>
              <w:t>b</w:t>
            </w:r>
            <w:r w:rsidR="008671E7" w:rsidRPr="004432D5">
              <w:rPr>
                <w:b w:val="0"/>
                <w:bCs w:val="0"/>
              </w:rPr>
              <w:t xml:space="preserve">ermudagrass in response to </w:t>
            </w:r>
            <w:r w:rsidR="004B0DD7">
              <w:rPr>
                <w:b w:val="0"/>
                <w:bCs w:val="0"/>
              </w:rPr>
              <w:t>i</w:t>
            </w:r>
            <w:r w:rsidR="00081703">
              <w:rPr>
                <w:b w:val="0"/>
                <w:bCs w:val="0"/>
              </w:rPr>
              <w:t>noculation</w:t>
            </w:r>
            <w:r w:rsidR="008671E7" w:rsidRPr="004432D5">
              <w:rPr>
                <w:b w:val="0"/>
                <w:bCs w:val="0"/>
              </w:rPr>
              <w:t xml:space="preserve"> (DH-44, C-PG</w:t>
            </w:r>
            <w:r w:rsidR="00081703">
              <w:rPr>
                <w:b w:val="0"/>
                <w:bCs w:val="0"/>
              </w:rPr>
              <w:t>PB</w:t>
            </w:r>
            <w:r w:rsidR="008671E7" w:rsidRPr="004432D5">
              <w:rPr>
                <w:b w:val="0"/>
                <w:bCs w:val="0"/>
              </w:rPr>
              <w:t xml:space="preserve">, DH-267), </w:t>
            </w:r>
            <w:r w:rsidR="00E94C04">
              <w:rPr>
                <w:b w:val="0"/>
                <w:bCs w:val="0"/>
              </w:rPr>
              <w:t>and N strategies</w:t>
            </w:r>
            <w:r w:rsidR="00E94C04" w:rsidRPr="004432D5">
              <w:rPr>
                <w:b w:val="0"/>
                <w:bCs w:val="0"/>
              </w:rPr>
              <w:t xml:space="preserve"> (33 kg, 67 kg),</w:t>
            </w:r>
            <w:r w:rsidR="00E94C04" w:rsidRPr="004432D5">
              <w:rPr>
                <w:b w:val="0"/>
                <w:bCs w:val="0"/>
                <w:i/>
                <w:iCs/>
              </w:rPr>
              <w:t xml:space="preserve"> </w:t>
            </w:r>
            <w:r w:rsidR="00E94C04" w:rsidRPr="004432D5">
              <w:rPr>
                <w:b w:val="0"/>
                <w:bCs w:val="0"/>
              </w:rPr>
              <w:t xml:space="preserve">(Urea, Ammonium </w:t>
            </w:r>
            <w:r w:rsidR="00C64F12" w:rsidRPr="004432D5">
              <w:rPr>
                <w:b w:val="0"/>
                <w:bCs w:val="0"/>
              </w:rPr>
              <w:t>Sulfate) across</w:t>
            </w:r>
            <w:r w:rsidR="008671E7" w:rsidRPr="004432D5">
              <w:rPr>
                <w:b w:val="0"/>
                <w:bCs w:val="0"/>
              </w:rPr>
              <w:t xml:space="preserve"> two growing seasons 2023 and 2024, in Crossville, Tennessee, U.S.</w:t>
            </w:r>
            <w:bookmarkEnd w:id="72"/>
          </w:p>
        </w:tc>
      </w:tr>
      <w:tr w:rsidR="00FF03D1" w:rsidRPr="00C8735D" w14:paraId="76C99395" w14:textId="77777777" w:rsidTr="00A70E8C">
        <w:trPr>
          <w:gridAfter w:val="1"/>
          <w:wAfter w:w="380" w:type="dxa"/>
          <w:trHeight w:val="315"/>
        </w:trPr>
        <w:tc>
          <w:tcPr>
            <w:tcW w:w="1475" w:type="dxa"/>
            <w:vMerge w:val="restart"/>
            <w:tcBorders>
              <w:top w:val="single" w:sz="4" w:space="0" w:color="auto"/>
              <w:left w:val="nil"/>
              <w:bottom w:val="nil"/>
              <w:right w:val="nil"/>
            </w:tcBorders>
            <w:shd w:val="clear" w:color="auto" w:fill="auto"/>
            <w:noWrap/>
            <w:vAlign w:val="center"/>
            <w:hideMark/>
          </w:tcPr>
          <w:p w14:paraId="10AB625C" w14:textId="387AFE06" w:rsidR="00FF03D1" w:rsidRPr="00C8735D" w:rsidRDefault="00FF03D1" w:rsidP="00A05F5B">
            <w:pPr>
              <w:spacing w:line="240" w:lineRule="auto"/>
              <w:jc w:val="center"/>
              <w:rPr>
                <w:rFonts w:cs="Times New Roman"/>
                <w:color w:val="000000"/>
              </w:rPr>
            </w:pPr>
            <w:r>
              <w:t>N strategies</w:t>
            </w:r>
          </w:p>
        </w:tc>
        <w:tc>
          <w:tcPr>
            <w:tcW w:w="5635" w:type="dxa"/>
            <w:gridSpan w:val="4"/>
            <w:tcBorders>
              <w:top w:val="single" w:sz="4" w:space="0" w:color="auto"/>
              <w:left w:val="nil"/>
              <w:bottom w:val="nil"/>
              <w:right w:val="nil"/>
            </w:tcBorders>
            <w:shd w:val="clear" w:color="auto" w:fill="auto"/>
            <w:noWrap/>
            <w:vAlign w:val="bottom"/>
            <w:hideMark/>
          </w:tcPr>
          <w:p w14:paraId="19E91ED8" w14:textId="5753D62B" w:rsidR="00FF03D1" w:rsidRPr="00C8735D" w:rsidRDefault="00711096" w:rsidP="00A05F5B">
            <w:pPr>
              <w:spacing w:line="240" w:lineRule="auto"/>
              <w:jc w:val="center"/>
              <w:rPr>
                <w:rFonts w:cs="Times New Roman"/>
                <w:color w:val="000000"/>
              </w:rPr>
            </w:pPr>
            <w:r>
              <w:t>I</w:t>
            </w:r>
            <w:r w:rsidRPr="00711096">
              <w:t>noculation</w:t>
            </w:r>
            <w:r>
              <w:rPr>
                <w:b/>
                <w:bCs/>
                <w:i/>
                <w:iCs/>
              </w:rPr>
              <w:t xml:space="preserve"> </w:t>
            </w:r>
          </w:p>
        </w:tc>
        <w:tc>
          <w:tcPr>
            <w:tcW w:w="1086" w:type="dxa"/>
            <w:gridSpan w:val="2"/>
            <w:tcBorders>
              <w:top w:val="single" w:sz="4" w:space="0" w:color="auto"/>
              <w:left w:val="nil"/>
              <w:bottom w:val="nil"/>
              <w:right w:val="nil"/>
            </w:tcBorders>
            <w:shd w:val="clear" w:color="auto" w:fill="auto"/>
            <w:noWrap/>
            <w:vAlign w:val="bottom"/>
            <w:hideMark/>
          </w:tcPr>
          <w:p w14:paraId="00812DE0" w14:textId="77777777" w:rsidR="00FF03D1" w:rsidRPr="00C8735D" w:rsidRDefault="00FF03D1" w:rsidP="00A05F5B">
            <w:pPr>
              <w:spacing w:line="240" w:lineRule="auto"/>
              <w:rPr>
                <w:rFonts w:cs="Times New Roman"/>
                <w:color w:val="000000"/>
              </w:rPr>
            </w:pPr>
            <w:r w:rsidRPr="00C8735D">
              <w:rPr>
                <w:rFonts w:cs="Times New Roman"/>
                <w:color w:val="000000"/>
              </w:rPr>
              <w:t> </w:t>
            </w:r>
          </w:p>
        </w:tc>
      </w:tr>
      <w:tr w:rsidR="00FF03D1" w:rsidRPr="00C8735D" w14:paraId="0FEC06E8" w14:textId="77777777" w:rsidTr="00A70E8C">
        <w:trPr>
          <w:gridAfter w:val="1"/>
          <w:wAfter w:w="380" w:type="dxa"/>
          <w:trHeight w:val="375"/>
        </w:trPr>
        <w:tc>
          <w:tcPr>
            <w:tcW w:w="1475" w:type="dxa"/>
            <w:vMerge/>
            <w:tcBorders>
              <w:top w:val="single" w:sz="4" w:space="0" w:color="auto"/>
              <w:left w:val="nil"/>
              <w:bottom w:val="nil"/>
              <w:right w:val="nil"/>
            </w:tcBorders>
            <w:vAlign w:val="center"/>
            <w:hideMark/>
          </w:tcPr>
          <w:p w14:paraId="2E2FB796" w14:textId="77777777" w:rsidR="00FF03D1" w:rsidRPr="00C8735D" w:rsidRDefault="00FF03D1" w:rsidP="00A05F5B">
            <w:pPr>
              <w:spacing w:line="240" w:lineRule="auto"/>
              <w:rPr>
                <w:rFonts w:cs="Times New Roman"/>
                <w:color w:val="000000"/>
              </w:rPr>
            </w:pPr>
          </w:p>
        </w:tc>
        <w:tc>
          <w:tcPr>
            <w:tcW w:w="1315" w:type="dxa"/>
            <w:tcBorders>
              <w:top w:val="nil"/>
              <w:left w:val="nil"/>
              <w:bottom w:val="nil"/>
              <w:right w:val="nil"/>
            </w:tcBorders>
            <w:shd w:val="clear" w:color="auto" w:fill="auto"/>
            <w:noWrap/>
            <w:vAlign w:val="bottom"/>
            <w:hideMark/>
          </w:tcPr>
          <w:p w14:paraId="77A2CFA1" w14:textId="77777777" w:rsidR="00FF03D1" w:rsidRPr="00C8735D" w:rsidRDefault="00FF03D1" w:rsidP="00A05F5B">
            <w:pPr>
              <w:spacing w:line="240" w:lineRule="auto"/>
              <w:jc w:val="center"/>
              <w:rPr>
                <w:rFonts w:cs="Times New Roman"/>
                <w:color w:val="000000"/>
              </w:rPr>
            </w:pPr>
            <w:r w:rsidRPr="00C8735D">
              <w:rPr>
                <w:rFonts w:cs="Times New Roman"/>
                <w:color w:val="000000"/>
              </w:rPr>
              <w:t>DH-44</w:t>
            </w:r>
          </w:p>
        </w:tc>
        <w:tc>
          <w:tcPr>
            <w:tcW w:w="1800" w:type="dxa"/>
            <w:tcBorders>
              <w:top w:val="nil"/>
              <w:left w:val="nil"/>
              <w:bottom w:val="nil"/>
              <w:right w:val="nil"/>
            </w:tcBorders>
            <w:shd w:val="clear" w:color="auto" w:fill="auto"/>
            <w:noWrap/>
            <w:vAlign w:val="bottom"/>
            <w:hideMark/>
          </w:tcPr>
          <w:p w14:paraId="3C044109" w14:textId="77777777" w:rsidR="00FF03D1" w:rsidRPr="00C8735D" w:rsidRDefault="00FF03D1" w:rsidP="00A05F5B">
            <w:pPr>
              <w:spacing w:line="240" w:lineRule="auto"/>
              <w:jc w:val="center"/>
              <w:rPr>
                <w:rFonts w:cs="Times New Roman"/>
                <w:color w:val="000000"/>
              </w:rPr>
            </w:pPr>
            <w:r w:rsidRPr="00C8735D">
              <w:rPr>
                <w:rFonts w:cs="Times New Roman"/>
                <w:color w:val="000000"/>
              </w:rPr>
              <w:t>C-PGPB</w:t>
            </w:r>
          </w:p>
        </w:tc>
        <w:tc>
          <w:tcPr>
            <w:tcW w:w="1260" w:type="dxa"/>
            <w:tcBorders>
              <w:top w:val="nil"/>
              <w:left w:val="nil"/>
              <w:bottom w:val="nil"/>
              <w:right w:val="nil"/>
            </w:tcBorders>
            <w:shd w:val="clear" w:color="auto" w:fill="auto"/>
            <w:noWrap/>
            <w:vAlign w:val="bottom"/>
            <w:hideMark/>
          </w:tcPr>
          <w:p w14:paraId="0A3FBF54" w14:textId="77777777" w:rsidR="00FF03D1" w:rsidRPr="00C8735D" w:rsidRDefault="00FF03D1" w:rsidP="00A05F5B">
            <w:pPr>
              <w:spacing w:line="240" w:lineRule="auto"/>
              <w:jc w:val="center"/>
              <w:rPr>
                <w:rFonts w:cs="Times New Roman"/>
                <w:color w:val="000000"/>
              </w:rPr>
            </w:pPr>
            <w:r w:rsidRPr="00C8735D">
              <w:rPr>
                <w:rFonts w:cs="Times New Roman"/>
                <w:color w:val="000000"/>
              </w:rPr>
              <w:t>DH-267</w:t>
            </w:r>
          </w:p>
        </w:tc>
        <w:tc>
          <w:tcPr>
            <w:tcW w:w="1260" w:type="dxa"/>
            <w:tcBorders>
              <w:top w:val="nil"/>
              <w:left w:val="nil"/>
              <w:bottom w:val="nil"/>
              <w:right w:val="nil"/>
            </w:tcBorders>
            <w:shd w:val="clear" w:color="auto" w:fill="auto"/>
            <w:noWrap/>
            <w:vAlign w:val="bottom"/>
            <w:hideMark/>
          </w:tcPr>
          <w:p w14:paraId="4A9BB0D0" w14:textId="77777777" w:rsidR="00FF03D1" w:rsidRPr="00C8735D" w:rsidRDefault="00FF03D1" w:rsidP="00A05F5B">
            <w:pPr>
              <w:spacing w:line="240" w:lineRule="auto"/>
              <w:jc w:val="center"/>
              <w:rPr>
                <w:rFonts w:cs="Times New Roman"/>
                <w:color w:val="000000"/>
              </w:rPr>
            </w:pPr>
            <w:r w:rsidRPr="00C8735D">
              <w:rPr>
                <w:rFonts w:cs="Times New Roman"/>
                <w:color w:val="000000"/>
              </w:rPr>
              <w:t>No-PGPB</w:t>
            </w:r>
          </w:p>
        </w:tc>
        <w:tc>
          <w:tcPr>
            <w:tcW w:w="1086" w:type="dxa"/>
            <w:gridSpan w:val="2"/>
            <w:tcBorders>
              <w:top w:val="nil"/>
              <w:left w:val="nil"/>
              <w:bottom w:val="nil"/>
              <w:right w:val="nil"/>
            </w:tcBorders>
            <w:shd w:val="clear" w:color="auto" w:fill="auto"/>
            <w:noWrap/>
            <w:vAlign w:val="bottom"/>
            <w:hideMark/>
          </w:tcPr>
          <w:p w14:paraId="584FFEBA" w14:textId="77777777" w:rsidR="00FF03D1" w:rsidRPr="00C8735D" w:rsidRDefault="00FF03D1" w:rsidP="00A05F5B">
            <w:pPr>
              <w:spacing w:line="240" w:lineRule="auto"/>
              <w:jc w:val="center"/>
              <w:rPr>
                <w:rFonts w:cs="Times New Roman"/>
                <w:color w:val="000000"/>
              </w:rPr>
            </w:pPr>
            <w:r w:rsidRPr="00C8735D">
              <w:rPr>
                <w:rFonts w:cs="Times New Roman"/>
                <w:i/>
                <w:iCs/>
                <w:color w:val="000000"/>
              </w:rPr>
              <w:t>P</w:t>
            </w:r>
            <w:r w:rsidRPr="00C8735D">
              <w:rPr>
                <w:rFonts w:cs="Times New Roman"/>
                <w:color w:val="000000"/>
              </w:rPr>
              <w:t>-Value</w:t>
            </w:r>
          </w:p>
        </w:tc>
      </w:tr>
      <w:tr w:rsidR="00FF03D1" w:rsidRPr="00C8735D" w14:paraId="62FF11BF" w14:textId="77777777" w:rsidTr="00A70E8C">
        <w:trPr>
          <w:gridAfter w:val="1"/>
          <w:wAfter w:w="380" w:type="dxa"/>
          <w:trHeight w:val="375"/>
        </w:trPr>
        <w:tc>
          <w:tcPr>
            <w:tcW w:w="1475" w:type="dxa"/>
            <w:tcBorders>
              <w:top w:val="nil"/>
              <w:left w:val="nil"/>
              <w:bottom w:val="nil"/>
              <w:right w:val="nil"/>
            </w:tcBorders>
            <w:shd w:val="clear" w:color="auto" w:fill="auto"/>
            <w:noWrap/>
            <w:vAlign w:val="bottom"/>
            <w:hideMark/>
          </w:tcPr>
          <w:p w14:paraId="6CD1A3E2" w14:textId="77777777" w:rsidR="00FF03D1" w:rsidRPr="00C8735D" w:rsidRDefault="00FF03D1" w:rsidP="00A05F5B">
            <w:pPr>
              <w:spacing w:line="240" w:lineRule="auto"/>
              <w:jc w:val="center"/>
              <w:rPr>
                <w:rFonts w:cs="Times New Roman"/>
                <w:color w:val="000000"/>
              </w:rPr>
            </w:pPr>
            <w:r w:rsidRPr="00C8735D">
              <w:rPr>
                <w:rFonts w:cs="Times New Roman"/>
                <w:color w:val="000000"/>
              </w:rPr>
              <w:t>(kg N ha</w:t>
            </w:r>
            <w:r w:rsidRPr="00C8735D">
              <w:rPr>
                <w:rFonts w:cs="Times New Roman"/>
                <w:color w:val="000000"/>
                <w:vertAlign w:val="superscript"/>
              </w:rPr>
              <w:t>-1</w:t>
            </w:r>
            <w:r w:rsidRPr="00C8735D">
              <w:rPr>
                <w:rFonts w:cs="Times New Roman"/>
                <w:color w:val="000000"/>
              </w:rPr>
              <w:t>)</w:t>
            </w:r>
          </w:p>
        </w:tc>
        <w:tc>
          <w:tcPr>
            <w:tcW w:w="5635" w:type="dxa"/>
            <w:gridSpan w:val="4"/>
            <w:tcBorders>
              <w:top w:val="nil"/>
              <w:left w:val="nil"/>
              <w:bottom w:val="nil"/>
              <w:right w:val="nil"/>
            </w:tcBorders>
            <w:shd w:val="clear" w:color="auto" w:fill="auto"/>
            <w:noWrap/>
            <w:vAlign w:val="bottom"/>
            <w:hideMark/>
          </w:tcPr>
          <w:p w14:paraId="4188F862" w14:textId="77777777" w:rsidR="00FF03D1" w:rsidRPr="00C8735D" w:rsidRDefault="00FF03D1" w:rsidP="00A05F5B">
            <w:pPr>
              <w:spacing w:line="240" w:lineRule="auto"/>
              <w:jc w:val="center"/>
              <w:rPr>
                <w:rFonts w:cs="Times New Roman"/>
                <w:color w:val="000000"/>
              </w:rPr>
            </w:pPr>
            <w:r w:rsidRPr="00C8735D">
              <w:rPr>
                <w:rFonts w:cs="Times New Roman"/>
                <w:color w:val="000000"/>
              </w:rPr>
              <w:t>-------------- IVTDMD48 (g kg</w:t>
            </w:r>
            <w:r w:rsidRPr="00C8735D">
              <w:rPr>
                <w:rFonts w:cs="Times New Roman"/>
                <w:color w:val="000000"/>
                <w:vertAlign w:val="superscript"/>
              </w:rPr>
              <w:t>-1</w:t>
            </w:r>
            <w:r w:rsidRPr="00C8735D">
              <w:rPr>
                <w:rFonts w:cs="Times New Roman"/>
                <w:color w:val="000000"/>
              </w:rPr>
              <w:t>) ----------------</w:t>
            </w:r>
          </w:p>
        </w:tc>
        <w:tc>
          <w:tcPr>
            <w:tcW w:w="1086" w:type="dxa"/>
            <w:gridSpan w:val="2"/>
            <w:tcBorders>
              <w:top w:val="nil"/>
              <w:left w:val="nil"/>
              <w:bottom w:val="nil"/>
              <w:right w:val="nil"/>
            </w:tcBorders>
            <w:shd w:val="clear" w:color="auto" w:fill="auto"/>
            <w:noWrap/>
            <w:vAlign w:val="bottom"/>
            <w:hideMark/>
          </w:tcPr>
          <w:p w14:paraId="243A1331" w14:textId="77777777" w:rsidR="00FF03D1" w:rsidRPr="00C8735D" w:rsidRDefault="00FF03D1" w:rsidP="00A05F5B">
            <w:pPr>
              <w:spacing w:line="240" w:lineRule="auto"/>
              <w:rPr>
                <w:rFonts w:cs="Times New Roman"/>
                <w:sz w:val="20"/>
                <w:szCs w:val="20"/>
              </w:rPr>
            </w:pPr>
          </w:p>
        </w:tc>
      </w:tr>
      <w:tr w:rsidR="00FF03D1" w:rsidRPr="00C8735D" w14:paraId="4F91BAF6" w14:textId="77777777" w:rsidTr="00A70E8C">
        <w:trPr>
          <w:gridAfter w:val="1"/>
          <w:wAfter w:w="380" w:type="dxa"/>
          <w:trHeight w:val="315"/>
        </w:trPr>
        <w:tc>
          <w:tcPr>
            <w:tcW w:w="1475" w:type="dxa"/>
            <w:tcBorders>
              <w:top w:val="single" w:sz="4" w:space="0" w:color="auto"/>
              <w:left w:val="nil"/>
              <w:bottom w:val="nil"/>
              <w:right w:val="nil"/>
            </w:tcBorders>
            <w:shd w:val="clear" w:color="auto" w:fill="auto"/>
            <w:noWrap/>
            <w:vAlign w:val="bottom"/>
            <w:hideMark/>
          </w:tcPr>
          <w:p w14:paraId="6E58A925" w14:textId="57367374" w:rsidR="00FF03D1" w:rsidRPr="00C8735D" w:rsidRDefault="00FF03D1" w:rsidP="00A05F5B">
            <w:pPr>
              <w:spacing w:line="240" w:lineRule="auto"/>
              <w:jc w:val="center"/>
              <w:rPr>
                <w:rFonts w:cs="Times New Roman"/>
                <w:color w:val="000000"/>
              </w:rPr>
            </w:pPr>
            <w:r>
              <w:rPr>
                <w:rFonts w:cs="Times New Roman"/>
                <w:color w:val="000000"/>
              </w:rPr>
              <w:t>NN</w:t>
            </w:r>
          </w:p>
        </w:tc>
        <w:tc>
          <w:tcPr>
            <w:tcW w:w="1315" w:type="dxa"/>
            <w:tcBorders>
              <w:top w:val="single" w:sz="4" w:space="0" w:color="auto"/>
              <w:left w:val="nil"/>
              <w:bottom w:val="nil"/>
              <w:right w:val="nil"/>
            </w:tcBorders>
            <w:shd w:val="clear" w:color="auto" w:fill="auto"/>
            <w:noWrap/>
            <w:vAlign w:val="bottom"/>
            <w:hideMark/>
          </w:tcPr>
          <w:p w14:paraId="5A5DEBB2" w14:textId="77777777" w:rsidR="00FF03D1" w:rsidRPr="00C8735D" w:rsidRDefault="00FF03D1" w:rsidP="00A05F5B">
            <w:pPr>
              <w:spacing w:line="240" w:lineRule="auto"/>
              <w:jc w:val="center"/>
              <w:rPr>
                <w:rFonts w:cs="Times New Roman"/>
                <w:color w:val="000000"/>
              </w:rPr>
            </w:pPr>
            <w:r w:rsidRPr="00C8735D">
              <w:rPr>
                <w:rFonts w:cs="Times New Roman"/>
                <w:color w:val="000000"/>
              </w:rPr>
              <w:t>686.2</w:t>
            </w:r>
          </w:p>
        </w:tc>
        <w:tc>
          <w:tcPr>
            <w:tcW w:w="1800" w:type="dxa"/>
            <w:tcBorders>
              <w:top w:val="single" w:sz="4" w:space="0" w:color="auto"/>
              <w:left w:val="nil"/>
              <w:bottom w:val="nil"/>
              <w:right w:val="nil"/>
            </w:tcBorders>
            <w:shd w:val="clear" w:color="auto" w:fill="auto"/>
            <w:noWrap/>
            <w:vAlign w:val="bottom"/>
            <w:hideMark/>
          </w:tcPr>
          <w:p w14:paraId="60280439" w14:textId="77777777" w:rsidR="00FF03D1" w:rsidRPr="00C8735D" w:rsidRDefault="00FF03D1" w:rsidP="00A05F5B">
            <w:pPr>
              <w:spacing w:line="240" w:lineRule="auto"/>
              <w:jc w:val="center"/>
              <w:rPr>
                <w:rFonts w:cs="Times New Roman"/>
                <w:color w:val="000000"/>
              </w:rPr>
            </w:pPr>
            <w:r w:rsidRPr="00C8735D">
              <w:rPr>
                <w:rFonts w:cs="Times New Roman"/>
                <w:color w:val="000000"/>
              </w:rPr>
              <w:t>688.2</w:t>
            </w:r>
          </w:p>
        </w:tc>
        <w:tc>
          <w:tcPr>
            <w:tcW w:w="1260" w:type="dxa"/>
            <w:tcBorders>
              <w:top w:val="single" w:sz="4" w:space="0" w:color="auto"/>
              <w:left w:val="nil"/>
              <w:bottom w:val="nil"/>
              <w:right w:val="nil"/>
            </w:tcBorders>
            <w:shd w:val="clear" w:color="auto" w:fill="auto"/>
            <w:noWrap/>
            <w:vAlign w:val="bottom"/>
            <w:hideMark/>
          </w:tcPr>
          <w:p w14:paraId="7A36E282" w14:textId="77777777" w:rsidR="00FF03D1" w:rsidRPr="00C8735D" w:rsidRDefault="00FF03D1" w:rsidP="00A05F5B">
            <w:pPr>
              <w:spacing w:line="240" w:lineRule="auto"/>
              <w:jc w:val="center"/>
              <w:rPr>
                <w:rFonts w:cs="Times New Roman"/>
                <w:color w:val="000000"/>
              </w:rPr>
            </w:pPr>
            <w:r w:rsidRPr="00C8735D">
              <w:rPr>
                <w:rFonts w:cs="Times New Roman"/>
                <w:color w:val="000000"/>
              </w:rPr>
              <w:t>680.1</w:t>
            </w:r>
          </w:p>
        </w:tc>
        <w:tc>
          <w:tcPr>
            <w:tcW w:w="1260" w:type="dxa"/>
            <w:tcBorders>
              <w:top w:val="single" w:sz="4" w:space="0" w:color="auto"/>
              <w:left w:val="nil"/>
              <w:bottom w:val="nil"/>
              <w:right w:val="nil"/>
            </w:tcBorders>
            <w:shd w:val="clear" w:color="auto" w:fill="auto"/>
            <w:noWrap/>
            <w:vAlign w:val="bottom"/>
            <w:hideMark/>
          </w:tcPr>
          <w:p w14:paraId="269C9355" w14:textId="77777777" w:rsidR="00FF03D1" w:rsidRPr="00C8735D" w:rsidRDefault="00FF03D1" w:rsidP="00A05F5B">
            <w:pPr>
              <w:spacing w:line="240" w:lineRule="auto"/>
              <w:jc w:val="center"/>
              <w:rPr>
                <w:rFonts w:cs="Times New Roman"/>
                <w:color w:val="000000"/>
              </w:rPr>
            </w:pPr>
            <w:r w:rsidRPr="00C8735D">
              <w:rPr>
                <w:rFonts w:cs="Times New Roman"/>
                <w:color w:val="000000"/>
              </w:rPr>
              <w:t>688.7</w:t>
            </w:r>
          </w:p>
        </w:tc>
        <w:tc>
          <w:tcPr>
            <w:tcW w:w="1086" w:type="dxa"/>
            <w:gridSpan w:val="2"/>
            <w:tcBorders>
              <w:top w:val="single" w:sz="4" w:space="0" w:color="auto"/>
              <w:left w:val="nil"/>
              <w:bottom w:val="nil"/>
              <w:right w:val="nil"/>
            </w:tcBorders>
            <w:shd w:val="clear" w:color="auto" w:fill="auto"/>
            <w:noWrap/>
            <w:vAlign w:val="bottom"/>
            <w:hideMark/>
          </w:tcPr>
          <w:p w14:paraId="5479612C" w14:textId="77777777" w:rsidR="00FF03D1" w:rsidRPr="00C8735D" w:rsidRDefault="00FF03D1" w:rsidP="00A05F5B">
            <w:pPr>
              <w:spacing w:line="240" w:lineRule="auto"/>
              <w:jc w:val="center"/>
              <w:rPr>
                <w:rFonts w:cs="Times New Roman"/>
                <w:i/>
                <w:iCs/>
                <w:color w:val="000000"/>
              </w:rPr>
            </w:pPr>
            <w:r w:rsidRPr="00C8735D">
              <w:rPr>
                <w:rFonts w:cs="Times New Roman"/>
                <w:i/>
                <w:iCs/>
                <w:color w:val="000000"/>
              </w:rPr>
              <w:t>&gt;0.05</w:t>
            </w:r>
          </w:p>
        </w:tc>
      </w:tr>
      <w:tr w:rsidR="00FF03D1" w:rsidRPr="00C8735D" w14:paraId="23502A60" w14:textId="77777777" w:rsidTr="00A70E8C">
        <w:trPr>
          <w:gridAfter w:val="1"/>
          <w:wAfter w:w="380" w:type="dxa"/>
          <w:trHeight w:val="315"/>
        </w:trPr>
        <w:tc>
          <w:tcPr>
            <w:tcW w:w="1475" w:type="dxa"/>
            <w:tcBorders>
              <w:top w:val="nil"/>
              <w:left w:val="nil"/>
              <w:bottom w:val="nil"/>
              <w:right w:val="nil"/>
            </w:tcBorders>
            <w:shd w:val="clear" w:color="auto" w:fill="auto"/>
            <w:noWrap/>
            <w:vAlign w:val="bottom"/>
            <w:hideMark/>
          </w:tcPr>
          <w:p w14:paraId="24BE5160" w14:textId="34581C99" w:rsidR="00FF03D1" w:rsidRPr="00C8735D" w:rsidRDefault="00FF03D1" w:rsidP="00A05F5B">
            <w:pPr>
              <w:spacing w:line="240" w:lineRule="auto"/>
              <w:jc w:val="center"/>
              <w:rPr>
                <w:rFonts w:cs="Times New Roman"/>
                <w:color w:val="000000"/>
              </w:rPr>
            </w:pPr>
            <w:r w:rsidRPr="00C8735D">
              <w:rPr>
                <w:rFonts w:cs="Times New Roman"/>
                <w:color w:val="000000"/>
              </w:rPr>
              <w:t>U</w:t>
            </w:r>
            <w:r>
              <w:rPr>
                <w:rFonts w:cs="Times New Roman"/>
                <w:color w:val="000000"/>
              </w:rPr>
              <w:t>-33</w:t>
            </w:r>
          </w:p>
        </w:tc>
        <w:tc>
          <w:tcPr>
            <w:tcW w:w="1315" w:type="dxa"/>
            <w:tcBorders>
              <w:top w:val="nil"/>
              <w:left w:val="nil"/>
              <w:bottom w:val="nil"/>
              <w:right w:val="nil"/>
            </w:tcBorders>
            <w:shd w:val="clear" w:color="auto" w:fill="auto"/>
            <w:noWrap/>
            <w:vAlign w:val="bottom"/>
            <w:hideMark/>
          </w:tcPr>
          <w:p w14:paraId="344499D5" w14:textId="77777777" w:rsidR="00FF03D1" w:rsidRPr="00C8735D" w:rsidRDefault="00FF03D1" w:rsidP="00A05F5B">
            <w:pPr>
              <w:spacing w:line="240" w:lineRule="auto"/>
              <w:jc w:val="center"/>
              <w:rPr>
                <w:rFonts w:cs="Times New Roman"/>
                <w:color w:val="000000"/>
              </w:rPr>
            </w:pPr>
            <w:r w:rsidRPr="00C8735D">
              <w:rPr>
                <w:rFonts w:cs="Times New Roman"/>
                <w:color w:val="000000"/>
              </w:rPr>
              <w:t>693.3</w:t>
            </w:r>
          </w:p>
        </w:tc>
        <w:tc>
          <w:tcPr>
            <w:tcW w:w="1800" w:type="dxa"/>
            <w:tcBorders>
              <w:top w:val="nil"/>
              <w:left w:val="nil"/>
              <w:bottom w:val="nil"/>
              <w:right w:val="nil"/>
            </w:tcBorders>
            <w:shd w:val="clear" w:color="auto" w:fill="auto"/>
            <w:noWrap/>
            <w:vAlign w:val="bottom"/>
            <w:hideMark/>
          </w:tcPr>
          <w:p w14:paraId="46CE3E92" w14:textId="77777777" w:rsidR="00FF03D1" w:rsidRPr="00C8735D" w:rsidRDefault="00FF03D1" w:rsidP="00A05F5B">
            <w:pPr>
              <w:spacing w:line="240" w:lineRule="auto"/>
              <w:jc w:val="center"/>
              <w:rPr>
                <w:rFonts w:cs="Times New Roman"/>
                <w:color w:val="000000"/>
              </w:rPr>
            </w:pPr>
            <w:r w:rsidRPr="00C8735D">
              <w:rPr>
                <w:rFonts w:cs="Times New Roman"/>
                <w:color w:val="000000"/>
              </w:rPr>
              <w:t>682.1</w:t>
            </w:r>
          </w:p>
        </w:tc>
        <w:tc>
          <w:tcPr>
            <w:tcW w:w="1260" w:type="dxa"/>
            <w:tcBorders>
              <w:top w:val="nil"/>
              <w:left w:val="nil"/>
              <w:bottom w:val="nil"/>
              <w:right w:val="nil"/>
            </w:tcBorders>
            <w:shd w:val="clear" w:color="auto" w:fill="auto"/>
            <w:noWrap/>
            <w:vAlign w:val="bottom"/>
            <w:hideMark/>
          </w:tcPr>
          <w:p w14:paraId="714337BC" w14:textId="77777777" w:rsidR="00FF03D1" w:rsidRPr="00C8735D" w:rsidRDefault="00FF03D1" w:rsidP="00A05F5B">
            <w:pPr>
              <w:spacing w:line="240" w:lineRule="auto"/>
              <w:jc w:val="center"/>
              <w:rPr>
                <w:rFonts w:cs="Times New Roman"/>
                <w:color w:val="000000"/>
              </w:rPr>
            </w:pPr>
            <w:r w:rsidRPr="00C8735D">
              <w:rPr>
                <w:rFonts w:cs="Times New Roman"/>
                <w:color w:val="000000"/>
              </w:rPr>
              <w:t>686.8</w:t>
            </w:r>
          </w:p>
        </w:tc>
        <w:tc>
          <w:tcPr>
            <w:tcW w:w="1260" w:type="dxa"/>
            <w:tcBorders>
              <w:top w:val="nil"/>
              <w:left w:val="nil"/>
              <w:bottom w:val="nil"/>
              <w:right w:val="nil"/>
            </w:tcBorders>
            <w:shd w:val="clear" w:color="auto" w:fill="auto"/>
            <w:noWrap/>
            <w:vAlign w:val="bottom"/>
            <w:hideMark/>
          </w:tcPr>
          <w:p w14:paraId="3ABE1930" w14:textId="77777777" w:rsidR="00FF03D1" w:rsidRPr="00C8735D" w:rsidRDefault="00FF03D1" w:rsidP="00A05F5B">
            <w:pPr>
              <w:spacing w:line="240" w:lineRule="auto"/>
              <w:jc w:val="center"/>
              <w:rPr>
                <w:rFonts w:cs="Times New Roman"/>
                <w:color w:val="000000"/>
              </w:rPr>
            </w:pPr>
            <w:r w:rsidRPr="00C8735D">
              <w:rPr>
                <w:rFonts w:cs="Times New Roman"/>
                <w:color w:val="000000"/>
              </w:rPr>
              <w:t>690.0</w:t>
            </w:r>
          </w:p>
        </w:tc>
        <w:tc>
          <w:tcPr>
            <w:tcW w:w="1086" w:type="dxa"/>
            <w:gridSpan w:val="2"/>
            <w:tcBorders>
              <w:top w:val="nil"/>
              <w:left w:val="nil"/>
              <w:bottom w:val="nil"/>
              <w:right w:val="nil"/>
            </w:tcBorders>
            <w:shd w:val="clear" w:color="auto" w:fill="auto"/>
            <w:noWrap/>
            <w:vAlign w:val="bottom"/>
            <w:hideMark/>
          </w:tcPr>
          <w:p w14:paraId="0A420F43" w14:textId="77777777" w:rsidR="00FF03D1" w:rsidRPr="00C8735D" w:rsidRDefault="00FF03D1" w:rsidP="00A05F5B">
            <w:pPr>
              <w:spacing w:line="240" w:lineRule="auto"/>
              <w:jc w:val="center"/>
              <w:rPr>
                <w:rFonts w:cs="Times New Roman"/>
                <w:i/>
                <w:iCs/>
                <w:color w:val="000000"/>
              </w:rPr>
            </w:pPr>
            <w:r w:rsidRPr="00C8735D">
              <w:rPr>
                <w:rFonts w:cs="Times New Roman"/>
                <w:i/>
                <w:iCs/>
                <w:color w:val="000000"/>
              </w:rPr>
              <w:t>&gt;0.05</w:t>
            </w:r>
          </w:p>
        </w:tc>
      </w:tr>
      <w:tr w:rsidR="00FF03D1" w:rsidRPr="00C8735D" w14:paraId="651D9D40" w14:textId="77777777" w:rsidTr="00A70E8C">
        <w:trPr>
          <w:gridAfter w:val="1"/>
          <w:wAfter w:w="380" w:type="dxa"/>
          <w:trHeight w:val="315"/>
        </w:trPr>
        <w:tc>
          <w:tcPr>
            <w:tcW w:w="1475" w:type="dxa"/>
            <w:tcBorders>
              <w:top w:val="nil"/>
              <w:left w:val="nil"/>
              <w:bottom w:val="nil"/>
              <w:right w:val="nil"/>
            </w:tcBorders>
            <w:shd w:val="clear" w:color="auto" w:fill="auto"/>
            <w:noWrap/>
            <w:vAlign w:val="bottom"/>
            <w:hideMark/>
          </w:tcPr>
          <w:p w14:paraId="55765EB8" w14:textId="26B302ED" w:rsidR="00FF03D1" w:rsidRPr="00C8735D" w:rsidRDefault="00FF03D1" w:rsidP="00A05F5B">
            <w:pPr>
              <w:spacing w:line="240" w:lineRule="auto"/>
              <w:jc w:val="center"/>
              <w:rPr>
                <w:rFonts w:cs="Times New Roman"/>
                <w:color w:val="000000"/>
              </w:rPr>
            </w:pPr>
            <w:r w:rsidRPr="00C8735D">
              <w:rPr>
                <w:rFonts w:cs="Times New Roman"/>
                <w:color w:val="000000"/>
              </w:rPr>
              <w:t>A</w:t>
            </w:r>
            <w:r>
              <w:rPr>
                <w:rFonts w:cs="Times New Roman"/>
                <w:color w:val="000000"/>
              </w:rPr>
              <w:t>-33</w:t>
            </w:r>
          </w:p>
        </w:tc>
        <w:tc>
          <w:tcPr>
            <w:tcW w:w="1315" w:type="dxa"/>
            <w:tcBorders>
              <w:top w:val="nil"/>
              <w:left w:val="nil"/>
              <w:bottom w:val="nil"/>
              <w:right w:val="nil"/>
            </w:tcBorders>
            <w:shd w:val="clear" w:color="auto" w:fill="auto"/>
            <w:noWrap/>
            <w:vAlign w:val="bottom"/>
            <w:hideMark/>
          </w:tcPr>
          <w:p w14:paraId="391C9B60" w14:textId="77777777" w:rsidR="00FF03D1" w:rsidRPr="00C8735D" w:rsidRDefault="00FF03D1" w:rsidP="00A05F5B">
            <w:pPr>
              <w:spacing w:line="240" w:lineRule="auto"/>
              <w:jc w:val="center"/>
              <w:rPr>
                <w:rFonts w:cs="Times New Roman"/>
                <w:color w:val="000000"/>
              </w:rPr>
            </w:pPr>
            <w:r w:rsidRPr="00C8735D">
              <w:rPr>
                <w:rFonts w:cs="Times New Roman"/>
                <w:color w:val="000000"/>
              </w:rPr>
              <w:t>697.6</w:t>
            </w:r>
          </w:p>
        </w:tc>
        <w:tc>
          <w:tcPr>
            <w:tcW w:w="1800" w:type="dxa"/>
            <w:tcBorders>
              <w:top w:val="nil"/>
              <w:left w:val="nil"/>
              <w:bottom w:val="nil"/>
              <w:right w:val="nil"/>
            </w:tcBorders>
            <w:shd w:val="clear" w:color="auto" w:fill="auto"/>
            <w:noWrap/>
            <w:vAlign w:val="bottom"/>
            <w:hideMark/>
          </w:tcPr>
          <w:p w14:paraId="1981863F" w14:textId="77777777" w:rsidR="00FF03D1" w:rsidRPr="00C8735D" w:rsidRDefault="00FF03D1" w:rsidP="00A05F5B">
            <w:pPr>
              <w:spacing w:line="240" w:lineRule="auto"/>
              <w:jc w:val="center"/>
              <w:rPr>
                <w:rFonts w:cs="Times New Roman"/>
                <w:color w:val="000000"/>
              </w:rPr>
            </w:pPr>
            <w:r w:rsidRPr="00C8735D">
              <w:rPr>
                <w:rFonts w:cs="Times New Roman"/>
                <w:color w:val="000000"/>
              </w:rPr>
              <w:t>696.8</w:t>
            </w:r>
          </w:p>
        </w:tc>
        <w:tc>
          <w:tcPr>
            <w:tcW w:w="1260" w:type="dxa"/>
            <w:tcBorders>
              <w:top w:val="nil"/>
              <w:left w:val="nil"/>
              <w:bottom w:val="nil"/>
              <w:right w:val="nil"/>
            </w:tcBorders>
            <w:shd w:val="clear" w:color="auto" w:fill="auto"/>
            <w:noWrap/>
            <w:vAlign w:val="bottom"/>
            <w:hideMark/>
          </w:tcPr>
          <w:p w14:paraId="1907E699" w14:textId="77777777" w:rsidR="00FF03D1" w:rsidRPr="00C8735D" w:rsidRDefault="00FF03D1" w:rsidP="00A05F5B">
            <w:pPr>
              <w:spacing w:line="240" w:lineRule="auto"/>
              <w:jc w:val="center"/>
              <w:rPr>
                <w:rFonts w:cs="Times New Roman"/>
                <w:color w:val="000000"/>
              </w:rPr>
            </w:pPr>
            <w:r w:rsidRPr="00C8735D">
              <w:rPr>
                <w:rFonts w:cs="Times New Roman"/>
                <w:color w:val="000000"/>
              </w:rPr>
              <w:t>676.6</w:t>
            </w:r>
          </w:p>
        </w:tc>
        <w:tc>
          <w:tcPr>
            <w:tcW w:w="1260" w:type="dxa"/>
            <w:tcBorders>
              <w:top w:val="nil"/>
              <w:left w:val="nil"/>
              <w:bottom w:val="nil"/>
              <w:right w:val="nil"/>
            </w:tcBorders>
            <w:shd w:val="clear" w:color="auto" w:fill="auto"/>
            <w:noWrap/>
            <w:vAlign w:val="bottom"/>
            <w:hideMark/>
          </w:tcPr>
          <w:p w14:paraId="5F26288A" w14:textId="77777777" w:rsidR="00FF03D1" w:rsidRPr="00C8735D" w:rsidRDefault="00FF03D1" w:rsidP="00A05F5B">
            <w:pPr>
              <w:spacing w:line="240" w:lineRule="auto"/>
              <w:jc w:val="center"/>
              <w:rPr>
                <w:rFonts w:cs="Times New Roman"/>
                <w:color w:val="000000"/>
              </w:rPr>
            </w:pPr>
            <w:r w:rsidRPr="00C8735D">
              <w:rPr>
                <w:rFonts w:cs="Times New Roman"/>
                <w:color w:val="000000"/>
              </w:rPr>
              <w:t>694.8</w:t>
            </w:r>
          </w:p>
        </w:tc>
        <w:tc>
          <w:tcPr>
            <w:tcW w:w="1086" w:type="dxa"/>
            <w:gridSpan w:val="2"/>
            <w:tcBorders>
              <w:top w:val="nil"/>
              <w:left w:val="nil"/>
              <w:bottom w:val="nil"/>
              <w:right w:val="nil"/>
            </w:tcBorders>
            <w:shd w:val="clear" w:color="auto" w:fill="auto"/>
            <w:noWrap/>
            <w:vAlign w:val="bottom"/>
            <w:hideMark/>
          </w:tcPr>
          <w:p w14:paraId="28D0962A" w14:textId="77777777" w:rsidR="00FF03D1" w:rsidRPr="00C8735D" w:rsidRDefault="00FF03D1" w:rsidP="00A05F5B">
            <w:pPr>
              <w:spacing w:line="240" w:lineRule="auto"/>
              <w:jc w:val="center"/>
              <w:rPr>
                <w:rFonts w:cs="Times New Roman"/>
                <w:i/>
                <w:iCs/>
                <w:color w:val="000000"/>
              </w:rPr>
            </w:pPr>
            <w:r w:rsidRPr="00C8735D">
              <w:rPr>
                <w:rFonts w:cs="Times New Roman"/>
                <w:i/>
                <w:iCs/>
                <w:color w:val="000000"/>
              </w:rPr>
              <w:t>&gt;0.05</w:t>
            </w:r>
          </w:p>
        </w:tc>
      </w:tr>
      <w:tr w:rsidR="00FF03D1" w:rsidRPr="00C8735D" w14:paraId="55AE6AEA" w14:textId="77777777" w:rsidTr="00A70E8C">
        <w:trPr>
          <w:gridAfter w:val="1"/>
          <w:wAfter w:w="380" w:type="dxa"/>
          <w:trHeight w:val="315"/>
        </w:trPr>
        <w:tc>
          <w:tcPr>
            <w:tcW w:w="1475" w:type="dxa"/>
            <w:tcBorders>
              <w:top w:val="nil"/>
              <w:left w:val="nil"/>
              <w:bottom w:val="nil"/>
              <w:right w:val="nil"/>
            </w:tcBorders>
            <w:shd w:val="clear" w:color="auto" w:fill="auto"/>
            <w:noWrap/>
            <w:vAlign w:val="bottom"/>
            <w:hideMark/>
          </w:tcPr>
          <w:p w14:paraId="3C2691D8" w14:textId="7C0998C9" w:rsidR="00FF03D1" w:rsidRPr="00C8735D" w:rsidRDefault="00FF03D1" w:rsidP="00A05F5B">
            <w:pPr>
              <w:spacing w:line="240" w:lineRule="auto"/>
              <w:jc w:val="center"/>
              <w:rPr>
                <w:rFonts w:cs="Times New Roman"/>
                <w:color w:val="000000"/>
              </w:rPr>
            </w:pPr>
            <w:r w:rsidRPr="00C8735D">
              <w:rPr>
                <w:rFonts w:cs="Times New Roman"/>
                <w:color w:val="000000"/>
              </w:rPr>
              <w:t>U</w:t>
            </w:r>
            <w:r>
              <w:rPr>
                <w:rFonts w:cs="Times New Roman"/>
                <w:color w:val="000000"/>
              </w:rPr>
              <w:t>-67</w:t>
            </w:r>
          </w:p>
        </w:tc>
        <w:tc>
          <w:tcPr>
            <w:tcW w:w="1315" w:type="dxa"/>
            <w:tcBorders>
              <w:top w:val="nil"/>
              <w:left w:val="nil"/>
              <w:bottom w:val="nil"/>
              <w:right w:val="nil"/>
            </w:tcBorders>
            <w:shd w:val="clear" w:color="auto" w:fill="auto"/>
            <w:noWrap/>
            <w:vAlign w:val="bottom"/>
            <w:hideMark/>
          </w:tcPr>
          <w:p w14:paraId="2EB5CD08" w14:textId="77777777" w:rsidR="00FF03D1" w:rsidRPr="00C8735D" w:rsidRDefault="00FF03D1" w:rsidP="00A05F5B">
            <w:pPr>
              <w:spacing w:line="240" w:lineRule="auto"/>
              <w:jc w:val="center"/>
              <w:rPr>
                <w:rFonts w:cs="Times New Roman"/>
                <w:color w:val="000000"/>
              </w:rPr>
            </w:pPr>
            <w:r w:rsidRPr="00C8735D">
              <w:rPr>
                <w:rFonts w:cs="Times New Roman"/>
                <w:color w:val="000000"/>
              </w:rPr>
              <w:t>695.2</w:t>
            </w:r>
          </w:p>
        </w:tc>
        <w:tc>
          <w:tcPr>
            <w:tcW w:w="1800" w:type="dxa"/>
            <w:tcBorders>
              <w:top w:val="nil"/>
              <w:left w:val="nil"/>
              <w:bottom w:val="nil"/>
              <w:right w:val="nil"/>
            </w:tcBorders>
            <w:shd w:val="clear" w:color="auto" w:fill="auto"/>
            <w:noWrap/>
            <w:vAlign w:val="bottom"/>
            <w:hideMark/>
          </w:tcPr>
          <w:p w14:paraId="0F878347" w14:textId="77777777" w:rsidR="00FF03D1" w:rsidRPr="00C8735D" w:rsidRDefault="00FF03D1" w:rsidP="00A05F5B">
            <w:pPr>
              <w:spacing w:line="240" w:lineRule="auto"/>
              <w:jc w:val="center"/>
              <w:rPr>
                <w:rFonts w:cs="Times New Roman"/>
                <w:color w:val="000000"/>
              </w:rPr>
            </w:pPr>
            <w:r w:rsidRPr="00C8735D">
              <w:rPr>
                <w:rFonts w:cs="Times New Roman"/>
                <w:color w:val="000000"/>
              </w:rPr>
              <w:t>682.6</w:t>
            </w:r>
          </w:p>
        </w:tc>
        <w:tc>
          <w:tcPr>
            <w:tcW w:w="1260" w:type="dxa"/>
            <w:tcBorders>
              <w:top w:val="nil"/>
              <w:left w:val="nil"/>
              <w:bottom w:val="nil"/>
              <w:right w:val="nil"/>
            </w:tcBorders>
            <w:shd w:val="clear" w:color="auto" w:fill="auto"/>
            <w:noWrap/>
            <w:vAlign w:val="bottom"/>
            <w:hideMark/>
          </w:tcPr>
          <w:p w14:paraId="5CC3E653" w14:textId="77777777" w:rsidR="00FF03D1" w:rsidRPr="00C8735D" w:rsidRDefault="00FF03D1" w:rsidP="00A05F5B">
            <w:pPr>
              <w:spacing w:line="240" w:lineRule="auto"/>
              <w:jc w:val="center"/>
              <w:rPr>
                <w:rFonts w:cs="Times New Roman"/>
                <w:color w:val="000000"/>
              </w:rPr>
            </w:pPr>
            <w:r w:rsidRPr="00C8735D">
              <w:rPr>
                <w:rFonts w:cs="Times New Roman"/>
                <w:color w:val="000000"/>
              </w:rPr>
              <w:t>683</w:t>
            </w:r>
            <w:r>
              <w:rPr>
                <w:rFonts w:cs="Times New Roman"/>
                <w:color w:val="000000"/>
              </w:rPr>
              <w:t>.0</w:t>
            </w:r>
          </w:p>
        </w:tc>
        <w:tc>
          <w:tcPr>
            <w:tcW w:w="1260" w:type="dxa"/>
            <w:tcBorders>
              <w:top w:val="nil"/>
              <w:left w:val="nil"/>
              <w:bottom w:val="nil"/>
              <w:right w:val="nil"/>
            </w:tcBorders>
            <w:shd w:val="clear" w:color="auto" w:fill="auto"/>
            <w:noWrap/>
            <w:vAlign w:val="bottom"/>
            <w:hideMark/>
          </w:tcPr>
          <w:p w14:paraId="6267EC72" w14:textId="77777777" w:rsidR="00FF03D1" w:rsidRPr="00C8735D" w:rsidRDefault="00FF03D1" w:rsidP="00A05F5B">
            <w:pPr>
              <w:spacing w:line="240" w:lineRule="auto"/>
              <w:jc w:val="center"/>
              <w:rPr>
                <w:rFonts w:cs="Times New Roman"/>
                <w:color w:val="000000"/>
              </w:rPr>
            </w:pPr>
            <w:r w:rsidRPr="00C8735D">
              <w:rPr>
                <w:rFonts w:cs="Times New Roman"/>
                <w:color w:val="000000"/>
              </w:rPr>
              <w:t>688.7</w:t>
            </w:r>
          </w:p>
        </w:tc>
        <w:tc>
          <w:tcPr>
            <w:tcW w:w="1086" w:type="dxa"/>
            <w:gridSpan w:val="2"/>
            <w:tcBorders>
              <w:top w:val="nil"/>
              <w:left w:val="nil"/>
              <w:bottom w:val="nil"/>
              <w:right w:val="nil"/>
            </w:tcBorders>
            <w:shd w:val="clear" w:color="auto" w:fill="auto"/>
            <w:noWrap/>
            <w:vAlign w:val="bottom"/>
            <w:hideMark/>
          </w:tcPr>
          <w:p w14:paraId="796C9574" w14:textId="77777777" w:rsidR="00FF03D1" w:rsidRPr="00C8735D" w:rsidRDefault="00FF03D1" w:rsidP="00A05F5B">
            <w:pPr>
              <w:spacing w:line="240" w:lineRule="auto"/>
              <w:jc w:val="center"/>
              <w:rPr>
                <w:rFonts w:cs="Times New Roman"/>
                <w:i/>
                <w:iCs/>
                <w:color w:val="000000"/>
              </w:rPr>
            </w:pPr>
            <w:r w:rsidRPr="00C8735D">
              <w:rPr>
                <w:rFonts w:cs="Times New Roman"/>
                <w:i/>
                <w:iCs/>
                <w:color w:val="000000"/>
              </w:rPr>
              <w:t>&gt;0.05</w:t>
            </w:r>
          </w:p>
        </w:tc>
      </w:tr>
      <w:tr w:rsidR="00FF03D1" w:rsidRPr="00C8735D" w14:paraId="2C914A02" w14:textId="77777777" w:rsidTr="00A70E8C">
        <w:trPr>
          <w:gridAfter w:val="1"/>
          <w:wAfter w:w="380" w:type="dxa"/>
          <w:trHeight w:val="315"/>
        </w:trPr>
        <w:tc>
          <w:tcPr>
            <w:tcW w:w="1475" w:type="dxa"/>
            <w:tcBorders>
              <w:top w:val="nil"/>
              <w:left w:val="nil"/>
              <w:bottom w:val="nil"/>
              <w:right w:val="nil"/>
            </w:tcBorders>
            <w:shd w:val="clear" w:color="auto" w:fill="auto"/>
            <w:noWrap/>
            <w:vAlign w:val="bottom"/>
            <w:hideMark/>
          </w:tcPr>
          <w:p w14:paraId="1F4882E1" w14:textId="7F5942C8" w:rsidR="00FF03D1" w:rsidRPr="00C8735D" w:rsidRDefault="00FF03D1" w:rsidP="00A05F5B">
            <w:pPr>
              <w:spacing w:line="240" w:lineRule="auto"/>
              <w:jc w:val="center"/>
              <w:rPr>
                <w:rFonts w:cs="Times New Roman"/>
                <w:color w:val="000000"/>
              </w:rPr>
            </w:pPr>
            <w:r w:rsidRPr="00C8735D">
              <w:rPr>
                <w:rFonts w:cs="Times New Roman"/>
                <w:color w:val="000000"/>
              </w:rPr>
              <w:t>A</w:t>
            </w:r>
            <w:r>
              <w:rPr>
                <w:rFonts w:cs="Times New Roman"/>
                <w:color w:val="000000"/>
              </w:rPr>
              <w:t>-67</w:t>
            </w:r>
          </w:p>
        </w:tc>
        <w:tc>
          <w:tcPr>
            <w:tcW w:w="1315" w:type="dxa"/>
            <w:tcBorders>
              <w:top w:val="nil"/>
              <w:left w:val="nil"/>
              <w:bottom w:val="nil"/>
              <w:right w:val="nil"/>
            </w:tcBorders>
            <w:shd w:val="clear" w:color="auto" w:fill="auto"/>
            <w:noWrap/>
            <w:vAlign w:val="bottom"/>
            <w:hideMark/>
          </w:tcPr>
          <w:p w14:paraId="3BD1AC7C" w14:textId="77777777" w:rsidR="00FF03D1" w:rsidRPr="00C8735D" w:rsidRDefault="00FF03D1" w:rsidP="00A05F5B">
            <w:pPr>
              <w:spacing w:line="240" w:lineRule="auto"/>
              <w:jc w:val="center"/>
              <w:rPr>
                <w:rFonts w:cs="Times New Roman"/>
                <w:color w:val="000000"/>
              </w:rPr>
            </w:pPr>
            <w:r w:rsidRPr="00C8735D">
              <w:rPr>
                <w:rFonts w:cs="Times New Roman"/>
                <w:color w:val="000000"/>
              </w:rPr>
              <w:t>694.7</w:t>
            </w:r>
          </w:p>
        </w:tc>
        <w:tc>
          <w:tcPr>
            <w:tcW w:w="1800" w:type="dxa"/>
            <w:tcBorders>
              <w:top w:val="nil"/>
              <w:left w:val="nil"/>
              <w:bottom w:val="nil"/>
              <w:right w:val="nil"/>
            </w:tcBorders>
            <w:shd w:val="clear" w:color="auto" w:fill="auto"/>
            <w:noWrap/>
            <w:vAlign w:val="bottom"/>
            <w:hideMark/>
          </w:tcPr>
          <w:p w14:paraId="75D2D41B" w14:textId="77777777" w:rsidR="00FF03D1" w:rsidRPr="00C8735D" w:rsidRDefault="00FF03D1" w:rsidP="00A05F5B">
            <w:pPr>
              <w:spacing w:line="240" w:lineRule="auto"/>
              <w:jc w:val="center"/>
              <w:rPr>
                <w:rFonts w:cs="Times New Roman"/>
                <w:color w:val="000000"/>
              </w:rPr>
            </w:pPr>
            <w:r w:rsidRPr="00C8735D">
              <w:rPr>
                <w:rFonts w:cs="Times New Roman"/>
                <w:color w:val="000000"/>
              </w:rPr>
              <w:t>683.4</w:t>
            </w:r>
          </w:p>
        </w:tc>
        <w:tc>
          <w:tcPr>
            <w:tcW w:w="1260" w:type="dxa"/>
            <w:tcBorders>
              <w:top w:val="nil"/>
              <w:left w:val="nil"/>
              <w:bottom w:val="nil"/>
              <w:right w:val="nil"/>
            </w:tcBorders>
            <w:shd w:val="clear" w:color="auto" w:fill="auto"/>
            <w:noWrap/>
            <w:vAlign w:val="bottom"/>
            <w:hideMark/>
          </w:tcPr>
          <w:p w14:paraId="341FFF74" w14:textId="77777777" w:rsidR="00FF03D1" w:rsidRPr="00C8735D" w:rsidRDefault="00FF03D1" w:rsidP="00A05F5B">
            <w:pPr>
              <w:spacing w:line="240" w:lineRule="auto"/>
              <w:jc w:val="center"/>
              <w:rPr>
                <w:rFonts w:cs="Times New Roman"/>
                <w:color w:val="000000"/>
              </w:rPr>
            </w:pPr>
            <w:r w:rsidRPr="00C8735D">
              <w:rPr>
                <w:rFonts w:cs="Times New Roman"/>
                <w:color w:val="000000"/>
              </w:rPr>
              <w:t>686</w:t>
            </w:r>
            <w:r>
              <w:rPr>
                <w:rFonts w:cs="Times New Roman"/>
                <w:color w:val="000000"/>
              </w:rPr>
              <w:t>.0</w:t>
            </w:r>
          </w:p>
        </w:tc>
        <w:tc>
          <w:tcPr>
            <w:tcW w:w="1260" w:type="dxa"/>
            <w:tcBorders>
              <w:top w:val="nil"/>
              <w:left w:val="nil"/>
              <w:bottom w:val="nil"/>
              <w:right w:val="nil"/>
            </w:tcBorders>
            <w:shd w:val="clear" w:color="auto" w:fill="auto"/>
            <w:noWrap/>
            <w:vAlign w:val="bottom"/>
            <w:hideMark/>
          </w:tcPr>
          <w:p w14:paraId="4A97D17E" w14:textId="77777777" w:rsidR="00FF03D1" w:rsidRPr="00C8735D" w:rsidRDefault="00FF03D1" w:rsidP="00A05F5B">
            <w:pPr>
              <w:spacing w:line="240" w:lineRule="auto"/>
              <w:jc w:val="center"/>
              <w:rPr>
                <w:rFonts w:cs="Times New Roman"/>
                <w:color w:val="000000"/>
              </w:rPr>
            </w:pPr>
            <w:r w:rsidRPr="00C8735D">
              <w:rPr>
                <w:rFonts w:cs="Times New Roman"/>
                <w:color w:val="000000"/>
              </w:rPr>
              <w:t>690.4</w:t>
            </w:r>
          </w:p>
        </w:tc>
        <w:tc>
          <w:tcPr>
            <w:tcW w:w="1086" w:type="dxa"/>
            <w:gridSpan w:val="2"/>
            <w:tcBorders>
              <w:top w:val="nil"/>
              <w:left w:val="nil"/>
              <w:bottom w:val="nil"/>
              <w:right w:val="nil"/>
            </w:tcBorders>
            <w:shd w:val="clear" w:color="auto" w:fill="auto"/>
            <w:noWrap/>
            <w:vAlign w:val="bottom"/>
            <w:hideMark/>
          </w:tcPr>
          <w:p w14:paraId="41747AA1" w14:textId="77777777" w:rsidR="00FF03D1" w:rsidRPr="00C8735D" w:rsidRDefault="00FF03D1" w:rsidP="00A05F5B">
            <w:pPr>
              <w:spacing w:line="240" w:lineRule="auto"/>
              <w:jc w:val="center"/>
              <w:rPr>
                <w:rFonts w:cs="Times New Roman"/>
                <w:i/>
                <w:iCs/>
                <w:color w:val="000000"/>
              </w:rPr>
            </w:pPr>
            <w:r w:rsidRPr="00C8735D">
              <w:rPr>
                <w:rFonts w:cs="Times New Roman"/>
                <w:i/>
                <w:iCs/>
                <w:color w:val="000000"/>
              </w:rPr>
              <w:t>&gt;0.05</w:t>
            </w:r>
          </w:p>
        </w:tc>
      </w:tr>
      <w:tr w:rsidR="008671E7" w:rsidRPr="00C8735D" w14:paraId="4C3E97EB" w14:textId="77777777" w:rsidTr="00A70E8C">
        <w:trPr>
          <w:trHeight w:val="315"/>
        </w:trPr>
        <w:tc>
          <w:tcPr>
            <w:tcW w:w="1475" w:type="dxa"/>
            <w:tcBorders>
              <w:top w:val="nil"/>
              <w:left w:val="nil"/>
              <w:bottom w:val="nil"/>
              <w:right w:val="nil"/>
            </w:tcBorders>
            <w:shd w:val="clear" w:color="auto" w:fill="auto"/>
            <w:noWrap/>
            <w:vAlign w:val="bottom"/>
            <w:hideMark/>
          </w:tcPr>
          <w:p w14:paraId="1960B6F5" w14:textId="77777777" w:rsidR="008671E7" w:rsidRPr="00C8735D" w:rsidRDefault="008671E7" w:rsidP="00A05F5B">
            <w:pPr>
              <w:spacing w:line="240" w:lineRule="auto"/>
              <w:jc w:val="center"/>
              <w:rPr>
                <w:rFonts w:cs="Times New Roman"/>
                <w:color w:val="000000"/>
              </w:rPr>
            </w:pPr>
            <w:r w:rsidRPr="00C8735D">
              <w:rPr>
                <w:rFonts w:cs="Times New Roman"/>
                <w:i/>
                <w:iCs/>
                <w:color w:val="000000"/>
              </w:rPr>
              <w:t>P</w:t>
            </w:r>
            <w:r w:rsidRPr="00C8735D">
              <w:rPr>
                <w:rFonts w:cs="Times New Roman"/>
                <w:color w:val="000000"/>
              </w:rPr>
              <w:t>-value</w:t>
            </w:r>
          </w:p>
        </w:tc>
        <w:tc>
          <w:tcPr>
            <w:tcW w:w="1315" w:type="dxa"/>
            <w:tcBorders>
              <w:top w:val="nil"/>
              <w:left w:val="nil"/>
              <w:bottom w:val="nil"/>
              <w:right w:val="nil"/>
            </w:tcBorders>
            <w:shd w:val="clear" w:color="auto" w:fill="auto"/>
            <w:noWrap/>
            <w:vAlign w:val="bottom"/>
            <w:hideMark/>
          </w:tcPr>
          <w:p w14:paraId="2E578E1A" w14:textId="77777777" w:rsidR="008671E7" w:rsidRPr="00C8735D" w:rsidRDefault="008671E7" w:rsidP="00A05F5B">
            <w:pPr>
              <w:spacing w:line="240" w:lineRule="auto"/>
              <w:jc w:val="center"/>
              <w:rPr>
                <w:rFonts w:cs="Times New Roman"/>
                <w:i/>
                <w:iCs/>
                <w:color w:val="000000"/>
              </w:rPr>
            </w:pPr>
            <w:r w:rsidRPr="00C8735D">
              <w:rPr>
                <w:rFonts w:cs="Times New Roman"/>
                <w:i/>
                <w:iCs/>
                <w:color w:val="000000"/>
              </w:rPr>
              <w:t>&gt;0.05</w:t>
            </w:r>
          </w:p>
        </w:tc>
        <w:tc>
          <w:tcPr>
            <w:tcW w:w="1800" w:type="dxa"/>
            <w:tcBorders>
              <w:top w:val="nil"/>
              <w:left w:val="nil"/>
              <w:bottom w:val="nil"/>
              <w:right w:val="nil"/>
            </w:tcBorders>
            <w:shd w:val="clear" w:color="auto" w:fill="auto"/>
            <w:noWrap/>
            <w:vAlign w:val="bottom"/>
            <w:hideMark/>
          </w:tcPr>
          <w:p w14:paraId="6FF33EA7" w14:textId="77777777" w:rsidR="008671E7" w:rsidRPr="00C8735D" w:rsidRDefault="008671E7" w:rsidP="00A05F5B">
            <w:pPr>
              <w:spacing w:line="240" w:lineRule="auto"/>
              <w:jc w:val="center"/>
              <w:rPr>
                <w:rFonts w:cs="Times New Roman"/>
                <w:i/>
                <w:iCs/>
                <w:color w:val="000000"/>
              </w:rPr>
            </w:pPr>
            <w:r w:rsidRPr="00C8735D">
              <w:rPr>
                <w:rFonts w:cs="Times New Roman"/>
                <w:i/>
                <w:iCs/>
                <w:color w:val="000000"/>
              </w:rPr>
              <w:t>&gt;0.05</w:t>
            </w:r>
          </w:p>
        </w:tc>
        <w:tc>
          <w:tcPr>
            <w:tcW w:w="1260" w:type="dxa"/>
            <w:tcBorders>
              <w:top w:val="nil"/>
              <w:left w:val="nil"/>
              <w:bottom w:val="nil"/>
              <w:right w:val="nil"/>
            </w:tcBorders>
            <w:shd w:val="clear" w:color="auto" w:fill="auto"/>
            <w:noWrap/>
            <w:vAlign w:val="bottom"/>
            <w:hideMark/>
          </w:tcPr>
          <w:p w14:paraId="61B78A3F" w14:textId="77777777" w:rsidR="008671E7" w:rsidRPr="00C8735D" w:rsidRDefault="008671E7" w:rsidP="00A05F5B">
            <w:pPr>
              <w:spacing w:line="240" w:lineRule="auto"/>
              <w:jc w:val="center"/>
              <w:rPr>
                <w:rFonts w:cs="Times New Roman"/>
                <w:i/>
                <w:iCs/>
                <w:color w:val="000000"/>
              </w:rPr>
            </w:pPr>
            <w:r w:rsidRPr="00C8735D">
              <w:rPr>
                <w:rFonts w:cs="Times New Roman"/>
                <w:i/>
                <w:iCs/>
                <w:color w:val="000000"/>
              </w:rPr>
              <w:t>&gt;0.05</w:t>
            </w:r>
          </w:p>
        </w:tc>
        <w:tc>
          <w:tcPr>
            <w:tcW w:w="1260" w:type="dxa"/>
            <w:tcBorders>
              <w:top w:val="nil"/>
              <w:left w:val="nil"/>
              <w:bottom w:val="nil"/>
              <w:right w:val="nil"/>
            </w:tcBorders>
            <w:shd w:val="clear" w:color="auto" w:fill="auto"/>
            <w:noWrap/>
            <w:vAlign w:val="bottom"/>
            <w:hideMark/>
          </w:tcPr>
          <w:p w14:paraId="593F7D35" w14:textId="77777777" w:rsidR="008671E7" w:rsidRPr="00C8735D" w:rsidRDefault="008671E7" w:rsidP="00A05F5B">
            <w:pPr>
              <w:spacing w:line="240" w:lineRule="auto"/>
              <w:jc w:val="center"/>
              <w:rPr>
                <w:rFonts w:cs="Times New Roman"/>
                <w:i/>
                <w:iCs/>
                <w:color w:val="000000"/>
              </w:rPr>
            </w:pPr>
            <w:r w:rsidRPr="00C8735D">
              <w:rPr>
                <w:rFonts w:cs="Times New Roman"/>
                <w:i/>
                <w:iCs/>
                <w:color w:val="000000"/>
              </w:rPr>
              <w:t>&gt;0.05</w:t>
            </w:r>
          </w:p>
        </w:tc>
        <w:tc>
          <w:tcPr>
            <w:tcW w:w="236" w:type="dxa"/>
            <w:tcBorders>
              <w:top w:val="nil"/>
              <w:left w:val="nil"/>
              <w:bottom w:val="nil"/>
              <w:right w:val="nil"/>
            </w:tcBorders>
            <w:shd w:val="clear" w:color="auto" w:fill="auto"/>
            <w:noWrap/>
            <w:vAlign w:val="bottom"/>
            <w:hideMark/>
          </w:tcPr>
          <w:p w14:paraId="73B350CA" w14:textId="77777777" w:rsidR="008671E7" w:rsidRPr="00C8735D" w:rsidRDefault="008671E7" w:rsidP="00A05F5B">
            <w:pPr>
              <w:spacing w:line="240" w:lineRule="auto"/>
              <w:jc w:val="center"/>
              <w:rPr>
                <w:rFonts w:cs="Times New Roman"/>
                <w:i/>
                <w:iCs/>
                <w:color w:val="000000"/>
              </w:rPr>
            </w:pPr>
          </w:p>
        </w:tc>
        <w:tc>
          <w:tcPr>
            <w:tcW w:w="1230" w:type="dxa"/>
            <w:gridSpan w:val="2"/>
            <w:tcBorders>
              <w:top w:val="nil"/>
              <w:left w:val="nil"/>
              <w:bottom w:val="nil"/>
              <w:right w:val="nil"/>
            </w:tcBorders>
            <w:shd w:val="clear" w:color="auto" w:fill="auto"/>
            <w:noWrap/>
            <w:vAlign w:val="bottom"/>
            <w:hideMark/>
          </w:tcPr>
          <w:p w14:paraId="412F3CDC" w14:textId="77777777" w:rsidR="008671E7" w:rsidRPr="00C8735D" w:rsidRDefault="008671E7" w:rsidP="00A05F5B">
            <w:pPr>
              <w:spacing w:line="240" w:lineRule="auto"/>
              <w:rPr>
                <w:rFonts w:cs="Times New Roman"/>
                <w:sz w:val="20"/>
                <w:szCs w:val="20"/>
              </w:rPr>
            </w:pPr>
          </w:p>
        </w:tc>
      </w:tr>
      <w:tr w:rsidR="008671E7" w:rsidRPr="00C8735D" w14:paraId="57801E82" w14:textId="77777777" w:rsidTr="00A70E8C">
        <w:trPr>
          <w:gridAfter w:val="1"/>
          <w:wAfter w:w="380" w:type="dxa"/>
          <w:trHeight w:val="315"/>
        </w:trPr>
        <w:tc>
          <w:tcPr>
            <w:tcW w:w="8196" w:type="dxa"/>
            <w:gridSpan w:val="7"/>
            <w:tcBorders>
              <w:top w:val="single" w:sz="4" w:space="0" w:color="auto"/>
              <w:left w:val="nil"/>
              <w:bottom w:val="nil"/>
              <w:right w:val="nil"/>
            </w:tcBorders>
            <w:shd w:val="clear" w:color="auto" w:fill="auto"/>
            <w:noWrap/>
            <w:vAlign w:val="center"/>
            <w:hideMark/>
          </w:tcPr>
          <w:p w14:paraId="1856DD9A" w14:textId="6EF6DB52" w:rsidR="008671E7" w:rsidRPr="00C8735D" w:rsidRDefault="008671E7" w:rsidP="00A05F5B">
            <w:pPr>
              <w:spacing w:line="240" w:lineRule="auto"/>
              <w:rPr>
                <w:rFonts w:cs="Times New Roman"/>
                <w:color w:val="000000"/>
              </w:rPr>
            </w:pPr>
            <w:r w:rsidRPr="00C8735D">
              <w:rPr>
                <w:rFonts w:cs="Times New Roman"/>
                <w:color w:val="000000"/>
              </w:rPr>
              <w:t xml:space="preserve">Means within a column differ each </w:t>
            </w:r>
            <w:r w:rsidR="00711096" w:rsidRPr="00711096">
              <w:t>inoculation</w:t>
            </w:r>
            <w:r w:rsidR="00711096">
              <w:rPr>
                <w:b/>
                <w:bCs/>
                <w:i/>
                <w:iCs/>
              </w:rPr>
              <w:t xml:space="preserve"> </w:t>
            </w:r>
            <w:r w:rsidRPr="00C8735D">
              <w:rPr>
                <w:rFonts w:cs="Times New Roman"/>
                <w:color w:val="000000"/>
              </w:rPr>
              <w:t xml:space="preserve">into </w:t>
            </w:r>
            <w:r w:rsidR="00654A25">
              <w:t xml:space="preserve">N strategies </w:t>
            </w:r>
            <w:r w:rsidRPr="00C8735D">
              <w:rPr>
                <w:rFonts w:cs="Times New Roman"/>
                <w:color w:val="000000"/>
              </w:rPr>
              <w:t>(</w:t>
            </w:r>
            <w:r w:rsidR="00A70E8C" w:rsidRPr="00A70E8C">
              <w:rPr>
                <w:rFonts w:cs="Times New Roman"/>
                <w:i/>
                <w:iCs/>
                <w:color w:val="000000"/>
              </w:rPr>
              <w:t>P</w:t>
            </w:r>
            <w:r w:rsidRPr="00C8735D">
              <w:rPr>
                <w:rFonts w:cs="Times New Roman"/>
                <w:color w:val="000000"/>
              </w:rPr>
              <w:t xml:space="preserve"> &lt; .05). </w:t>
            </w:r>
          </w:p>
        </w:tc>
      </w:tr>
      <w:tr w:rsidR="008671E7" w:rsidRPr="00C8735D" w14:paraId="6DCAF11D" w14:textId="77777777" w:rsidTr="00A70E8C">
        <w:trPr>
          <w:gridAfter w:val="1"/>
          <w:wAfter w:w="380" w:type="dxa"/>
          <w:trHeight w:val="315"/>
        </w:trPr>
        <w:tc>
          <w:tcPr>
            <w:tcW w:w="8196" w:type="dxa"/>
            <w:gridSpan w:val="7"/>
            <w:tcBorders>
              <w:top w:val="nil"/>
              <w:left w:val="nil"/>
              <w:bottom w:val="nil"/>
              <w:right w:val="nil"/>
            </w:tcBorders>
            <w:shd w:val="clear" w:color="auto" w:fill="auto"/>
            <w:noWrap/>
            <w:vAlign w:val="center"/>
            <w:hideMark/>
          </w:tcPr>
          <w:p w14:paraId="691F3897" w14:textId="04760502" w:rsidR="008671E7" w:rsidRPr="00C8735D" w:rsidRDefault="008671E7" w:rsidP="00A05F5B">
            <w:pPr>
              <w:spacing w:line="240" w:lineRule="auto"/>
              <w:rPr>
                <w:rFonts w:cs="Times New Roman"/>
                <w:color w:val="000000"/>
              </w:rPr>
            </w:pPr>
            <w:r w:rsidRPr="00C8735D">
              <w:rPr>
                <w:rFonts w:cs="Times New Roman"/>
                <w:color w:val="000000"/>
              </w:rPr>
              <w:t xml:space="preserve">Means without within a row differ each </w:t>
            </w:r>
            <w:r w:rsidR="00654A25">
              <w:t xml:space="preserve">N strategies </w:t>
            </w:r>
            <w:r w:rsidRPr="00C8735D">
              <w:rPr>
                <w:rFonts w:cs="Times New Roman"/>
                <w:color w:val="000000"/>
              </w:rPr>
              <w:t xml:space="preserve">into </w:t>
            </w:r>
            <w:r w:rsidR="00711096" w:rsidRPr="00711096">
              <w:t>inoculation</w:t>
            </w:r>
            <w:r w:rsidR="00711096">
              <w:rPr>
                <w:b/>
                <w:bCs/>
                <w:i/>
                <w:iCs/>
              </w:rPr>
              <w:t xml:space="preserve"> </w:t>
            </w:r>
            <w:r w:rsidRPr="00C8735D">
              <w:rPr>
                <w:rFonts w:cs="Times New Roman"/>
                <w:color w:val="000000"/>
              </w:rPr>
              <w:t>(</w:t>
            </w:r>
            <w:r w:rsidR="00A70E8C">
              <w:rPr>
                <w:rFonts w:cs="Times New Roman"/>
                <w:i/>
                <w:iCs/>
                <w:color w:val="000000"/>
              </w:rPr>
              <w:t>P</w:t>
            </w:r>
            <w:r w:rsidRPr="00C8735D">
              <w:rPr>
                <w:rFonts w:cs="Times New Roman"/>
                <w:color w:val="000000"/>
              </w:rPr>
              <w:t xml:space="preserve"> &lt; .05).</w:t>
            </w:r>
          </w:p>
        </w:tc>
      </w:tr>
      <w:tr w:rsidR="008671E7" w:rsidRPr="00C8735D" w14:paraId="581B543D" w14:textId="77777777" w:rsidTr="00A70E8C">
        <w:trPr>
          <w:gridAfter w:val="1"/>
          <w:wAfter w:w="380" w:type="dxa"/>
          <w:trHeight w:val="360"/>
        </w:trPr>
        <w:tc>
          <w:tcPr>
            <w:tcW w:w="8196" w:type="dxa"/>
            <w:gridSpan w:val="7"/>
            <w:tcBorders>
              <w:top w:val="nil"/>
              <w:left w:val="nil"/>
              <w:bottom w:val="nil"/>
              <w:right w:val="nil"/>
            </w:tcBorders>
            <w:shd w:val="clear" w:color="auto" w:fill="auto"/>
            <w:noWrap/>
            <w:vAlign w:val="center"/>
            <w:hideMark/>
          </w:tcPr>
          <w:p w14:paraId="1D90D3D5" w14:textId="678082AD" w:rsidR="008671E7" w:rsidRPr="00C8735D" w:rsidRDefault="008671E7" w:rsidP="00A05F5B">
            <w:pPr>
              <w:spacing w:line="240" w:lineRule="auto"/>
              <w:rPr>
                <w:rFonts w:ascii="Symbol" w:hAnsi="Symbol" w:cs="Times New Roman"/>
                <w:color w:val="000000"/>
              </w:rPr>
            </w:pPr>
            <w:r>
              <w:rPr>
                <w:rFonts w:cs="Times New Roman"/>
                <w:color w:val="000000"/>
              </w:rPr>
              <w:t xml:space="preserve">SEM = </w:t>
            </w:r>
            <w:r w:rsidR="00FF03D1">
              <w:rPr>
                <w:rFonts w:cs="Times New Roman"/>
                <w:color w:val="000000"/>
              </w:rPr>
              <w:t>5.6</w:t>
            </w:r>
            <w:r>
              <w:rPr>
                <w:rFonts w:cs="Times New Roman"/>
                <w:color w:val="000000"/>
              </w:rPr>
              <w:t>.</w:t>
            </w:r>
          </w:p>
        </w:tc>
      </w:tr>
      <w:tr w:rsidR="008671E7" w:rsidRPr="00C8735D" w14:paraId="40057FD5" w14:textId="77777777" w:rsidTr="00A70E8C">
        <w:trPr>
          <w:gridAfter w:val="1"/>
          <w:wAfter w:w="380" w:type="dxa"/>
          <w:trHeight w:val="630"/>
        </w:trPr>
        <w:tc>
          <w:tcPr>
            <w:tcW w:w="8196" w:type="dxa"/>
            <w:gridSpan w:val="7"/>
            <w:tcBorders>
              <w:top w:val="nil"/>
              <w:left w:val="nil"/>
              <w:bottom w:val="nil"/>
              <w:right w:val="nil"/>
            </w:tcBorders>
            <w:shd w:val="clear" w:color="auto" w:fill="auto"/>
            <w:vAlign w:val="center"/>
            <w:hideMark/>
          </w:tcPr>
          <w:p w14:paraId="2B7B9B67" w14:textId="77777777" w:rsidR="008671E7" w:rsidRPr="00C8735D" w:rsidRDefault="008671E7" w:rsidP="00A05F5B">
            <w:pPr>
              <w:spacing w:line="240" w:lineRule="auto"/>
              <w:rPr>
                <w:rFonts w:cs="Times New Roman"/>
                <w:i/>
                <w:iCs/>
                <w:color w:val="000000"/>
              </w:rPr>
            </w:pPr>
            <w:r w:rsidRPr="00C8735D">
              <w:rPr>
                <w:rFonts w:cs="Times New Roman"/>
                <w:i/>
                <w:iCs/>
                <w:color w:val="000000"/>
              </w:rPr>
              <w:t>Note</w:t>
            </w:r>
            <w:r w:rsidRPr="00C8735D">
              <w:rPr>
                <w:rFonts w:cs="Times New Roman"/>
                <w:color w:val="000000"/>
              </w:rPr>
              <w:t xml:space="preserve">: DH-44, </w:t>
            </w:r>
            <w:proofErr w:type="spellStart"/>
            <w:r w:rsidRPr="00C8735D">
              <w:rPr>
                <w:rFonts w:cs="Times New Roman"/>
                <w:i/>
                <w:iCs/>
                <w:color w:val="000000"/>
              </w:rPr>
              <w:t>Paenibacillus</w:t>
            </w:r>
            <w:proofErr w:type="spellEnd"/>
            <w:r w:rsidRPr="00C8735D">
              <w:rPr>
                <w:rFonts w:cs="Times New Roman"/>
                <w:i/>
                <w:iCs/>
                <w:color w:val="000000"/>
              </w:rPr>
              <w:t xml:space="preserve"> </w:t>
            </w:r>
            <w:proofErr w:type="spellStart"/>
            <w:r w:rsidRPr="00C8735D">
              <w:rPr>
                <w:rFonts w:cs="Times New Roman"/>
                <w:i/>
                <w:iCs/>
                <w:color w:val="000000"/>
              </w:rPr>
              <w:t>riograndensis</w:t>
            </w:r>
            <w:proofErr w:type="spellEnd"/>
            <w:r w:rsidRPr="00C8735D">
              <w:rPr>
                <w:rFonts w:cs="Times New Roman"/>
                <w:color w:val="000000"/>
              </w:rPr>
              <w:t xml:space="preserve">; C-PGPB, </w:t>
            </w:r>
            <w:proofErr w:type="spellStart"/>
            <w:r w:rsidRPr="00C8735D">
              <w:rPr>
                <w:rFonts w:cs="Times New Roman"/>
                <w:color w:val="000000"/>
              </w:rPr>
              <w:t>UrtrishaN</w:t>
            </w:r>
            <w:proofErr w:type="spellEnd"/>
            <w:r w:rsidRPr="00C8735D">
              <w:rPr>
                <w:rFonts w:cs="Times New Roman"/>
                <w:color w:val="000000"/>
              </w:rPr>
              <w:t xml:space="preserve">; DH-267, </w:t>
            </w:r>
            <w:r w:rsidRPr="00C8735D">
              <w:rPr>
                <w:rFonts w:cs="Times New Roman"/>
                <w:i/>
                <w:iCs/>
                <w:color w:val="000000"/>
              </w:rPr>
              <w:t>Bacillus subtilis</w:t>
            </w:r>
            <w:r w:rsidRPr="00C8735D">
              <w:rPr>
                <w:rFonts w:cs="Times New Roman"/>
                <w:color w:val="000000"/>
              </w:rPr>
              <w:t>; No-PGPB, control.</w:t>
            </w:r>
          </w:p>
        </w:tc>
      </w:tr>
      <w:tr w:rsidR="008671E7" w:rsidRPr="00C8735D" w14:paraId="3134FA57" w14:textId="77777777" w:rsidTr="00A70E8C">
        <w:trPr>
          <w:gridAfter w:val="1"/>
          <w:wAfter w:w="380" w:type="dxa"/>
          <w:trHeight w:val="315"/>
        </w:trPr>
        <w:tc>
          <w:tcPr>
            <w:tcW w:w="8196" w:type="dxa"/>
            <w:gridSpan w:val="7"/>
            <w:tcBorders>
              <w:top w:val="nil"/>
              <w:left w:val="nil"/>
              <w:bottom w:val="nil"/>
              <w:right w:val="nil"/>
            </w:tcBorders>
            <w:shd w:val="clear" w:color="auto" w:fill="auto"/>
            <w:noWrap/>
            <w:vAlign w:val="bottom"/>
            <w:hideMark/>
          </w:tcPr>
          <w:p w14:paraId="2E05D7CF" w14:textId="77777777" w:rsidR="008671E7" w:rsidRPr="00C8735D" w:rsidRDefault="008671E7" w:rsidP="00A05F5B">
            <w:pPr>
              <w:spacing w:line="240" w:lineRule="auto"/>
              <w:rPr>
                <w:rFonts w:cs="Times New Roman"/>
                <w:i/>
                <w:iCs/>
                <w:color w:val="000000"/>
              </w:rPr>
            </w:pPr>
            <w:r w:rsidRPr="00C8735D">
              <w:rPr>
                <w:rFonts w:cs="Times New Roman"/>
                <w:i/>
                <w:iCs/>
                <w:color w:val="000000"/>
              </w:rPr>
              <w:t>Note</w:t>
            </w:r>
            <w:r w:rsidRPr="00C8735D">
              <w:rPr>
                <w:rFonts w:cs="Times New Roman"/>
                <w:color w:val="000000"/>
              </w:rPr>
              <w:t>: U, urea; A, ammonium sulfate.</w:t>
            </w:r>
          </w:p>
        </w:tc>
      </w:tr>
    </w:tbl>
    <w:p w14:paraId="43239AAF" w14:textId="77777777" w:rsidR="00A70E8C" w:rsidRDefault="00A70E8C">
      <w:r>
        <w:rPr>
          <w:b/>
          <w:bCs/>
        </w:rPr>
        <w:br w:type="page"/>
      </w:r>
    </w:p>
    <w:tbl>
      <w:tblPr>
        <w:tblpPr w:leftFromText="141" w:rightFromText="141" w:vertAnchor="page" w:horzAnchor="margin" w:tblpY="1451"/>
        <w:tblW w:w="8240" w:type="dxa"/>
        <w:tblLook w:val="04A0" w:firstRow="1" w:lastRow="0" w:firstColumn="1" w:lastColumn="0" w:noHBand="0" w:noVBand="1"/>
      </w:tblPr>
      <w:tblGrid>
        <w:gridCol w:w="1501"/>
        <w:gridCol w:w="1559"/>
        <w:gridCol w:w="1710"/>
        <w:gridCol w:w="1170"/>
        <w:gridCol w:w="1260"/>
        <w:gridCol w:w="1040"/>
      </w:tblGrid>
      <w:tr w:rsidR="0052522E" w:rsidRPr="00DA5237" w14:paraId="12AAA1CE" w14:textId="77777777" w:rsidTr="0052522E">
        <w:trPr>
          <w:trHeight w:val="1254"/>
        </w:trPr>
        <w:tc>
          <w:tcPr>
            <w:tcW w:w="8240" w:type="dxa"/>
            <w:gridSpan w:val="6"/>
            <w:tcBorders>
              <w:bottom w:val="single" w:sz="4" w:space="0" w:color="auto"/>
            </w:tcBorders>
            <w:shd w:val="clear" w:color="auto" w:fill="auto"/>
            <w:vAlign w:val="bottom"/>
            <w:hideMark/>
          </w:tcPr>
          <w:p w14:paraId="1CC37D4D" w14:textId="77777777" w:rsidR="0052522E" w:rsidRPr="00DA5237" w:rsidRDefault="0052522E" w:rsidP="0052522E">
            <w:pPr>
              <w:pStyle w:val="mytables"/>
            </w:pPr>
            <w:bookmarkStart w:id="73" w:name="_Toc196315452"/>
            <w:r>
              <w:lastRenderedPageBreak/>
              <w:t>T</w:t>
            </w:r>
            <w:r w:rsidRPr="00DA5237">
              <w:t>able 2.</w:t>
            </w:r>
            <w:r>
              <w:t>8</w:t>
            </w:r>
            <w:r w:rsidRPr="00DA5237">
              <w:t xml:space="preserve"> - </w:t>
            </w:r>
            <w:r w:rsidRPr="004432D5">
              <w:rPr>
                <w:b w:val="0"/>
                <w:bCs w:val="0"/>
              </w:rPr>
              <w:t xml:space="preserve">Average neutral detergent fiber digestibility 48 hours (NDFD48) of </w:t>
            </w:r>
            <w:r>
              <w:rPr>
                <w:b w:val="0"/>
                <w:bCs w:val="0"/>
              </w:rPr>
              <w:t>b</w:t>
            </w:r>
            <w:r w:rsidRPr="004432D5">
              <w:rPr>
                <w:b w:val="0"/>
                <w:bCs w:val="0"/>
              </w:rPr>
              <w:t xml:space="preserve">ermudagrass in response to </w:t>
            </w:r>
            <w:r>
              <w:rPr>
                <w:b w:val="0"/>
                <w:bCs w:val="0"/>
              </w:rPr>
              <w:t>inoculation</w:t>
            </w:r>
            <w:r w:rsidRPr="004432D5">
              <w:rPr>
                <w:b w:val="0"/>
                <w:bCs w:val="0"/>
              </w:rPr>
              <w:t xml:space="preserve"> (DH-44, C-PGBR, DH-267), </w:t>
            </w:r>
            <w:r>
              <w:rPr>
                <w:b w:val="0"/>
                <w:bCs w:val="0"/>
              </w:rPr>
              <w:t>and N strategies</w:t>
            </w:r>
            <w:r w:rsidRPr="004432D5">
              <w:rPr>
                <w:b w:val="0"/>
                <w:bCs w:val="0"/>
              </w:rPr>
              <w:t xml:space="preserve"> (33 kg, 67 kg),</w:t>
            </w:r>
            <w:r w:rsidRPr="004432D5">
              <w:rPr>
                <w:b w:val="0"/>
                <w:bCs w:val="0"/>
                <w:i/>
                <w:iCs/>
              </w:rPr>
              <w:t xml:space="preserve"> </w:t>
            </w:r>
            <w:r w:rsidRPr="004432D5">
              <w:rPr>
                <w:b w:val="0"/>
                <w:bCs w:val="0"/>
              </w:rPr>
              <w:t>(Urea, Ammonium Sulfate) across two growing seasons</w:t>
            </w:r>
            <w:r>
              <w:rPr>
                <w:b w:val="0"/>
                <w:bCs w:val="0"/>
              </w:rPr>
              <w:t>,</w:t>
            </w:r>
            <w:r w:rsidRPr="004432D5">
              <w:rPr>
                <w:b w:val="0"/>
                <w:bCs w:val="0"/>
              </w:rPr>
              <w:t xml:space="preserve"> 2023 and 2024, in Crossville, Tennessee, U.S.</w:t>
            </w:r>
            <w:bookmarkEnd w:id="73"/>
          </w:p>
        </w:tc>
      </w:tr>
      <w:tr w:rsidR="0052522E" w:rsidRPr="00DA5237" w14:paraId="3B8A4EB5" w14:textId="77777777" w:rsidTr="0052522E">
        <w:trPr>
          <w:trHeight w:val="315"/>
        </w:trPr>
        <w:tc>
          <w:tcPr>
            <w:tcW w:w="1501" w:type="dxa"/>
            <w:vMerge w:val="restart"/>
            <w:tcBorders>
              <w:top w:val="single" w:sz="4" w:space="0" w:color="auto"/>
              <w:left w:val="nil"/>
              <w:bottom w:val="nil"/>
              <w:right w:val="nil"/>
            </w:tcBorders>
            <w:shd w:val="clear" w:color="auto" w:fill="auto"/>
            <w:noWrap/>
            <w:vAlign w:val="center"/>
            <w:hideMark/>
          </w:tcPr>
          <w:p w14:paraId="370E2378" w14:textId="77777777" w:rsidR="0052522E" w:rsidRPr="00DA5237" w:rsidRDefault="0052522E" w:rsidP="0052522E">
            <w:pPr>
              <w:spacing w:line="240" w:lineRule="auto"/>
              <w:jc w:val="center"/>
              <w:rPr>
                <w:rFonts w:cs="Times New Roman"/>
                <w:color w:val="000000"/>
              </w:rPr>
            </w:pPr>
            <w:r>
              <w:t>N strategies</w:t>
            </w:r>
          </w:p>
        </w:tc>
        <w:tc>
          <w:tcPr>
            <w:tcW w:w="5699" w:type="dxa"/>
            <w:gridSpan w:val="4"/>
            <w:tcBorders>
              <w:top w:val="single" w:sz="4" w:space="0" w:color="auto"/>
              <w:left w:val="nil"/>
              <w:bottom w:val="nil"/>
              <w:right w:val="nil"/>
            </w:tcBorders>
            <w:shd w:val="clear" w:color="auto" w:fill="auto"/>
            <w:noWrap/>
            <w:vAlign w:val="bottom"/>
            <w:hideMark/>
          </w:tcPr>
          <w:p w14:paraId="34737EF2" w14:textId="77777777" w:rsidR="0052522E" w:rsidRPr="00DA5237" w:rsidRDefault="0052522E" w:rsidP="0052522E">
            <w:pPr>
              <w:spacing w:line="240" w:lineRule="auto"/>
              <w:jc w:val="center"/>
              <w:rPr>
                <w:rFonts w:cs="Times New Roman"/>
                <w:color w:val="000000"/>
              </w:rPr>
            </w:pPr>
            <w:r>
              <w:t>I</w:t>
            </w:r>
            <w:r w:rsidRPr="00711096">
              <w:t>noculation</w:t>
            </w:r>
            <w:r>
              <w:rPr>
                <w:b/>
                <w:bCs/>
                <w:i/>
                <w:iCs/>
              </w:rPr>
              <w:t xml:space="preserve"> </w:t>
            </w:r>
          </w:p>
        </w:tc>
        <w:tc>
          <w:tcPr>
            <w:tcW w:w="1040" w:type="dxa"/>
            <w:tcBorders>
              <w:top w:val="single" w:sz="4" w:space="0" w:color="auto"/>
              <w:left w:val="nil"/>
              <w:bottom w:val="nil"/>
              <w:right w:val="nil"/>
            </w:tcBorders>
            <w:shd w:val="clear" w:color="auto" w:fill="auto"/>
            <w:noWrap/>
            <w:vAlign w:val="bottom"/>
            <w:hideMark/>
          </w:tcPr>
          <w:p w14:paraId="4DD9E746" w14:textId="77777777" w:rsidR="0052522E" w:rsidRPr="00DA5237" w:rsidRDefault="0052522E" w:rsidP="0052522E">
            <w:pPr>
              <w:spacing w:line="240" w:lineRule="auto"/>
              <w:rPr>
                <w:rFonts w:cs="Times New Roman"/>
                <w:color w:val="000000"/>
              </w:rPr>
            </w:pPr>
            <w:r w:rsidRPr="00DA5237">
              <w:rPr>
                <w:rFonts w:cs="Times New Roman"/>
                <w:color w:val="000000"/>
              </w:rPr>
              <w:t> </w:t>
            </w:r>
          </w:p>
        </w:tc>
      </w:tr>
      <w:tr w:rsidR="0052522E" w:rsidRPr="00DA5237" w14:paraId="4C6FC605" w14:textId="77777777" w:rsidTr="0052522E">
        <w:trPr>
          <w:trHeight w:val="375"/>
        </w:trPr>
        <w:tc>
          <w:tcPr>
            <w:tcW w:w="1501" w:type="dxa"/>
            <w:vMerge/>
            <w:tcBorders>
              <w:top w:val="single" w:sz="4" w:space="0" w:color="auto"/>
              <w:left w:val="nil"/>
              <w:bottom w:val="nil"/>
              <w:right w:val="nil"/>
            </w:tcBorders>
            <w:vAlign w:val="center"/>
            <w:hideMark/>
          </w:tcPr>
          <w:p w14:paraId="43FA4D45" w14:textId="77777777" w:rsidR="0052522E" w:rsidRPr="00DA5237" w:rsidRDefault="0052522E" w:rsidP="0052522E">
            <w:pPr>
              <w:spacing w:line="240" w:lineRule="auto"/>
              <w:rPr>
                <w:rFonts w:cs="Times New Roman"/>
                <w:color w:val="000000"/>
              </w:rPr>
            </w:pPr>
          </w:p>
        </w:tc>
        <w:tc>
          <w:tcPr>
            <w:tcW w:w="1559" w:type="dxa"/>
            <w:tcBorders>
              <w:top w:val="nil"/>
              <w:left w:val="nil"/>
              <w:bottom w:val="nil"/>
              <w:right w:val="nil"/>
            </w:tcBorders>
            <w:shd w:val="clear" w:color="auto" w:fill="auto"/>
            <w:noWrap/>
            <w:vAlign w:val="bottom"/>
            <w:hideMark/>
          </w:tcPr>
          <w:p w14:paraId="74732FE6" w14:textId="77777777" w:rsidR="0052522E" w:rsidRPr="00DA5237" w:rsidRDefault="0052522E" w:rsidP="0052522E">
            <w:pPr>
              <w:spacing w:line="240" w:lineRule="auto"/>
              <w:jc w:val="center"/>
              <w:rPr>
                <w:rFonts w:cs="Times New Roman"/>
                <w:color w:val="000000"/>
              </w:rPr>
            </w:pPr>
            <w:r w:rsidRPr="00DA5237">
              <w:rPr>
                <w:rFonts w:cs="Times New Roman"/>
                <w:color w:val="000000"/>
              </w:rPr>
              <w:t>DH-44</w:t>
            </w:r>
          </w:p>
        </w:tc>
        <w:tc>
          <w:tcPr>
            <w:tcW w:w="1710" w:type="dxa"/>
            <w:tcBorders>
              <w:top w:val="nil"/>
              <w:left w:val="nil"/>
              <w:bottom w:val="nil"/>
              <w:right w:val="nil"/>
            </w:tcBorders>
            <w:shd w:val="clear" w:color="auto" w:fill="auto"/>
            <w:noWrap/>
            <w:vAlign w:val="bottom"/>
            <w:hideMark/>
          </w:tcPr>
          <w:p w14:paraId="0201709C" w14:textId="77777777" w:rsidR="0052522E" w:rsidRPr="00DA5237" w:rsidRDefault="0052522E" w:rsidP="0052522E">
            <w:pPr>
              <w:spacing w:line="240" w:lineRule="auto"/>
              <w:jc w:val="center"/>
              <w:rPr>
                <w:rFonts w:cs="Times New Roman"/>
                <w:color w:val="000000"/>
              </w:rPr>
            </w:pPr>
            <w:r w:rsidRPr="00DA5237">
              <w:rPr>
                <w:rFonts w:cs="Times New Roman"/>
                <w:color w:val="000000"/>
              </w:rPr>
              <w:t>C-PGPB</w:t>
            </w:r>
          </w:p>
        </w:tc>
        <w:tc>
          <w:tcPr>
            <w:tcW w:w="1170" w:type="dxa"/>
            <w:tcBorders>
              <w:top w:val="nil"/>
              <w:left w:val="nil"/>
              <w:bottom w:val="nil"/>
              <w:right w:val="nil"/>
            </w:tcBorders>
            <w:shd w:val="clear" w:color="auto" w:fill="auto"/>
            <w:noWrap/>
            <w:vAlign w:val="bottom"/>
            <w:hideMark/>
          </w:tcPr>
          <w:p w14:paraId="0C49D370" w14:textId="77777777" w:rsidR="0052522E" w:rsidRPr="00DA5237" w:rsidRDefault="0052522E" w:rsidP="0052522E">
            <w:pPr>
              <w:spacing w:line="240" w:lineRule="auto"/>
              <w:jc w:val="center"/>
              <w:rPr>
                <w:rFonts w:cs="Times New Roman"/>
                <w:color w:val="000000"/>
              </w:rPr>
            </w:pPr>
            <w:r w:rsidRPr="00DA5237">
              <w:rPr>
                <w:rFonts w:cs="Times New Roman"/>
                <w:color w:val="000000"/>
              </w:rPr>
              <w:t>DH-267</w:t>
            </w:r>
          </w:p>
        </w:tc>
        <w:tc>
          <w:tcPr>
            <w:tcW w:w="1260" w:type="dxa"/>
            <w:tcBorders>
              <w:top w:val="nil"/>
              <w:left w:val="nil"/>
              <w:bottom w:val="nil"/>
              <w:right w:val="nil"/>
            </w:tcBorders>
            <w:shd w:val="clear" w:color="auto" w:fill="auto"/>
            <w:noWrap/>
            <w:vAlign w:val="bottom"/>
            <w:hideMark/>
          </w:tcPr>
          <w:p w14:paraId="07411D1A" w14:textId="77777777" w:rsidR="0052522E" w:rsidRPr="00DA5237" w:rsidRDefault="0052522E" w:rsidP="0052522E">
            <w:pPr>
              <w:spacing w:line="240" w:lineRule="auto"/>
              <w:jc w:val="center"/>
              <w:rPr>
                <w:rFonts w:cs="Times New Roman"/>
                <w:color w:val="000000"/>
              </w:rPr>
            </w:pPr>
            <w:r w:rsidRPr="00DA5237">
              <w:rPr>
                <w:rFonts w:cs="Times New Roman"/>
                <w:color w:val="000000"/>
              </w:rPr>
              <w:t>No-PGPB</w:t>
            </w:r>
          </w:p>
        </w:tc>
        <w:tc>
          <w:tcPr>
            <w:tcW w:w="1040" w:type="dxa"/>
            <w:tcBorders>
              <w:top w:val="nil"/>
              <w:left w:val="nil"/>
              <w:bottom w:val="nil"/>
              <w:right w:val="nil"/>
            </w:tcBorders>
            <w:shd w:val="clear" w:color="auto" w:fill="auto"/>
            <w:noWrap/>
            <w:vAlign w:val="bottom"/>
            <w:hideMark/>
          </w:tcPr>
          <w:p w14:paraId="68061566" w14:textId="77777777" w:rsidR="0052522E" w:rsidRPr="00DA5237" w:rsidRDefault="0052522E" w:rsidP="0052522E">
            <w:pPr>
              <w:spacing w:line="240" w:lineRule="auto"/>
              <w:jc w:val="center"/>
              <w:rPr>
                <w:rFonts w:cs="Times New Roman"/>
                <w:color w:val="000000"/>
              </w:rPr>
            </w:pPr>
            <w:r w:rsidRPr="00DA5237">
              <w:rPr>
                <w:rFonts w:cs="Times New Roman"/>
                <w:i/>
                <w:iCs/>
                <w:color w:val="000000"/>
              </w:rPr>
              <w:t>P</w:t>
            </w:r>
            <w:r w:rsidRPr="00DA5237">
              <w:rPr>
                <w:rFonts w:cs="Times New Roman"/>
                <w:color w:val="000000"/>
              </w:rPr>
              <w:t>-Value</w:t>
            </w:r>
          </w:p>
        </w:tc>
      </w:tr>
      <w:tr w:rsidR="0052522E" w:rsidRPr="00DA5237" w14:paraId="1301C8C7" w14:textId="77777777" w:rsidTr="0052522E">
        <w:trPr>
          <w:trHeight w:val="375"/>
        </w:trPr>
        <w:tc>
          <w:tcPr>
            <w:tcW w:w="1501" w:type="dxa"/>
            <w:tcBorders>
              <w:top w:val="nil"/>
              <w:left w:val="nil"/>
              <w:bottom w:val="nil"/>
              <w:right w:val="nil"/>
            </w:tcBorders>
            <w:shd w:val="clear" w:color="auto" w:fill="auto"/>
            <w:noWrap/>
            <w:vAlign w:val="bottom"/>
            <w:hideMark/>
          </w:tcPr>
          <w:p w14:paraId="770C8A33" w14:textId="77777777" w:rsidR="0052522E" w:rsidRPr="00DA5237" w:rsidRDefault="0052522E" w:rsidP="0052522E">
            <w:pPr>
              <w:spacing w:line="240" w:lineRule="auto"/>
              <w:jc w:val="center"/>
              <w:rPr>
                <w:rFonts w:cs="Times New Roman"/>
                <w:color w:val="000000"/>
              </w:rPr>
            </w:pPr>
            <w:r w:rsidRPr="00DA5237">
              <w:rPr>
                <w:rFonts w:cs="Times New Roman"/>
                <w:color w:val="000000"/>
              </w:rPr>
              <w:t>(kg N ha</w:t>
            </w:r>
            <w:r w:rsidRPr="00DA5237">
              <w:rPr>
                <w:rFonts w:cs="Times New Roman"/>
                <w:color w:val="000000"/>
                <w:vertAlign w:val="superscript"/>
              </w:rPr>
              <w:t>-1</w:t>
            </w:r>
            <w:r w:rsidRPr="00DA5237">
              <w:rPr>
                <w:rFonts w:cs="Times New Roman"/>
                <w:color w:val="000000"/>
              </w:rPr>
              <w:t>)</w:t>
            </w:r>
          </w:p>
        </w:tc>
        <w:tc>
          <w:tcPr>
            <w:tcW w:w="5699" w:type="dxa"/>
            <w:gridSpan w:val="4"/>
            <w:tcBorders>
              <w:top w:val="nil"/>
              <w:left w:val="nil"/>
              <w:bottom w:val="nil"/>
              <w:right w:val="nil"/>
            </w:tcBorders>
            <w:shd w:val="clear" w:color="auto" w:fill="auto"/>
            <w:noWrap/>
            <w:vAlign w:val="bottom"/>
            <w:hideMark/>
          </w:tcPr>
          <w:p w14:paraId="371EC54F" w14:textId="77777777" w:rsidR="0052522E" w:rsidRPr="00DA5237" w:rsidRDefault="0052522E" w:rsidP="0052522E">
            <w:pPr>
              <w:spacing w:line="240" w:lineRule="auto"/>
              <w:jc w:val="center"/>
              <w:rPr>
                <w:rFonts w:cs="Times New Roman"/>
                <w:color w:val="000000"/>
              </w:rPr>
            </w:pPr>
            <w:r w:rsidRPr="00DA5237">
              <w:rPr>
                <w:rFonts w:cs="Times New Roman"/>
                <w:color w:val="000000"/>
              </w:rPr>
              <w:t>-------------- NDFD48 (g kg</w:t>
            </w:r>
            <w:r w:rsidRPr="00DA5237">
              <w:rPr>
                <w:rFonts w:cs="Times New Roman"/>
                <w:color w:val="000000"/>
                <w:vertAlign w:val="superscript"/>
              </w:rPr>
              <w:t>-1</w:t>
            </w:r>
            <w:r w:rsidRPr="00DA5237">
              <w:rPr>
                <w:rFonts w:cs="Times New Roman"/>
                <w:color w:val="000000"/>
              </w:rPr>
              <w:t>) ----------------</w:t>
            </w:r>
          </w:p>
        </w:tc>
        <w:tc>
          <w:tcPr>
            <w:tcW w:w="1040" w:type="dxa"/>
            <w:tcBorders>
              <w:top w:val="nil"/>
              <w:left w:val="nil"/>
              <w:bottom w:val="nil"/>
              <w:right w:val="nil"/>
            </w:tcBorders>
            <w:shd w:val="clear" w:color="auto" w:fill="auto"/>
            <w:noWrap/>
            <w:vAlign w:val="bottom"/>
            <w:hideMark/>
          </w:tcPr>
          <w:p w14:paraId="32842810" w14:textId="77777777" w:rsidR="0052522E" w:rsidRPr="00DA5237" w:rsidRDefault="0052522E" w:rsidP="0052522E">
            <w:pPr>
              <w:spacing w:line="240" w:lineRule="auto"/>
              <w:rPr>
                <w:rFonts w:cs="Times New Roman"/>
                <w:sz w:val="20"/>
                <w:szCs w:val="20"/>
              </w:rPr>
            </w:pPr>
          </w:p>
        </w:tc>
      </w:tr>
      <w:tr w:rsidR="0052522E" w:rsidRPr="00DA5237" w14:paraId="6E1D38F3" w14:textId="77777777" w:rsidTr="0052522E">
        <w:trPr>
          <w:trHeight w:val="315"/>
        </w:trPr>
        <w:tc>
          <w:tcPr>
            <w:tcW w:w="1501" w:type="dxa"/>
            <w:tcBorders>
              <w:top w:val="single" w:sz="4" w:space="0" w:color="auto"/>
              <w:left w:val="nil"/>
              <w:bottom w:val="nil"/>
              <w:right w:val="nil"/>
            </w:tcBorders>
            <w:shd w:val="clear" w:color="auto" w:fill="auto"/>
            <w:noWrap/>
            <w:vAlign w:val="bottom"/>
            <w:hideMark/>
          </w:tcPr>
          <w:p w14:paraId="46804166" w14:textId="77777777" w:rsidR="0052522E" w:rsidRPr="00DA5237" w:rsidRDefault="0052522E" w:rsidP="0052522E">
            <w:pPr>
              <w:spacing w:line="240" w:lineRule="auto"/>
              <w:jc w:val="center"/>
              <w:rPr>
                <w:rFonts w:cs="Times New Roman"/>
                <w:color w:val="000000"/>
              </w:rPr>
            </w:pPr>
            <w:r>
              <w:rPr>
                <w:rFonts w:cs="Times New Roman"/>
                <w:color w:val="000000"/>
              </w:rPr>
              <w:t>NN</w:t>
            </w:r>
          </w:p>
        </w:tc>
        <w:tc>
          <w:tcPr>
            <w:tcW w:w="1559" w:type="dxa"/>
            <w:tcBorders>
              <w:top w:val="single" w:sz="4" w:space="0" w:color="auto"/>
              <w:left w:val="nil"/>
              <w:bottom w:val="nil"/>
              <w:right w:val="nil"/>
            </w:tcBorders>
            <w:shd w:val="clear" w:color="auto" w:fill="auto"/>
            <w:noWrap/>
            <w:vAlign w:val="bottom"/>
            <w:hideMark/>
          </w:tcPr>
          <w:p w14:paraId="4159CE5B" w14:textId="77777777" w:rsidR="0052522E" w:rsidRPr="00DA5237" w:rsidRDefault="0052522E" w:rsidP="0052522E">
            <w:pPr>
              <w:spacing w:line="240" w:lineRule="auto"/>
              <w:jc w:val="center"/>
              <w:rPr>
                <w:rFonts w:cs="Times New Roman"/>
                <w:color w:val="000000"/>
              </w:rPr>
            </w:pPr>
            <w:r w:rsidRPr="00DA5237">
              <w:rPr>
                <w:rFonts w:cs="Times New Roman"/>
                <w:color w:val="000000"/>
              </w:rPr>
              <w:t>482.2</w:t>
            </w:r>
          </w:p>
        </w:tc>
        <w:tc>
          <w:tcPr>
            <w:tcW w:w="1710" w:type="dxa"/>
            <w:tcBorders>
              <w:top w:val="single" w:sz="4" w:space="0" w:color="auto"/>
              <w:left w:val="nil"/>
              <w:bottom w:val="nil"/>
              <w:right w:val="nil"/>
            </w:tcBorders>
            <w:shd w:val="clear" w:color="auto" w:fill="auto"/>
            <w:noWrap/>
            <w:vAlign w:val="bottom"/>
            <w:hideMark/>
          </w:tcPr>
          <w:p w14:paraId="2D4E4CE8" w14:textId="77777777" w:rsidR="0052522E" w:rsidRPr="00DA5237" w:rsidRDefault="0052522E" w:rsidP="0052522E">
            <w:pPr>
              <w:spacing w:line="240" w:lineRule="auto"/>
              <w:jc w:val="center"/>
              <w:rPr>
                <w:rFonts w:cs="Times New Roman"/>
                <w:color w:val="000000"/>
              </w:rPr>
            </w:pPr>
            <w:r w:rsidRPr="00DA5237">
              <w:rPr>
                <w:rFonts w:cs="Times New Roman"/>
                <w:color w:val="000000"/>
              </w:rPr>
              <w:t>472.1</w:t>
            </w:r>
          </w:p>
        </w:tc>
        <w:tc>
          <w:tcPr>
            <w:tcW w:w="1170" w:type="dxa"/>
            <w:tcBorders>
              <w:top w:val="single" w:sz="4" w:space="0" w:color="auto"/>
              <w:left w:val="nil"/>
              <w:bottom w:val="nil"/>
              <w:right w:val="nil"/>
            </w:tcBorders>
            <w:shd w:val="clear" w:color="auto" w:fill="auto"/>
            <w:noWrap/>
            <w:vAlign w:val="bottom"/>
            <w:hideMark/>
          </w:tcPr>
          <w:p w14:paraId="2FE91D93" w14:textId="77777777" w:rsidR="0052522E" w:rsidRPr="00DA5237" w:rsidRDefault="0052522E" w:rsidP="0052522E">
            <w:pPr>
              <w:spacing w:line="240" w:lineRule="auto"/>
              <w:jc w:val="center"/>
              <w:rPr>
                <w:rFonts w:cs="Times New Roman"/>
                <w:color w:val="000000"/>
              </w:rPr>
            </w:pPr>
            <w:r w:rsidRPr="00DA5237">
              <w:rPr>
                <w:rFonts w:cs="Times New Roman"/>
                <w:color w:val="000000"/>
              </w:rPr>
              <w:t>469.8</w:t>
            </w:r>
          </w:p>
        </w:tc>
        <w:tc>
          <w:tcPr>
            <w:tcW w:w="1260" w:type="dxa"/>
            <w:tcBorders>
              <w:top w:val="single" w:sz="4" w:space="0" w:color="auto"/>
              <w:left w:val="nil"/>
              <w:bottom w:val="nil"/>
              <w:right w:val="nil"/>
            </w:tcBorders>
            <w:shd w:val="clear" w:color="auto" w:fill="auto"/>
            <w:noWrap/>
            <w:vAlign w:val="bottom"/>
            <w:hideMark/>
          </w:tcPr>
          <w:p w14:paraId="1D205A36" w14:textId="77777777" w:rsidR="0052522E" w:rsidRPr="00DA5237" w:rsidRDefault="0052522E" w:rsidP="0052522E">
            <w:pPr>
              <w:spacing w:line="240" w:lineRule="auto"/>
              <w:jc w:val="center"/>
              <w:rPr>
                <w:rFonts w:cs="Times New Roman"/>
                <w:color w:val="000000"/>
              </w:rPr>
            </w:pPr>
            <w:r w:rsidRPr="00DA5237">
              <w:rPr>
                <w:rFonts w:cs="Times New Roman"/>
                <w:color w:val="000000"/>
              </w:rPr>
              <w:t>475.2</w:t>
            </w:r>
          </w:p>
        </w:tc>
        <w:tc>
          <w:tcPr>
            <w:tcW w:w="1040" w:type="dxa"/>
            <w:tcBorders>
              <w:top w:val="single" w:sz="4" w:space="0" w:color="auto"/>
              <w:left w:val="nil"/>
              <w:bottom w:val="nil"/>
              <w:right w:val="nil"/>
            </w:tcBorders>
            <w:shd w:val="clear" w:color="auto" w:fill="auto"/>
            <w:noWrap/>
            <w:vAlign w:val="bottom"/>
            <w:hideMark/>
          </w:tcPr>
          <w:p w14:paraId="7D3179DE" w14:textId="77777777" w:rsidR="0052522E" w:rsidRPr="00DA5237" w:rsidRDefault="0052522E" w:rsidP="0052522E">
            <w:pPr>
              <w:spacing w:line="240" w:lineRule="auto"/>
              <w:jc w:val="center"/>
              <w:rPr>
                <w:rFonts w:cs="Times New Roman"/>
                <w:i/>
                <w:iCs/>
                <w:color w:val="000000"/>
              </w:rPr>
            </w:pPr>
            <w:r w:rsidRPr="00DA5237">
              <w:rPr>
                <w:rFonts w:cs="Times New Roman"/>
                <w:i/>
                <w:iCs/>
                <w:color w:val="000000"/>
              </w:rPr>
              <w:t>&gt;0.05</w:t>
            </w:r>
          </w:p>
        </w:tc>
      </w:tr>
      <w:tr w:rsidR="0052522E" w:rsidRPr="00DA5237" w14:paraId="601CDC6A" w14:textId="77777777" w:rsidTr="0052522E">
        <w:trPr>
          <w:trHeight w:val="315"/>
        </w:trPr>
        <w:tc>
          <w:tcPr>
            <w:tcW w:w="1501" w:type="dxa"/>
            <w:tcBorders>
              <w:top w:val="nil"/>
              <w:left w:val="nil"/>
              <w:bottom w:val="nil"/>
              <w:right w:val="nil"/>
            </w:tcBorders>
            <w:shd w:val="clear" w:color="auto" w:fill="auto"/>
            <w:noWrap/>
            <w:vAlign w:val="bottom"/>
            <w:hideMark/>
          </w:tcPr>
          <w:p w14:paraId="721EB37E" w14:textId="77777777" w:rsidR="0052522E" w:rsidRPr="00DA5237" w:rsidRDefault="0052522E" w:rsidP="0052522E">
            <w:pPr>
              <w:spacing w:line="240" w:lineRule="auto"/>
              <w:jc w:val="center"/>
              <w:rPr>
                <w:rFonts w:cs="Times New Roman"/>
                <w:color w:val="000000"/>
              </w:rPr>
            </w:pPr>
            <w:r w:rsidRPr="00DA5237">
              <w:rPr>
                <w:rFonts w:cs="Times New Roman"/>
                <w:color w:val="000000"/>
              </w:rPr>
              <w:t>U</w:t>
            </w:r>
            <w:r>
              <w:rPr>
                <w:rFonts w:cs="Times New Roman"/>
                <w:color w:val="000000"/>
              </w:rPr>
              <w:t>-33</w:t>
            </w:r>
          </w:p>
        </w:tc>
        <w:tc>
          <w:tcPr>
            <w:tcW w:w="1559" w:type="dxa"/>
            <w:tcBorders>
              <w:top w:val="nil"/>
              <w:left w:val="nil"/>
              <w:bottom w:val="nil"/>
              <w:right w:val="nil"/>
            </w:tcBorders>
            <w:shd w:val="clear" w:color="auto" w:fill="auto"/>
            <w:noWrap/>
            <w:vAlign w:val="bottom"/>
            <w:hideMark/>
          </w:tcPr>
          <w:p w14:paraId="1ED8D44C" w14:textId="77777777" w:rsidR="0052522E" w:rsidRPr="00DA5237" w:rsidRDefault="0052522E" w:rsidP="0052522E">
            <w:pPr>
              <w:spacing w:line="240" w:lineRule="auto"/>
              <w:jc w:val="center"/>
              <w:rPr>
                <w:rFonts w:cs="Times New Roman"/>
                <w:color w:val="000000"/>
              </w:rPr>
            </w:pPr>
            <w:r w:rsidRPr="00DA5237">
              <w:rPr>
                <w:rFonts w:cs="Times New Roman"/>
                <w:color w:val="000000"/>
              </w:rPr>
              <w:t>472.1</w:t>
            </w:r>
          </w:p>
        </w:tc>
        <w:tc>
          <w:tcPr>
            <w:tcW w:w="1710" w:type="dxa"/>
            <w:tcBorders>
              <w:top w:val="nil"/>
              <w:left w:val="nil"/>
              <w:bottom w:val="nil"/>
              <w:right w:val="nil"/>
            </w:tcBorders>
            <w:shd w:val="clear" w:color="auto" w:fill="auto"/>
            <w:noWrap/>
            <w:vAlign w:val="bottom"/>
            <w:hideMark/>
          </w:tcPr>
          <w:p w14:paraId="7F553442" w14:textId="77777777" w:rsidR="0052522E" w:rsidRPr="00DA5237" w:rsidRDefault="0052522E" w:rsidP="0052522E">
            <w:pPr>
              <w:spacing w:line="240" w:lineRule="auto"/>
              <w:jc w:val="center"/>
              <w:rPr>
                <w:rFonts w:cs="Times New Roman"/>
                <w:color w:val="000000"/>
              </w:rPr>
            </w:pPr>
            <w:r w:rsidRPr="00DA5237">
              <w:rPr>
                <w:rFonts w:cs="Times New Roman"/>
                <w:color w:val="000000"/>
              </w:rPr>
              <w:t>463.9</w:t>
            </w:r>
          </w:p>
        </w:tc>
        <w:tc>
          <w:tcPr>
            <w:tcW w:w="1170" w:type="dxa"/>
            <w:tcBorders>
              <w:top w:val="nil"/>
              <w:left w:val="nil"/>
              <w:bottom w:val="nil"/>
              <w:right w:val="nil"/>
            </w:tcBorders>
            <w:shd w:val="clear" w:color="auto" w:fill="auto"/>
            <w:noWrap/>
            <w:vAlign w:val="bottom"/>
            <w:hideMark/>
          </w:tcPr>
          <w:p w14:paraId="02C2C137" w14:textId="77777777" w:rsidR="0052522E" w:rsidRPr="00DA5237" w:rsidRDefault="0052522E" w:rsidP="0052522E">
            <w:pPr>
              <w:spacing w:line="240" w:lineRule="auto"/>
              <w:jc w:val="center"/>
              <w:rPr>
                <w:rFonts w:cs="Times New Roman"/>
                <w:color w:val="000000"/>
              </w:rPr>
            </w:pPr>
            <w:r w:rsidRPr="00DA5237">
              <w:rPr>
                <w:rFonts w:cs="Times New Roman"/>
                <w:color w:val="000000"/>
              </w:rPr>
              <w:t>479.0</w:t>
            </w:r>
          </w:p>
        </w:tc>
        <w:tc>
          <w:tcPr>
            <w:tcW w:w="1260" w:type="dxa"/>
            <w:tcBorders>
              <w:top w:val="nil"/>
              <w:left w:val="nil"/>
              <w:bottom w:val="nil"/>
              <w:right w:val="nil"/>
            </w:tcBorders>
            <w:shd w:val="clear" w:color="auto" w:fill="auto"/>
            <w:noWrap/>
            <w:vAlign w:val="bottom"/>
            <w:hideMark/>
          </w:tcPr>
          <w:p w14:paraId="047B0A90" w14:textId="77777777" w:rsidR="0052522E" w:rsidRPr="00DA5237" w:rsidRDefault="0052522E" w:rsidP="0052522E">
            <w:pPr>
              <w:spacing w:line="240" w:lineRule="auto"/>
              <w:jc w:val="center"/>
              <w:rPr>
                <w:rFonts w:cs="Times New Roman"/>
                <w:color w:val="000000"/>
              </w:rPr>
            </w:pPr>
            <w:r w:rsidRPr="00DA5237">
              <w:rPr>
                <w:rFonts w:cs="Times New Roman"/>
                <w:color w:val="000000"/>
              </w:rPr>
              <w:t>488.0</w:t>
            </w:r>
          </w:p>
        </w:tc>
        <w:tc>
          <w:tcPr>
            <w:tcW w:w="1040" w:type="dxa"/>
            <w:tcBorders>
              <w:top w:val="nil"/>
              <w:left w:val="nil"/>
              <w:bottom w:val="nil"/>
              <w:right w:val="nil"/>
            </w:tcBorders>
            <w:shd w:val="clear" w:color="auto" w:fill="auto"/>
            <w:noWrap/>
            <w:vAlign w:val="bottom"/>
            <w:hideMark/>
          </w:tcPr>
          <w:p w14:paraId="7F50F6E6" w14:textId="77777777" w:rsidR="0052522E" w:rsidRPr="00DA5237" w:rsidRDefault="0052522E" w:rsidP="0052522E">
            <w:pPr>
              <w:spacing w:line="240" w:lineRule="auto"/>
              <w:jc w:val="center"/>
              <w:rPr>
                <w:rFonts w:cs="Times New Roman"/>
                <w:i/>
                <w:iCs/>
                <w:color w:val="000000"/>
              </w:rPr>
            </w:pPr>
            <w:r w:rsidRPr="00DA5237">
              <w:rPr>
                <w:rFonts w:cs="Times New Roman"/>
                <w:i/>
                <w:iCs/>
                <w:color w:val="000000"/>
              </w:rPr>
              <w:t>&gt;0.05</w:t>
            </w:r>
          </w:p>
        </w:tc>
      </w:tr>
      <w:tr w:rsidR="0052522E" w:rsidRPr="00DA5237" w14:paraId="3C5A550F" w14:textId="77777777" w:rsidTr="0052522E">
        <w:trPr>
          <w:trHeight w:val="315"/>
        </w:trPr>
        <w:tc>
          <w:tcPr>
            <w:tcW w:w="1501" w:type="dxa"/>
            <w:tcBorders>
              <w:top w:val="nil"/>
              <w:left w:val="nil"/>
              <w:bottom w:val="nil"/>
              <w:right w:val="nil"/>
            </w:tcBorders>
            <w:shd w:val="clear" w:color="auto" w:fill="auto"/>
            <w:noWrap/>
            <w:vAlign w:val="bottom"/>
            <w:hideMark/>
          </w:tcPr>
          <w:p w14:paraId="4E40BDC7" w14:textId="77777777" w:rsidR="0052522E" w:rsidRPr="00DA5237" w:rsidRDefault="0052522E" w:rsidP="0052522E">
            <w:pPr>
              <w:spacing w:line="240" w:lineRule="auto"/>
              <w:jc w:val="center"/>
              <w:rPr>
                <w:rFonts w:cs="Times New Roman"/>
                <w:color w:val="000000"/>
              </w:rPr>
            </w:pPr>
            <w:r w:rsidRPr="00DA5237">
              <w:rPr>
                <w:rFonts w:cs="Times New Roman"/>
                <w:color w:val="000000"/>
              </w:rPr>
              <w:t>A</w:t>
            </w:r>
            <w:r>
              <w:rPr>
                <w:rFonts w:cs="Times New Roman"/>
                <w:color w:val="000000"/>
              </w:rPr>
              <w:t>-33</w:t>
            </w:r>
          </w:p>
        </w:tc>
        <w:tc>
          <w:tcPr>
            <w:tcW w:w="1559" w:type="dxa"/>
            <w:tcBorders>
              <w:top w:val="nil"/>
              <w:left w:val="nil"/>
              <w:bottom w:val="nil"/>
              <w:right w:val="nil"/>
            </w:tcBorders>
            <w:shd w:val="clear" w:color="auto" w:fill="auto"/>
            <w:noWrap/>
            <w:vAlign w:val="bottom"/>
            <w:hideMark/>
          </w:tcPr>
          <w:p w14:paraId="24BD4B05" w14:textId="77777777" w:rsidR="0052522E" w:rsidRPr="00DA5237" w:rsidRDefault="0052522E" w:rsidP="0052522E">
            <w:pPr>
              <w:spacing w:line="240" w:lineRule="auto"/>
              <w:jc w:val="center"/>
              <w:rPr>
                <w:rFonts w:cs="Times New Roman"/>
                <w:color w:val="000000"/>
              </w:rPr>
            </w:pPr>
            <w:r w:rsidRPr="00DA5237">
              <w:rPr>
                <w:rFonts w:cs="Times New Roman"/>
                <w:color w:val="000000"/>
              </w:rPr>
              <w:t>481.9</w:t>
            </w:r>
          </w:p>
        </w:tc>
        <w:tc>
          <w:tcPr>
            <w:tcW w:w="1710" w:type="dxa"/>
            <w:tcBorders>
              <w:top w:val="nil"/>
              <w:left w:val="nil"/>
              <w:bottom w:val="nil"/>
              <w:right w:val="nil"/>
            </w:tcBorders>
            <w:shd w:val="clear" w:color="auto" w:fill="auto"/>
            <w:noWrap/>
            <w:vAlign w:val="bottom"/>
            <w:hideMark/>
          </w:tcPr>
          <w:p w14:paraId="0CF3BC7C" w14:textId="77777777" w:rsidR="0052522E" w:rsidRPr="00DA5237" w:rsidRDefault="0052522E" w:rsidP="0052522E">
            <w:pPr>
              <w:spacing w:line="240" w:lineRule="auto"/>
              <w:jc w:val="center"/>
              <w:rPr>
                <w:rFonts w:cs="Times New Roman"/>
                <w:color w:val="000000"/>
              </w:rPr>
            </w:pPr>
            <w:r w:rsidRPr="00DA5237">
              <w:rPr>
                <w:rFonts w:cs="Times New Roman"/>
                <w:color w:val="000000"/>
              </w:rPr>
              <w:t>490.7</w:t>
            </w:r>
          </w:p>
        </w:tc>
        <w:tc>
          <w:tcPr>
            <w:tcW w:w="1170" w:type="dxa"/>
            <w:tcBorders>
              <w:top w:val="nil"/>
              <w:left w:val="nil"/>
              <w:bottom w:val="nil"/>
              <w:right w:val="nil"/>
            </w:tcBorders>
            <w:shd w:val="clear" w:color="auto" w:fill="auto"/>
            <w:noWrap/>
            <w:vAlign w:val="bottom"/>
            <w:hideMark/>
          </w:tcPr>
          <w:p w14:paraId="7D92A754" w14:textId="77777777" w:rsidR="0052522E" w:rsidRPr="00DA5237" w:rsidRDefault="0052522E" w:rsidP="0052522E">
            <w:pPr>
              <w:spacing w:line="240" w:lineRule="auto"/>
              <w:jc w:val="center"/>
              <w:rPr>
                <w:rFonts w:cs="Times New Roman"/>
                <w:color w:val="000000"/>
              </w:rPr>
            </w:pPr>
            <w:r w:rsidRPr="00DA5237">
              <w:rPr>
                <w:rFonts w:cs="Times New Roman"/>
                <w:color w:val="000000"/>
              </w:rPr>
              <w:t>463.9</w:t>
            </w:r>
          </w:p>
        </w:tc>
        <w:tc>
          <w:tcPr>
            <w:tcW w:w="1260" w:type="dxa"/>
            <w:tcBorders>
              <w:top w:val="nil"/>
              <w:left w:val="nil"/>
              <w:bottom w:val="nil"/>
              <w:right w:val="nil"/>
            </w:tcBorders>
            <w:shd w:val="clear" w:color="auto" w:fill="auto"/>
            <w:noWrap/>
            <w:vAlign w:val="bottom"/>
            <w:hideMark/>
          </w:tcPr>
          <w:p w14:paraId="7E2A29E3" w14:textId="77777777" w:rsidR="0052522E" w:rsidRPr="00DA5237" w:rsidRDefault="0052522E" w:rsidP="0052522E">
            <w:pPr>
              <w:spacing w:line="240" w:lineRule="auto"/>
              <w:jc w:val="center"/>
              <w:rPr>
                <w:rFonts w:cs="Times New Roman"/>
                <w:color w:val="000000"/>
              </w:rPr>
            </w:pPr>
            <w:r w:rsidRPr="00DA5237">
              <w:rPr>
                <w:rFonts w:cs="Times New Roman"/>
                <w:color w:val="000000"/>
              </w:rPr>
              <w:t>483.8</w:t>
            </w:r>
          </w:p>
        </w:tc>
        <w:tc>
          <w:tcPr>
            <w:tcW w:w="1040" w:type="dxa"/>
            <w:tcBorders>
              <w:top w:val="nil"/>
              <w:left w:val="nil"/>
              <w:bottom w:val="nil"/>
              <w:right w:val="nil"/>
            </w:tcBorders>
            <w:shd w:val="clear" w:color="auto" w:fill="auto"/>
            <w:noWrap/>
            <w:vAlign w:val="bottom"/>
            <w:hideMark/>
          </w:tcPr>
          <w:p w14:paraId="3295EAB8" w14:textId="77777777" w:rsidR="0052522E" w:rsidRPr="00DA5237" w:rsidRDefault="0052522E" w:rsidP="0052522E">
            <w:pPr>
              <w:spacing w:line="240" w:lineRule="auto"/>
              <w:jc w:val="center"/>
              <w:rPr>
                <w:rFonts w:cs="Times New Roman"/>
                <w:i/>
                <w:iCs/>
                <w:color w:val="000000"/>
              </w:rPr>
            </w:pPr>
            <w:r w:rsidRPr="00DA5237">
              <w:rPr>
                <w:rFonts w:cs="Times New Roman"/>
                <w:i/>
                <w:iCs/>
                <w:color w:val="000000"/>
              </w:rPr>
              <w:t>&gt;0.05</w:t>
            </w:r>
          </w:p>
        </w:tc>
      </w:tr>
      <w:tr w:rsidR="0052522E" w:rsidRPr="00DA5237" w14:paraId="53B32D6C" w14:textId="77777777" w:rsidTr="0052522E">
        <w:trPr>
          <w:trHeight w:val="315"/>
        </w:trPr>
        <w:tc>
          <w:tcPr>
            <w:tcW w:w="1501" w:type="dxa"/>
            <w:tcBorders>
              <w:top w:val="nil"/>
              <w:left w:val="nil"/>
              <w:bottom w:val="nil"/>
              <w:right w:val="nil"/>
            </w:tcBorders>
            <w:shd w:val="clear" w:color="auto" w:fill="auto"/>
            <w:noWrap/>
            <w:vAlign w:val="bottom"/>
            <w:hideMark/>
          </w:tcPr>
          <w:p w14:paraId="707DED79" w14:textId="77777777" w:rsidR="0052522E" w:rsidRPr="00DA5237" w:rsidRDefault="0052522E" w:rsidP="0052522E">
            <w:pPr>
              <w:spacing w:line="240" w:lineRule="auto"/>
              <w:jc w:val="center"/>
              <w:rPr>
                <w:rFonts w:cs="Times New Roman"/>
                <w:color w:val="000000"/>
              </w:rPr>
            </w:pPr>
            <w:r w:rsidRPr="00DA5237">
              <w:rPr>
                <w:rFonts w:cs="Times New Roman"/>
                <w:color w:val="000000"/>
              </w:rPr>
              <w:t>U</w:t>
            </w:r>
            <w:r>
              <w:rPr>
                <w:rFonts w:cs="Times New Roman"/>
                <w:color w:val="000000"/>
              </w:rPr>
              <w:t>-67</w:t>
            </w:r>
          </w:p>
        </w:tc>
        <w:tc>
          <w:tcPr>
            <w:tcW w:w="1559" w:type="dxa"/>
            <w:tcBorders>
              <w:top w:val="nil"/>
              <w:left w:val="nil"/>
              <w:bottom w:val="nil"/>
              <w:right w:val="nil"/>
            </w:tcBorders>
            <w:shd w:val="clear" w:color="auto" w:fill="auto"/>
            <w:noWrap/>
            <w:vAlign w:val="bottom"/>
            <w:hideMark/>
          </w:tcPr>
          <w:p w14:paraId="2A0C30AC" w14:textId="77777777" w:rsidR="0052522E" w:rsidRPr="00DA5237" w:rsidRDefault="0052522E" w:rsidP="0052522E">
            <w:pPr>
              <w:spacing w:line="240" w:lineRule="auto"/>
              <w:jc w:val="center"/>
              <w:rPr>
                <w:rFonts w:cs="Times New Roman"/>
                <w:color w:val="000000"/>
              </w:rPr>
            </w:pPr>
            <w:r w:rsidRPr="00DA5237">
              <w:rPr>
                <w:rFonts w:cs="Times New Roman"/>
                <w:color w:val="000000"/>
              </w:rPr>
              <w:t>482.3</w:t>
            </w:r>
          </w:p>
        </w:tc>
        <w:tc>
          <w:tcPr>
            <w:tcW w:w="1710" w:type="dxa"/>
            <w:tcBorders>
              <w:top w:val="nil"/>
              <w:left w:val="nil"/>
              <w:bottom w:val="nil"/>
              <w:right w:val="nil"/>
            </w:tcBorders>
            <w:shd w:val="clear" w:color="auto" w:fill="auto"/>
            <w:noWrap/>
            <w:vAlign w:val="bottom"/>
            <w:hideMark/>
          </w:tcPr>
          <w:p w14:paraId="30B3F7C0" w14:textId="77777777" w:rsidR="0052522E" w:rsidRPr="00DA5237" w:rsidRDefault="0052522E" w:rsidP="0052522E">
            <w:pPr>
              <w:spacing w:line="240" w:lineRule="auto"/>
              <w:jc w:val="center"/>
              <w:rPr>
                <w:rFonts w:cs="Times New Roman"/>
                <w:color w:val="000000"/>
              </w:rPr>
            </w:pPr>
            <w:r w:rsidRPr="00DA5237">
              <w:rPr>
                <w:rFonts w:cs="Times New Roman"/>
                <w:color w:val="000000"/>
              </w:rPr>
              <w:t>478.6</w:t>
            </w:r>
          </w:p>
        </w:tc>
        <w:tc>
          <w:tcPr>
            <w:tcW w:w="1170" w:type="dxa"/>
            <w:tcBorders>
              <w:top w:val="nil"/>
              <w:left w:val="nil"/>
              <w:bottom w:val="nil"/>
              <w:right w:val="nil"/>
            </w:tcBorders>
            <w:shd w:val="clear" w:color="auto" w:fill="auto"/>
            <w:noWrap/>
            <w:vAlign w:val="bottom"/>
            <w:hideMark/>
          </w:tcPr>
          <w:p w14:paraId="03343C3F" w14:textId="77777777" w:rsidR="0052522E" w:rsidRPr="00DA5237" w:rsidRDefault="0052522E" w:rsidP="0052522E">
            <w:pPr>
              <w:spacing w:line="240" w:lineRule="auto"/>
              <w:jc w:val="center"/>
              <w:rPr>
                <w:rFonts w:cs="Times New Roman"/>
                <w:color w:val="000000"/>
              </w:rPr>
            </w:pPr>
            <w:r w:rsidRPr="00DA5237">
              <w:rPr>
                <w:rFonts w:cs="Times New Roman"/>
                <w:color w:val="000000"/>
              </w:rPr>
              <w:t>473.5</w:t>
            </w:r>
          </w:p>
        </w:tc>
        <w:tc>
          <w:tcPr>
            <w:tcW w:w="1260" w:type="dxa"/>
            <w:tcBorders>
              <w:top w:val="nil"/>
              <w:left w:val="nil"/>
              <w:bottom w:val="nil"/>
              <w:right w:val="nil"/>
            </w:tcBorders>
            <w:shd w:val="clear" w:color="auto" w:fill="auto"/>
            <w:noWrap/>
            <w:vAlign w:val="bottom"/>
            <w:hideMark/>
          </w:tcPr>
          <w:p w14:paraId="05F7F8E8" w14:textId="77777777" w:rsidR="0052522E" w:rsidRPr="00DA5237" w:rsidRDefault="0052522E" w:rsidP="0052522E">
            <w:pPr>
              <w:spacing w:line="240" w:lineRule="auto"/>
              <w:jc w:val="center"/>
              <w:rPr>
                <w:rFonts w:cs="Times New Roman"/>
                <w:color w:val="000000"/>
              </w:rPr>
            </w:pPr>
            <w:r w:rsidRPr="00DA5237">
              <w:rPr>
                <w:rFonts w:cs="Times New Roman"/>
                <w:color w:val="000000"/>
              </w:rPr>
              <w:t>474.8</w:t>
            </w:r>
          </w:p>
        </w:tc>
        <w:tc>
          <w:tcPr>
            <w:tcW w:w="1040" w:type="dxa"/>
            <w:tcBorders>
              <w:top w:val="nil"/>
              <w:left w:val="nil"/>
              <w:bottom w:val="nil"/>
              <w:right w:val="nil"/>
            </w:tcBorders>
            <w:shd w:val="clear" w:color="auto" w:fill="auto"/>
            <w:noWrap/>
            <w:vAlign w:val="bottom"/>
            <w:hideMark/>
          </w:tcPr>
          <w:p w14:paraId="1514A2B8" w14:textId="77777777" w:rsidR="0052522E" w:rsidRPr="00DA5237" w:rsidRDefault="0052522E" w:rsidP="0052522E">
            <w:pPr>
              <w:spacing w:line="240" w:lineRule="auto"/>
              <w:jc w:val="center"/>
              <w:rPr>
                <w:rFonts w:cs="Times New Roman"/>
                <w:i/>
                <w:iCs/>
                <w:color w:val="000000"/>
              </w:rPr>
            </w:pPr>
            <w:r w:rsidRPr="00DA5237">
              <w:rPr>
                <w:rFonts w:cs="Times New Roman"/>
                <w:i/>
                <w:iCs/>
                <w:color w:val="000000"/>
              </w:rPr>
              <w:t>&gt;0.05</w:t>
            </w:r>
          </w:p>
        </w:tc>
      </w:tr>
      <w:tr w:rsidR="0052522E" w:rsidRPr="00DA5237" w14:paraId="4B1FD8A0" w14:textId="77777777" w:rsidTr="0052522E">
        <w:trPr>
          <w:trHeight w:val="315"/>
        </w:trPr>
        <w:tc>
          <w:tcPr>
            <w:tcW w:w="1501" w:type="dxa"/>
            <w:tcBorders>
              <w:top w:val="nil"/>
              <w:left w:val="nil"/>
              <w:bottom w:val="nil"/>
              <w:right w:val="nil"/>
            </w:tcBorders>
            <w:shd w:val="clear" w:color="auto" w:fill="auto"/>
            <w:noWrap/>
            <w:vAlign w:val="bottom"/>
            <w:hideMark/>
          </w:tcPr>
          <w:p w14:paraId="1BE268DB" w14:textId="77777777" w:rsidR="0052522E" w:rsidRPr="00DA5237" w:rsidRDefault="0052522E" w:rsidP="0052522E">
            <w:pPr>
              <w:spacing w:line="240" w:lineRule="auto"/>
              <w:jc w:val="center"/>
              <w:rPr>
                <w:rFonts w:cs="Times New Roman"/>
                <w:color w:val="000000"/>
              </w:rPr>
            </w:pPr>
            <w:r w:rsidRPr="00DA5237">
              <w:rPr>
                <w:rFonts w:cs="Times New Roman"/>
                <w:color w:val="000000"/>
              </w:rPr>
              <w:t>A</w:t>
            </w:r>
            <w:r>
              <w:rPr>
                <w:rFonts w:cs="Times New Roman"/>
                <w:color w:val="000000"/>
              </w:rPr>
              <w:t>-67</w:t>
            </w:r>
          </w:p>
        </w:tc>
        <w:tc>
          <w:tcPr>
            <w:tcW w:w="1559" w:type="dxa"/>
            <w:tcBorders>
              <w:top w:val="nil"/>
              <w:left w:val="nil"/>
              <w:bottom w:val="nil"/>
              <w:right w:val="nil"/>
            </w:tcBorders>
            <w:shd w:val="clear" w:color="auto" w:fill="auto"/>
            <w:noWrap/>
            <w:vAlign w:val="bottom"/>
            <w:hideMark/>
          </w:tcPr>
          <w:p w14:paraId="57DD68D5" w14:textId="77777777" w:rsidR="0052522E" w:rsidRPr="00DA5237" w:rsidRDefault="0052522E" w:rsidP="0052522E">
            <w:pPr>
              <w:spacing w:line="240" w:lineRule="auto"/>
              <w:jc w:val="center"/>
              <w:rPr>
                <w:rFonts w:cs="Times New Roman"/>
                <w:color w:val="000000"/>
              </w:rPr>
            </w:pPr>
            <w:r w:rsidRPr="00DA5237">
              <w:rPr>
                <w:rFonts w:cs="Times New Roman"/>
                <w:color w:val="000000"/>
              </w:rPr>
              <w:t>479.3</w:t>
            </w:r>
          </w:p>
        </w:tc>
        <w:tc>
          <w:tcPr>
            <w:tcW w:w="1710" w:type="dxa"/>
            <w:tcBorders>
              <w:top w:val="nil"/>
              <w:left w:val="nil"/>
              <w:bottom w:val="nil"/>
              <w:right w:val="nil"/>
            </w:tcBorders>
            <w:shd w:val="clear" w:color="auto" w:fill="auto"/>
            <w:noWrap/>
            <w:vAlign w:val="bottom"/>
            <w:hideMark/>
          </w:tcPr>
          <w:p w14:paraId="640B93F6" w14:textId="77777777" w:rsidR="0052522E" w:rsidRPr="00DA5237" w:rsidRDefault="0052522E" w:rsidP="0052522E">
            <w:pPr>
              <w:spacing w:line="240" w:lineRule="auto"/>
              <w:jc w:val="center"/>
              <w:rPr>
                <w:rFonts w:cs="Times New Roman"/>
                <w:color w:val="000000"/>
              </w:rPr>
            </w:pPr>
            <w:r w:rsidRPr="00DA5237">
              <w:rPr>
                <w:rFonts w:cs="Times New Roman"/>
                <w:color w:val="000000"/>
              </w:rPr>
              <w:t>467.3</w:t>
            </w:r>
          </w:p>
        </w:tc>
        <w:tc>
          <w:tcPr>
            <w:tcW w:w="1170" w:type="dxa"/>
            <w:tcBorders>
              <w:top w:val="nil"/>
              <w:left w:val="nil"/>
              <w:bottom w:val="nil"/>
              <w:right w:val="nil"/>
            </w:tcBorders>
            <w:shd w:val="clear" w:color="auto" w:fill="auto"/>
            <w:noWrap/>
            <w:vAlign w:val="bottom"/>
            <w:hideMark/>
          </w:tcPr>
          <w:p w14:paraId="2B382361" w14:textId="77777777" w:rsidR="0052522E" w:rsidRPr="00DA5237" w:rsidRDefault="0052522E" w:rsidP="0052522E">
            <w:pPr>
              <w:spacing w:line="240" w:lineRule="auto"/>
              <w:jc w:val="center"/>
              <w:rPr>
                <w:rFonts w:cs="Times New Roman"/>
                <w:color w:val="000000"/>
              </w:rPr>
            </w:pPr>
            <w:r w:rsidRPr="00DA5237">
              <w:rPr>
                <w:rFonts w:cs="Times New Roman"/>
                <w:color w:val="000000"/>
              </w:rPr>
              <w:t>473.9</w:t>
            </w:r>
          </w:p>
        </w:tc>
        <w:tc>
          <w:tcPr>
            <w:tcW w:w="1260" w:type="dxa"/>
            <w:tcBorders>
              <w:top w:val="nil"/>
              <w:left w:val="nil"/>
              <w:bottom w:val="nil"/>
              <w:right w:val="nil"/>
            </w:tcBorders>
            <w:shd w:val="clear" w:color="auto" w:fill="auto"/>
            <w:noWrap/>
            <w:vAlign w:val="bottom"/>
            <w:hideMark/>
          </w:tcPr>
          <w:p w14:paraId="23B20001" w14:textId="77777777" w:rsidR="0052522E" w:rsidRPr="00DA5237" w:rsidRDefault="0052522E" w:rsidP="0052522E">
            <w:pPr>
              <w:spacing w:line="240" w:lineRule="auto"/>
              <w:jc w:val="center"/>
              <w:rPr>
                <w:rFonts w:cs="Times New Roman"/>
                <w:color w:val="000000"/>
              </w:rPr>
            </w:pPr>
            <w:r w:rsidRPr="00DA5237">
              <w:rPr>
                <w:rFonts w:cs="Times New Roman"/>
                <w:color w:val="000000"/>
              </w:rPr>
              <w:t>471.0</w:t>
            </w:r>
          </w:p>
        </w:tc>
        <w:tc>
          <w:tcPr>
            <w:tcW w:w="1040" w:type="dxa"/>
            <w:tcBorders>
              <w:top w:val="nil"/>
              <w:left w:val="nil"/>
              <w:bottom w:val="nil"/>
              <w:right w:val="nil"/>
            </w:tcBorders>
            <w:shd w:val="clear" w:color="auto" w:fill="auto"/>
            <w:noWrap/>
            <w:vAlign w:val="bottom"/>
            <w:hideMark/>
          </w:tcPr>
          <w:p w14:paraId="7EB6EFF0" w14:textId="77777777" w:rsidR="0052522E" w:rsidRPr="00DA5237" w:rsidRDefault="0052522E" w:rsidP="0052522E">
            <w:pPr>
              <w:spacing w:line="240" w:lineRule="auto"/>
              <w:jc w:val="center"/>
              <w:rPr>
                <w:rFonts w:cs="Times New Roman"/>
                <w:i/>
                <w:iCs/>
                <w:color w:val="000000"/>
              </w:rPr>
            </w:pPr>
            <w:r w:rsidRPr="00DA5237">
              <w:rPr>
                <w:rFonts w:cs="Times New Roman"/>
                <w:i/>
                <w:iCs/>
                <w:color w:val="000000"/>
              </w:rPr>
              <w:t>&gt;0.05</w:t>
            </w:r>
          </w:p>
        </w:tc>
      </w:tr>
      <w:tr w:rsidR="0052522E" w:rsidRPr="00DA5237" w14:paraId="39B7BB27" w14:textId="77777777" w:rsidTr="0052522E">
        <w:trPr>
          <w:trHeight w:val="315"/>
        </w:trPr>
        <w:tc>
          <w:tcPr>
            <w:tcW w:w="1501" w:type="dxa"/>
            <w:tcBorders>
              <w:top w:val="nil"/>
              <w:left w:val="nil"/>
              <w:bottom w:val="nil"/>
              <w:right w:val="nil"/>
            </w:tcBorders>
            <w:shd w:val="clear" w:color="auto" w:fill="auto"/>
            <w:noWrap/>
            <w:vAlign w:val="bottom"/>
            <w:hideMark/>
          </w:tcPr>
          <w:p w14:paraId="1FC65781" w14:textId="77777777" w:rsidR="0052522E" w:rsidRPr="00DA5237" w:rsidRDefault="0052522E" w:rsidP="0052522E">
            <w:pPr>
              <w:spacing w:line="240" w:lineRule="auto"/>
              <w:jc w:val="center"/>
              <w:rPr>
                <w:rFonts w:cs="Times New Roman"/>
                <w:color w:val="000000"/>
              </w:rPr>
            </w:pPr>
            <w:r w:rsidRPr="00DA5237">
              <w:rPr>
                <w:rFonts w:cs="Times New Roman"/>
                <w:i/>
                <w:iCs/>
                <w:color w:val="000000"/>
              </w:rPr>
              <w:t>P</w:t>
            </w:r>
            <w:r w:rsidRPr="00DA5237">
              <w:rPr>
                <w:rFonts w:cs="Times New Roman"/>
                <w:color w:val="000000"/>
              </w:rPr>
              <w:t>-value</w:t>
            </w:r>
          </w:p>
        </w:tc>
        <w:tc>
          <w:tcPr>
            <w:tcW w:w="1559" w:type="dxa"/>
            <w:tcBorders>
              <w:top w:val="nil"/>
              <w:left w:val="nil"/>
              <w:bottom w:val="nil"/>
              <w:right w:val="nil"/>
            </w:tcBorders>
            <w:shd w:val="clear" w:color="auto" w:fill="auto"/>
            <w:noWrap/>
            <w:vAlign w:val="bottom"/>
            <w:hideMark/>
          </w:tcPr>
          <w:p w14:paraId="1717C07D" w14:textId="77777777" w:rsidR="0052522E" w:rsidRPr="00DA5237" w:rsidRDefault="0052522E" w:rsidP="0052522E">
            <w:pPr>
              <w:spacing w:line="240" w:lineRule="auto"/>
              <w:jc w:val="center"/>
              <w:rPr>
                <w:rFonts w:cs="Times New Roman"/>
                <w:i/>
                <w:iCs/>
                <w:color w:val="000000"/>
              </w:rPr>
            </w:pPr>
            <w:r w:rsidRPr="00DA5237">
              <w:rPr>
                <w:rFonts w:cs="Times New Roman"/>
                <w:i/>
                <w:iCs/>
                <w:color w:val="000000"/>
              </w:rPr>
              <w:t>&gt;0.05</w:t>
            </w:r>
          </w:p>
        </w:tc>
        <w:tc>
          <w:tcPr>
            <w:tcW w:w="1710" w:type="dxa"/>
            <w:tcBorders>
              <w:top w:val="nil"/>
              <w:left w:val="nil"/>
              <w:bottom w:val="nil"/>
              <w:right w:val="nil"/>
            </w:tcBorders>
            <w:shd w:val="clear" w:color="auto" w:fill="auto"/>
            <w:noWrap/>
            <w:vAlign w:val="bottom"/>
            <w:hideMark/>
          </w:tcPr>
          <w:p w14:paraId="05403FF9" w14:textId="77777777" w:rsidR="0052522E" w:rsidRPr="00DA5237" w:rsidRDefault="0052522E" w:rsidP="0052522E">
            <w:pPr>
              <w:spacing w:line="240" w:lineRule="auto"/>
              <w:jc w:val="center"/>
              <w:rPr>
                <w:rFonts w:cs="Times New Roman"/>
                <w:i/>
                <w:iCs/>
                <w:color w:val="000000"/>
              </w:rPr>
            </w:pPr>
            <w:r w:rsidRPr="00DA5237">
              <w:rPr>
                <w:rFonts w:cs="Times New Roman"/>
                <w:i/>
                <w:iCs/>
                <w:color w:val="000000"/>
              </w:rPr>
              <w:t>&gt;0.05</w:t>
            </w:r>
          </w:p>
        </w:tc>
        <w:tc>
          <w:tcPr>
            <w:tcW w:w="1170" w:type="dxa"/>
            <w:tcBorders>
              <w:top w:val="nil"/>
              <w:left w:val="nil"/>
              <w:bottom w:val="nil"/>
              <w:right w:val="nil"/>
            </w:tcBorders>
            <w:shd w:val="clear" w:color="auto" w:fill="auto"/>
            <w:noWrap/>
            <w:vAlign w:val="bottom"/>
            <w:hideMark/>
          </w:tcPr>
          <w:p w14:paraId="0CE2EEA7" w14:textId="77777777" w:rsidR="0052522E" w:rsidRPr="00DA5237" w:rsidRDefault="0052522E" w:rsidP="0052522E">
            <w:pPr>
              <w:spacing w:line="240" w:lineRule="auto"/>
              <w:jc w:val="center"/>
              <w:rPr>
                <w:rFonts w:cs="Times New Roman"/>
                <w:i/>
                <w:iCs/>
                <w:color w:val="000000"/>
              </w:rPr>
            </w:pPr>
            <w:r w:rsidRPr="00DA5237">
              <w:rPr>
                <w:rFonts w:cs="Times New Roman"/>
                <w:i/>
                <w:iCs/>
                <w:color w:val="000000"/>
              </w:rPr>
              <w:t>&gt;0.05</w:t>
            </w:r>
          </w:p>
        </w:tc>
        <w:tc>
          <w:tcPr>
            <w:tcW w:w="1260" w:type="dxa"/>
            <w:tcBorders>
              <w:top w:val="nil"/>
              <w:left w:val="nil"/>
              <w:bottom w:val="nil"/>
              <w:right w:val="nil"/>
            </w:tcBorders>
            <w:shd w:val="clear" w:color="auto" w:fill="auto"/>
            <w:noWrap/>
            <w:vAlign w:val="bottom"/>
            <w:hideMark/>
          </w:tcPr>
          <w:p w14:paraId="78EA432C" w14:textId="77777777" w:rsidR="0052522E" w:rsidRPr="00DA5237" w:rsidRDefault="0052522E" w:rsidP="0052522E">
            <w:pPr>
              <w:spacing w:line="240" w:lineRule="auto"/>
              <w:jc w:val="center"/>
              <w:rPr>
                <w:rFonts w:cs="Times New Roman"/>
                <w:i/>
                <w:iCs/>
                <w:color w:val="000000"/>
              </w:rPr>
            </w:pPr>
            <w:r w:rsidRPr="00DA5237">
              <w:rPr>
                <w:rFonts w:cs="Times New Roman"/>
                <w:i/>
                <w:iCs/>
                <w:color w:val="000000"/>
              </w:rPr>
              <w:t>&gt;0.05</w:t>
            </w:r>
          </w:p>
        </w:tc>
        <w:tc>
          <w:tcPr>
            <w:tcW w:w="1040" w:type="dxa"/>
            <w:tcBorders>
              <w:top w:val="nil"/>
              <w:left w:val="nil"/>
              <w:bottom w:val="nil"/>
              <w:right w:val="nil"/>
            </w:tcBorders>
            <w:shd w:val="clear" w:color="auto" w:fill="auto"/>
            <w:noWrap/>
            <w:vAlign w:val="bottom"/>
            <w:hideMark/>
          </w:tcPr>
          <w:p w14:paraId="4E1FEC44" w14:textId="77777777" w:rsidR="0052522E" w:rsidRPr="00DA5237" w:rsidRDefault="0052522E" w:rsidP="0052522E">
            <w:pPr>
              <w:spacing w:line="240" w:lineRule="auto"/>
              <w:rPr>
                <w:rFonts w:cs="Times New Roman"/>
                <w:sz w:val="20"/>
                <w:szCs w:val="20"/>
              </w:rPr>
            </w:pPr>
          </w:p>
        </w:tc>
      </w:tr>
      <w:tr w:rsidR="0052522E" w:rsidRPr="00DA5237" w14:paraId="339A2FA1" w14:textId="77777777" w:rsidTr="0052522E">
        <w:trPr>
          <w:trHeight w:val="315"/>
        </w:trPr>
        <w:tc>
          <w:tcPr>
            <w:tcW w:w="8240" w:type="dxa"/>
            <w:gridSpan w:val="6"/>
            <w:tcBorders>
              <w:top w:val="single" w:sz="4" w:space="0" w:color="auto"/>
              <w:left w:val="nil"/>
              <w:bottom w:val="nil"/>
              <w:right w:val="nil"/>
            </w:tcBorders>
            <w:shd w:val="clear" w:color="auto" w:fill="auto"/>
            <w:noWrap/>
            <w:vAlign w:val="center"/>
            <w:hideMark/>
          </w:tcPr>
          <w:p w14:paraId="5893A7D3" w14:textId="77777777" w:rsidR="0052522E" w:rsidRPr="00DA5237" w:rsidRDefault="0052522E" w:rsidP="0052522E">
            <w:pPr>
              <w:spacing w:line="240" w:lineRule="auto"/>
              <w:rPr>
                <w:rFonts w:cs="Times New Roman"/>
                <w:color w:val="000000"/>
              </w:rPr>
            </w:pPr>
            <w:r w:rsidRPr="00DA5237">
              <w:rPr>
                <w:rFonts w:cs="Times New Roman"/>
                <w:color w:val="000000"/>
              </w:rPr>
              <w:t xml:space="preserve">Means within a column differ each </w:t>
            </w:r>
            <w:r w:rsidRPr="00711096">
              <w:t>inoculation</w:t>
            </w:r>
            <w:r>
              <w:rPr>
                <w:b/>
                <w:bCs/>
                <w:i/>
                <w:iCs/>
              </w:rPr>
              <w:t xml:space="preserve"> </w:t>
            </w:r>
            <w:r w:rsidRPr="00DA5237">
              <w:rPr>
                <w:rFonts w:cs="Times New Roman"/>
                <w:color w:val="000000"/>
              </w:rPr>
              <w:t xml:space="preserve">into </w:t>
            </w:r>
            <w:r>
              <w:t xml:space="preserve">N strategies </w:t>
            </w:r>
            <w:r w:rsidRPr="00DA5237">
              <w:rPr>
                <w:rFonts w:cs="Times New Roman"/>
                <w:color w:val="000000"/>
              </w:rPr>
              <w:t>(</w:t>
            </w:r>
            <w:r w:rsidRPr="00A70E8C">
              <w:rPr>
                <w:rFonts w:cs="Times New Roman"/>
                <w:i/>
                <w:iCs/>
                <w:color w:val="000000"/>
              </w:rPr>
              <w:t>P</w:t>
            </w:r>
            <w:r w:rsidRPr="00DA5237">
              <w:rPr>
                <w:rFonts w:cs="Times New Roman"/>
                <w:color w:val="000000"/>
              </w:rPr>
              <w:t xml:space="preserve"> &lt; .05). </w:t>
            </w:r>
          </w:p>
        </w:tc>
      </w:tr>
      <w:tr w:rsidR="0052522E" w:rsidRPr="00DA5237" w14:paraId="5F9F7317" w14:textId="77777777" w:rsidTr="0052522E">
        <w:trPr>
          <w:trHeight w:val="315"/>
        </w:trPr>
        <w:tc>
          <w:tcPr>
            <w:tcW w:w="8240" w:type="dxa"/>
            <w:gridSpan w:val="6"/>
            <w:tcBorders>
              <w:top w:val="nil"/>
              <w:left w:val="nil"/>
              <w:bottom w:val="nil"/>
              <w:right w:val="nil"/>
            </w:tcBorders>
            <w:shd w:val="clear" w:color="auto" w:fill="auto"/>
            <w:noWrap/>
            <w:vAlign w:val="center"/>
            <w:hideMark/>
          </w:tcPr>
          <w:p w14:paraId="3D22157F" w14:textId="77777777" w:rsidR="0052522E" w:rsidRPr="00DA5237" w:rsidRDefault="0052522E" w:rsidP="0052522E">
            <w:pPr>
              <w:spacing w:line="240" w:lineRule="auto"/>
              <w:rPr>
                <w:rFonts w:cs="Times New Roman"/>
                <w:color w:val="000000"/>
              </w:rPr>
            </w:pPr>
            <w:r w:rsidRPr="00DA5237">
              <w:rPr>
                <w:rFonts w:cs="Times New Roman"/>
                <w:color w:val="000000"/>
              </w:rPr>
              <w:t xml:space="preserve">Means without within a row differ each </w:t>
            </w:r>
            <w:r>
              <w:t xml:space="preserve">N strategies </w:t>
            </w:r>
            <w:r w:rsidRPr="00DA5237">
              <w:rPr>
                <w:rFonts w:cs="Times New Roman"/>
                <w:color w:val="000000"/>
              </w:rPr>
              <w:t xml:space="preserve">into </w:t>
            </w:r>
            <w:r w:rsidRPr="00711096">
              <w:t>inoculation</w:t>
            </w:r>
            <w:r>
              <w:rPr>
                <w:b/>
                <w:bCs/>
                <w:i/>
                <w:iCs/>
              </w:rPr>
              <w:t xml:space="preserve"> </w:t>
            </w:r>
            <w:r w:rsidRPr="00DA5237">
              <w:rPr>
                <w:rFonts w:cs="Times New Roman"/>
                <w:color w:val="000000"/>
              </w:rPr>
              <w:t>(</w:t>
            </w:r>
            <w:r>
              <w:rPr>
                <w:rFonts w:cs="Times New Roman"/>
                <w:i/>
                <w:iCs/>
                <w:color w:val="000000"/>
              </w:rPr>
              <w:t>P</w:t>
            </w:r>
            <w:r w:rsidRPr="00DA5237">
              <w:rPr>
                <w:rFonts w:cs="Times New Roman"/>
                <w:color w:val="000000"/>
              </w:rPr>
              <w:t xml:space="preserve"> &lt; .05).</w:t>
            </w:r>
          </w:p>
        </w:tc>
      </w:tr>
      <w:tr w:rsidR="0052522E" w:rsidRPr="00DA5237" w14:paraId="75FB4457" w14:textId="77777777" w:rsidTr="0052522E">
        <w:trPr>
          <w:trHeight w:val="360"/>
        </w:trPr>
        <w:tc>
          <w:tcPr>
            <w:tcW w:w="8240" w:type="dxa"/>
            <w:gridSpan w:val="6"/>
            <w:tcBorders>
              <w:top w:val="nil"/>
              <w:left w:val="nil"/>
              <w:bottom w:val="nil"/>
              <w:right w:val="nil"/>
            </w:tcBorders>
            <w:shd w:val="clear" w:color="auto" w:fill="auto"/>
            <w:noWrap/>
            <w:vAlign w:val="center"/>
            <w:hideMark/>
          </w:tcPr>
          <w:p w14:paraId="030F1DEA" w14:textId="77777777" w:rsidR="0052522E" w:rsidRPr="00DA5237" w:rsidRDefault="0052522E" w:rsidP="0052522E">
            <w:pPr>
              <w:spacing w:line="240" w:lineRule="auto"/>
              <w:rPr>
                <w:rFonts w:ascii="Symbol" w:hAnsi="Symbol" w:cs="Times New Roman"/>
                <w:color w:val="000000"/>
              </w:rPr>
            </w:pPr>
            <w:r>
              <w:rPr>
                <w:rFonts w:cs="Times New Roman"/>
                <w:color w:val="000000"/>
              </w:rPr>
              <w:t>SEM = 6.8.</w:t>
            </w:r>
          </w:p>
        </w:tc>
      </w:tr>
      <w:tr w:rsidR="0052522E" w:rsidRPr="00DA5237" w14:paraId="2E4E8FA7" w14:textId="77777777" w:rsidTr="0052522E">
        <w:trPr>
          <w:trHeight w:val="840"/>
        </w:trPr>
        <w:tc>
          <w:tcPr>
            <w:tcW w:w="8240" w:type="dxa"/>
            <w:gridSpan w:val="6"/>
            <w:tcBorders>
              <w:top w:val="nil"/>
              <w:left w:val="nil"/>
              <w:bottom w:val="nil"/>
              <w:right w:val="nil"/>
            </w:tcBorders>
            <w:shd w:val="clear" w:color="auto" w:fill="auto"/>
            <w:vAlign w:val="center"/>
            <w:hideMark/>
          </w:tcPr>
          <w:p w14:paraId="4379AF80" w14:textId="77777777" w:rsidR="0052522E" w:rsidRPr="00DA5237" w:rsidRDefault="0052522E" w:rsidP="0052522E">
            <w:pPr>
              <w:spacing w:line="240" w:lineRule="auto"/>
              <w:rPr>
                <w:rFonts w:cs="Times New Roman"/>
                <w:i/>
                <w:iCs/>
                <w:color w:val="000000"/>
              </w:rPr>
            </w:pPr>
            <w:r w:rsidRPr="00DA5237">
              <w:rPr>
                <w:rFonts w:cs="Times New Roman"/>
                <w:i/>
                <w:iCs/>
                <w:color w:val="000000"/>
              </w:rPr>
              <w:t>Note</w:t>
            </w:r>
            <w:r w:rsidRPr="00DA5237">
              <w:rPr>
                <w:rFonts w:cs="Times New Roman"/>
                <w:color w:val="000000"/>
              </w:rPr>
              <w:t xml:space="preserve">: DH-44, </w:t>
            </w:r>
            <w:proofErr w:type="spellStart"/>
            <w:r w:rsidRPr="00DA5237">
              <w:rPr>
                <w:rFonts w:cs="Times New Roman"/>
                <w:i/>
                <w:iCs/>
                <w:color w:val="000000"/>
              </w:rPr>
              <w:t>Paenibacillus</w:t>
            </w:r>
            <w:proofErr w:type="spellEnd"/>
            <w:r w:rsidRPr="00DA5237">
              <w:rPr>
                <w:rFonts w:cs="Times New Roman"/>
                <w:i/>
                <w:iCs/>
                <w:color w:val="000000"/>
              </w:rPr>
              <w:t xml:space="preserve"> </w:t>
            </w:r>
            <w:proofErr w:type="spellStart"/>
            <w:r w:rsidRPr="00DA5237">
              <w:rPr>
                <w:rFonts w:cs="Times New Roman"/>
                <w:i/>
                <w:iCs/>
                <w:color w:val="000000"/>
              </w:rPr>
              <w:t>riograndensis</w:t>
            </w:r>
            <w:proofErr w:type="spellEnd"/>
            <w:r w:rsidRPr="00DA5237">
              <w:rPr>
                <w:rFonts w:cs="Times New Roman"/>
                <w:color w:val="000000"/>
              </w:rPr>
              <w:t xml:space="preserve">; C-PGPB, </w:t>
            </w:r>
            <w:proofErr w:type="spellStart"/>
            <w:r w:rsidRPr="00DA5237">
              <w:rPr>
                <w:rFonts w:cs="Times New Roman"/>
                <w:color w:val="000000"/>
              </w:rPr>
              <w:t>UrtrishaN</w:t>
            </w:r>
            <w:proofErr w:type="spellEnd"/>
            <w:r w:rsidRPr="00DA5237">
              <w:rPr>
                <w:rFonts w:cs="Times New Roman"/>
                <w:color w:val="000000"/>
              </w:rPr>
              <w:t xml:space="preserve">; DH-267, </w:t>
            </w:r>
            <w:r w:rsidRPr="00DA5237">
              <w:rPr>
                <w:rFonts w:cs="Times New Roman"/>
                <w:i/>
                <w:iCs/>
                <w:color w:val="000000"/>
              </w:rPr>
              <w:t>Bacillus subtilis</w:t>
            </w:r>
            <w:r w:rsidRPr="00DA5237">
              <w:rPr>
                <w:rFonts w:cs="Times New Roman"/>
                <w:color w:val="000000"/>
              </w:rPr>
              <w:t>; No-PGPB, control.</w:t>
            </w:r>
          </w:p>
        </w:tc>
      </w:tr>
      <w:tr w:rsidR="0052522E" w:rsidRPr="00DA5237" w14:paraId="203C383E" w14:textId="77777777" w:rsidTr="0052522E">
        <w:trPr>
          <w:trHeight w:val="315"/>
        </w:trPr>
        <w:tc>
          <w:tcPr>
            <w:tcW w:w="8240" w:type="dxa"/>
            <w:gridSpan w:val="6"/>
            <w:tcBorders>
              <w:top w:val="nil"/>
              <w:left w:val="nil"/>
              <w:bottom w:val="nil"/>
              <w:right w:val="nil"/>
            </w:tcBorders>
            <w:shd w:val="clear" w:color="auto" w:fill="auto"/>
            <w:noWrap/>
            <w:vAlign w:val="bottom"/>
            <w:hideMark/>
          </w:tcPr>
          <w:p w14:paraId="16E9BE74" w14:textId="77777777" w:rsidR="0052522E" w:rsidRPr="00DA5237" w:rsidRDefault="0052522E" w:rsidP="0052522E">
            <w:pPr>
              <w:spacing w:line="240" w:lineRule="auto"/>
              <w:rPr>
                <w:rFonts w:cs="Times New Roman"/>
                <w:i/>
                <w:iCs/>
                <w:color w:val="000000"/>
              </w:rPr>
            </w:pPr>
            <w:r w:rsidRPr="00DA5237">
              <w:rPr>
                <w:rFonts w:cs="Times New Roman"/>
                <w:i/>
                <w:iCs/>
                <w:color w:val="000000"/>
              </w:rPr>
              <w:t>Note</w:t>
            </w:r>
            <w:r w:rsidRPr="00DA5237">
              <w:rPr>
                <w:rFonts w:cs="Times New Roman"/>
                <w:color w:val="000000"/>
              </w:rPr>
              <w:t>: U, urea; A, ammonium sulfate.</w:t>
            </w:r>
          </w:p>
        </w:tc>
      </w:tr>
    </w:tbl>
    <w:p w14:paraId="4BFADF4C" w14:textId="77777777" w:rsidR="00933462" w:rsidRDefault="00933462" w:rsidP="00AF7902">
      <w:pPr>
        <w:spacing w:line="480" w:lineRule="auto"/>
        <w:ind w:firstLine="720"/>
        <w:rPr>
          <w:rFonts w:cs="Times New Roman"/>
        </w:rPr>
      </w:pPr>
    </w:p>
    <w:p w14:paraId="2B2F888B" w14:textId="77777777" w:rsidR="000C4645" w:rsidRDefault="00A70E8C">
      <w:pPr>
        <w:spacing w:line="240" w:lineRule="auto"/>
        <w:rPr>
          <w:rFonts w:cs="Times New Roman"/>
          <w:b/>
          <w:bCs/>
          <w:i/>
        </w:rPr>
      </w:pPr>
      <w:r>
        <w:rPr>
          <w:rFonts w:cs="Times New Roman"/>
        </w:rPr>
        <w:br w:type="page"/>
      </w:r>
    </w:p>
    <w:tbl>
      <w:tblPr>
        <w:tblW w:w="7660" w:type="dxa"/>
        <w:tblCellMar>
          <w:left w:w="70" w:type="dxa"/>
          <w:right w:w="70" w:type="dxa"/>
        </w:tblCellMar>
        <w:tblLook w:val="04A0" w:firstRow="1" w:lastRow="0" w:firstColumn="1" w:lastColumn="0" w:noHBand="0" w:noVBand="1"/>
      </w:tblPr>
      <w:tblGrid>
        <w:gridCol w:w="2147"/>
        <w:gridCol w:w="2782"/>
        <w:gridCol w:w="2731"/>
      </w:tblGrid>
      <w:tr w:rsidR="000C4645" w:rsidRPr="000C4645" w14:paraId="6B8AEDF1" w14:textId="77777777" w:rsidTr="0052522E">
        <w:trPr>
          <w:trHeight w:val="980"/>
        </w:trPr>
        <w:tc>
          <w:tcPr>
            <w:tcW w:w="7660" w:type="dxa"/>
            <w:gridSpan w:val="3"/>
            <w:tcBorders>
              <w:bottom w:val="single" w:sz="4" w:space="0" w:color="auto"/>
            </w:tcBorders>
            <w:shd w:val="clear" w:color="auto" w:fill="auto"/>
            <w:vAlign w:val="bottom"/>
            <w:hideMark/>
          </w:tcPr>
          <w:p w14:paraId="599606AD" w14:textId="6815057B" w:rsidR="000C4645" w:rsidRPr="003E0A16" w:rsidRDefault="003E0A16" w:rsidP="000C4645">
            <w:pPr>
              <w:pStyle w:val="mytables"/>
              <w:rPr>
                <w:lang w:eastAsia="pt-BR"/>
              </w:rPr>
            </w:pPr>
            <w:bookmarkStart w:id="74" w:name="_Toc196315453"/>
            <w:r>
              <w:rPr>
                <w:lang w:eastAsia="pt-BR"/>
              </w:rPr>
              <w:lastRenderedPageBreak/>
              <w:t>T</w:t>
            </w:r>
            <w:r w:rsidR="000C4645" w:rsidRPr="003E0A16">
              <w:rPr>
                <w:lang w:eastAsia="pt-BR"/>
              </w:rPr>
              <w:t xml:space="preserve">able 2.9 </w:t>
            </w:r>
            <w:r w:rsidR="000C4645" w:rsidRPr="003E0A16">
              <w:rPr>
                <w:b w:val="0"/>
                <w:bCs w:val="0"/>
                <w:lang w:eastAsia="pt-BR"/>
              </w:rPr>
              <w:t xml:space="preserve">- </w:t>
            </w:r>
            <w:r w:rsidR="000C4645" w:rsidRPr="003E0A16">
              <w:rPr>
                <w:b w:val="0"/>
                <w:bCs w:val="0"/>
                <w:i/>
                <w:iCs/>
                <w:lang w:eastAsia="pt-BR"/>
              </w:rPr>
              <w:t>In vitro</w:t>
            </w:r>
            <w:r w:rsidR="000C4645" w:rsidRPr="003E0A16">
              <w:rPr>
                <w:b w:val="0"/>
                <w:bCs w:val="0"/>
                <w:lang w:eastAsia="pt-BR"/>
              </w:rPr>
              <w:t xml:space="preserve"> dry matter digestibility 48 hours (IVTDMD) of Bermudagrass across two growing seasons, 2023 and 2024, in Crossville, Tennessee, U.S.</w:t>
            </w:r>
            <w:bookmarkEnd w:id="74"/>
          </w:p>
        </w:tc>
      </w:tr>
      <w:tr w:rsidR="000C4645" w:rsidRPr="000C4645" w14:paraId="6EAD2B2C" w14:textId="77777777" w:rsidTr="0052522E">
        <w:trPr>
          <w:trHeight w:val="312"/>
        </w:trPr>
        <w:tc>
          <w:tcPr>
            <w:tcW w:w="2147" w:type="dxa"/>
            <w:vMerge w:val="restart"/>
            <w:tcBorders>
              <w:top w:val="single" w:sz="4" w:space="0" w:color="auto"/>
              <w:left w:val="nil"/>
              <w:bottom w:val="nil"/>
              <w:right w:val="nil"/>
            </w:tcBorders>
            <w:shd w:val="clear" w:color="auto" w:fill="auto"/>
            <w:noWrap/>
            <w:vAlign w:val="center"/>
            <w:hideMark/>
          </w:tcPr>
          <w:p w14:paraId="4BD72140" w14:textId="77777777" w:rsidR="000C4645" w:rsidRPr="000C4645" w:rsidRDefault="000C4645" w:rsidP="000C4645">
            <w:pPr>
              <w:spacing w:line="240" w:lineRule="auto"/>
              <w:jc w:val="center"/>
              <w:rPr>
                <w:rFonts w:cs="Times New Roman"/>
                <w:color w:val="000000"/>
                <w:lang w:val="pt-BR" w:eastAsia="pt-BR"/>
              </w:rPr>
            </w:pPr>
            <w:r w:rsidRPr="000C4645">
              <w:rPr>
                <w:rFonts w:cs="Times New Roman"/>
                <w:color w:val="000000"/>
                <w:lang w:val="pt-BR" w:eastAsia="pt-BR"/>
              </w:rPr>
              <w:t>Year</w:t>
            </w:r>
          </w:p>
        </w:tc>
        <w:tc>
          <w:tcPr>
            <w:tcW w:w="2782" w:type="dxa"/>
            <w:tcBorders>
              <w:top w:val="single" w:sz="4" w:space="0" w:color="auto"/>
              <w:left w:val="nil"/>
              <w:bottom w:val="nil"/>
              <w:right w:val="nil"/>
            </w:tcBorders>
            <w:shd w:val="clear" w:color="auto" w:fill="auto"/>
            <w:noWrap/>
            <w:vAlign w:val="bottom"/>
            <w:hideMark/>
          </w:tcPr>
          <w:p w14:paraId="172360E8" w14:textId="77777777" w:rsidR="000C4645" w:rsidRPr="000C4645" w:rsidRDefault="000C4645" w:rsidP="000C4645">
            <w:pPr>
              <w:spacing w:line="240" w:lineRule="auto"/>
              <w:jc w:val="center"/>
              <w:rPr>
                <w:rFonts w:cs="Times New Roman"/>
                <w:color w:val="000000"/>
                <w:lang w:val="pt-BR" w:eastAsia="pt-BR"/>
              </w:rPr>
            </w:pPr>
            <w:r w:rsidRPr="000C4645">
              <w:rPr>
                <w:rFonts w:cs="Times New Roman"/>
                <w:color w:val="000000"/>
                <w:lang w:val="pt-BR" w:eastAsia="pt-BR"/>
              </w:rPr>
              <w:t>IVTDMD</w:t>
            </w:r>
          </w:p>
        </w:tc>
        <w:tc>
          <w:tcPr>
            <w:tcW w:w="2731" w:type="dxa"/>
            <w:tcBorders>
              <w:top w:val="single" w:sz="4" w:space="0" w:color="auto"/>
              <w:left w:val="nil"/>
              <w:bottom w:val="nil"/>
              <w:right w:val="nil"/>
            </w:tcBorders>
            <w:shd w:val="clear" w:color="auto" w:fill="auto"/>
            <w:noWrap/>
            <w:vAlign w:val="bottom"/>
            <w:hideMark/>
          </w:tcPr>
          <w:p w14:paraId="434950CA" w14:textId="77777777" w:rsidR="000C4645" w:rsidRPr="000C4645" w:rsidRDefault="000C4645" w:rsidP="000C4645">
            <w:pPr>
              <w:spacing w:line="240" w:lineRule="auto"/>
              <w:jc w:val="center"/>
              <w:rPr>
                <w:rFonts w:cs="Times New Roman"/>
                <w:color w:val="000000"/>
                <w:lang w:val="pt-BR" w:eastAsia="pt-BR"/>
              </w:rPr>
            </w:pPr>
            <w:r w:rsidRPr="000C4645">
              <w:rPr>
                <w:rFonts w:cs="Times New Roman"/>
                <w:color w:val="000000"/>
                <w:lang w:val="pt-BR" w:eastAsia="pt-BR"/>
              </w:rPr>
              <w:t>NDFD</w:t>
            </w:r>
          </w:p>
        </w:tc>
      </w:tr>
      <w:tr w:rsidR="000C4645" w:rsidRPr="000C4645" w14:paraId="3255C4C4" w14:textId="77777777" w:rsidTr="000C4645">
        <w:trPr>
          <w:trHeight w:val="312"/>
        </w:trPr>
        <w:tc>
          <w:tcPr>
            <w:tcW w:w="2147" w:type="dxa"/>
            <w:vMerge/>
            <w:tcBorders>
              <w:top w:val="nil"/>
              <w:left w:val="nil"/>
              <w:bottom w:val="nil"/>
              <w:right w:val="nil"/>
            </w:tcBorders>
            <w:vAlign w:val="center"/>
            <w:hideMark/>
          </w:tcPr>
          <w:p w14:paraId="045E365E" w14:textId="77777777" w:rsidR="000C4645" w:rsidRPr="000C4645" w:rsidRDefault="000C4645" w:rsidP="000C4645">
            <w:pPr>
              <w:spacing w:line="240" w:lineRule="auto"/>
              <w:rPr>
                <w:rFonts w:cs="Times New Roman"/>
                <w:color w:val="000000"/>
                <w:lang w:val="pt-BR" w:eastAsia="pt-BR"/>
              </w:rPr>
            </w:pPr>
          </w:p>
        </w:tc>
        <w:tc>
          <w:tcPr>
            <w:tcW w:w="5513" w:type="dxa"/>
            <w:gridSpan w:val="2"/>
            <w:tcBorders>
              <w:top w:val="nil"/>
              <w:left w:val="nil"/>
              <w:bottom w:val="nil"/>
              <w:right w:val="nil"/>
            </w:tcBorders>
            <w:shd w:val="clear" w:color="auto" w:fill="auto"/>
            <w:noWrap/>
            <w:vAlign w:val="bottom"/>
            <w:hideMark/>
          </w:tcPr>
          <w:p w14:paraId="2D585F89" w14:textId="77777777" w:rsidR="000C4645" w:rsidRPr="000C4645" w:rsidRDefault="000C4645" w:rsidP="000C4645">
            <w:pPr>
              <w:spacing w:line="240" w:lineRule="auto"/>
              <w:jc w:val="center"/>
              <w:rPr>
                <w:rFonts w:cs="Times New Roman"/>
                <w:color w:val="000000"/>
                <w:lang w:val="pt-BR" w:eastAsia="pt-BR"/>
              </w:rPr>
            </w:pPr>
            <w:r w:rsidRPr="000C4645">
              <w:rPr>
                <w:rFonts w:cs="Times New Roman"/>
                <w:color w:val="000000"/>
                <w:lang w:val="pt-BR" w:eastAsia="pt-BR"/>
              </w:rPr>
              <w:t>------------ g kg-1------------</w:t>
            </w:r>
          </w:p>
        </w:tc>
      </w:tr>
      <w:tr w:rsidR="000C4645" w:rsidRPr="000C4645" w14:paraId="47E92A3C" w14:textId="77777777" w:rsidTr="000C4645">
        <w:trPr>
          <w:trHeight w:val="372"/>
        </w:trPr>
        <w:tc>
          <w:tcPr>
            <w:tcW w:w="2147" w:type="dxa"/>
            <w:tcBorders>
              <w:top w:val="single" w:sz="4" w:space="0" w:color="auto"/>
              <w:left w:val="nil"/>
              <w:bottom w:val="nil"/>
              <w:right w:val="nil"/>
            </w:tcBorders>
            <w:shd w:val="clear" w:color="auto" w:fill="auto"/>
            <w:noWrap/>
            <w:vAlign w:val="center"/>
            <w:hideMark/>
          </w:tcPr>
          <w:p w14:paraId="1F6A5D4F" w14:textId="77777777" w:rsidR="000C4645" w:rsidRPr="000C4645" w:rsidRDefault="000C4645" w:rsidP="000C4645">
            <w:pPr>
              <w:spacing w:line="240" w:lineRule="auto"/>
              <w:jc w:val="center"/>
              <w:rPr>
                <w:rFonts w:cs="Times New Roman"/>
                <w:color w:val="000000"/>
                <w:lang w:val="pt-BR" w:eastAsia="pt-BR"/>
              </w:rPr>
            </w:pPr>
            <w:r w:rsidRPr="000C4645">
              <w:rPr>
                <w:rFonts w:cs="Times New Roman"/>
                <w:color w:val="000000"/>
                <w:lang w:val="pt-BR" w:eastAsia="pt-BR"/>
              </w:rPr>
              <w:t>2023</w:t>
            </w:r>
          </w:p>
        </w:tc>
        <w:tc>
          <w:tcPr>
            <w:tcW w:w="2782" w:type="dxa"/>
            <w:tcBorders>
              <w:top w:val="single" w:sz="4" w:space="0" w:color="auto"/>
              <w:left w:val="nil"/>
              <w:bottom w:val="nil"/>
              <w:right w:val="nil"/>
            </w:tcBorders>
            <w:shd w:val="clear" w:color="auto" w:fill="auto"/>
            <w:noWrap/>
            <w:vAlign w:val="bottom"/>
            <w:hideMark/>
          </w:tcPr>
          <w:p w14:paraId="4E8A6BD3" w14:textId="77777777" w:rsidR="000C4645" w:rsidRPr="000C4645" w:rsidRDefault="000C4645" w:rsidP="000C4645">
            <w:pPr>
              <w:spacing w:line="240" w:lineRule="auto"/>
              <w:jc w:val="center"/>
              <w:rPr>
                <w:rFonts w:cs="Times New Roman"/>
                <w:color w:val="000000"/>
                <w:lang w:val="pt-BR" w:eastAsia="pt-BR"/>
              </w:rPr>
            </w:pPr>
            <w:r w:rsidRPr="000C4645">
              <w:rPr>
                <w:rFonts w:cs="Times New Roman"/>
                <w:color w:val="000000"/>
                <w:lang w:val="pt-BR" w:eastAsia="pt-BR"/>
              </w:rPr>
              <w:t>669</w:t>
            </w:r>
            <w:r w:rsidRPr="000C4645">
              <w:rPr>
                <w:rFonts w:cs="Times New Roman"/>
                <w:color w:val="000000"/>
                <w:vertAlign w:val="superscript"/>
                <w:lang w:val="pt-BR" w:eastAsia="pt-BR"/>
              </w:rPr>
              <w:t>B</w:t>
            </w:r>
          </w:p>
        </w:tc>
        <w:tc>
          <w:tcPr>
            <w:tcW w:w="2731" w:type="dxa"/>
            <w:tcBorders>
              <w:top w:val="single" w:sz="4" w:space="0" w:color="auto"/>
              <w:left w:val="nil"/>
              <w:bottom w:val="nil"/>
              <w:right w:val="nil"/>
            </w:tcBorders>
            <w:shd w:val="clear" w:color="auto" w:fill="auto"/>
            <w:noWrap/>
            <w:vAlign w:val="bottom"/>
            <w:hideMark/>
          </w:tcPr>
          <w:p w14:paraId="2F576C79" w14:textId="77777777" w:rsidR="000C4645" w:rsidRPr="000C4645" w:rsidRDefault="000C4645" w:rsidP="000C4645">
            <w:pPr>
              <w:spacing w:line="240" w:lineRule="auto"/>
              <w:jc w:val="center"/>
              <w:rPr>
                <w:rFonts w:cs="Times New Roman"/>
                <w:color w:val="000000"/>
                <w:lang w:val="pt-BR" w:eastAsia="pt-BR"/>
              </w:rPr>
            </w:pPr>
            <w:r w:rsidRPr="000C4645">
              <w:rPr>
                <w:rFonts w:cs="Times New Roman"/>
                <w:color w:val="000000"/>
                <w:lang w:val="pt-BR" w:eastAsia="pt-BR"/>
              </w:rPr>
              <w:t>455</w:t>
            </w:r>
            <w:r w:rsidRPr="000C4645">
              <w:rPr>
                <w:rFonts w:cs="Times New Roman"/>
                <w:color w:val="000000"/>
                <w:vertAlign w:val="superscript"/>
                <w:lang w:val="pt-BR" w:eastAsia="pt-BR"/>
              </w:rPr>
              <w:t>B</w:t>
            </w:r>
          </w:p>
        </w:tc>
      </w:tr>
      <w:tr w:rsidR="000C4645" w:rsidRPr="000C4645" w14:paraId="7AF5AA74" w14:textId="77777777" w:rsidTr="000C4645">
        <w:trPr>
          <w:trHeight w:val="372"/>
        </w:trPr>
        <w:tc>
          <w:tcPr>
            <w:tcW w:w="2147" w:type="dxa"/>
            <w:tcBorders>
              <w:top w:val="nil"/>
              <w:left w:val="nil"/>
              <w:bottom w:val="nil"/>
              <w:right w:val="nil"/>
            </w:tcBorders>
            <w:shd w:val="clear" w:color="auto" w:fill="auto"/>
            <w:noWrap/>
            <w:vAlign w:val="center"/>
            <w:hideMark/>
          </w:tcPr>
          <w:p w14:paraId="57061630" w14:textId="77777777" w:rsidR="000C4645" w:rsidRPr="000C4645" w:rsidRDefault="000C4645" w:rsidP="000C4645">
            <w:pPr>
              <w:spacing w:line="240" w:lineRule="auto"/>
              <w:jc w:val="center"/>
              <w:rPr>
                <w:rFonts w:cs="Times New Roman"/>
                <w:color w:val="000000"/>
                <w:lang w:val="pt-BR" w:eastAsia="pt-BR"/>
              </w:rPr>
            </w:pPr>
            <w:r w:rsidRPr="000C4645">
              <w:rPr>
                <w:rFonts w:cs="Times New Roman"/>
                <w:color w:val="000000"/>
                <w:lang w:val="pt-BR" w:eastAsia="pt-BR"/>
              </w:rPr>
              <w:t>2024</w:t>
            </w:r>
          </w:p>
        </w:tc>
        <w:tc>
          <w:tcPr>
            <w:tcW w:w="2782" w:type="dxa"/>
            <w:tcBorders>
              <w:top w:val="nil"/>
              <w:left w:val="nil"/>
              <w:bottom w:val="nil"/>
              <w:right w:val="nil"/>
            </w:tcBorders>
            <w:shd w:val="clear" w:color="auto" w:fill="auto"/>
            <w:noWrap/>
            <w:vAlign w:val="bottom"/>
            <w:hideMark/>
          </w:tcPr>
          <w:p w14:paraId="1F8E19D7" w14:textId="77777777" w:rsidR="000C4645" w:rsidRPr="000C4645" w:rsidRDefault="000C4645" w:rsidP="000C4645">
            <w:pPr>
              <w:spacing w:line="240" w:lineRule="auto"/>
              <w:jc w:val="center"/>
              <w:rPr>
                <w:rFonts w:cs="Times New Roman"/>
                <w:color w:val="000000"/>
                <w:lang w:val="pt-BR" w:eastAsia="pt-BR"/>
              </w:rPr>
            </w:pPr>
            <w:r w:rsidRPr="000C4645">
              <w:rPr>
                <w:rFonts w:cs="Times New Roman"/>
                <w:color w:val="000000"/>
                <w:lang w:val="pt-BR" w:eastAsia="pt-BR"/>
              </w:rPr>
              <w:t>706</w:t>
            </w:r>
            <w:r w:rsidRPr="000C4645">
              <w:rPr>
                <w:rFonts w:cs="Times New Roman"/>
                <w:color w:val="000000"/>
                <w:vertAlign w:val="superscript"/>
                <w:lang w:val="pt-BR" w:eastAsia="pt-BR"/>
              </w:rPr>
              <w:t>A</w:t>
            </w:r>
          </w:p>
        </w:tc>
        <w:tc>
          <w:tcPr>
            <w:tcW w:w="2731" w:type="dxa"/>
            <w:tcBorders>
              <w:top w:val="nil"/>
              <w:left w:val="nil"/>
              <w:bottom w:val="nil"/>
              <w:right w:val="nil"/>
            </w:tcBorders>
            <w:shd w:val="clear" w:color="auto" w:fill="auto"/>
            <w:noWrap/>
            <w:vAlign w:val="bottom"/>
            <w:hideMark/>
          </w:tcPr>
          <w:p w14:paraId="2981FDE3" w14:textId="77777777" w:rsidR="000C4645" w:rsidRPr="000C4645" w:rsidRDefault="000C4645" w:rsidP="000C4645">
            <w:pPr>
              <w:spacing w:line="240" w:lineRule="auto"/>
              <w:jc w:val="center"/>
              <w:rPr>
                <w:rFonts w:cs="Times New Roman"/>
                <w:color w:val="000000"/>
                <w:lang w:val="pt-BR" w:eastAsia="pt-BR"/>
              </w:rPr>
            </w:pPr>
            <w:r w:rsidRPr="000C4645">
              <w:rPr>
                <w:rFonts w:cs="Times New Roman"/>
                <w:color w:val="000000"/>
                <w:lang w:val="pt-BR" w:eastAsia="pt-BR"/>
              </w:rPr>
              <w:t>496</w:t>
            </w:r>
            <w:r w:rsidRPr="000C4645">
              <w:rPr>
                <w:rFonts w:cs="Times New Roman"/>
                <w:color w:val="000000"/>
                <w:vertAlign w:val="superscript"/>
                <w:lang w:val="pt-BR" w:eastAsia="pt-BR"/>
              </w:rPr>
              <w:t>A</w:t>
            </w:r>
          </w:p>
        </w:tc>
      </w:tr>
      <w:tr w:rsidR="000C4645" w:rsidRPr="000C4645" w14:paraId="3D4EEC35" w14:textId="77777777" w:rsidTr="000C4645">
        <w:trPr>
          <w:trHeight w:val="312"/>
        </w:trPr>
        <w:tc>
          <w:tcPr>
            <w:tcW w:w="2147" w:type="dxa"/>
            <w:tcBorders>
              <w:top w:val="single" w:sz="4" w:space="0" w:color="auto"/>
              <w:left w:val="nil"/>
              <w:bottom w:val="nil"/>
              <w:right w:val="nil"/>
            </w:tcBorders>
            <w:shd w:val="clear" w:color="auto" w:fill="auto"/>
            <w:noWrap/>
            <w:vAlign w:val="bottom"/>
            <w:hideMark/>
          </w:tcPr>
          <w:p w14:paraId="3D991ECC" w14:textId="77777777" w:rsidR="000C4645" w:rsidRPr="000C4645" w:rsidRDefault="000C4645" w:rsidP="000C4645">
            <w:pPr>
              <w:spacing w:line="240" w:lineRule="auto"/>
              <w:rPr>
                <w:rFonts w:cs="Times New Roman"/>
                <w:color w:val="000000"/>
                <w:lang w:val="pt-BR" w:eastAsia="pt-BR"/>
              </w:rPr>
            </w:pPr>
            <w:r w:rsidRPr="000C4645">
              <w:rPr>
                <w:rFonts w:cs="Times New Roman"/>
                <w:color w:val="000000"/>
                <w:lang w:val="pt-BR" w:eastAsia="pt-BR"/>
              </w:rPr>
              <w:t>SEM</w:t>
            </w:r>
          </w:p>
        </w:tc>
        <w:tc>
          <w:tcPr>
            <w:tcW w:w="2782" w:type="dxa"/>
            <w:tcBorders>
              <w:top w:val="single" w:sz="4" w:space="0" w:color="auto"/>
              <w:left w:val="nil"/>
              <w:bottom w:val="nil"/>
              <w:right w:val="nil"/>
            </w:tcBorders>
            <w:shd w:val="clear" w:color="auto" w:fill="auto"/>
            <w:noWrap/>
            <w:vAlign w:val="bottom"/>
            <w:hideMark/>
          </w:tcPr>
          <w:p w14:paraId="363F5F49" w14:textId="77777777" w:rsidR="000C4645" w:rsidRPr="000C4645" w:rsidRDefault="000C4645" w:rsidP="000C4645">
            <w:pPr>
              <w:spacing w:line="240" w:lineRule="auto"/>
              <w:jc w:val="center"/>
              <w:rPr>
                <w:rFonts w:cs="Times New Roman"/>
                <w:i/>
                <w:iCs/>
                <w:color w:val="000000"/>
                <w:lang w:val="pt-BR" w:eastAsia="pt-BR"/>
              </w:rPr>
            </w:pPr>
            <w:r w:rsidRPr="000C4645">
              <w:rPr>
                <w:rFonts w:cs="Times New Roman"/>
                <w:i/>
                <w:iCs/>
                <w:color w:val="000000"/>
                <w:lang w:val="pt-BR" w:eastAsia="pt-BR"/>
              </w:rPr>
              <w:t>3</w:t>
            </w:r>
          </w:p>
        </w:tc>
        <w:tc>
          <w:tcPr>
            <w:tcW w:w="2731" w:type="dxa"/>
            <w:tcBorders>
              <w:top w:val="single" w:sz="4" w:space="0" w:color="auto"/>
              <w:left w:val="nil"/>
              <w:bottom w:val="nil"/>
              <w:right w:val="nil"/>
            </w:tcBorders>
            <w:shd w:val="clear" w:color="auto" w:fill="auto"/>
            <w:noWrap/>
            <w:vAlign w:val="bottom"/>
            <w:hideMark/>
          </w:tcPr>
          <w:p w14:paraId="383751EE" w14:textId="77777777" w:rsidR="000C4645" w:rsidRPr="000C4645" w:rsidRDefault="000C4645" w:rsidP="000C4645">
            <w:pPr>
              <w:spacing w:line="240" w:lineRule="auto"/>
              <w:jc w:val="center"/>
              <w:rPr>
                <w:rFonts w:cs="Times New Roman"/>
                <w:i/>
                <w:iCs/>
                <w:color w:val="000000"/>
                <w:lang w:val="pt-BR" w:eastAsia="pt-BR"/>
              </w:rPr>
            </w:pPr>
            <w:r w:rsidRPr="000C4645">
              <w:rPr>
                <w:rFonts w:cs="Times New Roman"/>
                <w:i/>
                <w:iCs/>
                <w:color w:val="000000"/>
                <w:lang w:val="pt-BR" w:eastAsia="pt-BR"/>
              </w:rPr>
              <w:t>3.1</w:t>
            </w:r>
          </w:p>
        </w:tc>
      </w:tr>
      <w:tr w:rsidR="000C4645" w:rsidRPr="000C4645" w14:paraId="36441478" w14:textId="77777777" w:rsidTr="000C4645">
        <w:trPr>
          <w:trHeight w:val="312"/>
        </w:trPr>
        <w:tc>
          <w:tcPr>
            <w:tcW w:w="2147" w:type="dxa"/>
            <w:tcBorders>
              <w:top w:val="nil"/>
              <w:left w:val="nil"/>
              <w:bottom w:val="single" w:sz="4" w:space="0" w:color="auto"/>
              <w:right w:val="nil"/>
            </w:tcBorders>
            <w:shd w:val="clear" w:color="auto" w:fill="auto"/>
            <w:noWrap/>
            <w:vAlign w:val="bottom"/>
            <w:hideMark/>
          </w:tcPr>
          <w:p w14:paraId="17C87171" w14:textId="77777777" w:rsidR="000C4645" w:rsidRPr="000C4645" w:rsidRDefault="000C4645" w:rsidP="000C4645">
            <w:pPr>
              <w:spacing w:line="240" w:lineRule="auto"/>
              <w:rPr>
                <w:rFonts w:cs="Times New Roman"/>
                <w:color w:val="000000"/>
                <w:lang w:val="pt-BR" w:eastAsia="pt-BR"/>
              </w:rPr>
            </w:pPr>
            <w:r w:rsidRPr="000C4645">
              <w:rPr>
                <w:rFonts w:cs="Times New Roman"/>
                <w:color w:val="000000"/>
                <w:lang w:val="pt-BR" w:eastAsia="pt-BR"/>
              </w:rPr>
              <w:t>P-value</w:t>
            </w:r>
          </w:p>
        </w:tc>
        <w:tc>
          <w:tcPr>
            <w:tcW w:w="2782" w:type="dxa"/>
            <w:tcBorders>
              <w:top w:val="nil"/>
              <w:left w:val="nil"/>
              <w:bottom w:val="single" w:sz="4" w:space="0" w:color="auto"/>
              <w:right w:val="nil"/>
            </w:tcBorders>
            <w:shd w:val="clear" w:color="auto" w:fill="auto"/>
            <w:noWrap/>
            <w:vAlign w:val="bottom"/>
            <w:hideMark/>
          </w:tcPr>
          <w:p w14:paraId="7FB4BAC3" w14:textId="77777777" w:rsidR="000C4645" w:rsidRPr="000C4645" w:rsidRDefault="000C4645" w:rsidP="000C4645">
            <w:pPr>
              <w:spacing w:line="240" w:lineRule="auto"/>
              <w:jc w:val="center"/>
              <w:rPr>
                <w:rFonts w:cs="Times New Roman"/>
                <w:i/>
                <w:iCs/>
                <w:color w:val="000000"/>
                <w:lang w:val="pt-BR" w:eastAsia="pt-BR"/>
              </w:rPr>
            </w:pPr>
            <w:r w:rsidRPr="000C4645">
              <w:rPr>
                <w:rFonts w:cs="Times New Roman"/>
                <w:i/>
                <w:iCs/>
                <w:color w:val="000000"/>
                <w:lang w:val="pt-BR" w:eastAsia="pt-BR"/>
              </w:rPr>
              <w:t xml:space="preserve"> &lt; 0.0001</w:t>
            </w:r>
          </w:p>
        </w:tc>
        <w:tc>
          <w:tcPr>
            <w:tcW w:w="2731" w:type="dxa"/>
            <w:tcBorders>
              <w:top w:val="nil"/>
              <w:left w:val="nil"/>
              <w:bottom w:val="single" w:sz="4" w:space="0" w:color="auto"/>
              <w:right w:val="nil"/>
            </w:tcBorders>
            <w:shd w:val="clear" w:color="auto" w:fill="auto"/>
            <w:noWrap/>
            <w:vAlign w:val="bottom"/>
            <w:hideMark/>
          </w:tcPr>
          <w:p w14:paraId="536DCC51" w14:textId="77777777" w:rsidR="000C4645" w:rsidRPr="000C4645" w:rsidRDefault="000C4645" w:rsidP="000C4645">
            <w:pPr>
              <w:spacing w:line="240" w:lineRule="auto"/>
              <w:jc w:val="center"/>
              <w:rPr>
                <w:rFonts w:cs="Times New Roman"/>
                <w:i/>
                <w:iCs/>
                <w:color w:val="000000"/>
                <w:lang w:val="pt-BR" w:eastAsia="pt-BR"/>
              </w:rPr>
            </w:pPr>
            <w:r w:rsidRPr="000C4645">
              <w:rPr>
                <w:rFonts w:cs="Times New Roman"/>
                <w:i/>
                <w:iCs/>
                <w:color w:val="000000"/>
                <w:lang w:val="pt-BR" w:eastAsia="pt-BR"/>
              </w:rPr>
              <w:t xml:space="preserve"> &lt; 0.0001</w:t>
            </w:r>
          </w:p>
        </w:tc>
      </w:tr>
      <w:tr w:rsidR="000C4645" w:rsidRPr="000C4645" w14:paraId="54151E43" w14:textId="77777777" w:rsidTr="000C4645">
        <w:trPr>
          <w:trHeight w:val="312"/>
        </w:trPr>
        <w:tc>
          <w:tcPr>
            <w:tcW w:w="7660" w:type="dxa"/>
            <w:gridSpan w:val="3"/>
            <w:tcBorders>
              <w:top w:val="single" w:sz="4" w:space="0" w:color="auto"/>
              <w:left w:val="nil"/>
              <w:bottom w:val="nil"/>
              <w:right w:val="nil"/>
            </w:tcBorders>
            <w:shd w:val="clear" w:color="auto" w:fill="auto"/>
            <w:noWrap/>
            <w:vAlign w:val="bottom"/>
            <w:hideMark/>
          </w:tcPr>
          <w:p w14:paraId="6CD21FA6" w14:textId="618D4C26" w:rsidR="000C4645" w:rsidRPr="003E0A16" w:rsidRDefault="000C4645" w:rsidP="003E0A16">
            <w:pPr>
              <w:spacing w:line="240" w:lineRule="auto"/>
              <w:rPr>
                <w:rFonts w:cs="Times New Roman"/>
                <w:color w:val="000000"/>
                <w:lang w:eastAsia="pt-BR"/>
              </w:rPr>
            </w:pPr>
            <w:r w:rsidRPr="003E0A16">
              <w:rPr>
                <w:rFonts w:cs="Times New Roman"/>
                <w:color w:val="000000"/>
                <w:lang w:eastAsia="pt-BR"/>
              </w:rPr>
              <w:t xml:space="preserve">Means with a common uppercase letter are not significant at </w:t>
            </w:r>
            <w:r w:rsidR="00543710">
              <w:rPr>
                <w:rFonts w:cs="Times New Roman"/>
                <w:color w:val="000000"/>
                <w:lang w:val="pt-BR" w:eastAsia="pt-BR"/>
              </w:rPr>
              <w:t>α</w:t>
            </w:r>
            <w:r w:rsidR="00543710" w:rsidRPr="003E0A16">
              <w:rPr>
                <w:rFonts w:cs="Times New Roman"/>
                <w:color w:val="000000"/>
                <w:lang w:eastAsia="pt-BR"/>
              </w:rPr>
              <w:t xml:space="preserve"> = 0.05</w:t>
            </w:r>
          </w:p>
        </w:tc>
      </w:tr>
      <w:tr w:rsidR="000C4645" w:rsidRPr="000C4645" w14:paraId="61E2F8D6" w14:textId="77777777" w:rsidTr="000C4645">
        <w:trPr>
          <w:trHeight w:val="312"/>
        </w:trPr>
        <w:tc>
          <w:tcPr>
            <w:tcW w:w="4929" w:type="dxa"/>
            <w:gridSpan w:val="2"/>
            <w:tcBorders>
              <w:top w:val="nil"/>
              <w:left w:val="nil"/>
              <w:bottom w:val="nil"/>
              <w:right w:val="nil"/>
            </w:tcBorders>
            <w:shd w:val="clear" w:color="auto" w:fill="auto"/>
            <w:noWrap/>
            <w:vAlign w:val="bottom"/>
            <w:hideMark/>
          </w:tcPr>
          <w:p w14:paraId="4936CD07" w14:textId="77777777" w:rsidR="000C4645" w:rsidRPr="003E0A16" w:rsidRDefault="000C4645" w:rsidP="000C4645">
            <w:pPr>
              <w:spacing w:line="240" w:lineRule="auto"/>
              <w:rPr>
                <w:rFonts w:cs="Times New Roman"/>
                <w:color w:val="000000"/>
                <w:lang w:eastAsia="pt-BR"/>
              </w:rPr>
            </w:pPr>
            <w:r w:rsidRPr="003E0A16">
              <w:rPr>
                <w:rFonts w:cs="Times New Roman"/>
                <w:color w:val="000000"/>
                <w:lang w:eastAsia="pt-BR"/>
              </w:rPr>
              <w:t>SEM, Standard Error of the Mean</w:t>
            </w:r>
          </w:p>
        </w:tc>
        <w:tc>
          <w:tcPr>
            <w:tcW w:w="2731" w:type="dxa"/>
            <w:tcBorders>
              <w:top w:val="nil"/>
              <w:left w:val="nil"/>
              <w:bottom w:val="nil"/>
              <w:right w:val="nil"/>
            </w:tcBorders>
            <w:shd w:val="clear" w:color="auto" w:fill="auto"/>
            <w:noWrap/>
            <w:vAlign w:val="bottom"/>
            <w:hideMark/>
          </w:tcPr>
          <w:p w14:paraId="56645378" w14:textId="77777777" w:rsidR="000C4645" w:rsidRPr="003E0A16" w:rsidRDefault="000C4645" w:rsidP="000C4645">
            <w:pPr>
              <w:spacing w:line="240" w:lineRule="auto"/>
              <w:rPr>
                <w:rFonts w:cs="Times New Roman"/>
                <w:color w:val="000000"/>
                <w:lang w:eastAsia="pt-BR"/>
              </w:rPr>
            </w:pPr>
          </w:p>
        </w:tc>
      </w:tr>
      <w:tr w:rsidR="000C4645" w:rsidRPr="000C4645" w14:paraId="1A07D847" w14:textId="77777777" w:rsidTr="000C4645">
        <w:trPr>
          <w:trHeight w:val="312"/>
        </w:trPr>
        <w:tc>
          <w:tcPr>
            <w:tcW w:w="7660" w:type="dxa"/>
            <w:gridSpan w:val="3"/>
            <w:tcBorders>
              <w:top w:val="nil"/>
              <w:left w:val="nil"/>
              <w:bottom w:val="nil"/>
              <w:right w:val="nil"/>
            </w:tcBorders>
            <w:shd w:val="clear" w:color="auto" w:fill="auto"/>
            <w:vAlign w:val="bottom"/>
            <w:hideMark/>
          </w:tcPr>
          <w:p w14:paraId="5B710634" w14:textId="77777777" w:rsidR="000C4645" w:rsidRPr="003E0A16" w:rsidRDefault="000C4645" w:rsidP="000C4645">
            <w:pPr>
              <w:spacing w:line="240" w:lineRule="auto"/>
              <w:rPr>
                <w:rFonts w:cs="Times New Roman"/>
                <w:color w:val="000000"/>
                <w:lang w:eastAsia="pt-BR"/>
              </w:rPr>
            </w:pPr>
            <w:r w:rsidRPr="003E0A16">
              <w:rPr>
                <w:rFonts w:cs="Times New Roman"/>
                <w:i/>
                <w:iCs/>
                <w:color w:val="000000"/>
                <w:lang w:eastAsia="pt-BR"/>
              </w:rPr>
              <w:t>Note:</w:t>
            </w:r>
            <w:r w:rsidRPr="003E0A16">
              <w:rPr>
                <w:rFonts w:cs="Times New Roman"/>
                <w:color w:val="000000"/>
                <w:lang w:eastAsia="pt-BR"/>
              </w:rPr>
              <w:t xml:space="preserve"> IVTDMD corresponds to in vitro dry matter digestibility and NDFD corresponds to neutral detergent fiber digestibility</w:t>
            </w:r>
          </w:p>
        </w:tc>
      </w:tr>
    </w:tbl>
    <w:p w14:paraId="118ECCD3" w14:textId="0DD478EB" w:rsidR="00A70E8C" w:rsidRDefault="00A70E8C">
      <w:pPr>
        <w:spacing w:line="240" w:lineRule="auto"/>
        <w:rPr>
          <w:rFonts w:cs="Times New Roman"/>
          <w:b/>
          <w:bCs/>
          <w:i/>
        </w:rPr>
      </w:pPr>
    </w:p>
    <w:p w14:paraId="1EC9DC88" w14:textId="77777777" w:rsidR="000C4645" w:rsidRDefault="000C4645">
      <w:pPr>
        <w:spacing w:line="240" w:lineRule="auto"/>
        <w:rPr>
          <w:rFonts w:cs="Times New Roman"/>
          <w:b/>
          <w:bCs/>
          <w:i/>
        </w:rPr>
      </w:pPr>
      <w:r>
        <w:rPr>
          <w:rFonts w:cs="Times New Roman"/>
        </w:rPr>
        <w:br w:type="page"/>
      </w:r>
    </w:p>
    <w:p w14:paraId="4D38F328" w14:textId="77777777" w:rsidR="003E0A16" w:rsidRDefault="003E0A16" w:rsidP="003E0A16">
      <w:pPr>
        <w:spacing w:line="480" w:lineRule="auto"/>
        <w:rPr>
          <w:rFonts w:cs="Times New Roman"/>
        </w:rPr>
      </w:pPr>
      <w:r>
        <w:rPr>
          <w:rFonts w:cs="Times New Roman"/>
        </w:rPr>
        <w:lastRenderedPageBreak/>
        <w:t xml:space="preserve">content with increased plant maturity, </w:t>
      </w:r>
      <w:r>
        <w:rPr>
          <w:rFonts w:cs="Times New Roman"/>
        </w:rPr>
        <w:fldChar w:fldCharType="begin"/>
      </w:r>
      <w:r>
        <w:rPr>
          <w:rFonts w:cs="Times New Roman"/>
        </w:rPr>
        <w:instrText xml:space="preserve"> ADDIN ZOTERO_ITEM CSL_CITATION {"citationID":"tt3BIh27","properties":{"formattedCitation":"(Arthington &amp; Brown, 2005)","plainCitation":"(Arthington &amp; Brown, 2005)","dontUpdate":true,"noteIndex":0},"citationItems":[{"id":73,"uris":["http://zotero.org/users/local/kjHHoAYm/items/F54BM94E"],"itemData":{"id":73,"type":"article-journal","container-title":"Journal of Animal Science","DOI":"10.2527/2005.8371726x","ISSN":"0021-8812, 1525-3163","issue":"7","language":"en","page":"1726-1731","source":"DOI.org (Crossref)","title":"Estimation of feeding value of four tropical forage species at two stages of maturity1,2","volume":"83","author":[{"family":"Arthington","given":"J. D."},{"family":"Brown","given":"W. F."}],"issued":{"date-parts":[["2005",7,1]]}}}],"schema":"https://github.com/citation-style-language/schema/raw/master/csl-citation.json"} </w:instrText>
      </w:r>
      <w:r>
        <w:rPr>
          <w:rFonts w:cs="Times New Roman"/>
        </w:rPr>
        <w:fldChar w:fldCharType="separate"/>
      </w:r>
      <w:r w:rsidRPr="00B66140">
        <w:rPr>
          <w:rFonts w:cs="Times New Roman"/>
        </w:rPr>
        <w:t xml:space="preserve">Arthington &amp; Brown, </w:t>
      </w:r>
      <w:r>
        <w:rPr>
          <w:rFonts w:cs="Times New Roman"/>
        </w:rPr>
        <w:t>(</w:t>
      </w:r>
      <w:r w:rsidRPr="00B66140">
        <w:rPr>
          <w:rFonts w:cs="Times New Roman"/>
        </w:rPr>
        <w:t>2005)</w:t>
      </w:r>
      <w:r>
        <w:rPr>
          <w:rFonts w:cs="Times New Roman"/>
        </w:rPr>
        <w:fldChar w:fldCharType="end"/>
      </w:r>
      <w:r>
        <w:rPr>
          <w:rFonts w:cs="Times New Roman"/>
        </w:rPr>
        <w:t xml:space="preserve"> reported a 37.8% decrease in CP content 10-wk regrowth compared to 4-wk regrowth. </w:t>
      </w:r>
    </w:p>
    <w:p w14:paraId="1CD51A34" w14:textId="77777777" w:rsidR="003E0A16" w:rsidRPr="004432D5" w:rsidRDefault="003E0A16" w:rsidP="003E0A16">
      <w:pPr>
        <w:spacing w:line="480" w:lineRule="auto"/>
        <w:ind w:firstLine="720"/>
        <w:rPr>
          <w:rFonts w:cs="Times New Roman"/>
        </w:rPr>
      </w:pPr>
      <w:r>
        <w:rPr>
          <w:rFonts w:cs="Times New Roman"/>
        </w:rPr>
        <w:t xml:space="preserve">Forage nutritive value is an indicator of plant maturity when comparing regrowth periods </w:t>
      </w:r>
      <w:r>
        <w:rPr>
          <w:rFonts w:cs="Times New Roman"/>
        </w:rPr>
        <w:fldChar w:fldCharType="begin"/>
      </w:r>
      <w:r>
        <w:rPr>
          <w:rFonts w:cs="Times New Roman"/>
        </w:rPr>
        <w:instrText xml:space="preserve"> ADDIN ZOTERO_ITEM CSL_CITATION {"citationID":"6Tl7Gn6u","properties":{"formattedCitation":"(Arthington &amp; Brown, 2005)","plainCitation":"(Arthington &amp; Brown, 2005)","noteIndex":0},"citationItems":[{"id":73,"uris":["http://zotero.org/users/local/kjHHoAYm/items/F54BM94E"],"itemData":{"id":73,"type":"article-journal","container-title":"Journal of Animal Science","DOI":"10.2527/2005.8371726x","ISSN":"0021-8812, 1525-3163","issue":"7","language":"en","page":"1726-1731","source":"DOI.org (Crossref)","title":"Estimation of feeding value of four tropical forage species at two stages of maturity1,2","volume":"83","author":[{"family":"Arthington","given":"J. D."},{"family":"Brown","given":"W. F."}],"issued":{"date-parts":[["2005",7,1]]}}}],"schema":"https://github.com/citation-style-language/schema/raw/master/csl-citation.json"} </w:instrText>
      </w:r>
      <w:r>
        <w:rPr>
          <w:rFonts w:cs="Times New Roman"/>
        </w:rPr>
        <w:fldChar w:fldCharType="separate"/>
      </w:r>
      <w:r w:rsidRPr="00096C56">
        <w:rPr>
          <w:rFonts w:cs="Times New Roman"/>
        </w:rPr>
        <w:t>(Arthington &amp; Brown, 2005)</w:t>
      </w:r>
      <w:r>
        <w:rPr>
          <w:rFonts w:cs="Times New Roman"/>
        </w:rPr>
        <w:fldChar w:fldCharType="end"/>
      </w:r>
      <w:r>
        <w:rPr>
          <w:rFonts w:cs="Times New Roman"/>
        </w:rPr>
        <w:t>. The plants in this study likely had similar maturity levels (</w:t>
      </w:r>
      <w:r w:rsidRPr="00931ADB">
        <w:rPr>
          <w:rFonts w:cs="Times New Roman"/>
          <w:b/>
          <w:bCs/>
        </w:rPr>
        <w:t>Table 2.</w:t>
      </w:r>
      <w:r>
        <w:rPr>
          <w:rFonts w:cs="Times New Roman"/>
          <w:b/>
          <w:bCs/>
        </w:rPr>
        <w:t>8</w:t>
      </w:r>
      <w:r>
        <w:rPr>
          <w:rFonts w:cs="Times New Roman"/>
        </w:rPr>
        <w:t>), which may explain the comparable NDFD values.</w:t>
      </w:r>
    </w:p>
    <w:p w14:paraId="7255532D" w14:textId="09803DC1" w:rsidR="00933462" w:rsidRPr="00CF77E3" w:rsidRDefault="00FE4DBB" w:rsidP="00933462">
      <w:pPr>
        <w:pStyle w:val="Heading3"/>
        <w:spacing w:before="0" w:after="0" w:line="480" w:lineRule="auto"/>
        <w:rPr>
          <w:rFonts w:cs="Times New Roman"/>
          <w:szCs w:val="24"/>
        </w:rPr>
      </w:pPr>
      <w:bookmarkStart w:id="75" w:name="_Toc196315262"/>
      <w:r>
        <w:rPr>
          <w:rFonts w:cs="Times New Roman"/>
          <w:szCs w:val="24"/>
        </w:rPr>
        <w:t>Leaf gas exchange</w:t>
      </w:r>
      <w:bookmarkEnd w:id="75"/>
    </w:p>
    <w:p w14:paraId="4E64ED1E" w14:textId="7619A7D6" w:rsidR="00933462" w:rsidRDefault="00933462" w:rsidP="00933462">
      <w:pPr>
        <w:spacing w:line="480" w:lineRule="auto"/>
        <w:ind w:firstLine="720"/>
        <w:rPr>
          <w:rFonts w:cs="Times New Roman"/>
        </w:rPr>
      </w:pPr>
      <w:r>
        <w:rPr>
          <w:rFonts w:cs="Times New Roman"/>
          <w:color w:val="000000"/>
          <w:lang w:eastAsia="pt-BR"/>
        </w:rPr>
        <w:t>Stomatal conductance (</w:t>
      </w:r>
      <w:proofErr w:type="spellStart"/>
      <w:r w:rsidR="00F40D42">
        <w:rPr>
          <w:rFonts w:cs="Times New Roman"/>
          <w:i/>
          <w:iCs/>
        </w:rPr>
        <w:t>g</w:t>
      </w:r>
      <w:r w:rsidR="00F40D42" w:rsidRPr="006352D4">
        <w:rPr>
          <w:rFonts w:cs="Times New Roman"/>
          <w:i/>
          <w:iCs/>
          <w:vertAlign w:val="subscript"/>
        </w:rPr>
        <w:t>s</w:t>
      </w:r>
      <w:r w:rsidR="00F40D42">
        <w:rPr>
          <w:rFonts w:cs="Times New Roman"/>
          <w:i/>
          <w:iCs/>
        </w:rPr>
        <w:t>w</w:t>
      </w:r>
      <w:proofErr w:type="spellEnd"/>
      <w:r>
        <w:rPr>
          <w:rFonts w:cs="Times New Roman"/>
          <w:color w:val="000000"/>
          <w:lang w:eastAsia="pt-BR"/>
        </w:rPr>
        <w:t>)</w:t>
      </w:r>
      <w:r>
        <w:rPr>
          <w:rFonts w:cs="Times New Roman"/>
        </w:rPr>
        <w:t xml:space="preserve"> </w:t>
      </w:r>
      <w:r w:rsidRPr="005E2BFA">
        <w:rPr>
          <w:rFonts w:cs="Times New Roman"/>
        </w:rPr>
        <w:t>w</w:t>
      </w:r>
      <w:r>
        <w:rPr>
          <w:rFonts w:cs="Times New Roman"/>
        </w:rPr>
        <w:t>as not</w:t>
      </w:r>
      <w:r w:rsidRPr="005E2BFA">
        <w:rPr>
          <w:rFonts w:cs="Times New Roman"/>
        </w:rPr>
        <w:t xml:space="preserve"> affected by the </w:t>
      </w:r>
      <w:r w:rsidR="00F40D42">
        <w:rPr>
          <w:rFonts w:cs="Times New Roman"/>
        </w:rPr>
        <w:t>interaction i</w:t>
      </w:r>
      <w:r>
        <w:rPr>
          <w:rFonts w:cs="Times New Roman"/>
        </w:rPr>
        <w:t xml:space="preserve">noculation </w:t>
      </w:r>
      <w:r w:rsidRPr="005E2BFA">
        <w:rPr>
          <w:rFonts w:cs="Times New Roman"/>
        </w:rPr>
        <w:t xml:space="preserve">× </w:t>
      </w:r>
      <w:r w:rsidR="006471A3">
        <w:t>N strategies</w:t>
      </w:r>
      <w:r w:rsidRPr="005E2BFA">
        <w:rPr>
          <w:rFonts w:cs="Times New Roman"/>
        </w:rPr>
        <w:t xml:space="preserve"> (</w:t>
      </w:r>
      <w:r w:rsidRPr="00C1789F">
        <w:rPr>
          <w:rFonts w:cs="Times New Roman"/>
          <w:i/>
          <w:iCs/>
        </w:rPr>
        <w:t>P</w:t>
      </w:r>
      <w:r w:rsidRPr="005E2BFA">
        <w:rPr>
          <w:rFonts w:cs="Times New Roman"/>
        </w:rPr>
        <w:t xml:space="preserve"> = .</w:t>
      </w:r>
      <w:r w:rsidR="008A0D49">
        <w:rPr>
          <w:rFonts w:cs="Times New Roman"/>
        </w:rPr>
        <w:t>9171</w:t>
      </w:r>
      <w:r w:rsidRPr="005E2BFA">
        <w:rPr>
          <w:rFonts w:cs="Times New Roman"/>
        </w:rPr>
        <w:t>)</w:t>
      </w:r>
      <w:r>
        <w:rPr>
          <w:rFonts w:cs="Times New Roman"/>
        </w:rPr>
        <w:t xml:space="preserve"> (</w:t>
      </w:r>
      <w:r w:rsidR="00654A25" w:rsidRPr="00C64F12">
        <w:rPr>
          <w:rFonts w:cs="Times New Roman"/>
          <w:b/>
          <w:bCs/>
        </w:rPr>
        <w:t>Table</w:t>
      </w:r>
      <w:r w:rsidRPr="00C64F12">
        <w:rPr>
          <w:rFonts w:cs="Times New Roman"/>
          <w:b/>
          <w:bCs/>
        </w:rPr>
        <w:t xml:space="preserve"> 2.</w:t>
      </w:r>
      <w:r w:rsidR="00931ADB">
        <w:rPr>
          <w:rFonts w:cs="Times New Roman"/>
          <w:b/>
          <w:bCs/>
        </w:rPr>
        <w:t>10</w:t>
      </w:r>
      <w:r>
        <w:rPr>
          <w:rFonts w:cs="Times New Roman"/>
        </w:rPr>
        <w:t>)</w:t>
      </w:r>
      <w:r w:rsidRPr="005E2BFA">
        <w:rPr>
          <w:rFonts w:cs="Times New Roman"/>
        </w:rPr>
        <w:t xml:space="preserve">. </w:t>
      </w:r>
      <w:r>
        <w:rPr>
          <w:rFonts w:cs="Times New Roman"/>
        </w:rPr>
        <w:t xml:space="preserve">Furthermore, no </w:t>
      </w:r>
      <w:r w:rsidR="00F40D42">
        <w:rPr>
          <w:rFonts w:cs="Times New Roman"/>
        </w:rPr>
        <w:t xml:space="preserve">significant </w:t>
      </w:r>
      <w:r w:rsidR="00654A25">
        <w:t xml:space="preserve">N strategies </w:t>
      </w:r>
      <w:r>
        <w:rPr>
          <w:rFonts w:cs="Times New Roman"/>
        </w:rPr>
        <w:t>effect (</w:t>
      </w:r>
      <w:r w:rsidRPr="00F56900">
        <w:rPr>
          <w:rFonts w:cs="Times New Roman"/>
          <w:i/>
          <w:iCs/>
        </w:rPr>
        <w:t>P</w:t>
      </w:r>
      <w:r>
        <w:rPr>
          <w:rFonts w:cs="Times New Roman"/>
        </w:rPr>
        <w:t xml:space="preserve"> = 0.</w:t>
      </w:r>
      <w:r w:rsidR="008A0D49">
        <w:rPr>
          <w:rFonts w:cs="Times New Roman"/>
        </w:rPr>
        <w:t>6547</w:t>
      </w:r>
      <w:r>
        <w:rPr>
          <w:rFonts w:cs="Times New Roman"/>
        </w:rPr>
        <w:t xml:space="preserve">) or differences </w:t>
      </w:r>
      <w:r w:rsidR="00F40D42">
        <w:rPr>
          <w:rFonts w:cs="Times New Roman"/>
        </w:rPr>
        <w:t xml:space="preserve">among </w:t>
      </w:r>
      <w:r w:rsidR="00F56900">
        <w:rPr>
          <w:rFonts w:cs="Times New Roman"/>
        </w:rPr>
        <w:t>inoculations</w:t>
      </w:r>
      <w:r>
        <w:rPr>
          <w:rFonts w:cs="Times New Roman"/>
        </w:rPr>
        <w:t xml:space="preserve"> (</w:t>
      </w:r>
      <w:r w:rsidRPr="00C1789F">
        <w:rPr>
          <w:rFonts w:cs="Times New Roman"/>
          <w:i/>
          <w:iCs/>
        </w:rPr>
        <w:t>P</w:t>
      </w:r>
      <w:r>
        <w:rPr>
          <w:rFonts w:cs="Times New Roman"/>
        </w:rPr>
        <w:t xml:space="preserve"> = .</w:t>
      </w:r>
      <w:r w:rsidR="008A0D49">
        <w:rPr>
          <w:rFonts w:cs="Times New Roman"/>
        </w:rPr>
        <w:t>6579</w:t>
      </w:r>
      <w:r>
        <w:rPr>
          <w:rFonts w:cs="Times New Roman"/>
        </w:rPr>
        <w:t>)</w:t>
      </w:r>
      <w:r w:rsidR="00F40D42">
        <w:rPr>
          <w:rFonts w:cs="Times New Roman"/>
        </w:rPr>
        <w:t xml:space="preserve"> </w:t>
      </w:r>
      <w:r w:rsidR="00F56900">
        <w:rPr>
          <w:rFonts w:cs="Times New Roman"/>
        </w:rPr>
        <w:t>were</w:t>
      </w:r>
      <w:r w:rsidR="00F40D42">
        <w:rPr>
          <w:rFonts w:cs="Times New Roman"/>
        </w:rPr>
        <w:t xml:space="preserve"> </w:t>
      </w:r>
      <w:r w:rsidR="00F56900">
        <w:rPr>
          <w:rFonts w:cs="Times New Roman"/>
        </w:rPr>
        <w:t>observed, however, there was an effect by the year (</w:t>
      </w:r>
      <w:r w:rsidR="00F56900" w:rsidRPr="00F56900">
        <w:rPr>
          <w:rFonts w:cs="Times New Roman"/>
          <w:i/>
          <w:iCs/>
        </w:rPr>
        <w:t>P</w:t>
      </w:r>
      <w:r w:rsidR="00F56900">
        <w:rPr>
          <w:rFonts w:cs="Times New Roman"/>
        </w:rPr>
        <w:t xml:space="preserve"> = .0</w:t>
      </w:r>
      <w:r w:rsidR="008A0D49">
        <w:rPr>
          <w:rFonts w:cs="Times New Roman"/>
        </w:rPr>
        <w:t>102</w:t>
      </w:r>
      <w:r w:rsidR="00F56900">
        <w:rPr>
          <w:rFonts w:cs="Times New Roman"/>
        </w:rPr>
        <w:t>)</w:t>
      </w:r>
      <w:r w:rsidR="008A0D49">
        <w:rPr>
          <w:rFonts w:cs="Times New Roman"/>
        </w:rPr>
        <w:t xml:space="preserve"> (</w:t>
      </w:r>
      <w:r w:rsidR="008A0D49" w:rsidRPr="00C64F12">
        <w:rPr>
          <w:rFonts w:cs="Times New Roman"/>
          <w:b/>
          <w:bCs/>
        </w:rPr>
        <w:t>Table 2.</w:t>
      </w:r>
      <w:r w:rsidR="008A0D49">
        <w:rPr>
          <w:rFonts w:cs="Times New Roman"/>
          <w:b/>
          <w:bCs/>
        </w:rPr>
        <w:t>12</w:t>
      </w:r>
      <w:r w:rsidR="008A0D49">
        <w:rPr>
          <w:rFonts w:cs="Times New Roman"/>
        </w:rPr>
        <w:t>)</w:t>
      </w:r>
      <w:r>
        <w:rPr>
          <w:rFonts w:cs="Times New Roman"/>
        </w:rPr>
        <w:t>.</w:t>
      </w:r>
    </w:p>
    <w:p w14:paraId="6C23748B" w14:textId="151F90EC" w:rsidR="00FE4DBB" w:rsidRDefault="00FE4DBB" w:rsidP="00FE4DBB">
      <w:pPr>
        <w:spacing w:line="480" w:lineRule="auto"/>
        <w:ind w:firstLine="720"/>
        <w:rPr>
          <w:rFonts w:cs="Times New Roman"/>
        </w:rPr>
      </w:pPr>
      <w:r>
        <w:rPr>
          <w:rFonts w:cs="Times New Roman"/>
          <w:color w:val="000000"/>
          <w:lang w:eastAsia="pt-BR"/>
        </w:rPr>
        <w:t xml:space="preserve">Photosynthesis </w:t>
      </w:r>
      <w:r w:rsidR="006352D4">
        <w:rPr>
          <w:rFonts w:cs="Times New Roman"/>
          <w:color w:val="000000"/>
          <w:lang w:eastAsia="pt-BR"/>
        </w:rPr>
        <w:t>CO</w:t>
      </w:r>
      <w:r w:rsidR="006352D4" w:rsidRPr="006352D4">
        <w:rPr>
          <w:rFonts w:cs="Times New Roman"/>
          <w:color w:val="000000"/>
          <w:vertAlign w:val="subscript"/>
          <w:lang w:eastAsia="pt-BR"/>
        </w:rPr>
        <w:t>2</w:t>
      </w:r>
      <w:r w:rsidR="006352D4">
        <w:rPr>
          <w:rFonts w:cs="Times New Roman"/>
          <w:color w:val="000000"/>
          <w:lang w:eastAsia="pt-BR"/>
        </w:rPr>
        <w:t xml:space="preserve"> </w:t>
      </w:r>
      <w:r w:rsidR="00F40D42">
        <w:rPr>
          <w:rFonts w:cs="Times New Roman"/>
          <w:color w:val="000000"/>
          <w:lang w:eastAsia="pt-BR"/>
        </w:rPr>
        <w:t>a</w:t>
      </w:r>
      <w:r w:rsidR="006352D4">
        <w:rPr>
          <w:rFonts w:cs="Times New Roman"/>
          <w:color w:val="000000"/>
          <w:lang w:eastAsia="pt-BR"/>
        </w:rPr>
        <w:t>ssimilation</w:t>
      </w:r>
      <w:r>
        <w:rPr>
          <w:rFonts w:cs="Times New Roman"/>
          <w:color w:val="000000"/>
          <w:lang w:eastAsia="pt-BR"/>
        </w:rPr>
        <w:t xml:space="preserve"> (</w:t>
      </w:r>
      <w:r w:rsidRPr="006352D4">
        <w:rPr>
          <w:rFonts w:cs="Times New Roman"/>
          <w:i/>
          <w:iCs/>
          <w:color w:val="000000"/>
          <w:lang w:eastAsia="pt-BR"/>
        </w:rPr>
        <w:t>A</w:t>
      </w:r>
      <w:r>
        <w:rPr>
          <w:rFonts w:cs="Times New Roman"/>
          <w:color w:val="000000"/>
          <w:lang w:eastAsia="pt-BR"/>
        </w:rPr>
        <w:t>)</w:t>
      </w:r>
      <w:r>
        <w:rPr>
          <w:rFonts w:cs="Times New Roman"/>
        </w:rPr>
        <w:t xml:space="preserve"> </w:t>
      </w:r>
      <w:r w:rsidRPr="005E2BFA">
        <w:rPr>
          <w:rFonts w:cs="Times New Roman"/>
        </w:rPr>
        <w:t>w</w:t>
      </w:r>
      <w:r>
        <w:rPr>
          <w:rFonts w:cs="Times New Roman"/>
        </w:rPr>
        <w:t xml:space="preserve">as </w:t>
      </w:r>
      <w:r w:rsidR="00F40D42">
        <w:rPr>
          <w:rFonts w:cs="Times New Roman"/>
        </w:rPr>
        <w:t xml:space="preserve">also </w:t>
      </w:r>
      <w:r>
        <w:rPr>
          <w:rFonts w:cs="Times New Roman"/>
        </w:rPr>
        <w:t>not</w:t>
      </w:r>
      <w:r w:rsidRPr="005E2BFA">
        <w:rPr>
          <w:rFonts w:cs="Times New Roman"/>
        </w:rPr>
        <w:t xml:space="preserve"> affected by the </w:t>
      </w:r>
      <w:r w:rsidR="00F40D42">
        <w:rPr>
          <w:rFonts w:cs="Times New Roman"/>
        </w:rPr>
        <w:t>interaction i</w:t>
      </w:r>
      <w:r>
        <w:rPr>
          <w:rFonts w:cs="Times New Roman"/>
        </w:rPr>
        <w:t xml:space="preserve">noculation </w:t>
      </w:r>
      <w:r w:rsidRPr="005E2BFA">
        <w:rPr>
          <w:rFonts w:cs="Times New Roman"/>
        </w:rPr>
        <w:t xml:space="preserve">× </w:t>
      </w:r>
      <w:r w:rsidR="006471A3">
        <w:t>N strategies</w:t>
      </w:r>
      <w:r w:rsidRPr="005E2BFA">
        <w:rPr>
          <w:rFonts w:cs="Times New Roman"/>
        </w:rPr>
        <w:t xml:space="preserve"> (</w:t>
      </w:r>
      <w:r w:rsidRPr="00C1789F">
        <w:rPr>
          <w:rFonts w:cs="Times New Roman"/>
          <w:i/>
          <w:iCs/>
        </w:rPr>
        <w:t>P</w:t>
      </w:r>
      <w:r w:rsidRPr="005E2BFA">
        <w:rPr>
          <w:rFonts w:cs="Times New Roman"/>
        </w:rPr>
        <w:t xml:space="preserve"> = .</w:t>
      </w:r>
      <w:r>
        <w:rPr>
          <w:rFonts w:cs="Times New Roman"/>
        </w:rPr>
        <w:t>9</w:t>
      </w:r>
      <w:r w:rsidR="00505526">
        <w:rPr>
          <w:rFonts w:cs="Times New Roman"/>
        </w:rPr>
        <w:t>448</w:t>
      </w:r>
      <w:r w:rsidRPr="005E2BFA">
        <w:rPr>
          <w:rFonts w:cs="Times New Roman"/>
        </w:rPr>
        <w:t>)</w:t>
      </w:r>
      <w:r>
        <w:rPr>
          <w:rFonts w:cs="Times New Roman"/>
        </w:rPr>
        <w:t xml:space="preserve"> (</w:t>
      </w:r>
      <w:r w:rsidR="00E94C04" w:rsidRPr="00C64F12">
        <w:rPr>
          <w:rFonts w:cs="Times New Roman"/>
          <w:b/>
          <w:bCs/>
        </w:rPr>
        <w:t>Table</w:t>
      </w:r>
      <w:r w:rsidRPr="00C64F12">
        <w:rPr>
          <w:rFonts w:cs="Times New Roman"/>
          <w:b/>
          <w:bCs/>
        </w:rPr>
        <w:t xml:space="preserve"> 2.</w:t>
      </w:r>
      <w:r w:rsidR="00931ADB">
        <w:rPr>
          <w:rFonts w:cs="Times New Roman"/>
          <w:b/>
          <w:bCs/>
        </w:rPr>
        <w:t>11</w:t>
      </w:r>
      <w:r>
        <w:rPr>
          <w:rFonts w:cs="Times New Roman"/>
        </w:rPr>
        <w:t>)</w:t>
      </w:r>
      <w:r w:rsidRPr="005E2BFA">
        <w:rPr>
          <w:rFonts w:cs="Times New Roman"/>
        </w:rPr>
        <w:t xml:space="preserve">. </w:t>
      </w:r>
      <w:r w:rsidR="00F40D42">
        <w:rPr>
          <w:rFonts w:cs="Times New Roman"/>
        </w:rPr>
        <w:t>Similarly</w:t>
      </w:r>
      <w:r>
        <w:rPr>
          <w:rFonts w:cs="Times New Roman"/>
        </w:rPr>
        <w:t xml:space="preserve">, </w:t>
      </w:r>
      <w:r w:rsidR="004B0DD7">
        <w:rPr>
          <w:rFonts w:cs="Times New Roman"/>
        </w:rPr>
        <w:t>no</w:t>
      </w:r>
      <w:r>
        <w:rPr>
          <w:rFonts w:cs="Times New Roman"/>
        </w:rPr>
        <w:t xml:space="preserve"> </w:t>
      </w:r>
      <w:r w:rsidR="00F40D42">
        <w:rPr>
          <w:rFonts w:cs="Times New Roman"/>
        </w:rPr>
        <w:t xml:space="preserve">significant </w:t>
      </w:r>
      <w:r w:rsidR="00654A25">
        <w:t xml:space="preserve">N strategies </w:t>
      </w:r>
      <w:r>
        <w:rPr>
          <w:rFonts w:cs="Times New Roman"/>
        </w:rPr>
        <w:t>effect (</w:t>
      </w:r>
      <w:r w:rsidRPr="00C1789F">
        <w:rPr>
          <w:rFonts w:cs="Times New Roman"/>
          <w:i/>
          <w:iCs/>
        </w:rPr>
        <w:t>P</w:t>
      </w:r>
      <w:r>
        <w:rPr>
          <w:rFonts w:cs="Times New Roman"/>
        </w:rPr>
        <w:t xml:space="preserve"> = .</w:t>
      </w:r>
      <w:r w:rsidR="00505526">
        <w:rPr>
          <w:rFonts w:cs="Times New Roman"/>
        </w:rPr>
        <w:t>0972</w:t>
      </w:r>
      <w:r>
        <w:rPr>
          <w:rFonts w:cs="Times New Roman"/>
        </w:rPr>
        <w:t xml:space="preserve">) or differences </w:t>
      </w:r>
      <w:r w:rsidR="00F40D42">
        <w:rPr>
          <w:rFonts w:cs="Times New Roman"/>
        </w:rPr>
        <w:t xml:space="preserve">among </w:t>
      </w:r>
      <w:r w:rsidR="00711096" w:rsidRPr="00711096">
        <w:t>inoculation</w:t>
      </w:r>
      <w:r w:rsidR="00711096">
        <w:rPr>
          <w:b/>
          <w:bCs/>
          <w:i/>
          <w:iCs/>
        </w:rPr>
        <w:t xml:space="preserve"> </w:t>
      </w:r>
      <w:r>
        <w:rPr>
          <w:rFonts w:cs="Times New Roman"/>
        </w:rPr>
        <w:t>(</w:t>
      </w:r>
      <w:r w:rsidRPr="00C1789F">
        <w:rPr>
          <w:rFonts w:cs="Times New Roman"/>
          <w:i/>
          <w:iCs/>
        </w:rPr>
        <w:t>P</w:t>
      </w:r>
      <w:r>
        <w:rPr>
          <w:rFonts w:cs="Times New Roman"/>
        </w:rPr>
        <w:t xml:space="preserve"> = .8</w:t>
      </w:r>
      <w:r w:rsidR="00505526">
        <w:rPr>
          <w:rFonts w:cs="Times New Roman"/>
        </w:rPr>
        <w:t>239</w:t>
      </w:r>
      <w:r>
        <w:rPr>
          <w:rFonts w:cs="Times New Roman"/>
        </w:rPr>
        <w:t>)</w:t>
      </w:r>
      <w:r w:rsidR="00F40D42">
        <w:rPr>
          <w:rFonts w:cs="Times New Roman"/>
        </w:rPr>
        <w:t xml:space="preserve"> </w:t>
      </w:r>
      <w:r w:rsidR="004B0DD7">
        <w:rPr>
          <w:rFonts w:cs="Times New Roman"/>
        </w:rPr>
        <w:t>were</w:t>
      </w:r>
      <w:r w:rsidR="00F40D42">
        <w:rPr>
          <w:rFonts w:cs="Times New Roman"/>
        </w:rPr>
        <w:t xml:space="preserve"> observed</w:t>
      </w:r>
      <w:r w:rsidR="00F56900">
        <w:rPr>
          <w:rFonts w:cs="Times New Roman"/>
        </w:rPr>
        <w:t>, however, there was a year effect on A (</w:t>
      </w:r>
      <w:r w:rsidR="00F56900" w:rsidRPr="00F56900">
        <w:rPr>
          <w:rFonts w:cs="Times New Roman"/>
          <w:i/>
          <w:iCs/>
        </w:rPr>
        <w:t>P</w:t>
      </w:r>
      <w:r w:rsidR="00F56900">
        <w:rPr>
          <w:rFonts w:cs="Times New Roman"/>
        </w:rPr>
        <w:t xml:space="preserve"> = .0133)</w:t>
      </w:r>
      <w:r w:rsidR="008A0D49">
        <w:rPr>
          <w:rFonts w:cs="Times New Roman"/>
        </w:rPr>
        <w:t xml:space="preserve"> (</w:t>
      </w:r>
      <w:r w:rsidR="008A0D49" w:rsidRPr="00C64F12">
        <w:rPr>
          <w:rFonts w:cs="Times New Roman"/>
          <w:b/>
          <w:bCs/>
        </w:rPr>
        <w:t>Table 2.</w:t>
      </w:r>
      <w:r w:rsidR="008A0D49">
        <w:rPr>
          <w:rFonts w:cs="Times New Roman"/>
          <w:b/>
          <w:bCs/>
        </w:rPr>
        <w:t>12</w:t>
      </w:r>
      <w:r w:rsidR="008A0D49">
        <w:rPr>
          <w:rFonts w:cs="Times New Roman"/>
        </w:rPr>
        <w:t>)</w:t>
      </w:r>
      <w:r>
        <w:rPr>
          <w:rFonts w:cs="Times New Roman"/>
        </w:rPr>
        <w:t>.</w:t>
      </w:r>
    </w:p>
    <w:p w14:paraId="5814A604" w14:textId="52947277" w:rsidR="004432D5" w:rsidRDefault="00960BE3" w:rsidP="003E0A16">
      <w:pPr>
        <w:spacing w:line="480" w:lineRule="auto"/>
        <w:ind w:firstLine="720"/>
      </w:pPr>
      <w:r>
        <w:rPr>
          <w:rFonts w:cs="Times New Roman"/>
        </w:rPr>
        <w:t xml:space="preserve">Previous studies have </w:t>
      </w:r>
      <w:r w:rsidR="00F40D42">
        <w:rPr>
          <w:rFonts w:cs="Times New Roman"/>
        </w:rPr>
        <w:t xml:space="preserve">suggested that </w:t>
      </w:r>
      <w:r>
        <w:rPr>
          <w:rFonts w:cs="Times New Roman"/>
        </w:rPr>
        <w:t xml:space="preserve">plant variations in </w:t>
      </w:r>
      <w:proofErr w:type="spellStart"/>
      <w:r w:rsidR="006352D4">
        <w:rPr>
          <w:rFonts w:cs="Times New Roman"/>
          <w:i/>
          <w:iCs/>
        </w:rPr>
        <w:t>g</w:t>
      </w:r>
      <w:r w:rsidR="006352D4" w:rsidRPr="006352D4">
        <w:rPr>
          <w:rFonts w:cs="Times New Roman"/>
          <w:i/>
          <w:iCs/>
          <w:vertAlign w:val="subscript"/>
        </w:rPr>
        <w:t>s</w:t>
      </w:r>
      <w:r w:rsidR="006352D4">
        <w:rPr>
          <w:rFonts w:cs="Times New Roman"/>
          <w:i/>
          <w:iCs/>
        </w:rPr>
        <w:t>w</w:t>
      </w:r>
      <w:proofErr w:type="spellEnd"/>
      <w:r>
        <w:rPr>
          <w:rFonts w:cs="Times New Roman"/>
        </w:rPr>
        <w:t xml:space="preserve"> and </w:t>
      </w:r>
      <w:r w:rsidR="006352D4">
        <w:rPr>
          <w:rFonts w:cs="Times New Roman"/>
          <w:i/>
          <w:iCs/>
        </w:rPr>
        <w:t>A</w:t>
      </w:r>
      <w:r w:rsidR="006352D4">
        <w:rPr>
          <w:rFonts w:cs="Times New Roman"/>
        </w:rPr>
        <w:t xml:space="preserve"> </w:t>
      </w:r>
      <w:r w:rsidR="00F40D42">
        <w:rPr>
          <w:rFonts w:cs="Times New Roman"/>
        </w:rPr>
        <w:t xml:space="preserve">may contribute to drought tolerance, with values increasing or decreasing depending on drought conditions </w:t>
      </w:r>
      <w:r w:rsidR="006352D4">
        <w:rPr>
          <w:rFonts w:cs="Times New Roman"/>
        </w:rPr>
        <w:fldChar w:fldCharType="begin"/>
      </w:r>
      <w:r w:rsidR="006352D4">
        <w:rPr>
          <w:rFonts w:cs="Times New Roman"/>
        </w:rPr>
        <w:instrText xml:space="preserve"> ADDIN ZOTERO_ITEM CSL_CITATION {"citationID":"7WVMbAY6","properties":{"formattedCitation":"(Hu et al., 2009)","plainCitation":"(Hu et al., 2009)","noteIndex":0},"citationItems":[{"id":74,"uris":["http://zotero.org/users/local/kjHHoAYm/items/EX89DNLQ"],"itemData":{"id":74,"type":"article-journal","abstract":"ABSTRACT\n            \n              Plants may survive drought stress by altering photosynthetic metabolism. This study was designed to investigate stomatal and metabolic changes associated with photosynthetic responses to drought for bermudagrass. A hybrid bermudagrass [\n              Cynodon dactylon\n              (L.) Pers. ×\n              C. transvaalensis\n              Burtt Davy, cv. Tifway] and a common bermudagrass (\n              C. dactylon\n              , cv. C299) were subjected to drought by withholding irrigation in growth chambers. Tifway maintained higher relative water content and lower electrolyte leakage than C299 under drought. Net photosynthetic rate (P\n              n\n              ) and stomatal conductance (g\n              s\n              ) decreased, with more rapid decline in C299, but P\n              n\n              was significantly greater in Tifway than in C299, while g\n              s\n              did not differ between the two genotypes during 14 d of drought. Photochemical efficiency, ribulose‐1,5‐bisphosphate carboxylase:oxygenase (Rubisco) activity, and activation state declined during drought stress, but were higher in Tifway than in C299 within 14 d of treatment. Electrophoretic analysis revealed that at 14 and 18 d of drought, pyruvate orthophosphate dikinase (98 kDa) and Rubisco protein (49 kDa) exhibited severe degradation in C299 but to a lesser extent in Tifway. These results indicated that the superior drought resistance in Tifway could be attributed to higher photosynthetic capacity through the maintenance of higher metabolic activities, as manifested by more active Rubisco enzyme and Rubisco activase and more stable photosynthetic proteins.","container-title":"Crop Science","DOI":"10.2135/cropsci2008.12.0697","ISSN":"0011-183X, 1435-0653","issue":"5","journalAbbreviation":"Crop Science","language":"en","page":"1902-1909","source":"DOI.org (Crossref)","title":"Photosynthetic Responses of Bermudagrass to Drought Stress Associated with Stomatal and Metabolic Limitations","volume":"49","author":[{"family":"Hu","given":"Longxing"},{"family":"Wang","given":"Zhaolong"},{"family":"Huang","given":"Bingru"}],"issued":{"date-parts":[["2009",9]]}}}],"schema":"https://github.com/citation-style-language/schema/raw/master/csl-citation.json"} </w:instrText>
      </w:r>
      <w:r w:rsidR="006352D4">
        <w:rPr>
          <w:rFonts w:cs="Times New Roman"/>
        </w:rPr>
        <w:fldChar w:fldCharType="separate"/>
      </w:r>
      <w:r w:rsidR="006352D4" w:rsidRPr="006352D4">
        <w:rPr>
          <w:rFonts w:cs="Times New Roman"/>
        </w:rPr>
        <w:t>(Hu et al., 2009)</w:t>
      </w:r>
      <w:r w:rsidR="006352D4">
        <w:rPr>
          <w:rFonts w:cs="Times New Roman"/>
        </w:rPr>
        <w:fldChar w:fldCharType="end"/>
      </w:r>
      <w:r w:rsidR="00F40D42">
        <w:rPr>
          <w:rFonts w:cs="Times New Roman"/>
        </w:rPr>
        <w:t>.</w:t>
      </w:r>
      <w:r w:rsidR="006352D4">
        <w:rPr>
          <w:rFonts w:cs="Times New Roman"/>
        </w:rPr>
        <w:t xml:space="preserve"> However, no significant differences were observed </w:t>
      </w:r>
      <w:r w:rsidR="00F40D42">
        <w:rPr>
          <w:rFonts w:cs="Times New Roman"/>
        </w:rPr>
        <w:t>in either</w:t>
      </w:r>
      <w:r w:rsidR="006352D4">
        <w:rPr>
          <w:rFonts w:cs="Times New Roman"/>
        </w:rPr>
        <w:t xml:space="preserve"> </w:t>
      </w:r>
      <w:r w:rsidR="006352D4" w:rsidRPr="006352D4">
        <w:rPr>
          <w:rFonts w:cs="Times New Roman"/>
          <w:i/>
          <w:iCs/>
        </w:rPr>
        <w:t>A</w:t>
      </w:r>
      <w:r w:rsidR="006352D4">
        <w:rPr>
          <w:rFonts w:cs="Times New Roman"/>
          <w:i/>
          <w:iCs/>
        </w:rPr>
        <w:t xml:space="preserve"> </w:t>
      </w:r>
      <w:r w:rsidR="006352D4">
        <w:rPr>
          <w:rFonts w:cs="Times New Roman"/>
        </w:rPr>
        <w:t xml:space="preserve">or </w:t>
      </w:r>
      <w:proofErr w:type="spellStart"/>
      <w:r w:rsidR="006352D4">
        <w:rPr>
          <w:rFonts w:cs="Times New Roman"/>
          <w:i/>
          <w:iCs/>
        </w:rPr>
        <w:t>g</w:t>
      </w:r>
      <w:r w:rsidR="006352D4" w:rsidRPr="006352D4">
        <w:rPr>
          <w:rFonts w:cs="Times New Roman"/>
          <w:i/>
          <w:iCs/>
          <w:vertAlign w:val="subscript"/>
        </w:rPr>
        <w:t>S</w:t>
      </w:r>
      <w:r w:rsidR="006352D4">
        <w:rPr>
          <w:rFonts w:cs="Times New Roman"/>
          <w:i/>
          <w:iCs/>
        </w:rPr>
        <w:t>w</w:t>
      </w:r>
      <w:proofErr w:type="spellEnd"/>
      <w:r w:rsidR="00F40D42">
        <w:rPr>
          <w:rFonts w:cs="Times New Roman"/>
          <w:i/>
          <w:iCs/>
        </w:rPr>
        <w:t xml:space="preserve"> </w:t>
      </w:r>
      <w:r w:rsidR="00F40D42" w:rsidRPr="001A5F09">
        <w:rPr>
          <w:rFonts w:cs="Times New Roman"/>
        </w:rPr>
        <w:t>in this study</w:t>
      </w:r>
      <w:r w:rsidR="006352D4">
        <w:rPr>
          <w:rFonts w:cs="Times New Roman"/>
          <w:i/>
          <w:iCs/>
        </w:rPr>
        <w:t xml:space="preserve"> </w:t>
      </w:r>
      <w:r w:rsidR="006352D4">
        <w:rPr>
          <w:rFonts w:cs="Times New Roman"/>
        </w:rPr>
        <w:t>(</w:t>
      </w:r>
      <w:r w:rsidR="00C64F12" w:rsidRPr="00C64F12">
        <w:rPr>
          <w:rFonts w:cs="Times New Roman"/>
          <w:b/>
          <w:bCs/>
        </w:rPr>
        <w:t>Tables 2.</w:t>
      </w:r>
      <w:r w:rsidR="00931ADB">
        <w:rPr>
          <w:rFonts w:cs="Times New Roman"/>
          <w:b/>
          <w:bCs/>
        </w:rPr>
        <w:t>10</w:t>
      </w:r>
      <w:r w:rsidR="00C64F12">
        <w:rPr>
          <w:rFonts w:cs="Times New Roman"/>
          <w:b/>
          <w:bCs/>
        </w:rPr>
        <w:t>;</w:t>
      </w:r>
      <w:r w:rsidR="00C64F12">
        <w:rPr>
          <w:rFonts w:cs="Times New Roman"/>
        </w:rPr>
        <w:t xml:space="preserve"> </w:t>
      </w:r>
      <w:r w:rsidR="00C64F12" w:rsidRPr="00C64F12">
        <w:rPr>
          <w:rFonts w:cs="Times New Roman"/>
          <w:b/>
          <w:bCs/>
        </w:rPr>
        <w:t>Table 2.</w:t>
      </w:r>
      <w:r w:rsidR="00931ADB">
        <w:rPr>
          <w:rFonts w:cs="Times New Roman"/>
          <w:b/>
          <w:bCs/>
        </w:rPr>
        <w:t>11</w:t>
      </w:r>
      <w:r w:rsidR="006352D4">
        <w:rPr>
          <w:rFonts w:cs="Times New Roman"/>
        </w:rPr>
        <w:t>). Moreover</w:t>
      </w:r>
      <w:r w:rsidR="00441E14">
        <w:rPr>
          <w:rFonts w:cs="Times New Roman"/>
        </w:rPr>
        <w:t>,</w:t>
      </w:r>
      <w:r w:rsidR="006352D4">
        <w:rPr>
          <w:rFonts w:cs="Times New Roman"/>
        </w:rPr>
        <w:t xml:space="preserve"> PGPB</w:t>
      </w:r>
      <w:r w:rsidR="00F40D42">
        <w:rPr>
          <w:rFonts w:cs="Times New Roman"/>
        </w:rPr>
        <w:t>s</w:t>
      </w:r>
      <w:r w:rsidR="006352D4">
        <w:rPr>
          <w:rFonts w:cs="Times New Roman"/>
        </w:rPr>
        <w:t xml:space="preserve"> have the </w:t>
      </w:r>
      <w:r w:rsidR="00F40D42">
        <w:rPr>
          <w:rFonts w:cs="Times New Roman"/>
        </w:rPr>
        <w:t xml:space="preserve">potential </w:t>
      </w:r>
      <w:r w:rsidR="006352D4">
        <w:rPr>
          <w:rFonts w:cs="Times New Roman"/>
        </w:rPr>
        <w:t xml:space="preserve">to enhance plant stress </w:t>
      </w:r>
      <w:r w:rsidR="00F40D42">
        <w:rPr>
          <w:rFonts w:cs="Times New Roman"/>
        </w:rPr>
        <w:t xml:space="preserve">tolerance </w:t>
      </w:r>
      <w:r w:rsidR="00441E14" w:rsidRPr="00037ACB">
        <w:rPr>
          <w:rFonts w:cs="Times New Roman"/>
        </w:rPr>
        <w:t>(Kong &amp; Liu, 2022)</w:t>
      </w:r>
      <w:r w:rsidR="00441E14">
        <w:rPr>
          <w:rFonts w:cs="Times New Roman"/>
        </w:rPr>
        <w:t xml:space="preserve"> </w:t>
      </w:r>
      <w:r w:rsidR="00F40D42">
        <w:rPr>
          <w:rFonts w:cs="Times New Roman"/>
        </w:rPr>
        <w:t xml:space="preserve">by promoting </w:t>
      </w:r>
      <w:r w:rsidR="00441E14">
        <w:rPr>
          <w:rFonts w:cs="Times New Roman"/>
        </w:rPr>
        <w:t xml:space="preserve">root development </w:t>
      </w:r>
      <w:r w:rsidR="00F40D42">
        <w:rPr>
          <w:rFonts w:cs="Times New Roman"/>
        </w:rPr>
        <w:t xml:space="preserve">through </w:t>
      </w:r>
      <w:r w:rsidR="00441E14">
        <w:rPr>
          <w:rFonts w:cs="Times New Roman"/>
        </w:rPr>
        <w:t>increas</w:t>
      </w:r>
      <w:r w:rsidR="00F40D42">
        <w:rPr>
          <w:rFonts w:cs="Times New Roman"/>
        </w:rPr>
        <w:t>ed</w:t>
      </w:r>
      <w:r w:rsidR="00441E14">
        <w:rPr>
          <w:rFonts w:cs="Times New Roman"/>
        </w:rPr>
        <w:t xml:space="preserve"> ACC deaminase </w:t>
      </w:r>
      <w:r w:rsidR="00F40D42">
        <w:rPr>
          <w:rFonts w:cs="Times New Roman"/>
        </w:rPr>
        <w:t xml:space="preserve">activity </w:t>
      </w:r>
      <w:r w:rsidR="00441E14">
        <w:rPr>
          <w:rFonts w:cs="Times New Roman"/>
        </w:rPr>
        <w:t>(Glick et al., 1997)</w:t>
      </w:r>
      <w:r w:rsidR="00F40D42">
        <w:rPr>
          <w:rFonts w:cs="Times New Roman"/>
        </w:rPr>
        <w:t>.</w:t>
      </w:r>
      <w:r w:rsidR="006352D4">
        <w:rPr>
          <w:rFonts w:cs="Times New Roman"/>
        </w:rPr>
        <w:t xml:space="preserve"> </w:t>
      </w:r>
      <w:r w:rsidR="00F40D42">
        <w:rPr>
          <w:rFonts w:cs="Times New Roman"/>
        </w:rPr>
        <w:t>This</w:t>
      </w:r>
      <w:r w:rsidR="00441E14">
        <w:rPr>
          <w:rFonts w:cs="Times New Roman"/>
        </w:rPr>
        <w:t xml:space="preserve"> positive relationship between plant</w:t>
      </w:r>
      <w:r w:rsidR="00F40D42">
        <w:rPr>
          <w:rFonts w:cs="Times New Roman"/>
        </w:rPr>
        <w:t>s</w:t>
      </w:r>
      <w:r w:rsidR="00441E14">
        <w:rPr>
          <w:rFonts w:cs="Times New Roman"/>
        </w:rPr>
        <w:t xml:space="preserve"> and </w:t>
      </w:r>
      <w:r w:rsidR="00F726E6">
        <w:rPr>
          <w:rFonts w:cs="Times New Roman"/>
        </w:rPr>
        <w:t>microorganisms</w:t>
      </w:r>
      <w:r w:rsidR="00441E14">
        <w:rPr>
          <w:rFonts w:cs="Times New Roman"/>
        </w:rPr>
        <w:t xml:space="preserve"> (Tilak et al., 2006) </w:t>
      </w:r>
      <w:r w:rsidR="00F40D42">
        <w:rPr>
          <w:rFonts w:cs="Times New Roman"/>
        </w:rPr>
        <w:t xml:space="preserve">may result from adaptive </w:t>
      </w:r>
    </w:p>
    <w:tbl>
      <w:tblPr>
        <w:tblW w:w="7920" w:type="dxa"/>
        <w:tblLook w:val="04A0" w:firstRow="1" w:lastRow="0" w:firstColumn="1" w:lastColumn="0" w:noHBand="0" w:noVBand="1"/>
      </w:tblPr>
      <w:tblGrid>
        <w:gridCol w:w="1444"/>
        <w:gridCol w:w="1166"/>
        <w:gridCol w:w="1440"/>
        <w:gridCol w:w="1530"/>
        <w:gridCol w:w="1260"/>
        <w:gridCol w:w="1080"/>
      </w:tblGrid>
      <w:tr w:rsidR="008671E7" w:rsidRPr="00DD651A" w14:paraId="1B3D79E6" w14:textId="77777777" w:rsidTr="0052522E">
        <w:trPr>
          <w:trHeight w:val="1160"/>
        </w:trPr>
        <w:tc>
          <w:tcPr>
            <w:tcW w:w="7920" w:type="dxa"/>
            <w:gridSpan w:val="6"/>
            <w:tcBorders>
              <w:bottom w:val="single" w:sz="4" w:space="0" w:color="auto"/>
            </w:tcBorders>
            <w:shd w:val="clear" w:color="auto" w:fill="auto"/>
            <w:vAlign w:val="bottom"/>
            <w:hideMark/>
          </w:tcPr>
          <w:p w14:paraId="2D907DF9" w14:textId="3492E700" w:rsidR="008671E7" w:rsidRPr="00DD651A" w:rsidRDefault="008671E7" w:rsidP="004432D5">
            <w:pPr>
              <w:pStyle w:val="mytables"/>
            </w:pPr>
            <w:bookmarkStart w:id="76" w:name="_Toc196315454"/>
            <w:bookmarkEnd w:id="53"/>
            <w:bookmarkEnd w:id="54"/>
            <w:r w:rsidRPr="00DD651A">
              <w:lastRenderedPageBreak/>
              <w:t>Table 2.</w:t>
            </w:r>
            <w:r w:rsidR="00931ADB">
              <w:t>10</w:t>
            </w:r>
            <w:r w:rsidRPr="00DD651A">
              <w:t xml:space="preserve"> - </w:t>
            </w:r>
            <w:r w:rsidRPr="004432D5">
              <w:rPr>
                <w:b w:val="0"/>
                <w:bCs w:val="0"/>
              </w:rPr>
              <w:t>Average stomatal conductance (</w:t>
            </w:r>
            <w:proofErr w:type="spellStart"/>
            <w:r w:rsidRPr="004432D5">
              <w:rPr>
                <w:b w:val="0"/>
                <w:bCs w:val="0"/>
              </w:rPr>
              <w:t>gs</w:t>
            </w:r>
            <w:proofErr w:type="spellEnd"/>
            <w:r w:rsidRPr="004432D5">
              <w:rPr>
                <w:b w:val="0"/>
                <w:bCs w:val="0"/>
              </w:rPr>
              <w:t xml:space="preserve">(w)) of </w:t>
            </w:r>
            <w:r w:rsidR="004B0DD7">
              <w:rPr>
                <w:b w:val="0"/>
                <w:bCs w:val="0"/>
              </w:rPr>
              <w:t>b</w:t>
            </w:r>
            <w:r w:rsidRPr="004432D5">
              <w:rPr>
                <w:b w:val="0"/>
                <w:bCs w:val="0"/>
              </w:rPr>
              <w:t xml:space="preserve">ermudagrass in response to different strains of PGPB </w:t>
            </w:r>
            <w:r w:rsidRPr="004432D5">
              <w:rPr>
                <w:b w:val="0"/>
                <w:bCs w:val="0"/>
                <w:i/>
                <w:iCs/>
              </w:rPr>
              <w:t>(</w:t>
            </w:r>
            <w:r w:rsidR="00711096" w:rsidRPr="00711096">
              <w:rPr>
                <w:b w:val="0"/>
                <w:bCs w:val="0"/>
                <w:i/>
                <w:iCs/>
              </w:rPr>
              <w:t>inoculation</w:t>
            </w:r>
            <w:r w:rsidRPr="004432D5">
              <w:rPr>
                <w:b w:val="0"/>
                <w:bCs w:val="0"/>
                <w:i/>
                <w:iCs/>
              </w:rPr>
              <w:t>)</w:t>
            </w:r>
            <w:r w:rsidRPr="004432D5">
              <w:rPr>
                <w:b w:val="0"/>
                <w:bCs w:val="0"/>
              </w:rPr>
              <w:t xml:space="preserve"> (DH-44, C-PGBR, DH-267), </w:t>
            </w:r>
            <w:r w:rsidR="00E94C04">
              <w:rPr>
                <w:b w:val="0"/>
                <w:bCs w:val="0"/>
              </w:rPr>
              <w:t>and N strategies</w:t>
            </w:r>
            <w:r w:rsidR="00E94C04" w:rsidRPr="004432D5">
              <w:rPr>
                <w:b w:val="0"/>
                <w:bCs w:val="0"/>
              </w:rPr>
              <w:t xml:space="preserve"> (33 kg, 67 kg),</w:t>
            </w:r>
            <w:r w:rsidR="00E94C04" w:rsidRPr="004432D5">
              <w:rPr>
                <w:b w:val="0"/>
                <w:bCs w:val="0"/>
                <w:i/>
                <w:iCs/>
              </w:rPr>
              <w:t xml:space="preserve"> </w:t>
            </w:r>
            <w:r w:rsidR="00E94C04" w:rsidRPr="004432D5">
              <w:rPr>
                <w:b w:val="0"/>
                <w:bCs w:val="0"/>
              </w:rPr>
              <w:t>(Urea, Ammonium Sulfate)</w:t>
            </w:r>
            <w:r w:rsidRPr="004432D5">
              <w:rPr>
                <w:b w:val="0"/>
                <w:bCs w:val="0"/>
              </w:rPr>
              <w:t xml:space="preserve"> across two growing seasons 2023 and 2024, in Crossville, Tennessee, U.S.</w:t>
            </w:r>
            <w:bookmarkEnd w:id="76"/>
          </w:p>
        </w:tc>
      </w:tr>
      <w:tr w:rsidR="00704548" w:rsidRPr="00DD651A" w14:paraId="57C68914" w14:textId="77777777" w:rsidTr="0052522E">
        <w:trPr>
          <w:trHeight w:val="315"/>
        </w:trPr>
        <w:tc>
          <w:tcPr>
            <w:tcW w:w="1444" w:type="dxa"/>
            <w:vMerge w:val="restart"/>
            <w:tcBorders>
              <w:top w:val="single" w:sz="4" w:space="0" w:color="auto"/>
              <w:left w:val="nil"/>
              <w:bottom w:val="nil"/>
              <w:right w:val="nil"/>
            </w:tcBorders>
            <w:shd w:val="clear" w:color="auto" w:fill="auto"/>
            <w:noWrap/>
            <w:vAlign w:val="center"/>
            <w:hideMark/>
          </w:tcPr>
          <w:p w14:paraId="207A2820" w14:textId="4C7E9201" w:rsidR="00704548" w:rsidRPr="00DD651A" w:rsidRDefault="00704548" w:rsidP="00A05F5B">
            <w:pPr>
              <w:spacing w:line="240" w:lineRule="auto"/>
              <w:jc w:val="center"/>
              <w:rPr>
                <w:rFonts w:cs="Times New Roman"/>
                <w:color w:val="000000"/>
              </w:rPr>
            </w:pPr>
            <w:r>
              <w:t>N strategies</w:t>
            </w:r>
          </w:p>
        </w:tc>
        <w:tc>
          <w:tcPr>
            <w:tcW w:w="5396" w:type="dxa"/>
            <w:gridSpan w:val="4"/>
            <w:tcBorders>
              <w:top w:val="single" w:sz="4" w:space="0" w:color="auto"/>
              <w:left w:val="nil"/>
              <w:bottom w:val="nil"/>
              <w:right w:val="nil"/>
            </w:tcBorders>
            <w:shd w:val="clear" w:color="auto" w:fill="auto"/>
            <w:noWrap/>
            <w:vAlign w:val="bottom"/>
            <w:hideMark/>
          </w:tcPr>
          <w:p w14:paraId="0962169D" w14:textId="29726FDC" w:rsidR="00704548" w:rsidRPr="00DD651A" w:rsidRDefault="00704548" w:rsidP="00A05F5B">
            <w:pPr>
              <w:spacing w:line="240" w:lineRule="auto"/>
              <w:jc w:val="center"/>
              <w:rPr>
                <w:rFonts w:cs="Times New Roman"/>
                <w:color w:val="000000"/>
              </w:rPr>
            </w:pPr>
            <w:r>
              <w:rPr>
                <w:rFonts w:cs="Times New Roman"/>
                <w:color w:val="000000"/>
              </w:rPr>
              <w:t>Inoculation</w:t>
            </w:r>
          </w:p>
        </w:tc>
        <w:tc>
          <w:tcPr>
            <w:tcW w:w="1080" w:type="dxa"/>
            <w:tcBorders>
              <w:top w:val="single" w:sz="4" w:space="0" w:color="auto"/>
              <w:left w:val="nil"/>
              <w:bottom w:val="nil"/>
              <w:right w:val="nil"/>
            </w:tcBorders>
            <w:shd w:val="clear" w:color="auto" w:fill="auto"/>
            <w:noWrap/>
            <w:vAlign w:val="bottom"/>
            <w:hideMark/>
          </w:tcPr>
          <w:p w14:paraId="0C5FF1A9" w14:textId="77777777" w:rsidR="00704548" w:rsidRPr="00DD651A" w:rsidRDefault="00704548" w:rsidP="00A05F5B">
            <w:pPr>
              <w:spacing w:line="240" w:lineRule="auto"/>
              <w:rPr>
                <w:rFonts w:cs="Times New Roman"/>
                <w:color w:val="000000"/>
              </w:rPr>
            </w:pPr>
            <w:r w:rsidRPr="00DD651A">
              <w:rPr>
                <w:rFonts w:cs="Times New Roman"/>
                <w:color w:val="000000"/>
              </w:rPr>
              <w:t> </w:t>
            </w:r>
          </w:p>
        </w:tc>
      </w:tr>
      <w:tr w:rsidR="00704548" w:rsidRPr="00DD651A" w14:paraId="20E219F1" w14:textId="77777777" w:rsidTr="00704548">
        <w:trPr>
          <w:trHeight w:val="375"/>
        </w:trPr>
        <w:tc>
          <w:tcPr>
            <w:tcW w:w="1444" w:type="dxa"/>
            <w:vMerge/>
            <w:tcBorders>
              <w:top w:val="single" w:sz="4" w:space="0" w:color="auto"/>
              <w:left w:val="nil"/>
              <w:bottom w:val="nil"/>
              <w:right w:val="nil"/>
            </w:tcBorders>
            <w:vAlign w:val="center"/>
            <w:hideMark/>
          </w:tcPr>
          <w:p w14:paraId="7685B64E" w14:textId="77777777" w:rsidR="00704548" w:rsidRPr="00DD651A" w:rsidRDefault="00704548" w:rsidP="00A05F5B">
            <w:pPr>
              <w:spacing w:line="240" w:lineRule="auto"/>
              <w:rPr>
                <w:rFonts w:cs="Times New Roman"/>
                <w:color w:val="000000"/>
              </w:rPr>
            </w:pPr>
          </w:p>
        </w:tc>
        <w:tc>
          <w:tcPr>
            <w:tcW w:w="1166" w:type="dxa"/>
            <w:tcBorders>
              <w:top w:val="nil"/>
              <w:left w:val="nil"/>
              <w:bottom w:val="nil"/>
              <w:right w:val="nil"/>
            </w:tcBorders>
            <w:shd w:val="clear" w:color="auto" w:fill="auto"/>
            <w:noWrap/>
            <w:vAlign w:val="bottom"/>
            <w:hideMark/>
          </w:tcPr>
          <w:p w14:paraId="02AFB9B6" w14:textId="77777777" w:rsidR="00704548" w:rsidRPr="00DD651A" w:rsidRDefault="00704548" w:rsidP="00A05F5B">
            <w:pPr>
              <w:spacing w:line="240" w:lineRule="auto"/>
              <w:jc w:val="center"/>
              <w:rPr>
                <w:rFonts w:cs="Times New Roman"/>
                <w:color w:val="000000"/>
              </w:rPr>
            </w:pPr>
            <w:r w:rsidRPr="00DD651A">
              <w:rPr>
                <w:rFonts w:cs="Times New Roman"/>
                <w:color w:val="000000"/>
              </w:rPr>
              <w:t>DH-44</w:t>
            </w:r>
          </w:p>
        </w:tc>
        <w:tc>
          <w:tcPr>
            <w:tcW w:w="1440" w:type="dxa"/>
            <w:tcBorders>
              <w:top w:val="nil"/>
              <w:left w:val="nil"/>
              <w:bottom w:val="nil"/>
              <w:right w:val="nil"/>
            </w:tcBorders>
            <w:shd w:val="clear" w:color="auto" w:fill="auto"/>
            <w:noWrap/>
            <w:vAlign w:val="bottom"/>
            <w:hideMark/>
          </w:tcPr>
          <w:p w14:paraId="2A7439D5" w14:textId="77777777" w:rsidR="00704548" w:rsidRPr="00DD651A" w:rsidRDefault="00704548" w:rsidP="00A05F5B">
            <w:pPr>
              <w:spacing w:line="240" w:lineRule="auto"/>
              <w:jc w:val="center"/>
              <w:rPr>
                <w:rFonts w:cs="Times New Roman"/>
                <w:color w:val="000000"/>
              </w:rPr>
            </w:pPr>
            <w:r w:rsidRPr="00DD651A">
              <w:rPr>
                <w:rFonts w:cs="Times New Roman"/>
                <w:color w:val="000000"/>
              </w:rPr>
              <w:t>C-PGPB</w:t>
            </w:r>
          </w:p>
        </w:tc>
        <w:tc>
          <w:tcPr>
            <w:tcW w:w="1530" w:type="dxa"/>
            <w:tcBorders>
              <w:top w:val="nil"/>
              <w:left w:val="nil"/>
              <w:bottom w:val="nil"/>
              <w:right w:val="nil"/>
            </w:tcBorders>
            <w:shd w:val="clear" w:color="auto" w:fill="auto"/>
            <w:noWrap/>
            <w:vAlign w:val="bottom"/>
            <w:hideMark/>
          </w:tcPr>
          <w:p w14:paraId="47DB7B7E" w14:textId="77777777" w:rsidR="00704548" w:rsidRPr="00DD651A" w:rsidRDefault="00704548" w:rsidP="00A05F5B">
            <w:pPr>
              <w:spacing w:line="240" w:lineRule="auto"/>
              <w:jc w:val="center"/>
              <w:rPr>
                <w:rFonts w:cs="Times New Roman"/>
                <w:color w:val="000000"/>
              </w:rPr>
            </w:pPr>
            <w:r w:rsidRPr="00DD651A">
              <w:rPr>
                <w:rFonts w:cs="Times New Roman"/>
                <w:color w:val="000000"/>
              </w:rPr>
              <w:t>DH-267</w:t>
            </w:r>
          </w:p>
        </w:tc>
        <w:tc>
          <w:tcPr>
            <w:tcW w:w="1260" w:type="dxa"/>
            <w:tcBorders>
              <w:top w:val="nil"/>
              <w:left w:val="nil"/>
              <w:bottom w:val="nil"/>
              <w:right w:val="nil"/>
            </w:tcBorders>
            <w:shd w:val="clear" w:color="auto" w:fill="auto"/>
            <w:noWrap/>
            <w:vAlign w:val="bottom"/>
            <w:hideMark/>
          </w:tcPr>
          <w:p w14:paraId="4A1D7CD2" w14:textId="77777777" w:rsidR="00704548" w:rsidRPr="00DD651A" w:rsidRDefault="00704548" w:rsidP="00A05F5B">
            <w:pPr>
              <w:spacing w:line="240" w:lineRule="auto"/>
              <w:jc w:val="center"/>
              <w:rPr>
                <w:rFonts w:cs="Times New Roman"/>
                <w:color w:val="000000"/>
              </w:rPr>
            </w:pPr>
            <w:r w:rsidRPr="00DD651A">
              <w:rPr>
                <w:rFonts w:cs="Times New Roman"/>
                <w:color w:val="000000"/>
              </w:rPr>
              <w:t>No-PGPB</w:t>
            </w:r>
          </w:p>
        </w:tc>
        <w:tc>
          <w:tcPr>
            <w:tcW w:w="1080" w:type="dxa"/>
            <w:tcBorders>
              <w:top w:val="nil"/>
              <w:left w:val="nil"/>
              <w:bottom w:val="nil"/>
              <w:right w:val="nil"/>
            </w:tcBorders>
            <w:shd w:val="clear" w:color="auto" w:fill="auto"/>
            <w:noWrap/>
            <w:vAlign w:val="bottom"/>
            <w:hideMark/>
          </w:tcPr>
          <w:p w14:paraId="079CAE94" w14:textId="77777777" w:rsidR="00704548" w:rsidRPr="00DD651A" w:rsidRDefault="00704548" w:rsidP="00A05F5B">
            <w:pPr>
              <w:spacing w:line="240" w:lineRule="auto"/>
              <w:jc w:val="center"/>
              <w:rPr>
                <w:rFonts w:cs="Times New Roman"/>
                <w:color w:val="000000"/>
              </w:rPr>
            </w:pPr>
            <w:r w:rsidRPr="00DD651A">
              <w:rPr>
                <w:rFonts w:cs="Times New Roman"/>
                <w:i/>
                <w:iCs/>
                <w:color w:val="000000"/>
              </w:rPr>
              <w:t>P</w:t>
            </w:r>
            <w:r w:rsidRPr="00DD651A">
              <w:rPr>
                <w:rFonts w:cs="Times New Roman"/>
                <w:color w:val="000000"/>
              </w:rPr>
              <w:t>-Value</w:t>
            </w:r>
          </w:p>
        </w:tc>
      </w:tr>
      <w:tr w:rsidR="00704548" w:rsidRPr="00DD651A" w14:paraId="10426A0A" w14:textId="77777777" w:rsidTr="00704548">
        <w:trPr>
          <w:trHeight w:val="375"/>
        </w:trPr>
        <w:tc>
          <w:tcPr>
            <w:tcW w:w="1444" w:type="dxa"/>
            <w:tcBorders>
              <w:top w:val="nil"/>
              <w:left w:val="nil"/>
              <w:bottom w:val="nil"/>
              <w:right w:val="nil"/>
            </w:tcBorders>
            <w:shd w:val="clear" w:color="auto" w:fill="auto"/>
            <w:noWrap/>
            <w:vAlign w:val="bottom"/>
            <w:hideMark/>
          </w:tcPr>
          <w:p w14:paraId="1D09F28B" w14:textId="77777777" w:rsidR="00704548" w:rsidRPr="00DD651A" w:rsidRDefault="00704548" w:rsidP="00A05F5B">
            <w:pPr>
              <w:spacing w:line="240" w:lineRule="auto"/>
              <w:jc w:val="center"/>
              <w:rPr>
                <w:rFonts w:cs="Times New Roman"/>
                <w:color w:val="000000"/>
              </w:rPr>
            </w:pPr>
            <w:r w:rsidRPr="00DD651A">
              <w:rPr>
                <w:rFonts w:cs="Times New Roman"/>
                <w:color w:val="000000"/>
              </w:rPr>
              <w:t>(kg N ha</w:t>
            </w:r>
            <w:r w:rsidRPr="00DD651A">
              <w:rPr>
                <w:rFonts w:cs="Times New Roman"/>
                <w:color w:val="000000"/>
                <w:vertAlign w:val="superscript"/>
              </w:rPr>
              <w:t>-1</w:t>
            </w:r>
            <w:r w:rsidRPr="00DD651A">
              <w:rPr>
                <w:rFonts w:cs="Times New Roman"/>
                <w:color w:val="000000"/>
              </w:rPr>
              <w:t>)</w:t>
            </w:r>
          </w:p>
        </w:tc>
        <w:tc>
          <w:tcPr>
            <w:tcW w:w="5396" w:type="dxa"/>
            <w:gridSpan w:val="4"/>
            <w:tcBorders>
              <w:top w:val="nil"/>
              <w:left w:val="nil"/>
              <w:bottom w:val="nil"/>
              <w:right w:val="nil"/>
            </w:tcBorders>
            <w:shd w:val="clear" w:color="auto" w:fill="auto"/>
            <w:noWrap/>
            <w:vAlign w:val="bottom"/>
            <w:hideMark/>
          </w:tcPr>
          <w:p w14:paraId="21AA769F" w14:textId="77777777" w:rsidR="00704548" w:rsidRPr="00DD651A" w:rsidRDefault="00704548" w:rsidP="00A05F5B">
            <w:pPr>
              <w:spacing w:line="240" w:lineRule="auto"/>
              <w:jc w:val="center"/>
              <w:rPr>
                <w:rFonts w:cs="Times New Roman"/>
                <w:color w:val="000000"/>
              </w:rPr>
            </w:pPr>
            <w:r w:rsidRPr="00DD651A">
              <w:rPr>
                <w:rFonts w:cs="Times New Roman"/>
                <w:color w:val="000000"/>
              </w:rPr>
              <w:t>------------------ mol m</w:t>
            </w:r>
            <w:r w:rsidRPr="00DD651A">
              <w:rPr>
                <w:rFonts w:cs="Times New Roman"/>
                <w:color w:val="000000"/>
                <w:vertAlign w:val="superscript"/>
              </w:rPr>
              <w:t>-2</w:t>
            </w:r>
            <w:r w:rsidRPr="00DD651A">
              <w:rPr>
                <w:rFonts w:cs="Times New Roman"/>
                <w:color w:val="000000"/>
              </w:rPr>
              <w:t xml:space="preserve"> s</w:t>
            </w:r>
            <w:r w:rsidRPr="00DD651A">
              <w:rPr>
                <w:rFonts w:cs="Times New Roman"/>
                <w:color w:val="000000"/>
                <w:vertAlign w:val="superscript"/>
              </w:rPr>
              <w:t>-1</w:t>
            </w:r>
            <w:r w:rsidRPr="00DD651A">
              <w:rPr>
                <w:rFonts w:cs="Times New Roman"/>
                <w:color w:val="000000"/>
              </w:rPr>
              <w:t xml:space="preserve"> --------------------</w:t>
            </w:r>
          </w:p>
        </w:tc>
        <w:tc>
          <w:tcPr>
            <w:tcW w:w="1080" w:type="dxa"/>
            <w:tcBorders>
              <w:top w:val="nil"/>
              <w:left w:val="nil"/>
              <w:bottom w:val="nil"/>
              <w:right w:val="nil"/>
            </w:tcBorders>
            <w:shd w:val="clear" w:color="auto" w:fill="auto"/>
            <w:noWrap/>
            <w:vAlign w:val="bottom"/>
            <w:hideMark/>
          </w:tcPr>
          <w:p w14:paraId="35A1839A" w14:textId="77777777" w:rsidR="00704548" w:rsidRPr="00DD651A" w:rsidRDefault="00704548" w:rsidP="00A05F5B">
            <w:pPr>
              <w:spacing w:line="240" w:lineRule="auto"/>
              <w:rPr>
                <w:rFonts w:cs="Times New Roman"/>
                <w:sz w:val="20"/>
                <w:szCs w:val="20"/>
              </w:rPr>
            </w:pPr>
          </w:p>
        </w:tc>
      </w:tr>
      <w:tr w:rsidR="00704548" w:rsidRPr="00DD651A" w14:paraId="55DF4061" w14:textId="77777777" w:rsidTr="00704548">
        <w:trPr>
          <w:trHeight w:val="315"/>
        </w:trPr>
        <w:tc>
          <w:tcPr>
            <w:tcW w:w="1444" w:type="dxa"/>
            <w:tcBorders>
              <w:top w:val="single" w:sz="4" w:space="0" w:color="auto"/>
              <w:left w:val="nil"/>
              <w:bottom w:val="nil"/>
              <w:right w:val="nil"/>
            </w:tcBorders>
            <w:shd w:val="clear" w:color="auto" w:fill="auto"/>
            <w:noWrap/>
            <w:vAlign w:val="bottom"/>
            <w:hideMark/>
          </w:tcPr>
          <w:p w14:paraId="5EEAB2DC" w14:textId="64DB61E1" w:rsidR="00704548" w:rsidRPr="00DD651A" w:rsidRDefault="00704548" w:rsidP="00A05F5B">
            <w:pPr>
              <w:spacing w:line="240" w:lineRule="auto"/>
              <w:jc w:val="center"/>
              <w:rPr>
                <w:rFonts w:cs="Times New Roman"/>
                <w:color w:val="000000"/>
              </w:rPr>
            </w:pPr>
            <w:r>
              <w:rPr>
                <w:rFonts w:cs="Times New Roman"/>
                <w:color w:val="000000"/>
              </w:rPr>
              <w:t>NN</w:t>
            </w:r>
          </w:p>
        </w:tc>
        <w:tc>
          <w:tcPr>
            <w:tcW w:w="1166" w:type="dxa"/>
            <w:tcBorders>
              <w:top w:val="single" w:sz="4" w:space="0" w:color="auto"/>
              <w:left w:val="nil"/>
              <w:bottom w:val="nil"/>
              <w:right w:val="nil"/>
            </w:tcBorders>
            <w:shd w:val="clear" w:color="auto" w:fill="auto"/>
            <w:noWrap/>
            <w:vAlign w:val="bottom"/>
            <w:hideMark/>
          </w:tcPr>
          <w:p w14:paraId="6CDC88B9" w14:textId="5176CE6F" w:rsidR="00704548" w:rsidRPr="00DD651A" w:rsidRDefault="00543710" w:rsidP="00A05F5B">
            <w:pPr>
              <w:spacing w:line="240" w:lineRule="auto"/>
              <w:jc w:val="center"/>
              <w:rPr>
                <w:rFonts w:cs="Times New Roman"/>
                <w:color w:val="000000"/>
              </w:rPr>
            </w:pPr>
            <w:r>
              <w:rPr>
                <w:rFonts w:cs="Times New Roman"/>
                <w:color w:val="000000"/>
              </w:rPr>
              <w:t>0.2</w:t>
            </w:r>
          </w:p>
        </w:tc>
        <w:tc>
          <w:tcPr>
            <w:tcW w:w="1440" w:type="dxa"/>
            <w:tcBorders>
              <w:top w:val="single" w:sz="4" w:space="0" w:color="auto"/>
              <w:left w:val="nil"/>
              <w:bottom w:val="nil"/>
              <w:right w:val="nil"/>
            </w:tcBorders>
            <w:shd w:val="clear" w:color="auto" w:fill="auto"/>
            <w:noWrap/>
            <w:vAlign w:val="bottom"/>
            <w:hideMark/>
          </w:tcPr>
          <w:p w14:paraId="63760323" w14:textId="732E4E98" w:rsidR="00704548" w:rsidRPr="00DD651A" w:rsidRDefault="00543710" w:rsidP="00A05F5B">
            <w:pPr>
              <w:spacing w:line="240" w:lineRule="auto"/>
              <w:jc w:val="center"/>
              <w:rPr>
                <w:rFonts w:cs="Times New Roman"/>
                <w:color w:val="000000"/>
              </w:rPr>
            </w:pPr>
            <w:r>
              <w:rPr>
                <w:rFonts w:cs="Times New Roman"/>
                <w:color w:val="000000"/>
              </w:rPr>
              <w:t>0.3</w:t>
            </w:r>
          </w:p>
        </w:tc>
        <w:tc>
          <w:tcPr>
            <w:tcW w:w="1530" w:type="dxa"/>
            <w:tcBorders>
              <w:top w:val="single" w:sz="4" w:space="0" w:color="auto"/>
              <w:left w:val="nil"/>
              <w:bottom w:val="nil"/>
              <w:right w:val="nil"/>
            </w:tcBorders>
            <w:shd w:val="clear" w:color="auto" w:fill="auto"/>
            <w:noWrap/>
            <w:vAlign w:val="bottom"/>
            <w:hideMark/>
          </w:tcPr>
          <w:p w14:paraId="41633F24" w14:textId="568EBC4F" w:rsidR="00704548" w:rsidRPr="00DD651A" w:rsidRDefault="00543710" w:rsidP="00A05F5B">
            <w:pPr>
              <w:spacing w:line="240" w:lineRule="auto"/>
              <w:jc w:val="center"/>
              <w:rPr>
                <w:rFonts w:cs="Times New Roman"/>
                <w:color w:val="000000"/>
              </w:rPr>
            </w:pPr>
            <w:r>
              <w:rPr>
                <w:rFonts w:cs="Times New Roman"/>
                <w:color w:val="000000"/>
              </w:rPr>
              <w:t>0.2</w:t>
            </w:r>
          </w:p>
        </w:tc>
        <w:tc>
          <w:tcPr>
            <w:tcW w:w="1260" w:type="dxa"/>
            <w:tcBorders>
              <w:top w:val="single" w:sz="4" w:space="0" w:color="auto"/>
              <w:left w:val="nil"/>
              <w:bottom w:val="nil"/>
              <w:right w:val="nil"/>
            </w:tcBorders>
            <w:shd w:val="clear" w:color="auto" w:fill="auto"/>
            <w:noWrap/>
            <w:vAlign w:val="bottom"/>
            <w:hideMark/>
          </w:tcPr>
          <w:p w14:paraId="177A115C" w14:textId="37D851DE" w:rsidR="00704548" w:rsidRPr="00DD651A" w:rsidRDefault="008A0D49" w:rsidP="00A05F5B">
            <w:pPr>
              <w:spacing w:line="240" w:lineRule="auto"/>
              <w:jc w:val="center"/>
              <w:rPr>
                <w:rFonts w:cs="Times New Roman"/>
                <w:color w:val="000000"/>
              </w:rPr>
            </w:pPr>
            <w:r>
              <w:rPr>
                <w:rFonts w:cs="Times New Roman"/>
                <w:color w:val="000000"/>
              </w:rPr>
              <w:t>0.2</w:t>
            </w:r>
          </w:p>
        </w:tc>
        <w:tc>
          <w:tcPr>
            <w:tcW w:w="1080" w:type="dxa"/>
            <w:tcBorders>
              <w:top w:val="single" w:sz="4" w:space="0" w:color="auto"/>
              <w:left w:val="nil"/>
              <w:bottom w:val="nil"/>
              <w:right w:val="nil"/>
            </w:tcBorders>
            <w:shd w:val="clear" w:color="auto" w:fill="auto"/>
            <w:noWrap/>
            <w:vAlign w:val="bottom"/>
            <w:hideMark/>
          </w:tcPr>
          <w:p w14:paraId="224F438D" w14:textId="77777777" w:rsidR="00704548" w:rsidRPr="00DD651A" w:rsidRDefault="00704548" w:rsidP="00A05F5B">
            <w:pPr>
              <w:spacing w:line="240" w:lineRule="auto"/>
              <w:jc w:val="center"/>
              <w:rPr>
                <w:rFonts w:cs="Times New Roman"/>
                <w:i/>
                <w:iCs/>
                <w:color w:val="000000"/>
              </w:rPr>
            </w:pPr>
            <w:r w:rsidRPr="00DD651A">
              <w:rPr>
                <w:rFonts w:cs="Times New Roman"/>
                <w:i/>
                <w:iCs/>
                <w:color w:val="000000"/>
              </w:rPr>
              <w:t>&gt;0.05</w:t>
            </w:r>
          </w:p>
        </w:tc>
      </w:tr>
      <w:tr w:rsidR="00704548" w:rsidRPr="00DD651A" w14:paraId="1B91795C" w14:textId="77777777" w:rsidTr="00704548">
        <w:trPr>
          <w:trHeight w:val="315"/>
        </w:trPr>
        <w:tc>
          <w:tcPr>
            <w:tcW w:w="1444" w:type="dxa"/>
            <w:tcBorders>
              <w:top w:val="nil"/>
              <w:left w:val="nil"/>
              <w:bottom w:val="nil"/>
              <w:right w:val="nil"/>
            </w:tcBorders>
            <w:shd w:val="clear" w:color="auto" w:fill="auto"/>
            <w:noWrap/>
            <w:vAlign w:val="bottom"/>
            <w:hideMark/>
          </w:tcPr>
          <w:p w14:paraId="70B5A001" w14:textId="19DF4733" w:rsidR="00704548" w:rsidRPr="00DD651A" w:rsidRDefault="00704548" w:rsidP="00A05F5B">
            <w:pPr>
              <w:spacing w:line="240" w:lineRule="auto"/>
              <w:jc w:val="center"/>
              <w:rPr>
                <w:rFonts w:cs="Times New Roman"/>
                <w:color w:val="000000"/>
              </w:rPr>
            </w:pPr>
            <w:r w:rsidRPr="00DD651A">
              <w:rPr>
                <w:rFonts w:cs="Times New Roman"/>
                <w:color w:val="000000"/>
              </w:rPr>
              <w:t>U</w:t>
            </w:r>
            <w:r>
              <w:rPr>
                <w:rFonts w:cs="Times New Roman"/>
                <w:color w:val="000000"/>
              </w:rPr>
              <w:t>-33</w:t>
            </w:r>
          </w:p>
        </w:tc>
        <w:tc>
          <w:tcPr>
            <w:tcW w:w="1166" w:type="dxa"/>
            <w:tcBorders>
              <w:top w:val="nil"/>
              <w:left w:val="nil"/>
              <w:bottom w:val="nil"/>
              <w:right w:val="nil"/>
            </w:tcBorders>
            <w:shd w:val="clear" w:color="auto" w:fill="auto"/>
            <w:noWrap/>
            <w:vAlign w:val="bottom"/>
            <w:hideMark/>
          </w:tcPr>
          <w:p w14:paraId="02C82D3E" w14:textId="4C5C8964" w:rsidR="00704548" w:rsidRPr="00DD651A" w:rsidRDefault="008A0D49" w:rsidP="00A05F5B">
            <w:pPr>
              <w:spacing w:line="240" w:lineRule="auto"/>
              <w:jc w:val="center"/>
              <w:rPr>
                <w:rFonts w:cs="Times New Roman"/>
                <w:color w:val="000000"/>
              </w:rPr>
            </w:pPr>
            <w:r>
              <w:rPr>
                <w:rFonts w:cs="Times New Roman"/>
                <w:color w:val="000000"/>
              </w:rPr>
              <w:t>0.3</w:t>
            </w:r>
          </w:p>
        </w:tc>
        <w:tc>
          <w:tcPr>
            <w:tcW w:w="1440" w:type="dxa"/>
            <w:tcBorders>
              <w:top w:val="nil"/>
              <w:left w:val="nil"/>
              <w:bottom w:val="nil"/>
              <w:right w:val="nil"/>
            </w:tcBorders>
            <w:shd w:val="clear" w:color="auto" w:fill="auto"/>
            <w:noWrap/>
            <w:vAlign w:val="bottom"/>
            <w:hideMark/>
          </w:tcPr>
          <w:p w14:paraId="547C6622" w14:textId="728AF146" w:rsidR="00704548" w:rsidRPr="00DD651A" w:rsidRDefault="00543710" w:rsidP="00A05F5B">
            <w:pPr>
              <w:spacing w:line="240" w:lineRule="auto"/>
              <w:jc w:val="center"/>
              <w:rPr>
                <w:rFonts w:cs="Times New Roman"/>
                <w:color w:val="000000"/>
              </w:rPr>
            </w:pPr>
            <w:r>
              <w:rPr>
                <w:rFonts w:cs="Times New Roman"/>
                <w:color w:val="000000"/>
              </w:rPr>
              <w:t>0.2</w:t>
            </w:r>
          </w:p>
        </w:tc>
        <w:tc>
          <w:tcPr>
            <w:tcW w:w="1530" w:type="dxa"/>
            <w:tcBorders>
              <w:top w:val="nil"/>
              <w:left w:val="nil"/>
              <w:bottom w:val="nil"/>
              <w:right w:val="nil"/>
            </w:tcBorders>
            <w:shd w:val="clear" w:color="auto" w:fill="auto"/>
            <w:noWrap/>
            <w:vAlign w:val="bottom"/>
            <w:hideMark/>
          </w:tcPr>
          <w:p w14:paraId="4367128D" w14:textId="755DDBF6" w:rsidR="00704548" w:rsidRPr="00DD651A" w:rsidRDefault="00543710" w:rsidP="00A05F5B">
            <w:pPr>
              <w:spacing w:line="240" w:lineRule="auto"/>
              <w:jc w:val="center"/>
              <w:rPr>
                <w:rFonts w:cs="Times New Roman"/>
                <w:color w:val="000000"/>
              </w:rPr>
            </w:pPr>
            <w:r>
              <w:rPr>
                <w:rFonts w:cs="Times New Roman"/>
                <w:color w:val="000000"/>
              </w:rPr>
              <w:t>0.2</w:t>
            </w:r>
          </w:p>
        </w:tc>
        <w:tc>
          <w:tcPr>
            <w:tcW w:w="1260" w:type="dxa"/>
            <w:tcBorders>
              <w:top w:val="nil"/>
              <w:left w:val="nil"/>
              <w:bottom w:val="nil"/>
              <w:right w:val="nil"/>
            </w:tcBorders>
            <w:shd w:val="clear" w:color="auto" w:fill="auto"/>
            <w:noWrap/>
            <w:vAlign w:val="bottom"/>
            <w:hideMark/>
          </w:tcPr>
          <w:p w14:paraId="643F80CA" w14:textId="4CE883FD" w:rsidR="00704548" w:rsidRPr="00DD651A" w:rsidRDefault="008A0D49" w:rsidP="00A05F5B">
            <w:pPr>
              <w:spacing w:line="240" w:lineRule="auto"/>
              <w:jc w:val="center"/>
              <w:rPr>
                <w:rFonts w:cs="Times New Roman"/>
                <w:color w:val="000000"/>
              </w:rPr>
            </w:pPr>
            <w:r>
              <w:rPr>
                <w:rFonts w:cs="Times New Roman"/>
                <w:color w:val="000000"/>
              </w:rPr>
              <w:t>0.2</w:t>
            </w:r>
          </w:p>
        </w:tc>
        <w:tc>
          <w:tcPr>
            <w:tcW w:w="1080" w:type="dxa"/>
            <w:tcBorders>
              <w:top w:val="nil"/>
              <w:left w:val="nil"/>
              <w:bottom w:val="nil"/>
              <w:right w:val="nil"/>
            </w:tcBorders>
            <w:shd w:val="clear" w:color="auto" w:fill="auto"/>
            <w:noWrap/>
            <w:vAlign w:val="bottom"/>
            <w:hideMark/>
          </w:tcPr>
          <w:p w14:paraId="7A3342AA" w14:textId="77777777" w:rsidR="00704548" w:rsidRPr="00DD651A" w:rsidRDefault="00704548" w:rsidP="00A05F5B">
            <w:pPr>
              <w:spacing w:line="240" w:lineRule="auto"/>
              <w:jc w:val="center"/>
              <w:rPr>
                <w:rFonts w:cs="Times New Roman"/>
                <w:i/>
                <w:iCs/>
                <w:color w:val="000000"/>
              </w:rPr>
            </w:pPr>
            <w:r w:rsidRPr="00DD651A">
              <w:rPr>
                <w:rFonts w:cs="Times New Roman"/>
                <w:i/>
                <w:iCs/>
                <w:color w:val="000000"/>
              </w:rPr>
              <w:t>&gt;0.05</w:t>
            </w:r>
          </w:p>
        </w:tc>
      </w:tr>
      <w:tr w:rsidR="00704548" w:rsidRPr="00DD651A" w14:paraId="3E129081" w14:textId="77777777" w:rsidTr="00704548">
        <w:trPr>
          <w:trHeight w:val="315"/>
        </w:trPr>
        <w:tc>
          <w:tcPr>
            <w:tcW w:w="1444" w:type="dxa"/>
            <w:tcBorders>
              <w:top w:val="nil"/>
              <w:left w:val="nil"/>
              <w:bottom w:val="nil"/>
              <w:right w:val="nil"/>
            </w:tcBorders>
            <w:shd w:val="clear" w:color="auto" w:fill="auto"/>
            <w:noWrap/>
            <w:vAlign w:val="bottom"/>
            <w:hideMark/>
          </w:tcPr>
          <w:p w14:paraId="36E96CCE" w14:textId="5F9277DA" w:rsidR="00704548" w:rsidRPr="00DD651A" w:rsidRDefault="00704548" w:rsidP="00A05F5B">
            <w:pPr>
              <w:spacing w:line="240" w:lineRule="auto"/>
              <w:jc w:val="center"/>
              <w:rPr>
                <w:rFonts w:cs="Times New Roman"/>
                <w:color w:val="000000"/>
              </w:rPr>
            </w:pPr>
            <w:r w:rsidRPr="00DD651A">
              <w:rPr>
                <w:rFonts w:cs="Times New Roman"/>
                <w:color w:val="000000"/>
              </w:rPr>
              <w:t>A</w:t>
            </w:r>
            <w:r>
              <w:rPr>
                <w:rFonts w:cs="Times New Roman"/>
                <w:color w:val="000000"/>
              </w:rPr>
              <w:t>-33</w:t>
            </w:r>
          </w:p>
        </w:tc>
        <w:tc>
          <w:tcPr>
            <w:tcW w:w="1166" w:type="dxa"/>
            <w:tcBorders>
              <w:top w:val="nil"/>
              <w:left w:val="nil"/>
              <w:bottom w:val="nil"/>
              <w:right w:val="nil"/>
            </w:tcBorders>
            <w:shd w:val="clear" w:color="auto" w:fill="auto"/>
            <w:noWrap/>
            <w:vAlign w:val="bottom"/>
            <w:hideMark/>
          </w:tcPr>
          <w:p w14:paraId="33FFDF06" w14:textId="30267087" w:rsidR="00704548" w:rsidRPr="00DD651A" w:rsidRDefault="008A0D49" w:rsidP="00A05F5B">
            <w:pPr>
              <w:spacing w:line="240" w:lineRule="auto"/>
              <w:jc w:val="center"/>
              <w:rPr>
                <w:rFonts w:cs="Times New Roman"/>
                <w:color w:val="000000"/>
              </w:rPr>
            </w:pPr>
            <w:r>
              <w:rPr>
                <w:rFonts w:cs="Times New Roman"/>
                <w:color w:val="000000"/>
              </w:rPr>
              <w:t>0.1</w:t>
            </w:r>
          </w:p>
        </w:tc>
        <w:tc>
          <w:tcPr>
            <w:tcW w:w="1440" w:type="dxa"/>
            <w:tcBorders>
              <w:top w:val="nil"/>
              <w:left w:val="nil"/>
              <w:bottom w:val="nil"/>
              <w:right w:val="nil"/>
            </w:tcBorders>
            <w:shd w:val="clear" w:color="auto" w:fill="auto"/>
            <w:noWrap/>
            <w:vAlign w:val="bottom"/>
            <w:hideMark/>
          </w:tcPr>
          <w:p w14:paraId="7A1BA7E4" w14:textId="3CFE4B8A" w:rsidR="00704548" w:rsidRPr="00DD651A" w:rsidRDefault="00543710" w:rsidP="00A05F5B">
            <w:pPr>
              <w:spacing w:line="240" w:lineRule="auto"/>
              <w:jc w:val="center"/>
              <w:rPr>
                <w:rFonts w:cs="Times New Roman"/>
                <w:color w:val="000000"/>
              </w:rPr>
            </w:pPr>
            <w:r>
              <w:rPr>
                <w:rFonts w:cs="Times New Roman"/>
                <w:color w:val="000000"/>
              </w:rPr>
              <w:t>0.3</w:t>
            </w:r>
          </w:p>
        </w:tc>
        <w:tc>
          <w:tcPr>
            <w:tcW w:w="1530" w:type="dxa"/>
            <w:tcBorders>
              <w:top w:val="nil"/>
              <w:left w:val="nil"/>
              <w:bottom w:val="nil"/>
              <w:right w:val="nil"/>
            </w:tcBorders>
            <w:shd w:val="clear" w:color="auto" w:fill="auto"/>
            <w:noWrap/>
            <w:vAlign w:val="bottom"/>
            <w:hideMark/>
          </w:tcPr>
          <w:p w14:paraId="1204D74F" w14:textId="33FA910B" w:rsidR="00704548" w:rsidRPr="00DD651A" w:rsidRDefault="00543710" w:rsidP="00A05F5B">
            <w:pPr>
              <w:spacing w:line="240" w:lineRule="auto"/>
              <w:jc w:val="center"/>
              <w:rPr>
                <w:rFonts w:cs="Times New Roman"/>
                <w:color w:val="000000"/>
              </w:rPr>
            </w:pPr>
            <w:r>
              <w:rPr>
                <w:rFonts w:cs="Times New Roman"/>
                <w:color w:val="000000"/>
              </w:rPr>
              <w:t>0.7</w:t>
            </w:r>
          </w:p>
        </w:tc>
        <w:tc>
          <w:tcPr>
            <w:tcW w:w="1260" w:type="dxa"/>
            <w:tcBorders>
              <w:top w:val="nil"/>
              <w:left w:val="nil"/>
              <w:bottom w:val="nil"/>
              <w:right w:val="nil"/>
            </w:tcBorders>
            <w:shd w:val="clear" w:color="auto" w:fill="auto"/>
            <w:noWrap/>
            <w:vAlign w:val="bottom"/>
            <w:hideMark/>
          </w:tcPr>
          <w:p w14:paraId="5EC4A061" w14:textId="6548F608" w:rsidR="00704548" w:rsidRPr="00DD651A" w:rsidRDefault="008A0D49" w:rsidP="00A05F5B">
            <w:pPr>
              <w:spacing w:line="240" w:lineRule="auto"/>
              <w:jc w:val="center"/>
              <w:rPr>
                <w:rFonts w:cs="Times New Roman"/>
                <w:color w:val="000000"/>
              </w:rPr>
            </w:pPr>
            <w:r>
              <w:rPr>
                <w:rFonts w:cs="Times New Roman"/>
                <w:color w:val="000000"/>
              </w:rPr>
              <w:t>0.2</w:t>
            </w:r>
          </w:p>
        </w:tc>
        <w:tc>
          <w:tcPr>
            <w:tcW w:w="1080" w:type="dxa"/>
            <w:tcBorders>
              <w:top w:val="nil"/>
              <w:left w:val="nil"/>
              <w:bottom w:val="nil"/>
              <w:right w:val="nil"/>
            </w:tcBorders>
            <w:shd w:val="clear" w:color="auto" w:fill="auto"/>
            <w:noWrap/>
            <w:vAlign w:val="bottom"/>
            <w:hideMark/>
          </w:tcPr>
          <w:p w14:paraId="7824FD33" w14:textId="77777777" w:rsidR="00704548" w:rsidRPr="00DD651A" w:rsidRDefault="00704548" w:rsidP="00A05F5B">
            <w:pPr>
              <w:spacing w:line="240" w:lineRule="auto"/>
              <w:jc w:val="center"/>
              <w:rPr>
                <w:rFonts w:cs="Times New Roman"/>
                <w:i/>
                <w:iCs/>
                <w:color w:val="000000"/>
              </w:rPr>
            </w:pPr>
            <w:r w:rsidRPr="00DD651A">
              <w:rPr>
                <w:rFonts w:cs="Times New Roman"/>
                <w:i/>
                <w:iCs/>
                <w:color w:val="000000"/>
              </w:rPr>
              <w:t>&gt;0.05</w:t>
            </w:r>
          </w:p>
        </w:tc>
      </w:tr>
      <w:tr w:rsidR="00704548" w:rsidRPr="00DD651A" w14:paraId="0FBBE58D" w14:textId="77777777" w:rsidTr="00704548">
        <w:trPr>
          <w:trHeight w:val="315"/>
        </w:trPr>
        <w:tc>
          <w:tcPr>
            <w:tcW w:w="1444" w:type="dxa"/>
            <w:tcBorders>
              <w:top w:val="nil"/>
              <w:left w:val="nil"/>
              <w:bottom w:val="nil"/>
              <w:right w:val="nil"/>
            </w:tcBorders>
            <w:shd w:val="clear" w:color="auto" w:fill="auto"/>
            <w:noWrap/>
            <w:vAlign w:val="bottom"/>
            <w:hideMark/>
          </w:tcPr>
          <w:p w14:paraId="693E6BD1" w14:textId="05E3EDA1" w:rsidR="00704548" w:rsidRPr="00DD651A" w:rsidRDefault="00704548" w:rsidP="00A05F5B">
            <w:pPr>
              <w:spacing w:line="240" w:lineRule="auto"/>
              <w:jc w:val="center"/>
              <w:rPr>
                <w:rFonts w:cs="Times New Roman"/>
                <w:color w:val="000000"/>
              </w:rPr>
            </w:pPr>
            <w:r w:rsidRPr="00DD651A">
              <w:rPr>
                <w:rFonts w:cs="Times New Roman"/>
                <w:color w:val="000000"/>
              </w:rPr>
              <w:t>U</w:t>
            </w:r>
            <w:r>
              <w:rPr>
                <w:rFonts w:cs="Times New Roman"/>
                <w:color w:val="000000"/>
              </w:rPr>
              <w:t>-67</w:t>
            </w:r>
          </w:p>
        </w:tc>
        <w:tc>
          <w:tcPr>
            <w:tcW w:w="1166" w:type="dxa"/>
            <w:tcBorders>
              <w:top w:val="nil"/>
              <w:left w:val="nil"/>
              <w:bottom w:val="nil"/>
              <w:right w:val="nil"/>
            </w:tcBorders>
            <w:shd w:val="clear" w:color="auto" w:fill="auto"/>
            <w:noWrap/>
            <w:vAlign w:val="bottom"/>
            <w:hideMark/>
          </w:tcPr>
          <w:p w14:paraId="1ABB31A8" w14:textId="5BF86CEF" w:rsidR="00704548" w:rsidRPr="00DD651A" w:rsidRDefault="008A0D49" w:rsidP="00A05F5B">
            <w:pPr>
              <w:spacing w:line="240" w:lineRule="auto"/>
              <w:jc w:val="center"/>
              <w:rPr>
                <w:rFonts w:cs="Times New Roman"/>
                <w:color w:val="000000"/>
              </w:rPr>
            </w:pPr>
            <w:r>
              <w:rPr>
                <w:rFonts w:cs="Times New Roman"/>
                <w:color w:val="000000"/>
              </w:rPr>
              <w:t>0.3</w:t>
            </w:r>
          </w:p>
        </w:tc>
        <w:tc>
          <w:tcPr>
            <w:tcW w:w="1440" w:type="dxa"/>
            <w:tcBorders>
              <w:top w:val="nil"/>
              <w:left w:val="nil"/>
              <w:bottom w:val="nil"/>
              <w:right w:val="nil"/>
            </w:tcBorders>
            <w:shd w:val="clear" w:color="auto" w:fill="auto"/>
            <w:noWrap/>
            <w:vAlign w:val="bottom"/>
            <w:hideMark/>
          </w:tcPr>
          <w:p w14:paraId="1A6CAFC2" w14:textId="4A518FAE" w:rsidR="00704548" w:rsidRPr="00DD651A" w:rsidRDefault="00543710" w:rsidP="00A05F5B">
            <w:pPr>
              <w:spacing w:line="240" w:lineRule="auto"/>
              <w:jc w:val="center"/>
              <w:rPr>
                <w:rFonts w:cs="Times New Roman"/>
                <w:color w:val="000000"/>
              </w:rPr>
            </w:pPr>
            <w:r>
              <w:rPr>
                <w:rFonts w:cs="Times New Roman"/>
                <w:color w:val="000000"/>
              </w:rPr>
              <w:t>0.3</w:t>
            </w:r>
          </w:p>
        </w:tc>
        <w:tc>
          <w:tcPr>
            <w:tcW w:w="1530" w:type="dxa"/>
            <w:tcBorders>
              <w:top w:val="nil"/>
              <w:left w:val="nil"/>
              <w:bottom w:val="nil"/>
              <w:right w:val="nil"/>
            </w:tcBorders>
            <w:shd w:val="clear" w:color="auto" w:fill="auto"/>
            <w:noWrap/>
            <w:vAlign w:val="bottom"/>
            <w:hideMark/>
          </w:tcPr>
          <w:p w14:paraId="569F6204" w14:textId="50009ED9" w:rsidR="00704548" w:rsidRPr="00DD651A" w:rsidRDefault="00543710" w:rsidP="00A05F5B">
            <w:pPr>
              <w:spacing w:line="240" w:lineRule="auto"/>
              <w:jc w:val="center"/>
              <w:rPr>
                <w:rFonts w:cs="Times New Roman"/>
                <w:color w:val="000000"/>
              </w:rPr>
            </w:pPr>
            <w:r>
              <w:rPr>
                <w:rFonts w:cs="Times New Roman"/>
                <w:color w:val="000000"/>
              </w:rPr>
              <w:t>0.3</w:t>
            </w:r>
          </w:p>
        </w:tc>
        <w:tc>
          <w:tcPr>
            <w:tcW w:w="1260" w:type="dxa"/>
            <w:tcBorders>
              <w:top w:val="nil"/>
              <w:left w:val="nil"/>
              <w:bottom w:val="nil"/>
              <w:right w:val="nil"/>
            </w:tcBorders>
            <w:shd w:val="clear" w:color="auto" w:fill="auto"/>
            <w:noWrap/>
            <w:vAlign w:val="bottom"/>
            <w:hideMark/>
          </w:tcPr>
          <w:p w14:paraId="3B802AAA" w14:textId="5F83C563" w:rsidR="00704548" w:rsidRPr="00DD651A" w:rsidRDefault="008A0D49" w:rsidP="00A05F5B">
            <w:pPr>
              <w:spacing w:line="240" w:lineRule="auto"/>
              <w:jc w:val="center"/>
              <w:rPr>
                <w:rFonts w:cs="Times New Roman"/>
                <w:color w:val="000000"/>
              </w:rPr>
            </w:pPr>
            <w:r>
              <w:rPr>
                <w:rFonts w:cs="Times New Roman"/>
                <w:color w:val="000000"/>
              </w:rPr>
              <w:t>0.2</w:t>
            </w:r>
          </w:p>
        </w:tc>
        <w:tc>
          <w:tcPr>
            <w:tcW w:w="1080" w:type="dxa"/>
            <w:tcBorders>
              <w:top w:val="nil"/>
              <w:left w:val="nil"/>
              <w:bottom w:val="nil"/>
              <w:right w:val="nil"/>
            </w:tcBorders>
            <w:shd w:val="clear" w:color="auto" w:fill="auto"/>
            <w:noWrap/>
            <w:vAlign w:val="bottom"/>
            <w:hideMark/>
          </w:tcPr>
          <w:p w14:paraId="54F680E6" w14:textId="77777777" w:rsidR="00704548" w:rsidRPr="00DD651A" w:rsidRDefault="00704548" w:rsidP="00A05F5B">
            <w:pPr>
              <w:spacing w:line="240" w:lineRule="auto"/>
              <w:jc w:val="center"/>
              <w:rPr>
                <w:rFonts w:cs="Times New Roman"/>
                <w:i/>
                <w:iCs/>
                <w:color w:val="000000"/>
              </w:rPr>
            </w:pPr>
            <w:r w:rsidRPr="00DD651A">
              <w:rPr>
                <w:rFonts w:cs="Times New Roman"/>
                <w:i/>
                <w:iCs/>
                <w:color w:val="000000"/>
              </w:rPr>
              <w:t>&gt;0.05</w:t>
            </w:r>
          </w:p>
        </w:tc>
      </w:tr>
      <w:tr w:rsidR="00704548" w:rsidRPr="00DD651A" w14:paraId="7331FBED" w14:textId="77777777" w:rsidTr="00704548">
        <w:trPr>
          <w:trHeight w:val="315"/>
        </w:trPr>
        <w:tc>
          <w:tcPr>
            <w:tcW w:w="1444" w:type="dxa"/>
            <w:tcBorders>
              <w:top w:val="nil"/>
              <w:left w:val="nil"/>
              <w:bottom w:val="nil"/>
              <w:right w:val="nil"/>
            </w:tcBorders>
            <w:shd w:val="clear" w:color="auto" w:fill="auto"/>
            <w:noWrap/>
            <w:vAlign w:val="bottom"/>
            <w:hideMark/>
          </w:tcPr>
          <w:p w14:paraId="36621E93" w14:textId="3DEE2601" w:rsidR="00704548" w:rsidRPr="00DD651A" w:rsidRDefault="00704548" w:rsidP="00A05F5B">
            <w:pPr>
              <w:spacing w:line="240" w:lineRule="auto"/>
              <w:jc w:val="center"/>
              <w:rPr>
                <w:rFonts w:cs="Times New Roman"/>
                <w:color w:val="000000"/>
              </w:rPr>
            </w:pPr>
            <w:r w:rsidRPr="00DD651A">
              <w:rPr>
                <w:rFonts w:cs="Times New Roman"/>
                <w:color w:val="000000"/>
              </w:rPr>
              <w:t>A</w:t>
            </w:r>
            <w:r>
              <w:rPr>
                <w:rFonts w:cs="Times New Roman"/>
                <w:color w:val="000000"/>
              </w:rPr>
              <w:t>-67</w:t>
            </w:r>
          </w:p>
        </w:tc>
        <w:tc>
          <w:tcPr>
            <w:tcW w:w="1166" w:type="dxa"/>
            <w:tcBorders>
              <w:top w:val="nil"/>
              <w:left w:val="nil"/>
              <w:bottom w:val="nil"/>
              <w:right w:val="nil"/>
            </w:tcBorders>
            <w:shd w:val="clear" w:color="auto" w:fill="auto"/>
            <w:noWrap/>
            <w:vAlign w:val="bottom"/>
            <w:hideMark/>
          </w:tcPr>
          <w:p w14:paraId="6D3BCAC3" w14:textId="7976CA8F" w:rsidR="00704548" w:rsidRPr="00DD651A" w:rsidRDefault="008A0D49" w:rsidP="00A05F5B">
            <w:pPr>
              <w:spacing w:line="240" w:lineRule="auto"/>
              <w:jc w:val="center"/>
              <w:rPr>
                <w:rFonts w:cs="Times New Roman"/>
                <w:color w:val="000000"/>
              </w:rPr>
            </w:pPr>
            <w:r>
              <w:rPr>
                <w:rFonts w:cs="Times New Roman"/>
                <w:color w:val="000000"/>
              </w:rPr>
              <w:t>0.3</w:t>
            </w:r>
          </w:p>
        </w:tc>
        <w:tc>
          <w:tcPr>
            <w:tcW w:w="1440" w:type="dxa"/>
            <w:tcBorders>
              <w:top w:val="nil"/>
              <w:left w:val="nil"/>
              <w:bottom w:val="nil"/>
              <w:right w:val="nil"/>
            </w:tcBorders>
            <w:shd w:val="clear" w:color="auto" w:fill="auto"/>
            <w:noWrap/>
            <w:vAlign w:val="bottom"/>
            <w:hideMark/>
          </w:tcPr>
          <w:p w14:paraId="29DE811E" w14:textId="39180B77" w:rsidR="00704548" w:rsidRPr="00DD651A" w:rsidRDefault="00543710" w:rsidP="00A05F5B">
            <w:pPr>
              <w:spacing w:line="240" w:lineRule="auto"/>
              <w:jc w:val="center"/>
              <w:rPr>
                <w:rFonts w:cs="Times New Roman"/>
                <w:color w:val="000000"/>
              </w:rPr>
            </w:pPr>
            <w:r>
              <w:rPr>
                <w:rFonts w:cs="Times New Roman"/>
                <w:color w:val="000000"/>
              </w:rPr>
              <w:t>0.3</w:t>
            </w:r>
          </w:p>
        </w:tc>
        <w:tc>
          <w:tcPr>
            <w:tcW w:w="1530" w:type="dxa"/>
            <w:tcBorders>
              <w:top w:val="nil"/>
              <w:left w:val="nil"/>
              <w:bottom w:val="nil"/>
              <w:right w:val="nil"/>
            </w:tcBorders>
            <w:shd w:val="clear" w:color="auto" w:fill="auto"/>
            <w:noWrap/>
            <w:vAlign w:val="bottom"/>
            <w:hideMark/>
          </w:tcPr>
          <w:p w14:paraId="580C337D" w14:textId="3B4567D4" w:rsidR="00704548" w:rsidRPr="00DD651A" w:rsidRDefault="00543710" w:rsidP="00A05F5B">
            <w:pPr>
              <w:spacing w:line="240" w:lineRule="auto"/>
              <w:jc w:val="center"/>
              <w:rPr>
                <w:rFonts w:cs="Times New Roman"/>
                <w:color w:val="000000"/>
              </w:rPr>
            </w:pPr>
            <w:r>
              <w:rPr>
                <w:rFonts w:cs="Times New Roman"/>
                <w:color w:val="000000"/>
              </w:rPr>
              <w:t>0.3</w:t>
            </w:r>
          </w:p>
        </w:tc>
        <w:tc>
          <w:tcPr>
            <w:tcW w:w="1260" w:type="dxa"/>
            <w:tcBorders>
              <w:top w:val="nil"/>
              <w:left w:val="nil"/>
              <w:bottom w:val="nil"/>
              <w:right w:val="nil"/>
            </w:tcBorders>
            <w:shd w:val="clear" w:color="auto" w:fill="auto"/>
            <w:noWrap/>
            <w:vAlign w:val="bottom"/>
            <w:hideMark/>
          </w:tcPr>
          <w:p w14:paraId="67202936" w14:textId="240CEED5" w:rsidR="00704548" w:rsidRPr="00DD651A" w:rsidRDefault="008A0D49" w:rsidP="00A05F5B">
            <w:pPr>
              <w:spacing w:line="240" w:lineRule="auto"/>
              <w:jc w:val="center"/>
              <w:rPr>
                <w:rFonts w:cs="Times New Roman"/>
                <w:color w:val="000000"/>
              </w:rPr>
            </w:pPr>
            <w:r>
              <w:rPr>
                <w:rFonts w:cs="Times New Roman"/>
                <w:color w:val="000000"/>
              </w:rPr>
              <w:t>0.2</w:t>
            </w:r>
          </w:p>
        </w:tc>
        <w:tc>
          <w:tcPr>
            <w:tcW w:w="1080" w:type="dxa"/>
            <w:tcBorders>
              <w:top w:val="nil"/>
              <w:left w:val="nil"/>
              <w:bottom w:val="nil"/>
              <w:right w:val="nil"/>
            </w:tcBorders>
            <w:shd w:val="clear" w:color="auto" w:fill="auto"/>
            <w:noWrap/>
            <w:vAlign w:val="bottom"/>
            <w:hideMark/>
          </w:tcPr>
          <w:p w14:paraId="5C3B8A35" w14:textId="77777777" w:rsidR="00704548" w:rsidRPr="00DD651A" w:rsidRDefault="00704548" w:rsidP="00A05F5B">
            <w:pPr>
              <w:spacing w:line="240" w:lineRule="auto"/>
              <w:jc w:val="center"/>
              <w:rPr>
                <w:rFonts w:cs="Times New Roman"/>
                <w:i/>
                <w:iCs/>
                <w:color w:val="000000"/>
              </w:rPr>
            </w:pPr>
            <w:r w:rsidRPr="00DD651A">
              <w:rPr>
                <w:rFonts w:cs="Times New Roman"/>
                <w:i/>
                <w:iCs/>
                <w:color w:val="000000"/>
              </w:rPr>
              <w:t>&gt;0.05</w:t>
            </w:r>
          </w:p>
        </w:tc>
      </w:tr>
      <w:tr w:rsidR="00704548" w:rsidRPr="00DD651A" w14:paraId="1A5214E7" w14:textId="77777777" w:rsidTr="00704548">
        <w:trPr>
          <w:trHeight w:val="315"/>
        </w:trPr>
        <w:tc>
          <w:tcPr>
            <w:tcW w:w="1444" w:type="dxa"/>
            <w:tcBorders>
              <w:top w:val="nil"/>
              <w:left w:val="nil"/>
              <w:bottom w:val="nil"/>
              <w:right w:val="nil"/>
            </w:tcBorders>
            <w:shd w:val="clear" w:color="auto" w:fill="auto"/>
            <w:noWrap/>
            <w:vAlign w:val="bottom"/>
            <w:hideMark/>
          </w:tcPr>
          <w:p w14:paraId="28533F45" w14:textId="77777777" w:rsidR="00704548" w:rsidRPr="00DD651A" w:rsidRDefault="00704548" w:rsidP="00A05F5B">
            <w:pPr>
              <w:spacing w:line="240" w:lineRule="auto"/>
              <w:jc w:val="center"/>
              <w:rPr>
                <w:rFonts w:cs="Times New Roman"/>
                <w:color w:val="000000"/>
              </w:rPr>
            </w:pPr>
            <w:r w:rsidRPr="00DD651A">
              <w:rPr>
                <w:rFonts w:cs="Times New Roman"/>
                <w:i/>
                <w:iCs/>
                <w:color w:val="000000"/>
              </w:rPr>
              <w:t>P</w:t>
            </w:r>
            <w:r w:rsidRPr="00DD651A">
              <w:rPr>
                <w:rFonts w:cs="Times New Roman"/>
                <w:color w:val="000000"/>
              </w:rPr>
              <w:t>-value</w:t>
            </w:r>
          </w:p>
        </w:tc>
        <w:tc>
          <w:tcPr>
            <w:tcW w:w="1166" w:type="dxa"/>
            <w:tcBorders>
              <w:top w:val="nil"/>
              <w:left w:val="nil"/>
              <w:bottom w:val="nil"/>
              <w:right w:val="nil"/>
            </w:tcBorders>
            <w:shd w:val="clear" w:color="auto" w:fill="auto"/>
            <w:noWrap/>
            <w:vAlign w:val="bottom"/>
            <w:hideMark/>
          </w:tcPr>
          <w:p w14:paraId="1CAEFCAE" w14:textId="77777777" w:rsidR="00704548" w:rsidRPr="00DD651A" w:rsidRDefault="00704548" w:rsidP="00A05F5B">
            <w:pPr>
              <w:spacing w:line="240" w:lineRule="auto"/>
              <w:jc w:val="center"/>
              <w:rPr>
                <w:rFonts w:cs="Times New Roman"/>
                <w:i/>
                <w:iCs/>
                <w:color w:val="000000"/>
              </w:rPr>
            </w:pPr>
            <w:r w:rsidRPr="00DD651A">
              <w:rPr>
                <w:rFonts w:cs="Times New Roman"/>
                <w:i/>
                <w:iCs/>
                <w:color w:val="000000"/>
              </w:rPr>
              <w:t>&gt;0.05</w:t>
            </w:r>
          </w:p>
        </w:tc>
        <w:tc>
          <w:tcPr>
            <w:tcW w:w="1440" w:type="dxa"/>
            <w:tcBorders>
              <w:top w:val="nil"/>
              <w:left w:val="nil"/>
              <w:bottom w:val="nil"/>
              <w:right w:val="nil"/>
            </w:tcBorders>
            <w:shd w:val="clear" w:color="auto" w:fill="auto"/>
            <w:noWrap/>
            <w:vAlign w:val="bottom"/>
            <w:hideMark/>
          </w:tcPr>
          <w:p w14:paraId="0020650C" w14:textId="77777777" w:rsidR="00704548" w:rsidRPr="00DD651A" w:rsidRDefault="00704548" w:rsidP="00A05F5B">
            <w:pPr>
              <w:spacing w:line="240" w:lineRule="auto"/>
              <w:jc w:val="center"/>
              <w:rPr>
                <w:rFonts w:cs="Times New Roman"/>
                <w:i/>
                <w:iCs/>
                <w:color w:val="000000"/>
              </w:rPr>
            </w:pPr>
            <w:r w:rsidRPr="00DD651A">
              <w:rPr>
                <w:rFonts w:cs="Times New Roman"/>
                <w:i/>
                <w:iCs/>
                <w:color w:val="000000"/>
              </w:rPr>
              <w:t>&gt;0.05</w:t>
            </w:r>
          </w:p>
        </w:tc>
        <w:tc>
          <w:tcPr>
            <w:tcW w:w="1530" w:type="dxa"/>
            <w:tcBorders>
              <w:top w:val="nil"/>
              <w:left w:val="nil"/>
              <w:bottom w:val="nil"/>
              <w:right w:val="nil"/>
            </w:tcBorders>
            <w:shd w:val="clear" w:color="auto" w:fill="auto"/>
            <w:noWrap/>
            <w:vAlign w:val="bottom"/>
            <w:hideMark/>
          </w:tcPr>
          <w:p w14:paraId="75D13BEC" w14:textId="77777777" w:rsidR="00704548" w:rsidRPr="00DD651A" w:rsidRDefault="00704548" w:rsidP="00A05F5B">
            <w:pPr>
              <w:spacing w:line="240" w:lineRule="auto"/>
              <w:jc w:val="center"/>
              <w:rPr>
                <w:rFonts w:cs="Times New Roman"/>
                <w:i/>
                <w:iCs/>
                <w:color w:val="000000"/>
              </w:rPr>
            </w:pPr>
            <w:r w:rsidRPr="00DD651A">
              <w:rPr>
                <w:rFonts w:cs="Times New Roman"/>
                <w:i/>
                <w:iCs/>
                <w:color w:val="000000"/>
              </w:rPr>
              <w:t>&gt;0.05</w:t>
            </w:r>
          </w:p>
        </w:tc>
        <w:tc>
          <w:tcPr>
            <w:tcW w:w="1260" w:type="dxa"/>
            <w:tcBorders>
              <w:top w:val="nil"/>
              <w:left w:val="nil"/>
              <w:bottom w:val="nil"/>
              <w:right w:val="nil"/>
            </w:tcBorders>
            <w:shd w:val="clear" w:color="auto" w:fill="auto"/>
            <w:noWrap/>
            <w:vAlign w:val="bottom"/>
            <w:hideMark/>
          </w:tcPr>
          <w:p w14:paraId="76F4C046" w14:textId="77777777" w:rsidR="00704548" w:rsidRPr="00DD651A" w:rsidRDefault="00704548" w:rsidP="00A05F5B">
            <w:pPr>
              <w:spacing w:line="240" w:lineRule="auto"/>
              <w:jc w:val="center"/>
              <w:rPr>
                <w:rFonts w:cs="Times New Roman"/>
                <w:i/>
                <w:iCs/>
                <w:color w:val="000000"/>
              </w:rPr>
            </w:pPr>
            <w:r w:rsidRPr="00DD651A">
              <w:rPr>
                <w:rFonts w:cs="Times New Roman"/>
                <w:i/>
                <w:iCs/>
                <w:color w:val="000000"/>
              </w:rPr>
              <w:t>&gt;0.05</w:t>
            </w:r>
          </w:p>
        </w:tc>
        <w:tc>
          <w:tcPr>
            <w:tcW w:w="1080" w:type="dxa"/>
            <w:tcBorders>
              <w:top w:val="nil"/>
              <w:left w:val="nil"/>
              <w:bottom w:val="nil"/>
              <w:right w:val="nil"/>
            </w:tcBorders>
            <w:shd w:val="clear" w:color="auto" w:fill="auto"/>
            <w:noWrap/>
            <w:vAlign w:val="bottom"/>
            <w:hideMark/>
          </w:tcPr>
          <w:p w14:paraId="4412A509" w14:textId="77777777" w:rsidR="00704548" w:rsidRPr="00DD651A" w:rsidRDefault="00704548" w:rsidP="00A05F5B">
            <w:pPr>
              <w:spacing w:line="240" w:lineRule="auto"/>
              <w:rPr>
                <w:rFonts w:cs="Times New Roman"/>
                <w:sz w:val="20"/>
                <w:szCs w:val="20"/>
              </w:rPr>
            </w:pPr>
          </w:p>
        </w:tc>
      </w:tr>
      <w:tr w:rsidR="008671E7" w:rsidRPr="00DD651A" w14:paraId="30099B0E" w14:textId="77777777" w:rsidTr="00A05F5B">
        <w:trPr>
          <w:trHeight w:val="315"/>
        </w:trPr>
        <w:tc>
          <w:tcPr>
            <w:tcW w:w="7920" w:type="dxa"/>
            <w:gridSpan w:val="6"/>
            <w:tcBorders>
              <w:top w:val="single" w:sz="4" w:space="0" w:color="auto"/>
              <w:left w:val="nil"/>
              <w:bottom w:val="nil"/>
              <w:right w:val="nil"/>
            </w:tcBorders>
            <w:shd w:val="clear" w:color="auto" w:fill="auto"/>
            <w:noWrap/>
            <w:vAlign w:val="center"/>
            <w:hideMark/>
          </w:tcPr>
          <w:p w14:paraId="59F89218" w14:textId="013B9435" w:rsidR="008671E7" w:rsidRPr="00DD651A" w:rsidRDefault="008671E7" w:rsidP="00A05F5B">
            <w:pPr>
              <w:spacing w:line="240" w:lineRule="auto"/>
              <w:rPr>
                <w:rFonts w:cs="Times New Roman"/>
                <w:color w:val="000000"/>
              </w:rPr>
            </w:pPr>
            <w:r w:rsidRPr="00DD651A">
              <w:rPr>
                <w:rFonts w:cs="Times New Roman"/>
                <w:color w:val="000000"/>
              </w:rPr>
              <w:t xml:space="preserve">Means within a column differ each </w:t>
            </w:r>
            <w:r w:rsidR="00711096" w:rsidRPr="00711096">
              <w:t>inoculation</w:t>
            </w:r>
            <w:r w:rsidR="00711096">
              <w:rPr>
                <w:b/>
                <w:bCs/>
                <w:i/>
                <w:iCs/>
              </w:rPr>
              <w:t xml:space="preserve"> </w:t>
            </w:r>
            <w:r w:rsidRPr="00DD651A">
              <w:rPr>
                <w:rFonts w:cs="Times New Roman"/>
                <w:color w:val="000000"/>
              </w:rPr>
              <w:t xml:space="preserve">into </w:t>
            </w:r>
            <w:r w:rsidR="00654A25">
              <w:t xml:space="preserve">N strategies </w:t>
            </w:r>
            <w:r w:rsidRPr="00DD651A">
              <w:rPr>
                <w:rFonts w:cs="Times New Roman"/>
                <w:color w:val="000000"/>
              </w:rPr>
              <w:t>(</w:t>
            </w:r>
            <w:r w:rsidRPr="00DD651A">
              <w:rPr>
                <w:rFonts w:cs="Times New Roman"/>
                <w:i/>
                <w:iCs/>
                <w:color w:val="000000"/>
              </w:rPr>
              <w:t>p</w:t>
            </w:r>
            <w:r w:rsidRPr="00DD651A">
              <w:rPr>
                <w:rFonts w:cs="Times New Roman"/>
                <w:color w:val="000000"/>
              </w:rPr>
              <w:t xml:space="preserve"> &lt; .05). </w:t>
            </w:r>
          </w:p>
        </w:tc>
      </w:tr>
      <w:tr w:rsidR="008671E7" w:rsidRPr="00DD651A" w14:paraId="19E045A7" w14:textId="77777777" w:rsidTr="00A05F5B">
        <w:trPr>
          <w:trHeight w:val="315"/>
        </w:trPr>
        <w:tc>
          <w:tcPr>
            <w:tcW w:w="7920" w:type="dxa"/>
            <w:gridSpan w:val="6"/>
            <w:tcBorders>
              <w:top w:val="nil"/>
              <w:left w:val="nil"/>
              <w:bottom w:val="nil"/>
              <w:right w:val="nil"/>
            </w:tcBorders>
            <w:shd w:val="clear" w:color="auto" w:fill="auto"/>
            <w:noWrap/>
            <w:vAlign w:val="center"/>
            <w:hideMark/>
          </w:tcPr>
          <w:p w14:paraId="7B8E36FB" w14:textId="62171F16" w:rsidR="008671E7" w:rsidRPr="00DD651A" w:rsidRDefault="008671E7" w:rsidP="00A05F5B">
            <w:pPr>
              <w:spacing w:line="240" w:lineRule="auto"/>
              <w:rPr>
                <w:rFonts w:cs="Times New Roman"/>
                <w:color w:val="000000"/>
              </w:rPr>
            </w:pPr>
            <w:r w:rsidRPr="00DD651A">
              <w:rPr>
                <w:rFonts w:cs="Times New Roman"/>
                <w:color w:val="000000"/>
              </w:rPr>
              <w:t xml:space="preserve">Means within a row differ each </w:t>
            </w:r>
            <w:r w:rsidR="00654A25">
              <w:t xml:space="preserve">N strategies </w:t>
            </w:r>
            <w:r w:rsidRPr="00DD651A">
              <w:rPr>
                <w:rFonts w:cs="Times New Roman"/>
                <w:color w:val="000000"/>
              </w:rPr>
              <w:t xml:space="preserve">into </w:t>
            </w:r>
            <w:r w:rsidR="00711096" w:rsidRPr="00711096">
              <w:t>inoculation</w:t>
            </w:r>
            <w:r w:rsidR="00711096">
              <w:rPr>
                <w:b/>
                <w:bCs/>
                <w:i/>
                <w:iCs/>
              </w:rPr>
              <w:t xml:space="preserve"> </w:t>
            </w:r>
            <w:r w:rsidRPr="00DD651A">
              <w:rPr>
                <w:rFonts w:cs="Times New Roman"/>
                <w:color w:val="000000"/>
              </w:rPr>
              <w:t>(</w:t>
            </w:r>
            <w:r w:rsidRPr="00DD651A">
              <w:rPr>
                <w:rFonts w:cs="Times New Roman"/>
                <w:i/>
                <w:iCs/>
                <w:color w:val="000000"/>
              </w:rPr>
              <w:t>p</w:t>
            </w:r>
            <w:r w:rsidRPr="00DD651A">
              <w:rPr>
                <w:rFonts w:cs="Times New Roman"/>
                <w:color w:val="000000"/>
              </w:rPr>
              <w:t xml:space="preserve"> &lt; .05).</w:t>
            </w:r>
          </w:p>
        </w:tc>
      </w:tr>
      <w:tr w:rsidR="008671E7" w:rsidRPr="00DD651A" w14:paraId="7446EF9F" w14:textId="77777777" w:rsidTr="00A05F5B">
        <w:trPr>
          <w:trHeight w:val="360"/>
        </w:trPr>
        <w:tc>
          <w:tcPr>
            <w:tcW w:w="7920" w:type="dxa"/>
            <w:gridSpan w:val="6"/>
            <w:tcBorders>
              <w:top w:val="nil"/>
              <w:left w:val="nil"/>
              <w:bottom w:val="nil"/>
              <w:right w:val="nil"/>
            </w:tcBorders>
            <w:shd w:val="clear" w:color="auto" w:fill="auto"/>
            <w:noWrap/>
            <w:vAlign w:val="center"/>
            <w:hideMark/>
          </w:tcPr>
          <w:p w14:paraId="4BDCE4EB" w14:textId="21EEA8D1" w:rsidR="008671E7" w:rsidRPr="00DD651A" w:rsidRDefault="008671E7" w:rsidP="00A05F5B">
            <w:pPr>
              <w:spacing w:line="240" w:lineRule="auto"/>
              <w:rPr>
                <w:rFonts w:ascii="Symbol" w:hAnsi="Symbol" w:cs="Times New Roman"/>
                <w:color w:val="000000"/>
              </w:rPr>
            </w:pPr>
            <w:r>
              <w:rPr>
                <w:rFonts w:cs="Times New Roman"/>
                <w:color w:val="000000"/>
              </w:rPr>
              <w:t xml:space="preserve">SEM = </w:t>
            </w:r>
            <w:r w:rsidR="00704548">
              <w:rPr>
                <w:rFonts w:cs="Times New Roman"/>
                <w:color w:val="000000"/>
              </w:rPr>
              <w:t>0</w:t>
            </w:r>
            <w:r w:rsidR="008A0D49">
              <w:rPr>
                <w:rFonts w:cs="Times New Roman"/>
                <w:color w:val="000000"/>
              </w:rPr>
              <w:t>.16</w:t>
            </w:r>
            <w:r>
              <w:rPr>
                <w:rFonts w:cs="Times New Roman"/>
                <w:color w:val="000000"/>
              </w:rPr>
              <w:t>.</w:t>
            </w:r>
          </w:p>
        </w:tc>
      </w:tr>
      <w:tr w:rsidR="008671E7" w:rsidRPr="00DD651A" w14:paraId="6A3CE126" w14:textId="77777777" w:rsidTr="00A05F5B">
        <w:trPr>
          <w:trHeight w:val="315"/>
        </w:trPr>
        <w:tc>
          <w:tcPr>
            <w:tcW w:w="7920" w:type="dxa"/>
            <w:gridSpan w:val="6"/>
            <w:tcBorders>
              <w:top w:val="nil"/>
              <w:left w:val="nil"/>
              <w:bottom w:val="nil"/>
              <w:right w:val="nil"/>
            </w:tcBorders>
            <w:shd w:val="clear" w:color="auto" w:fill="auto"/>
            <w:vAlign w:val="center"/>
            <w:hideMark/>
          </w:tcPr>
          <w:p w14:paraId="6063A850" w14:textId="77777777" w:rsidR="008671E7" w:rsidRPr="00DD651A" w:rsidRDefault="008671E7" w:rsidP="00A05F5B">
            <w:pPr>
              <w:spacing w:line="240" w:lineRule="auto"/>
              <w:rPr>
                <w:rFonts w:cs="Times New Roman"/>
                <w:i/>
                <w:iCs/>
                <w:color w:val="000000"/>
              </w:rPr>
            </w:pPr>
            <w:r w:rsidRPr="00DD651A">
              <w:rPr>
                <w:rFonts w:cs="Times New Roman"/>
                <w:i/>
                <w:iCs/>
                <w:color w:val="000000"/>
              </w:rPr>
              <w:t>Note</w:t>
            </w:r>
            <w:r w:rsidRPr="00DD651A">
              <w:rPr>
                <w:rFonts w:cs="Times New Roman"/>
                <w:color w:val="000000"/>
              </w:rPr>
              <w:t xml:space="preserve">: DH-44, </w:t>
            </w:r>
            <w:proofErr w:type="spellStart"/>
            <w:r w:rsidRPr="00DD651A">
              <w:rPr>
                <w:rFonts w:cs="Times New Roman"/>
                <w:i/>
                <w:iCs/>
                <w:color w:val="000000"/>
              </w:rPr>
              <w:t>Paenibacillus</w:t>
            </w:r>
            <w:proofErr w:type="spellEnd"/>
            <w:r w:rsidRPr="00DD651A">
              <w:rPr>
                <w:rFonts w:cs="Times New Roman"/>
                <w:i/>
                <w:iCs/>
                <w:color w:val="000000"/>
              </w:rPr>
              <w:t xml:space="preserve"> </w:t>
            </w:r>
            <w:proofErr w:type="spellStart"/>
            <w:r w:rsidRPr="00DD651A">
              <w:rPr>
                <w:rFonts w:cs="Times New Roman"/>
                <w:i/>
                <w:iCs/>
                <w:color w:val="000000"/>
              </w:rPr>
              <w:t>riograndensis</w:t>
            </w:r>
            <w:proofErr w:type="spellEnd"/>
            <w:r w:rsidRPr="00DD651A">
              <w:rPr>
                <w:rFonts w:cs="Times New Roman"/>
                <w:color w:val="000000"/>
              </w:rPr>
              <w:t xml:space="preserve">; C-PGPB, </w:t>
            </w:r>
            <w:proofErr w:type="spellStart"/>
            <w:r w:rsidRPr="00DD651A">
              <w:rPr>
                <w:rFonts w:cs="Times New Roman"/>
                <w:color w:val="000000"/>
              </w:rPr>
              <w:t>UrtrishaN</w:t>
            </w:r>
            <w:proofErr w:type="spellEnd"/>
            <w:r w:rsidRPr="00DD651A">
              <w:rPr>
                <w:rFonts w:cs="Times New Roman"/>
                <w:color w:val="000000"/>
              </w:rPr>
              <w:t xml:space="preserve">; DH-267, </w:t>
            </w:r>
            <w:r w:rsidRPr="00DD651A">
              <w:rPr>
                <w:rFonts w:cs="Times New Roman"/>
                <w:i/>
                <w:iCs/>
                <w:color w:val="000000"/>
              </w:rPr>
              <w:t>Bacillus subtilis</w:t>
            </w:r>
            <w:r w:rsidRPr="00DD651A">
              <w:rPr>
                <w:rFonts w:cs="Times New Roman"/>
                <w:color w:val="000000"/>
              </w:rPr>
              <w:t>; No-PGPB, control.</w:t>
            </w:r>
          </w:p>
        </w:tc>
      </w:tr>
      <w:tr w:rsidR="008671E7" w:rsidRPr="00DD651A" w14:paraId="6DC983F6" w14:textId="77777777" w:rsidTr="00A05F5B">
        <w:trPr>
          <w:trHeight w:val="315"/>
        </w:trPr>
        <w:tc>
          <w:tcPr>
            <w:tcW w:w="7920" w:type="dxa"/>
            <w:gridSpan w:val="6"/>
            <w:tcBorders>
              <w:top w:val="nil"/>
              <w:left w:val="nil"/>
              <w:bottom w:val="nil"/>
              <w:right w:val="nil"/>
            </w:tcBorders>
            <w:shd w:val="clear" w:color="auto" w:fill="auto"/>
            <w:noWrap/>
            <w:vAlign w:val="bottom"/>
            <w:hideMark/>
          </w:tcPr>
          <w:p w14:paraId="3C9651B6" w14:textId="77777777" w:rsidR="008671E7" w:rsidRPr="00DD651A" w:rsidRDefault="008671E7" w:rsidP="00A05F5B">
            <w:pPr>
              <w:spacing w:line="240" w:lineRule="auto"/>
              <w:rPr>
                <w:rFonts w:cs="Times New Roman"/>
                <w:i/>
                <w:iCs/>
                <w:color w:val="000000"/>
              </w:rPr>
            </w:pPr>
            <w:r w:rsidRPr="00DD651A">
              <w:rPr>
                <w:rFonts w:cs="Times New Roman"/>
                <w:i/>
                <w:iCs/>
                <w:color w:val="000000"/>
              </w:rPr>
              <w:t>Note</w:t>
            </w:r>
            <w:r w:rsidRPr="00DD651A">
              <w:rPr>
                <w:rFonts w:cs="Times New Roman"/>
                <w:color w:val="000000"/>
              </w:rPr>
              <w:t>: U, urea; A, ammonium sulfate.</w:t>
            </w:r>
          </w:p>
        </w:tc>
      </w:tr>
    </w:tbl>
    <w:p w14:paraId="36241AE6" w14:textId="77777777" w:rsidR="00933462" w:rsidRPr="00933462" w:rsidRDefault="00933462" w:rsidP="00933462"/>
    <w:p w14:paraId="44ECA6F0" w14:textId="149BE152" w:rsidR="000C4421" w:rsidRDefault="0021261A" w:rsidP="004432D5">
      <w:pPr>
        <w:pStyle w:val="mytables"/>
      </w:pPr>
      <w:r w:rsidRPr="00037ACB">
        <w:t xml:space="preserve"> </w:t>
      </w:r>
    </w:p>
    <w:p w14:paraId="223BCA85" w14:textId="77777777" w:rsidR="004B0DD7" w:rsidRDefault="004B0DD7">
      <w:r>
        <w:rPr>
          <w:b/>
          <w:bCs/>
        </w:rPr>
        <w:br w:type="page"/>
      </w:r>
    </w:p>
    <w:tbl>
      <w:tblPr>
        <w:tblW w:w="8080" w:type="dxa"/>
        <w:tblLook w:val="04A0" w:firstRow="1" w:lastRow="0" w:firstColumn="1" w:lastColumn="0" w:noHBand="0" w:noVBand="1"/>
      </w:tblPr>
      <w:tblGrid>
        <w:gridCol w:w="1473"/>
        <w:gridCol w:w="1677"/>
        <w:gridCol w:w="1080"/>
        <w:gridCol w:w="1530"/>
        <w:gridCol w:w="1260"/>
        <w:gridCol w:w="1060"/>
      </w:tblGrid>
      <w:tr w:rsidR="008671E7" w:rsidRPr="007D4C8C" w14:paraId="37C2A7BE" w14:textId="77777777" w:rsidTr="0052522E">
        <w:trPr>
          <w:trHeight w:val="1160"/>
        </w:trPr>
        <w:tc>
          <w:tcPr>
            <w:tcW w:w="8080" w:type="dxa"/>
            <w:gridSpan w:val="6"/>
            <w:tcBorders>
              <w:bottom w:val="single" w:sz="4" w:space="0" w:color="auto"/>
            </w:tcBorders>
            <w:shd w:val="clear" w:color="auto" w:fill="auto"/>
            <w:vAlign w:val="bottom"/>
            <w:hideMark/>
          </w:tcPr>
          <w:p w14:paraId="0923A6CC" w14:textId="5DA8B5BD" w:rsidR="008671E7" w:rsidRPr="007D4C8C" w:rsidRDefault="008671E7" w:rsidP="004432D5">
            <w:pPr>
              <w:pStyle w:val="mytables"/>
            </w:pPr>
            <w:bookmarkStart w:id="77" w:name="_Toc196315455"/>
            <w:r w:rsidRPr="007D4C8C">
              <w:lastRenderedPageBreak/>
              <w:t>Table 2.</w:t>
            </w:r>
            <w:r w:rsidR="00931ADB">
              <w:t>11</w:t>
            </w:r>
            <w:r w:rsidRPr="007D4C8C">
              <w:t xml:space="preserve"> - </w:t>
            </w:r>
            <w:r w:rsidRPr="004432D5">
              <w:rPr>
                <w:b w:val="0"/>
                <w:bCs w:val="0"/>
              </w:rPr>
              <w:t>Average photosynthesis CO</w:t>
            </w:r>
            <w:r w:rsidRPr="004432D5">
              <w:rPr>
                <w:b w:val="0"/>
                <w:bCs w:val="0"/>
                <w:vertAlign w:val="subscript"/>
              </w:rPr>
              <w:t>2</w:t>
            </w:r>
            <w:r w:rsidRPr="004432D5">
              <w:rPr>
                <w:b w:val="0"/>
                <w:bCs w:val="0"/>
              </w:rPr>
              <w:t xml:space="preserve"> assimilation (</w:t>
            </w:r>
            <w:r w:rsidRPr="004432D5">
              <w:rPr>
                <w:b w:val="0"/>
                <w:bCs w:val="0"/>
                <w:i/>
                <w:iCs/>
              </w:rPr>
              <w:t>A</w:t>
            </w:r>
            <w:r w:rsidRPr="004432D5">
              <w:rPr>
                <w:b w:val="0"/>
                <w:bCs w:val="0"/>
              </w:rPr>
              <w:t xml:space="preserve">) of </w:t>
            </w:r>
            <w:r w:rsidR="004B0DD7">
              <w:rPr>
                <w:b w:val="0"/>
                <w:bCs w:val="0"/>
              </w:rPr>
              <w:t>b</w:t>
            </w:r>
            <w:r w:rsidRPr="004432D5">
              <w:rPr>
                <w:b w:val="0"/>
                <w:bCs w:val="0"/>
              </w:rPr>
              <w:t xml:space="preserve">ermudagrass in response to different </w:t>
            </w:r>
            <w:r w:rsidR="004B0DD7">
              <w:rPr>
                <w:b w:val="0"/>
                <w:bCs w:val="0"/>
              </w:rPr>
              <w:t>inoculation</w:t>
            </w:r>
            <w:r w:rsidRPr="004432D5">
              <w:rPr>
                <w:b w:val="0"/>
                <w:bCs w:val="0"/>
              </w:rPr>
              <w:t xml:space="preserve"> (DH-44, C-PGBR, DH-267), </w:t>
            </w:r>
            <w:r w:rsidR="00E94C04">
              <w:rPr>
                <w:b w:val="0"/>
                <w:bCs w:val="0"/>
              </w:rPr>
              <w:t>and N strategies</w:t>
            </w:r>
            <w:r w:rsidR="00E94C04" w:rsidRPr="004432D5">
              <w:rPr>
                <w:b w:val="0"/>
                <w:bCs w:val="0"/>
              </w:rPr>
              <w:t xml:space="preserve"> (33 kg, 67 kg),</w:t>
            </w:r>
            <w:r w:rsidR="00E94C04" w:rsidRPr="004432D5">
              <w:rPr>
                <w:b w:val="0"/>
                <w:bCs w:val="0"/>
                <w:i/>
                <w:iCs/>
              </w:rPr>
              <w:t xml:space="preserve"> </w:t>
            </w:r>
            <w:r w:rsidR="00E94C04" w:rsidRPr="004432D5">
              <w:rPr>
                <w:b w:val="0"/>
                <w:bCs w:val="0"/>
              </w:rPr>
              <w:t xml:space="preserve">(Urea, Ammonium Sulfate) </w:t>
            </w:r>
            <w:r w:rsidRPr="004432D5">
              <w:rPr>
                <w:b w:val="0"/>
                <w:bCs w:val="0"/>
              </w:rPr>
              <w:t>across two growing seasons 2023 and 2024, in Crossville, Tennessee, U.S.</w:t>
            </w:r>
            <w:bookmarkEnd w:id="77"/>
          </w:p>
        </w:tc>
      </w:tr>
      <w:tr w:rsidR="004F6432" w:rsidRPr="007D4C8C" w14:paraId="5A490CB4" w14:textId="77777777" w:rsidTr="0052522E">
        <w:trPr>
          <w:trHeight w:val="315"/>
        </w:trPr>
        <w:tc>
          <w:tcPr>
            <w:tcW w:w="1473" w:type="dxa"/>
            <w:vMerge w:val="restart"/>
            <w:tcBorders>
              <w:top w:val="single" w:sz="4" w:space="0" w:color="auto"/>
              <w:left w:val="nil"/>
              <w:bottom w:val="nil"/>
              <w:right w:val="nil"/>
            </w:tcBorders>
            <w:shd w:val="clear" w:color="auto" w:fill="auto"/>
            <w:noWrap/>
            <w:vAlign w:val="center"/>
            <w:hideMark/>
          </w:tcPr>
          <w:p w14:paraId="41A9F060" w14:textId="6A582B5C" w:rsidR="004F6432" w:rsidRPr="007D4C8C" w:rsidRDefault="004F6432" w:rsidP="00A05F5B">
            <w:pPr>
              <w:spacing w:line="240" w:lineRule="auto"/>
              <w:jc w:val="center"/>
              <w:rPr>
                <w:rFonts w:cs="Times New Roman"/>
                <w:color w:val="000000"/>
              </w:rPr>
            </w:pPr>
            <w:r>
              <w:t>N strategies</w:t>
            </w:r>
          </w:p>
        </w:tc>
        <w:tc>
          <w:tcPr>
            <w:tcW w:w="5547" w:type="dxa"/>
            <w:gridSpan w:val="4"/>
            <w:tcBorders>
              <w:top w:val="single" w:sz="4" w:space="0" w:color="auto"/>
              <w:left w:val="nil"/>
              <w:bottom w:val="nil"/>
              <w:right w:val="nil"/>
            </w:tcBorders>
            <w:shd w:val="clear" w:color="auto" w:fill="auto"/>
            <w:noWrap/>
            <w:vAlign w:val="bottom"/>
            <w:hideMark/>
          </w:tcPr>
          <w:p w14:paraId="2F77703D" w14:textId="0FD238C7" w:rsidR="004F6432" w:rsidRPr="007D4C8C" w:rsidRDefault="00711096" w:rsidP="00A05F5B">
            <w:pPr>
              <w:spacing w:line="240" w:lineRule="auto"/>
              <w:jc w:val="center"/>
              <w:rPr>
                <w:rFonts w:cs="Times New Roman"/>
                <w:color w:val="000000"/>
              </w:rPr>
            </w:pPr>
            <w:r>
              <w:t>I</w:t>
            </w:r>
            <w:r w:rsidRPr="00711096">
              <w:t>noculation</w:t>
            </w:r>
            <w:r>
              <w:rPr>
                <w:b/>
                <w:bCs/>
                <w:i/>
                <w:iCs/>
              </w:rPr>
              <w:t xml:space="preserve"> </w:t>
            </w:r>
          </w:p>
        </w:tc>
        <w:tc>
          <w:tcPr>
            <w:tcW w:w="1060" w:type="dxa"/>
            <w:tcBorders>
              <w:top w:val="single" w:sz="4" w:space="0" w:color="auto"/>
              <w:left w:val="nil"/>
              <w:bottom w:val="nil"/>
              <w:right w:val="nil"/>
            </w:tcBorders>
            <w:shd w:val="clear" w:color="auto" w:fill="auto"/>
            <w:noWrap/>
            <w:vAlign w:val="bottom"/>
            <w:hideMark/>
          </w:tcPr>
          <w:p w14:paraId="3452746B" w14:textId="77777777" w:rsidR="004F6432" w:rsidRPr="007D4C8C" w:rsidRDefault="004F6432" w:rsidP="00A05F5B">
            <w:pPr>
              <w:spacing w:line="240" w:lineRule="auto"/>
              <w:rPr>
                <w:rFonts w:cs="Times New Roman"/>
                <w:color w:val="000000"/>
              </w:rPr>
            </w:pPr>
            <w:r w:rsidRPr="007D4C8C">
              <w:rPr>
                <w:rFonts w:cs="Times New Roman"/>
                <w:color w:val="000000"/>
              </w:rPr>
              <w:t> </w:t>
            </w:r>
          </w:p>
        </w:tc>
      </w:tr>
      <w:tr w:rsidR="004F6432" w:rsidRPr="007D4C8C" w14:paraId="4FF23C95" w14:textId="77777777" w:rsidTr="004F6432">
        <w:trPr>
          <w:trHeight w:val="375"/>
        </w:trPr>
        <w:tc>
          <w:tcPr>
            <w:tcW w:w="1473" w:type="dxa"/>
            <w:vMerge/>
            <w:tcBorders>
              <w:top w:val="single" w:sz="4" w:space="0" w:color="auto"/>
              <w:left w:val="nil"/>
              <w:bottom w:val="nil"/>
              <w:right w:val="nil"/>
            </w:tcBorders>
            <w:vAlign w:val="center"/>
            <w:hideMark/>
          </w:tcPr>
          <w:p w14:paraId="3F793B71" w14:textId="77777777" w:rsidR="004F6432" w:rsidRPr="007D4C8C" w:rsidRDefault="004F6432" w:rsidP="00A05F5B">
            <w:pPr>
              <w:spacing w:line="240" w:lineRule="auto"/>
              <w:rPr>
                <w:rFonts w:cs="Times New Roman"/>
                <w:color w:val="000000"/>
              </w:rPr>
            </w:pPr>
          </w:p>
        </w:tc>
        <w:tc>
          <w:tcPr>
            <w:tcW w:w="1677" w:type="dxa"/>
            <w:tcBorders>
              <w:top w:val="nil"/>
              <w:left w:val="nil"/>
              <w:bottom w:val="nil"/>
              <w:right w:val="nil"/>
            </w:tcBorders>
            <w:shd w:val="clear" w:color="auto" w:fill="auto"/>
            <w:noWrap/>
            <w:vAlign w:val="bottom"/>
            <w:hideMark/>
          </w:tcPr>
          <w:p w14:paraId="28EA4707" w14:textId="77777777" w:rsidR="004F6432" w:rsidRPr="007D4C8C" w:rsidRDefault="004F6432" w:rsidP="00A05F5B">
            <w:pPr>
              <w:spacing w:line="240" w:lineRule="auto"/>
              <w:jc w:val="center"/>
              <w:rPr>
                <w:rFonts w:cs="Times New Roman"/>
                <w:color w:val="000000"/>
              </w:rPr>
            </w:pPr>
            <w:r w:rsidRPr="007D4C8C">
              <w:rPr>
                <w:rFonts w:cs="Times New Roman"/>
                <w:color w:val="000000"/>
              </w:rPr>
              <w:t>DH-44</w:t>
            </w:r>
          </w:p>
        </w:tc>
        <w:tc>
          <w:tcPr>
            <w:tcW w:w="1080" w:type="dxa"/>
            <w:tcBorders>
              <w:top w:val="nil"/>
              <w:left w:val="nil"/>
              <w:bottom w:val="nil"/>
              <w:right w:val="nil"/>
            </w:tcBorders>
            <w:shd w:val="clear" w:color="auto" w:fill="auto"/>
            <w:noWrap/>
            <w:vAlign w:val="bottom"/>
            <w:hideMark/>
          </w:tcPr>
          <w:p w14:paraId="3EB39D60" w14:textId="77777777" w:rsidR="004F6432" w:rsidRPr="007D4C8C" w:rsidRDefault="004F6432" w:rsidP="00A05F5B">
            <w:pPr>
              <w:spacing w:line="240" w:lineRule="auto"/>
              <w:jc w:val="center"/>
              <w:rPr>
                <w:rFonts w:cs="Times New Roman"/>
                <w:color w:val="000000"/>
              </w:rPr>
            </w:pPr>
            <w:r w:rsidRPr="007D4C8C">
              <w:rPr>
                <w:rFonts w:cs="Times New Roman"/>
                <w:color w:val="000000"/>
              </w:rPr>
              <w:t>C-PGPB</w:t>
            </w:r>
          </w:p>
        </w:tc>
        <w:tc>
          <w:tcPr>
            <w:tcW w:w="1530" w:type="dxa"/>
            <w:tcBorders>
              <w:top w:val="nil"/>
              <w:left w:val="nil"/>
              <w:bottom w:val="nil"/>
              <w:right w:val="nil"/>
            </w:tcBorders>
            <w:shd w:val="clear" w:color="auto" w:fill="auto"/>
            <w:noWrap/>
            <w:vAlign w:val="bottom"/>
            <w:hideMark/>
          </w:tcPr>
          <w:p w14:paraId="0BA950CF" w14:textId="77777777" w:rsidR="004F6432" w:rsidRPr="007D4C8C" w:rsidRDefault="004F6432" w:rsidP="00A05F5B">
            <w:pPr>
              <w:spacing w:line="240" w:lineRule="auto"/>
              <w:jc w:val="center"/>
              <w:rPr>
                <w:rFonts w:cs="Times New Roman"/>
                <w:color w:val="000000"/>
              </w:rPr>
            </w:pPr>
            <w:r w:rsidRPr="007D4C8C">
              <w:rPr>
                <w:rFonts w:cs="Times New Roman"/>
                <w:color w:val="000000"/>
              </w:rPr>
              <w:t>DH-267</w:t>
            </w:r>
          </w:p>
        </w:tc>
        <w:tc>
          <w:tcPr>
            <w:tcW w:w="1260" w:type="dxa"/>
            <w:tcBorders>
              <w:top w:val="nil"/>
              <w:left w:val="nil"/>
              <w:bottom w:val="nil"/>
              <w:right w:val="nil"/>
            </w:tcBorders>
            <w:shd w:val="clear" w:color="auto" w:fill="auto"/>
            <w:noWrap/>
            <w:vAlign w:val="bottom"/>
            <w:hideMark/>
          </w:tcPr>
          <w:p w14:paraId="798DBC02" w14:textId="77777777" w:rsidR="004F6432" w:rsidRPr="007D4C8C" w:rsidRDefault="004F6432" w:rsidP="00A05F5B">
            <w:pPr>
              <w:spacing w:line="240" w:lineRule="auto"/>
              <w:jc w:val="center"/>
              <w:rPr>
                <w:rFonts w:cs="Times New Roman"/>
                <w:color w:val="000000"/>
              </w:rPr>
            </w:pPr>
            <w:r w:rsidRPr="007D4C8C">
              <w:rPr>
                <w:rFonts w:cs="Times New Roman"/>
                <w:color w:val="000000"/>
              </w:rPr>
              <w:t>No-PGPB</w:t>
            </w:r>
          </w:p>
        </w:tc>
        <w:tc>
          <w:tcPr>
            <w:tcW w:w="1060" w:type="dxa"/>
            <w:tcBorders>
              <w:top w:val="nil"/>
              <w:left w:val="nil"/>
              <w:bottom w:val="nil"/>
              <w:right w:val="nil"/>
            </w:tcBorders>
            <w:shd w:val="clear" w:color="auto" w:fill="auto"/>
            <w:noWrap/>
            <w:vAlign w:val="bottom"/>
            <w:hideMark/>
          </w:tcPr>
          <w:p w14:paraId="40E5EE42" w14:textId="77777777" w:rsidR="004F6432" w:rsidRPr="007D4C8C" w:rsidRDefault="004F6432" w:rsidP="00A05F5B">
            <w:pPr>
              <w:spacing w:line="240" w:lineRule="auto"/>
              <w:jc w:val="center"/>
              <w:rPr>
                <w:rFonts w:cs="Times New Roman"/>
                <w:color w:val="000000"/>
              </w:rPr>
            </w:pPr>
            <w:r w:rsidRPr="007D4C8C">
              <w:rPr>
                <w:rFonts w:cs="Times New Roman"/>
                <w:i/>
                <w:iCs/>
                <w:color w:val="000000"/>
              </w:rPr>
              <w:t>P</w:t>
            </w:r>
            <w:r w:rsidRPr="007D4C8C">
              <w:rPr>
                <w:rFonts w:cs="Times New Roman"/>
                <w:color w:val="000000"/>
              </w:rPr>
              <w:t>-Value</w:t>
            </w:r>
          </w:p>
        </w:tc>
      </w:tr>
      <w:tr w:rsidR="004F6432" w:rsidRPr="007D4C8C" w14:paraId="1E6DFD8D" w14:textId="77777777" w:rsidTr="004F6432">
        <w:trPr>
          <w:trHeight w:val="375"/>
        </w:trPr>
        <w:tc>
          <w:tcPr>
            <w:tcW w:w="1473" w:type="dxa"/>
            <w:tcBorders>
              <w:top w:val="nil"/>
              <w:left w:val="nil"/>
              <w:bottom w:val="nil"/>
              <w:right w:val="nil"/>
            </w:tcBorders>
            <w:shd w:val="clear" w:color="auto" w:fill="auto"/>
            <w:noWrap/>
            <w:vAlign w:val="bottom"/>
            <w:hideMark/>
          </w:tcPr>
          <w:p w14:paraId="1B0AFB78" w14:textId="77777777" w:rsidR="004F6432" w:rsidRPr="007D4C8C" w:rsidRDefault="004F6432" w:rsidP="00A05F5B">
            <w:pPr>
              <w:spacing w:line="240" w:lineRule="auto"/>
              <w:jc w:val="center"/>
              <w:rPr>
                <w:rFonts w:cs="Times New Roman"/>
                <w:color w:val="000000"/>
              </w:rPr>
            </w:pPr>
            <w:r w:rsidRPr="007D4C8C">
              <w:rPr>
                <w:rFonts w:cs="Times New Roman"/>
                <w:color w:val="000000"/>
              </w:rPr>
              <w:t>(kg N ha</w:t>
            </w:r>
            <w:r w:rsidRPr="007D4C8C">
              <w:rPr>
                <w:rFonts w:cs="Times New Roman"/>
                <w:color w:val="000000"/>
                <w:vertAlign w:val="superscript"/>
              </w:rPr>
              <w:t>-1</w:t>
            </w:r>
            <w:r w:rsidRPr="007D4C8C">
              <w:rPr>
                <w:rFonts w:cs="Times New Roman"/>
                <w:color w:val="000000"/>
              </w:rPr>
              <w:t>)</w:t>
            </w:r>
          </w:p>
        </w:tc>
        <w:tc>
          <w:tcPr>
            <w:tcW w:w="5547" w:type="dxa"/>
            <w:gridSpan w:val="4"/>
            <w:tcBorders>
              <w:top w:val="nil"/>
              <w:left w:val="nil"/>
              <w:bottom w:val="nil"/>
              <w:right w:val="nil"/>
            </w:tcBorders>
            <w:shd w:val="clear" w:color="auto" w:fill="auto"/>
            <w:noWrap/>
            <w:vAlign w:val="bottom"/>
            <w:hideMark/>
          </w:tcPr>
          <w:p w14:paraId="0F5DEE2F" w14:textId="77777777" w:rsidR="004F6432" w:rsidRPr="007D4C8C" w:rsidRDefault="004F6432" w:rsidP="00A05F5B">
            <w:pPr>
              <w:spacing w:line="240" w:lineRule="auto"/>
              <w:jc w:val="center"/>
              <w:rPr>
                <w:rFonts w:cs="Times New Roman"/>
                <w:color w:val="000000"/>
              </w:rPr>
            </w:pPr>
            <w:r w:rsidRPr="007D4C8C">
              <w:rPr>
                <w:rFonts w:cs="Times New Roman"/>
                <w:color w:val="000000"/>
              </w:rPr>
              <w:t xml:space="preserve">------------------ </w:t>
            </w:r>
            <w:r w:rsidRPr="007D4C8C">
              <w:rPr>
                <w:rFonts w:ascii="Symbol" w:hAnsi="Symbol" w:cs="Times New Roman"/>
                <w:color w:val="000000"/>
              </w:rPr>
              <w:t>m</w:t>
            </w:r>
            <w:r w:rsidRPr="007D4C8C">
              <w:rPr>
                <w:rFonts w:cs="Times New Roman"/>
                <w:color w:val="000000"/>
              </w:rPr>
              <w:t xml:space="preserve"> m</w:t>
            </w:r>
            <w:r w:rsidRPr="007D4C8C">
              <w:rPr>
                <w:rFonts w:cs="Times New Roman"/>
                <w:color w:val="000000"/>
                <w:vertAlign w:val="superscript"/>
              </w:rPr>
              <w:t>-2</w:t>
            </w:r>
            <w:r w:rsidRPr="007D4C8C">
              <w:rPr>
                <w:rFonts w:cs="Times New Roman"/>
                <w:color w:val="000000"/>
              </w:rPr>
              <w:t xml:space="preserve"> s</w:t>
            </w:r>
            <w:r w:rsidRPr="007D4C8C">
              <w:rPr>
                <w:rFonts w:cs="Times New Roman"/>
                <w:color w:val="000000"/>
                <w:vertAlign w:val="superscript"/>
              </w:rPr>
              <w:t>-1</w:t>
            </w:r>
            <w:r w:rsidRPr="007D4C8C">
              <w:rPr>
                <w:rFonts w:cs="Times New Roman"/>
                <w:color w:val="000000"/>
              </w:rPr>
              <w:t xml:space="preserve"> --------------------</w:t>
            </w:r>
          </w:p>
        </w:tc>
        <w:tc>
          <w:tcPr>
            <w:tcW w:w="1060" w:type="dxa"/>
            <w:tcBorders>
              <w:top w:val="nil"/>
              <w:left w:val="nil"/>
              <w:bottom w:val="nil"/>
              <w:right w:val="nil"/>
            </w:tcBorders>
            <w:shd w:val="clear" w:color="auto" w:fill="auto"/>
            <w:noWrap/>
            <w:vAlign w:val="bottom"/>
            <w:hideMark/>
          </w:tcPr>
          <w:p w14:paraId="5A0C217F" w14:textId="77777777" w:rsidR="004F6432" w:rsidRPr="007D4C8C" w:rsidRDefault="004F6432" w:rsidP="00A05F5B">
            <w:pPr>
              <w:spacing w:line="240" w:lineRule="auto"/>
              <w:rPr>
                <w:rFonts w:cs="Times New Roman"/>
                <w:sz w:val="20"/>
                <w:szCs w:val="20"/>
              </w:rPr>
            </w:pPr>
          </w:p>
        </w:tc>
      </w:tr>
      <w:tr w:rsidR="004F6432" w:rsidRPr="007D4C8C" w14:paraId="2CA57013" w14:textId="77777777" w:rsidTr="004F6432">
        <w:trPr>
          <w:trHeight w:val="315"/>
        </w:trPr>
        <w:tc>
          <w:tcPr>
            <w:tcW w:w="1473" w:type="dxa"/>
            <w:tcBorders>
              <w:top w:val="single" w:sz="4" w:space="0" w:color="auto"/>
              <w:left w:val="nil"/>
              <w:bottom w:val="nil"/>
              <w:right w:val="nil"/>
            </w:tcBorders>
            <w:shd w:val="clear" w:color="auto" w:fill="auto"/>
            <w:noWrap/>
            <w:vAlign w:val="bottom"/>
            <w:hideMark/>
          </w:tcPr>
          <w:p w14:paraId="7CA4B9B9" w14:textId="2C7140F8" w:rsidR="004F6432" w:rsidRPr="007D4C8C" w:rsidRDefault="004F6432" w:rsidP="00A05F5B">
            <w:pPr>
              <w:spacing w:line="240" w:lineRule="auto"/>
              <w:jc w:val="center"/>
              <w:rPr>
                <w:rFonts w:cs="Times New Roman"/>
                <w:color w:val="000000"/>
              </w:rPr>
            </w:pPr>
            <w:r>
              <w:rPr>
                <w:rFonts w:cs="Times New Roman"/>
                <w:color w:val="000000"/>
              </w:rPr>
              <w:t>NN</w:t>
            </w:r>
          </w:p>
        </w:tc>
        <w:tc>
          <w:tcPr>
            <w:tcW w:w="1677" w:type="dxa"/>
            <w:tcBorders>
              <w:top w:val="single" w:sz="4" w:space="0" w:color="auto"/>
              <w:left w:val="nil"/>
              <w:bottom w:val="nil"/>
              <w:right w:val="nil"/>
            </w:tcBorders>
            <w:shd w:val="clear" w:color="auto" w:fill="auto"/>
            <w:noWrap/>
            <w:vAlign w:val="bottom"/>
            <w:hideMark/>
          </w:tcPr>
          <w:p w14:paraId="5675F48D" w14:textId="7DDE021D" w:rsidR="004F6432" w:rsidRPr="007D4C8C" w:rsidRDefault="004F6432" w:rsidP="00A05F5B">
            <w:pPr>
              <w:spacing w:line="240" w:lineRule="auto"/>
              <w:jc w:val="center"/>
              <w:rPr>
                <w:rFonts w:cs="Times New Roman"/>
                <w:color w:val="000000"/>
              </w:rPr>
            </w:pPr>
            <w:r w:rsidRPr="007D4C8C">
              <w:rPr>
                <w:rFonts w:cs="Times New Roman"/>
                <w:color w:val="000000"/>
              </w:rPr>
              <w:t>15.</w:t>
            </w:r>
            <w:r>
              <w:rPr>
                <w:rFonts w:cs="Times New Roman"/>
                <w:color w:val="000000"/>
              </w:rPr>
              <w:t>5</w:t>
            </w:r>
          </w:p>
        </w:tc>
        <w:tc>
          <w:tcPr>
            <w:tcW w:w="1080" w:type="dxa"/>
            <w:tcBorders>
              <w:top w:val="single" w:sz="4" w:space="0" w:color="auto"/>
              <w:left w:val="nil"/>
              <w:bottom w:val="nil"/>
              <w:right w:val="nil"/>
            </w:tcBorders>
            <w:shd w:val="clear" w:color="auto" w:fill="auto"/>
            <w:noWrap/>
            <w:vAlign w:val="bottom"/>
            <w:hideMark/>
          </w:tcPr>
          <w:p w14:paraId="0633B94A" w14:textId="7BA7C556" w:rsidR="004F6432" w:rsidRPr="007D4C8C" w:rsidRDefault="004F6432" w:rsidP="00A05F5B">
            <w:pPr>
              <w:spacing w:line="240" w:lineRule="auto"/>
              <w:jc w:val="center"/>
              <w:rPr>
                <w:rFonts w:cs="Times New Roman"/>
                <w:color w:val="000000"/>
              </w:rPr>
            </w:pPr>
            <w:r w:rsidRPr="007D4C8C">
              <w:rPr>
                <w:rFonts w:cs="Times New Roman"/>
                <w:color w:val="000000"/>
              </w:rPr>
              <w:t>18.</w:t>
            </w:r>
            <w:r>
              <w:rPr>
                <w:rFonts w:cs="Times New Roman"/>
                <w:color w:val="000000"/>
              </w:rPr>
              <w:t>6</w:t>
            </w:r>
          </w:p>
        </w:tc>
        <w:tc>
          <w:tcPr>
            <w:tcW w:w="1530" w:type="dxa"/>
            <w:tcBorders>
              <w:top w:val="single" w:sz="4" w:space="0" w:color="auto"/>
              <w:left w:val="nil"/>
              <w:bottom w:val="nil"/>
              <w:right w:val="nil"/>
            </w:tcBorders>
            <w:shd w:val="clear" w:color="auto" w:fill="auto"/>
            <w:noWrap/>
            <w:vAlign w:val="bottom"/>
            <w:hideMark/>
          </w:tcPr>
          <w:p w14:paraId="09580D39" w14:textId="63898D0B" w:rsidR="004F6432" w:rsidRPr="007D4C8C" w:rsidRDefault="004F6432" w:rsidP="00A05F5B">
            <w:pPr>
              <w:spacing w:line="240" w:lineRule="auto"/>
              <w:jc w:val="center"/>
              <w:rPr>
                <w:rFonts w:cs="Times New Roman"/>
                <w:color w:val="000000"/>
              </w:rPr>
            </w:pPr>
            <w:r w:rsidRPr="007D4C8C">
              <w:rPr>
                <w:rFonts w:cs="Times New Roman"/>
                <w:color w:val="000000"/>
              </w:rPr>
              <w:t>16.</w:t>
            </w:r>
            <w:r>
              <w:rPr>
                <w:rFonts w:cs="Times New Roman"/>
                <w:color w:val="000000"/>
              </w:rPr>
              <w:t>8</w:t>
            </w:r>
          </w:p>
        </w:tc>
        <w:tc>
          <w:tcPr>
            <w:tcW w:w="1260" w:type="dxa"/>
            <w:tcBorders>
              <w:top w:val="single" w:sz="4" w:space="0" w:color="auto"/>
              <w:left w:val="nil"/>
              <w:bottom w:val="nil"/>
              <w:right w:val="nil"/>
            </w:tcBorders>
            <w:shd w:val="clear" w:color="auto" w:fill="auto"/>
            <w:noWrap/>
            <w:vAlign w:val="bottom"/>
            <w:hideMark/>
          </w:tcPr>
          <w:p w14:paraId="1200062C" w14:textId="15E9F9D8" w:rsidR="004F6432" w:rsidRPr="007D4C8C" w:rsidRDefault="004F6432" w:rsidP="00A05F5B">
            <w:pPr>
              <w:spacing w:line="240" w:lineRule="auto"/>
              <w:jc w:val="center"/>
              <w:rPr>
                <w:rFonts w:cs="Times New Roman"/>
                <w:color w:val="000000"/>
              </w:rPr>
            </w:pPr>
            <w:r w:rsidRPr="007D4C8C">
              <w:rPr>
                <w:rFonts w:cs="Times New Roman"/>
                <w:color w:val="000000"/>
              </w:rPr>
              <w:t>15.</w:t>
            </w:r>
            <w:r>
              <w:rPr>
                <w:rFonts w:cs="Times New Roman"/>
                <w:color w:val="000000"/>
              </w:rPr>
              <w:t>7</w:t>
            </w:r>
          </w:p>
        </w:tc>
        <w:tc>
          <w:tcPr>
            <w:tcW w:w="1060" w:type="dxa"/>
            <w:tcBorders>
              <w:top w:val="single" w:sz="4" w:space="0" w:color="auto"/>
              <w:left w:val="nil"/>
              <w:bottom w:val="nil"/>
              <w:right w:val="nil"/>
            </w:tcBorders>
            <w:shd w:val="clear" w:color="auto" w:fill="auto"/>
            <w:noWrap/>
            <w:vAlign w:val="bottom"/>
            <w:hideMark/>
          </w:tcPr>
          <w:p w14:paraId="6F5F0DE8" w14:textId="77777777" w:rsidR="004F6432" w:rsidRPr="007D4C8C" w:rsidRDefault="004F6432" w:rsidP="00A05F5B">
            <w:pPr>
              <w:spacing w:line="240" w:lineRule="auto"/>
              <w:jc w:val="center"/>
              <w:rPr>
                <w:rFonts w:cs="Times New Roman"/>
                <w:i/>
                <w:iCs/>
                <w:color w:val="000000"/>
              </w:rPr>
            </w:pPr>
            <w:r w:rsidRPr="007D4C8C">
              <w:rPr>
                <w:rFonts w:cs="Times New Roman"/>
                <w:i/>
                <w:iCs/>
                <w:color w:val="000000"/>
              </w:rPr>
              <w:t>&gt;0.05</w:t>
            </w:r>
          </w:p>
        </w:tc>
      </w:tr>
      <w:tr w:rsidR="004F6432" w:rsidRPr="007D4C8C" w14:paraId="36F72020" w14:textId="77777777" w:rsidTr="004F6432">
        <w:trPr>
          <w:trHeight w:val="315"/>
        </w:trPr>
        <w:tc>
          <w:tcPr>
            <w:tcW w:w="1473" w:type="dxa"/>
            <w:tcBorders>
              <w:top w:val="nil"/>
              <w:left w:val="nil"/>
              <w:bottom w:val="nil"/>
              <w:right w:val="nil"/>
            </w:tcBorders>
            <w:shd w:val="clear" w:color="auto" w:fill="auto"/>
            <w:noWrap/>
            <w:vAlign w:val="bottom"/>
            <w:hideMark/>
          </w:tcPr>
          <w:p w14:paraId="61C946DE" w14:textId="03E51B88" w:rsidR="004F6432" w:rsidRPr="007D4C8C" w:rsidRDefault="004F6432" w:rsidP="00A05F5B">
            <w:pPr>
              <w:spacing w:line="240" w:lineRule="auto"/>
              <w:jc w:val="center"/>
              <w:rPr>
                <w:rFonts w:cs="Times New Roman"/>
                <w:color w:val="000000"/>
              </w:rPr>
            </w:pPr>
            <w:r w:rsidRPr="007D4C8C">
              <w:rPr>
                <w:rFonts w:cs="Times New Roman"/>
                <w:color w:val="000000"/>
              </w:rPr>
              <w:t>U</w:t>
            </w:r>
            <w:r>
              <w:rPr>
                <w:rFonts w:cs="Times New Roman"/>
                <w:color w:val="000000"/>
              </w:rPr>
              <w:t>-33</w:t>
            </w:r>
          </w:p>
        </w:tc>
        <w:tc>
          <w:tcPr>
            <w:tcW w:w="1677" w:type="dxa"/>
            <w:tcBorders>
              <w:top w:val="nil"/>
              <w:left w:val="nil"/>
              <w:bottom w:val="nil"/>
              <w:right w:val="nil"/>
            </w:tcBorders>
            <w:shd w:val="clear" w:color="auto" w:fill="auto"/>
            <w:noWrap/>
            <w:vAlign w:val="bottom"/>
            <w:hideMark/>
          </w:tcPr>
          <w:p w14:paraId="01B094CF" w14:textId="131B0CAC" w:rsidR="004F6432" w:rsidRPr="007D4C8C" w:rsidRDefault="004F6432" w:rsidP="00A05F5B">
            <w:pPr>
              <w:spacing w:line="240" w:lineRule="auto"/>
              <w:jc w:val="center"/>
              <w:rPr>
                <w:rFonts w:cs="Times New Roman"/>
                <w:color w:val="000000"/>
              </w:rPr>
            </w:pPr>
            <w:r w:rsidRPr="007D4C8C">
              <w:rPr>
                <w:rFonts w:cs="Times New Roman"/>
                <w:color w:val="000000"/>
              </w:rPr>
              <w:t>16.</w:t>
            </w:r>
            <w:r>
              <w:rPr>
                <w:rFonts w:cs="Times New Roman"/>
                <w:color w:val="000000"/>
              </w:rPr>
              <w:t>6</w:t>
            </w:r>
          </w:p>
        </w:tc>
        <w:tc>
          <w:tcPr>
            <w:tcW w:w="1080" w:type="dxa"/>
            <w:tcBorders>
              <w:top w:val="nil"/>
              <w:left w:val="nil"/>
              <w:bottom w:val="nil"/>
              <w:right w:val="nil"/>
            </w:tcBorders>
            <w:shd w:val="clear" w:color="auto" w:fill="auto"/>
            <w:noWrap/>
            <w:vAlign w:val="bottom"/>
            <w:hideMark/>
          </w:tcPr>
          <w:p w14:paraId="6E497AB9" w14:textId="6E4A5E6A" w:rsidR="004F6432" w:rsidRPr="007D4C8C" w:rsidRDefault="004F6432" w:rsidP="00A05F5B">
            <w:pPr>
              <w:spacing w:line="240" w:lineRule="auto"/>
              <w:jc w:val="center"/>
              <w:rPr>
                <w:rFonts w:cs="Times New Roman"/>
                <w:color w:val="000000"/>
              </w:rPr>
            </w:pPr>
            <w:r w:rsidRPr="007D4C8C">
              <w:rPr>
                <w:rFonts w:cs="Times New Roman"/>
                <w:color w:val="000000"/>
              </w:rPr>
              <w:t>16.8</w:t>
            </w:r>
          </w:p>
        </w:tc>
        <w:tc>
          <w:tcPr>
            <w:tcW w:w="1530" w:type="dxa"/>
            <w:tcBorders>
              <w:top w:val="nil"/>
              <w:left w:val="nil"/>
              <w:bottom w:val="nil"/>
              <w:right w:val="nil"/>
            </w:tcBorders>
            <w:shd w:val="clear" w:color="auto" w:fill="auto"/>
            <w:noWrap/>
            <w:vAlign w:val="bottom"/>
            <w:hideMark/>
          </w:tcPr>
          <w:p w14:paraId="13F60DE3" w14:textId="4BE7EFE8" w:rsidR="004F6432" w:rsidRPr="007D4C8C" w:rsidRDefault="004F6432" w:rsidP="00A05F5B">
            <w:pPr>
              <w:spacing w:line="240" w:lineRule="auto"/>
              <w:jc w:val="center"/>
              <w:rPr>
                <w:rFonts w:cs="Times New Roman"/>
                <w:color w:val="000000"/>
              </w:rPr>
            </w:pPr>
            <w:r>
              <w:rPr>
                <w:rFonts w:cs="Times New Roman"/>
                <w:color w:val="000000"/>
              </w:rPr>
              <w:t>16.2</w:t>
            </w:r>
          </w:p>
        </w:tc>
        <w:tc>
          <w:tcPr>
            <w:tcW w:w="1260" w:type="dxa"/>
            <w:tcBorders>
              <w:top w:val="nil"/>
              <w:left w:val="nil"/>
              <w:bottom w:val="nil"/>
              <w:right w:val="nil"/>
            </w:tcBorders>
            <w:shd w:val="clear" w:color="auto" w:fill="auto"/>
            <w:noWrap/>
            <w:vAlign w:val="bottom"/>
            <w:hideMark/>
          </w:tcPr>
          <w:p w14:paraId="617F7FA0" w14:textId="05A9F4C4" w:rsidR="004F6432" w:rsidRPr="007D4C8C" w:rsidRDefault="004F6432" w:rsidP="00A05F5B">
            <w:pPr>
              <w:spacing w:line="240" w:lineRule="auto"/>
              <w:jc w:val="center"/>
              <w:rPr>
                <w:rFonts w:cs="Times New Roman"/>
                <w:color w:val="000000"/>
              </w:rPr>
            </w:pPr>
            <w:r w:rsidRPr="007D4C8C">
              <w:rPr>
                <w:rFonts w:cs="Times New Roman"/>
                <w:color w:val="000000"/>
              </w:rPr>
              <w:t>15.</w:t>
            </w:r>
            <w:r>
              <w:rPr>
                <w:rFonts w:cs="Times New Roman"/>
                <w:color w:val="000000"/>
              </w:rPr>
              <w:t>7</w:t>
            </w:r>
          </w:p>
        </w:tc>
        <w:tc>
          <w:tcPr>
            <w:tcW w:w="1060" w:type="dxa"/>
            <w:tcBorders>
              <w:top w:val="nil"/>
              <w:left w:val="nil"/>
              <w:bottom w:val="nil"/>
              <w:right w:val="nil"/>
            </w:tcBorders>
            <w:shd w:val="clear" w:color="auto" w:fill="auto"/>
            <w:noWrap/>
            <w:vAlign w:val="bottom"/>
            <w:hideMark/>
          </w:tcPr>
          <w:p w14:paraId="5FFE39AA" w14:textId="77777777" w:rsidR="004F6432" w:rsidRPr="007D4C8C" w:rsidRDefault="004F6432" w:rsidP="00A05F5B">
            <w:pPr>
              <w:spacing w:line="240" w:lineRule="auto"/>
              <w:jc w:val="center"/>
              <w:rPr>
                <w:rFonts w:cs="Times New Roman"/>
                <w:i/>
                <w:iCs/>
                <w:color w:val="000000"/>
              </w:rPr>
            </w:pPr>
            <w:r w:rsidRPr="007D4C8C">
              <w:rPr>
                <w:rFonts w:cs="Times New Roman"/>
                <w:i/>
                <w:iCs/>
                <w:color w:val="000000"/>
              </w:rPr>
              <w:t>&gt;0.05</w:t>
            </w:r>
          </w:p>
        </w:tc>
      </w:tr>
      <w:tr w:rsidR="004F6432" w:rsidRPr="007D4C8C" w14:paraId="54CB212A" w14:textId="77777777" w:rsidTr="004F6432">
        <w:trPr>
          <w:trHeight w:val="315"/>
        </w:trPr>
        <w:tc>
          <w:tcPr>
            <w:tcW w:w="1473" w:type="dxa"/>
            <w:tcBorders>
              <w:top w:val="nil"/>
              <w:left w:val="nil"/>
              <w:bottom w:val="nil"/>
              <w:right w:val="nil"/>
            </w:tcBorders>
            <w:shd w:val="clear" w:color="auto" w:fill="auto"/>
            <w:noWrap/>
            <w:vAlign w:val="bottom"/>
            <w:hideMark/>
          </w:tcPr>
          <w:p w14:paraId="41983EA5" w14:textId="48BD1CFA" w:rsidR="004F6432" w:rsidRPr="007D4C8C" w:rsidRDefault="004F6432" w:rsidP="00A05F5B">
            <w:pPr>
              <w:spacing w:line="240" w:lineRule="auto"/>
              <w:jc w:val="center"/>
              <w:rPr>
                <w:rFonts w:cs="Times New Roman"/>
                <w:color w:val="000000"/>
              </w:rPr>
            </w:pPr>
            <w:r w:rsidRPr="007D4C8C">
              <w:rPr>
                <w:rFonts w:cs="Times New Roman"/>
                <w:color w:val="000000"/>
              </w:rPr>
              <w:t>A</w:t>
            </w:r>
            <w:r>
              <w:rPr>
                <w:rFonts w:cs="Times New Roman"/>
                <w:color w:val="000000"/>
              </w:rPr>
              <w:t>-33</w:t>
            </w:r>
          </w:p>
        </w:tc>
        <w:tc>
          <w:tcPr>
            <w:tcW w:w="1677" w:type="dxa"/>
            <w:tcBorders>
              <w:top w:val="nil"/>
              <w:left w:val="nil"/>
              <w:bottom w:val="nil"/>
              <w:right w:val="nil"/>
            </w:tcBorders>
            <w:shd w:val="clear" w:color="auto" w:fill="auto"/>
            <w:noWrap/>
            <w:vAlign w:val="bottom"/>
            <w:hideMark/>
          </w:tcPr>
          <w:p w14:paraId="08A823AD" w14:textId="0514CE09" w:rsidR="004F6432" w:rsidRPr="007D4C8C" w:rsidRDefault="004F6432" w:rsidP="00A05F5B">
            <w:pPr>
              <w:spacing w:line="240" w:lineRule="auto"/>
              <w:jc w:val="center"/>
              <w:rPr>
                <w:rFonts w:cs="Times New Roman"/>
                <w:color w:val="000000"/>
              </w:rPr>
            </w:pPr>
            <w:r>
              <w:rPr>
                <w:rFonts w:cs="Times New Roman"/>
                <w:color w:val="000000"/>
              </w:rPr>
              <w:t>18.3</w:t>
            </w:r>
          </w:p>
        </w:tc>
        <w:tc>
          <w:tcPr>
            <w:tcW w:w="1080" w:type="dxa"/>
            <w:tcBorders>
              <w:top w:val="nil"/>
              <w:left w:val="nil"/>
              <w:bottom w:val="nil"/>
              <w:right w:val="nil"/>
            </w:tcBorders>
            <w:shd w:val="clear" w:color="auto" w:fill="auto"/>
            <w:noWrap/>
            <w:vAlign w:val="bottom"/>
            <w:hideMark/>
          </w:tcPr>
          <w:p w14:paraId="356D4E42" w14:textId="1F35BFFA" w:rsidR="004F6432" w:rsidRPr="007D4C8C" w:rsidRDefault="004F6432" w:rsidP="00A05F5B">
            <w:pPr>
              <w:spacing w:line="240" w:lineRule="auto"/>
              <w:jc w:val="center"/>
              <w:rPr>
                <w:rFonts w:cs="Times New Roman"/>
                <w:color w:val="000000"/>
              </w:rPr>
            </w:pPr>
            <w:r w:rsidRPr="007D4C8C">
              <w:rPr>
                <w:rFonts w:cs="Times New Roman"/>
                <w:color w:val="000000"/>
              </w:rPr>
              <w:t>17.</w:t>
            </w:r>
            <w:r>
              <w:rPr>
                <w:rFonts w:cs="Times New Roman"/>
                <w:color w:val="000000"/>
              </w:rPr>
              <w:t>0</w:t>
            </w:r>
          </w:p>
        </w:tc>
        <w:tc>
          <w:tcPr>
            <w:tcW w:w="1530" w:type="dxa"/>
            <w:tcBorders>
              <w:top w:val="nil"/>
              <w:left w:val="nil"/>
              <w:bottom w:val="nil"/>
              <w:right w:val="nil"/>
            </w:tcBorders>
            <w:shd w:val="clear" w:color="auto" w:fill="auto"/>
            <w:noWrap/>
            <w:vAlign w:val="bottom"/>
            <w:hideMark/>
          </w:tcPr>
          <w:p w14:paraId="3D600C79" w14:textId="27C68C02" w:rsidR="004F6432" w:rsidRPr="007D4C8C" w:rsidRDefault="004F6432" w:rsidP="00A05F5B">
            <w:pPr>
              <w:spacing w:line="240" w:lineRule="auto"/>
              <w:jc w:val="center"/>
              <w:rPr>
                <w:rFonts w:cs="Times New Roman"/>
                <w:color w:val="000000"/>
              </w:rPr>
            </w:pPr>
            <w:r w:rsidRPr="007D4C8C">
              <w:rPr>
                <w:rFonts w:cs="Times New Roman"/>
                <w:color w:val="000000"/>
              </w:rPr>
              <w:t>1</w:t>
            </w:r>
            <w:r>
              <w:rPr>
                <w:rFonts w:cs="Times New Roman"/>
                <w:color w:val="000000"/>
              </w:rPr>
              <w:t>7.8</w:t>
            </w:r>
          </w:p>
        </w:tc>
        <w:tc>
          <w:tcPr>
            <w:tcW w:w="1260" w:type="dxa"/>
            <w:tcBorders>
              <w:top w:val="nil"/>
              <w:left w:val="nil"/>
              <w:bottom w:val="nil"/>
              <w:right w:val="nil"/>
            </w:tcBorders>
            <w:shd w:val="clear" w:color="auto" w:fill="auto"/>
            <w:noWrap/>
            <w:vAlign w:val="bottom"/>
            <w:hideMark/>
          </w:tcPr>
          <w:p w14:paraId="28CB5746" w14:textId="7F3245A5" w:rsidR="004F6432" w:rsidRPr="007D4C8C" w:rsidRDefault="004F6432" w:rsidP="00A05F5B">
            <w:pPr>
              <w:spacing w:line="240" w:lineRule="auto"/>
              <w:jc w:val="center"/>
              <w:rPr>
                <w:rFonts w:cs="Times New Roman"/>
                <w:color w:val="000000"/>
              </w:rPr>
            </w:pPr>
            <w:r w:rsidRPr="007D4C8C">
              <w:rPr>
                <w:rFonts w:cs="Times New Roman"/>
                <w:color w:val="000000"/>
              </w:rPr>
              <w:t>17.</w:t>
            </w:r>
            <w:r>
              <w:rPr>
                <w:rFonts w:cs="Times New Roman"/>
                <w:color w:val="000000"/>
              </w:rPr>
              <w:t>9</w:t>
            </w:r>
          </w:p>
        </w:tc>
        <w:tc>
          <w:tcPr>
            <w:tcW w:w="1060" w:type="dxa"/>
            <w:tcBorders>
              <w:top w:val="nil"/>
              <w:left w:val="nil"/>
              <w:bottom w:val="nil"/>
              <w:right w:val="nil"/>
            </w:tcBorders>
            <w:shd w:val="clear" w:color="auto" w:fill="auto"/>
            <w:noWrap/>
            <w:vAlign w:val="bottom"/>
            <w:hideMark/>
          </w:tcPr>
          <w:p w14:paraId="769532CF" w14:textId="77777777" w:rsidR="004F6432" w:rsidRPr="007D4C8C" w:rsidRDefault="004F6432" w:rsidP="00A05F5B">
            <w:pPr>
              <w:spacing w:line="240" w:lineRule="auto"/>
              <w:jc w:val="center"/>
              <w:rPr>
                <w:rFonts w:cs="Times New Roman"/>
                <w:i/>
                <w:iCs/>
                <w:color w:val="000000"/>
              </w:rPr>
            </w:pPr>
            <w:r w:rsidRPr="007D4C8C">
              <w:rPr>
                <w:rFonts w:cs="Times New Roman"/>
                <w:i/>
                <w:iCs/>
                <w:color w:val="000000"/>
              </w:rPr>
              <w:t>&gt;0.05</w:t>
            </w:r>
          </w:p>
        </w:tc>
      </w:tr>
      <w:tr w:rsidR="004F6432" w:rsidRPr="007D4C8C" w14:paraId="3EEC46B0" w14:textId="77777777" w:rsidTr="004F6432">
        <w:trPr>
          <w:trHeight w:val="315"/>
        </w:trPr>
        <w:tc>
          <w:tcPr>
            <w:tcW w:w="1473" w:type="dxa"/>
            <w:tcBorders>
              <w:top w:val="nil"/>
              <w:left w:val="nil"/>
              <w:bottom w:val="nil"/>
              <w:right w:val="nil"/>
            </w:tcBorders>
            <w:shd w:val="clear" w:color="auto" w:fill="auto"/>
            <w:noWrap/>
            <w:vAlign w:val="bottom"/>
            <w:hideMark/>
          </w:tcPr>
          <w:p w14:paraId="0FC42CBD" w14:textId="39EFCD60" w:rsidR="004F6432" w:rsidRPr="007D4C8C" w:rsidRDefault="004F6432" w:rsidP="00A05F5B">
            <w:pPr>
              <w:spacing w:line="240" w:lineRule="auto"/>
              <w:jc w:val="center"/>
              <w:rPr>
                <w:rFonts w:cs="Times New Roman"/>
                <w:color w:val="000000"/>
              </w:rPr>
            </w:pPr>
            <w:r w:rsidRPr="007D4C8C">
              <w:rPr>
                <w:rFonts w:cs="Times New Roman"/>
                <w:color w:val="000000"/>
              </w:rPr>
              <w:t>U</w:t>
            </w:r>
            <w:r>
              <w:rPr>
                <w:rFonts w:cs="Times New Roman"/>
                <w:color w:val="000000"/>
              </w:rPr>
              <w:t>-67</w:t>
            </w:r>
          </w:p>
        </w:tc>
        <w:tc>
          <w:tcPr>
            <w:tcW w:w="1677" w:type="dxa"/>
            <w:tcBorders>
              <w:top w:val="nil"/>
              <w:left w:val="nil"/>
              <w:bottom w:val="nil"/>
              <w:right w:val="nil"/>
            </w:tcBorders>
            <w:shd w:val="clear" w:color="auto" w:fill="auto"/>
            <w:noWrap/>
            <w:vAlign w:val="bottom"/>
            <w:hideMark/>
          </w:tcPr>
          <w:p w14:paraId="73F51863" w14:textId="49CE2963" w:rsidR="004F6432" w:rsidRPr="007D4C8C" w:rsidRDefault="004F6432" w:rsidP="00A05F5B">
            <w:pPr>
              <w:spacing w:line="240" w:lineRule="auto"/>
              <w:jc w:val="center"/>
              <w:rPr>
                <w:rFonts w:cs="Times New Roman"/>
                <w:color w:val="000000"/>
              </w:rPr>
            </w:pPr>
            <w:r w:rsidRPr="007D4C8C">
              <w:rPr>
                <w:rFonts w:cs="Times New Roman"/>
                <w:color w:val="000000"/>
              </w:rPr>
              <w:t>1</w:t>
            </w:r>
            <w:r>
              <w:rPr>
                <w:rFonts w:cs="Times New Roman"/>
                <w:color w:val="000000"/>
              </w:rPr>
              <w:t>8.1</w:t>
            </w:r>
          </w:p>
        </w:tc>
        <w:tc>
          <w:tcPr>
            <w:tcW w:w="1080" w:type="dxa"/>
            <w:tcBorders>
              <w:top w:val="nil"/>
              <w:left w:val="nil"/>
              <w:bottom w:val="nil"/>
              <w:right w:val="nil"/>
            </w:tcBorders>
            <w:shd w:val="clear" w:color="auto" w:fill="auto"/>
            <w:noWrap/>
            <w:vAlign w:val="bottom"/>
            <w:hideMark/>
          </w:tcPr>
          <w:p w14:paraId="1CB583FB" w14:textId="2DAC5C9B" w:rsidR="004F6432" w:rsidRPr="007D4C8C" w:rsidRDefault="004F6432" w:rsidP="00A05F5B">
            <w:pPr>
              <w:spacing w:line="240" w:lineRule="auto"/>
              <w:jc w:val="center"/>
              <w:rPr>
                <w:rFonts w:cs="Times New Roman"/>
                <w:color w:val="000000"/>
              </w:rPr>
            </w:pPr>
            <w:r w:rsidRPr="007D4C8C">
              <w:rPr>
                <w:rFonts w:cs="Times New Roman"/>
                <w:color w:val="000000"/>
              </w:rPr>
              <w:t>1</w:t>
            </w:r>
            <w:r>
              <w:rPr>
                <w:rFonts w:cs="Times New Roman"/>
                <w:color w:val="000000"/>
              </w:rPr>
              <w:t>8.1</w:t>
            </w:r>
          </w:p>
        </w:tc>
        <w:tc>
          <w:tcPr>
            <w:tcW w:w="1530" w:type="dxa"/>
            <w:tcBorders>
              <w:top w:val="nil"/>
              <w:left w:val="nil"/>
              <w:bottom w:val="nil"/>
              <w:right w:val="nil"/>
            </w:tcBorders>
            <w:shd w:val="clear" w:color="auto" w:fill="auto"/>
            <w:noWrap/>
            <w:vAlign w:val="bottom"/>
            <w:hideMark/>
          </w:tcPr>
          <w:p w14:paraId="7A94EAF4" w14:textId="0D663B85" w:rsidR="004F6432" w:rsidRPr="007D4C8C" w:rsidRDefault="004F6432" w:rsidP="00A05F5B">
            <w:pPr>
              <w:spacing w:line="240" w:lineRule="auto"/>
              <w:jc w:val="center"/>
              <w:rPr>
                <w:rFonts w:cs="Times New Roman"/>
                <w:color w:val="000000"/>
              </w:rPr>
            </w:pPr>
            <w:r w:rsidRPr="007D4C8C">
              <w:rPr>
                <w:rFonts w:cs="Times New Roman"/>
                <w:color w:val="000000"/>
              </w:rPr>
              <w:t>1</w:t>
            </w:r>
            <w:r>
              <w:rPr>
                <w:rFonts w:cs="Times New Roman"/>
                <w:color w:val="000000"/>
              </w:rPr>
              <w:t>8</w:t>
            </w:r>
            <w:r w:rsidRPr="007D4C8C">
              <w:rPr>
                <w:rFonts w:cs="Times New Roman"/>
                <w:color w:val="000000"/>
              </w:rPr>
              <w:t>.</w:t>
            </w:r>
            <w:r>
              <w:rPr>
                <w:rFonts w:cs="Times New Roman"/>
                <w:color w:val="000000"/>
              </w:rPr>
              <w:t>9</w:t>
            </w:r>
          </w:p>
        </w:tc>
        <w:tc>
          <w:tcPr>
            <w:tcW w:w="1260" w:type="dxa"/>
            <w:tcBorders>
              <w:top w:val="nil"/>
              <w:left w:val="nil"/>
              <w:bottom w:val="nil"/>
              <w:right w:val="nil"/>
            </w:tcBorders>
            <w:shd w:val="clear" w:color="auto" w:fill="auto"/>
            <w:noWrap/>
            <w:vAlign w:val="bottom"/>
            <w:hideMark/>
          </w:tcPr>
          <w:p w14:paraId="3E068A60" w14:textId="579847EB" w:rsidR="004F6432" w:rsidRPr="007D4C8C" w:rsidRDefault="004F6432" w:rsidP="00A05F5B">
            <w:pPr>
              <w:spacing w:line="240" w:lineRule="auto"/>
              <w:jc w:val="center"/>
              <w:rPr>
                <w:rFonts w:cs="Times New Roman"/>
                <w:color w:val="000000"/>
              </w:rPr>
            </w:pPr>
            <w:r w:rsidRPr="007D4C8C">
              <w:rPr>
                <w:rFonts w:cs="Times New Roman"/>
                <w:color w:val="000000"/>
              </w:rPr>
              <w:t>1</w:t>
            </w:r>
            <w:r>
              <w:rPr>
                <w:rFonts w:cs="Times New Roman"/>
                <w:color w:val="000000"/>
              </w:rPr>
              <w:t>9.7</w:t>
            </w:r>
          </w:p>
        </w:tc>
        <w:tc>
          <w:tcPr>
            <w:tcW w:w="1060" w:type="dxa"/>
            <w:tcBorders>
              <w:top w:val="nil"/>
              <w:left w:val="nil"/>
              <w:bottom w:val="nil"/>
              <w:right w:val="nil"/>
            </w:tcBorders>
            <w:shd w:val="clear" w:color="auto" w:fill="auto"/>
            <w:noWrap/>
            <w:vAlign w:val="bottom"/>
            <w:hideMark/>
          </w:tcPr>
          <w:p w14:paraId="7D805290" w14:textId="77777777" w:rsidR="004F6432" w:rsidRPr="007D4C8C" w:rsidRDefault="004F6432" w:rsidP="00A05F5B">
            <w:pPr>
              <w:spacing w:line="240" w:lineRule="auto"/>
              <w:jc w:val="center"/>
              <w:rPr>
                <w:rFonts w:cs="Times New Roman"/>
                <w:i/>
                <w:iCs/>
                <w:color w:val="000000"/>
              </w:rPr>
            </w:pPr>
            <w:r w:rsidRPr="007D4C8C">
              <w:rPr>
                <w:rFonts w:cs="Times New Roman"/>
                <w:i/>
                <w:iCs/>
                <w:color w:val="000000"/>
              </w:rPr>
              <w:t>&gt;0.05</w:t>
            </w:r>
          </w:p>
        </w:tc>
      </w:tr>
      <w:tr w:rsidR="004F6432" w:rsidRPr="007D4C8C" w14:paraId="4FFFCEA7" w14:textId="77777777" w:rsidTr="004F6432">
        <w:trPr>
          <w:trHeight w:val="315"/>
        </w:trPr>
        <w:tc>
          <w:tcPr>
            <w:tcW w:w="1473" w:type="dxa"/>
            <w:tcBorders>
              <w:top w:val="nil"/>
              <w:left w:val="nil"/>
              <w:bottom w:val="nil"/>
              <w:right w:val="nil"/>
            </w:tcBorders>
            <w:shd w:val="clear" w:color="auto" w:fill="auto"/>
            <w:noWrap/>
            <w:vAlign w:val="bottom"/>
            <w:hideMark/>
          </w:tcPr>
          <w:p w14:paraId="0960A8D4" w14:textId="74B3DAE6" w:rsidR="004F6432" w:rsidRPr="007D4C8C" w:rsidRDefault="004F6432" w:rsidP="00A05F5B">
            <w:pPr>
              <w:spacing w:line="240" w:lineRule="auto"/>
              <w:jc w:val="center"/>
              <w:rPr>
                <w:rFonts w:cs="Times New Roman"/>
                <w:color w:val="000000"/>
              </w:rPr>
            </w:pPr>
            <w:r w:rsidRPr="007D4C8C">
              <w:rPr>
                <w:rFonts w:cs="Times New Roman"/>
                <w:color w:val="000000"/>
              </w:rPr>
              <w:t>A</w:t>
            </w:r>
            <w:r>
              <w:rPr>
                <w:rFonts w:cs="Times New Roman"/>
                <w:color w:val="000000"/>
              </w:rPr>
              <w:t>-67</w:t>
            </w:r>
          </w:p>
        </w:tc>
        <w:tc>
          <w:tcPr>
            <w:tcW w:w="1677" w:type="dxa"/>
            <w:tcBorders>
              <w:top w:val="nil"/>
              <w:left w:val="nil"/>
              <w:bottom w:val="nil"/>
              <w:right w:val="nil"/>
            </w:tcBorders>
            <w:shd w:val="clear" w:color="auto" w:fill="auto"/>
            <w:noWrap/>
            <w:vAlign w:val="bottom"/>
            <w:hideMark/>
          </w:tcPr>
          <w:p w14:paraId="5C398D27" w14:textId="4EA54AEB" w:rsidR="004F6432" w:rsidRPr="007D4C8C" w:rsidRDefault="004F6432" w:rsidP="00A05F5B">
            <w:pPr>
              <w:spacing w:line="240" w:lineRule="auto"/>
              <w:jc w:val="center"/>
              <w:rPr>
                <w:rFonts w:cs="Times New Roman"/>
                <w:color w:val="000000"/>
              </w:rPr>
            </w:pPr>
            <w:r>
              <w:rPr>
                <w:rFonts w:cs="Times New Roman"/>
                <w:color w:val="000000"/>
              </w:rPr>
              <w:t>17.6</w:t>
            </w:r>
          </w:p>
        </w:tc>
        <w:tc>
          <w:tcPr>
            <w:tcW w:w="1080" w:type="dxa"/>
            <w:tcBorders>
              <w:top w:val="nil"/>
              <w:left w:val="nil"/>
              <w:bottom w:val="nil"/>
              <w:right w:val="nil"/>
            </w:tcBorders>
            <w:shd w:val="clear" w:color="auto" w:fill="auto"/>
            <w:noWrap/>
            <w:vAlign w:val="bottom"/>
            <w:hideMark/>
          </w:tcPr>
          <w:p w14:paraId="26E8FD97" w14:textId="57C3D359" w:rsidR="004F6432" w:rsidRPr="007D4C8C" w:rsidRDefault="004F6432" w:rsidP="00A05F5B">
            <w:pPr>
              <w:spacing w:line="240" w:lineRule="auto"/>
              <w:jc w:val="center"/>
              <w:rPr>
                <w:rFonts w:cs="Times New Roman"/>
                <w:color w:val="000000"/>
              </w:rPr>
            </w:pPr>
            <w:r w:rsidRPr="007D4C8C">
              <w:rPr>
                <w:rFonts w:cs="Times New Roman"/>
                <w:color w:val="000000"/>
              </w:rPr>
              <w:t>1</w:t>
            </w:r>
            <w:r>
              <w:rPr>
                <w:rFonts w:cs="Times New Roman"/>
                <w:color w:val="000000"/>
              </w:rPr>
              <w:t>9.7</w:t>
            </w:r>
          </w:p>
        </w:tc>
        <w:tc>
          <w:tcPr>
            <w:tcW w:w="1530" w:type="dxa"/>
            <w:tcBorders>
              <w:top w:val="nil"/>
              <w:left w:val="nil"/>
              <w:bottom w:val="nil"/>
              <w:right w:val="nil"/>
            </w:tcBorders>
            <w:shd w:val="clear" w:color="auto" w:fill="auto"/>
            <w:noWrap/>
            <w:vAlign w:val="bottom"/>
            <w:hideMark/>
          </w:tcPr>
          <w:p w14:paraId="53555D53" w14:textId="23CF7501" w:rsidR="004F6432" w:rsidRPr="007D4C8C" w:rsidRDefault="004F6432" w:rsidP="00A05F5B">
            <w:pPr>
              <w:spacing w:line="240" w:lineRule="auto"/>
              <w:jc w:val="center"/>
              <w:rPr>
                <w:rFonts w:cs="Times New Roman"/>
                <w:color w:val="000000"/>
              </w:rPr>
            </w:pPr>
            <w:r w:rsidRPr="007D4C8C">
              <w:rPr>
                <w:rFonts w:cs="Times New Roman"/>
                <w:color w:val="000000"/>
              </w:rPr>
              <w:t>1</w:t>
            </w:r>
            <w:r>
              <w:rPr>
                <w:rFonts w:cs="Times New Roman"/>
                <w:color w:val="000000"/>
              </w:rPr>
              <w:t>9.8</w:t>
            </w:r>
          </w:p>
        </w:tc>
        <w:tc>
          <w:tcPr>
            <w:tcW w:w="1260" w:type="dxa"/>
            <w:tcBorders>
              <w:top w:val="nil"/>
              <w:left w:val="nil"/>
              <w:bottom w:val="nil"/>
              <w:right w:val="nil"/>
            </w:tcBorders>
            <w:shd w:val="clear" w:color="auto" w:fill="auto"/>
            <w:noWrap/>
            <w:vAlign w:val="bottom"/>
            <w:hideMark/>
          </w:tcPr>
          <w:p w14:paraId="0CEA2055" w14:textId="71CE71AB" w:rsidR="004F6432" w:rsidRPr="007D4C8C" w:rsidRDefault="004F6432" w:rsidP="00A05F5B">
            <w:pPr>
              <w:spacing w:line="240" w:lineRule="auto"/>
              <w:jc w:val="center"/>
              <w:rPr>
                <w:rFonts w:cs="Times New Roman"/>
                <w:color w:val="000000"/>
              </w:rPr>
            </w:pPr>
            <w:r w:rsidRPr="007D4C8C">
              <w:rPr>
                <w:rFonts w:cs="Times New Roman"/>
                <w:color w:val="000000"/>
              </w:rPr>
              <w:t>1</w:t>
            </w:r>
            <w:r>
              <w:rPr>
                <w:rFonts w:cs="Times New Roman"/>
                <w:color w:val="000000"/>
              </w:rPr>
              <w:t>7.1</w:t>
            </w:r>
          </w:p>
        </w:tc>
        <w:tc>
          <w:tcPr>
            <w:tcW w:w="1060" w:type="dxa"/>
            <w:tcBorders>
              <w:top w:val="nil"/>
              <w:left w:val="nil"/>
              <w:bottom w:val="nil"/>
              <w:right w:val="nil"/>
            </w:tcBorders>
            <w:shd w:val="clear" w:color="auto" w:fill="auto"/>
            <w:noWrap/>
            <w:vAlign w:val="bottom"/>
            <w:hideMark/>
          </w:tcPr>
          <w:p w14:paraId="181A9CD8" w14:textId="77777777" w:rsidR="004F6432" w:rsidRPr="007D4C8C" w:rsidRDefault="004F6432" w:rsidP="00A05F5B">
            <w:pPr>
              <w:spacing w:line="240" w:lineRule="auto"/>
              <w:jc w:val="center"/>
              <w:rPr>
                <w:rFonts w:cs="Times New Roman"/>
                <w:i/>
                <w:iCs/>
                <w:color w:val="000000"/>
              </w:rPr>
            </w:pPr>
            <w:r w:rsidRPr="007D4C8C">
              <w:rPr>
                <w:rFonts w:cs="Times New Roman"/>
                <w:i/>
                <w:iCs/>
                <w:color w:val="000000"/>
              </w:rPr>
              <w:t>&gt;0.05</w:t>
            </w:r>
          </w:p>
        </w:tc>
      </w:tr>
      <w:tr w:rsidR="004F6432" w:rsidRPr="007D4C8C" w14:paraId="73B460D6" w14:textId="77777777" w:rsidTr="004F6432">
        <w:trPr>
          <w:trHeight w:val="315"/>
        </w:trPr>
        <w:tc>
          <w:tcPr>
            <w:tcW w:w="1473" w:type="dxa"/>
            <w:tcBorders>
              <w:top w:val="nil"/>
              <w:left w:val="nil"/>
              <w:bottom w:val="nil"/>
              <w:right w:val="nil"/>
            </w:tcBorders>
            <w:shd w:val="clear" w:color="auto" w:fill="auto"/>
            <w:noWrap/>
            <w:vAlign w:val="bottom"/>
            <w:hideMark/>
          </w:tcPr>
          <w:p w14:paraId="619AF890" w14:textId="77777777" w:rsidR="004F6432" w:rsidRPr="007D4C8C" w:rsidRDefault="004F6432" w:rsidP="00A05F5B">
            <w:pPr>
              <w:spacing w:line="240" w:lineRule="auto"/>
              <w:jc w:val="center"/>
              <w:rPr>
                <w:rFonts w:cs="Times New Roman"/>
                <w:color w:val="000000"/>
              </w:rPr>
            </w:pPr>
            <w:r w:rsidRPr="007D4C8C">
              <w:rPr>
                <w:rFonts w:cs="Times New Roman"/>
                <w:i/>
                <w:iCs/>
                <w:color w:val="000000"/>
              </w:rPr>
              <w:t>P</w:t>
            </w:r>
            <w:r w:rsidRPr="007D4C8C">
              <w:rPr>
                <w:rFonts w:cs="Times New Roman"/>
                <w:color w:val="000000"/>
              </w:rPr>
              <w:t>-value</w:t>
            </w:r>
          </w:p>
        </w:tc>
        <w:tc>
          <w:tcPr>
            <w:tcW w:w="1677" w:type="dxa"/>
            <w:tcBorders>
              <w:top w:val="nil"/>
              <w:left w:val="nil"/>
              <w:bottom w:val="nil"/>
              <w:right w:val="nil"/>
            </w:tcBorders>
            <w:shd w:val="clear" w:color="auto" w:fill="auto"/>
            <w:noWrap/>
            <w:vAlign w:val="bottom"/>
            <w:hideMark/>
          </w:tcPr>
          <w:p w14:paraId="113EA2C7" w14:textId="77777777" w:rsidR="004F6432" w:rsidRPr="007D4C8C" w:rsidRDefault="004F6432" w:rsidP="00A05F5B">
            <w:pPr>
              <w:spacing w:line="240" w:lineRule="auto"/>
              <w:jc w:val="center"/>
              <w:rPr>
                <w:rFonts w:cs="Times New Roman"/>
                <w:i/>
                <w:iCs/>
                <w:color w:val="000000"/>
              </w:rPr>
            </w:pPr>
            <w:r w:rsidRPr="007D4C8C">
              <w:rPr>
                <w:rFonts w:cs="Times New Roman"/>
                <w:i/>
                <w:iCs/>
                <w:color w:val="000000"/>
              </w:rPr>
              <w:t>&gt;0.05</w:t>
            </w:r>
          </w:p>
        </w:tc>
        <w:tc>
          <w:tcPr>
            <w:tcW w:w="1080" w:type="dxa"/>
            <w:tcBorders>
              <w:top w:val="nil"/>
              <w:left w:val="nil"/>
              <w:bottom w:val="nil"/>
              <w:right w:val="nil"/>
            </w:tcBorders>
            <w:shd w:val="clear" w:color="auto" w:fill="auto"/>
            <w:noWrap/>
            <w:vAlign w:val="bottom"/>
            <w:hideMark/>
          </w:tcPr>
          <w:p w14:paraId="2AF76670" w14:textId="77777777" w:rsidR="004F6432" w:rsidRPr="007D4C8C" w:rsidRDefault="004F6432" w:rsidP="00A05F5B">
            <w:pPr>
              <w:spacing w:line="240" w:lineRule="auto"/>
              <w:jc w:val="center"/>
              <w:rPr>
                <w:rFonts w:cs="Times New Roman"/>
                <w:i/>
                <w:iCs/>
                <w:color w:val="000000"/>
              </w:rPr>
            </w:pPr>
            <w:r w:rsidRPr="007D4C8C">
              <w:rPr>
                <w:rFonts w:cs="Times New Roman"/>
                <w:i/>
                <w:iCs/>
                <w:color w:val="000000"/>
              </w:rPr>
              <w:t>&gt;0.05</w:t>
            </w:r>
          </w:p>
        </w:tc>
        <w:tc>
          <w:tcPr>
            <w:tcW w:w="1530" w:type="dxa"/>
            <w:tcBorders>
              <w:top w:val="nil"/>
              <w:left w:val="nil"/>
              <w:bottom w:val="nil"/>
              <w:right w:val="nil"/>
            </w:tcBorders>
            <w:shd w:val="clear" w:color="auto" w:fill="auto"/>
            <w:noWrap/>
            <w:vAlign w:val="bottom"/>
            <w:hideMark/>
          </w:tcPr>
          <w:p w14:paraId="7021AEBA" w14:textId="77777777" w:rsidR="004F6432" w:rsidRPr="007D4C8C" w:rsidRDefault="004F6432" w:rsidP="00A05F5B">
            <w:pPr>
              <w:spacing w:line="240" w:lineRule="auto"/>
              <w:jc w:val="center"/>
              <w:rPr>
                <w:rFonts w:cs="Times New Roman"/>
                <w:i/>
                <w:iCs/>
                <w:color w:val="000000"/>
              </w:rPr>
            </w:pPr>
            <w:r w:rsidRPr="007D4C8C">
              <w:rPr>
                <w:rFonts w:cs="Times New Roman"/>
                <w:i/>
                <w:iCs/>
                <w:color w:val="000000"/>
              </w:rPr>
              <w:t>&gt;0.05</w:t>
            </w:r>
          </w:p>
        </w:tc>
        <w:tc>
          <w:tcPr>
            <w:tcW w:w="1260" w:type="dxa"/>
            <w:tcBorders>
              <w:top w:val="nil"/>
              <w:left w:val="nil"/>
              <w:bottom w:val="nil"/>
              <w:right w:val="nil"/>
            </w:tcBorders>
            <w:shd w:val="clear" w:color="auto" w:fill="auto"/>
            <w:noWrap/>
            <w:vAlign w:val="bottom"/>
            <w:hideMark/>
          </w:tcPr>
          <w:p w14:paraId="5738FFD1" w14:textId="77777777" w:rsidR="004F6432" w:rsidRPr="007D4C8C" w:rsidRDefault="004F6432" w:rsidP="00A05F5B">
            <w:pPr>
              <w:spacing w:line="240" w:lineRule="auto"/>
              <w:jc w:val="center"/>
              <w:rPr>
                <w:rFonts w:cs="Times New Roman"/>
                <w:i/>
                <w:iCs/>
                <w:color w:val="000000"/>
              </w:rPr>
            </w:pPr>
            <w:r w:rsidRPr="007D4C8C">
              <w:rPr>
                <w:rFonts w:cs="Times New Roman"/>
                <w:i/>
                <w:iCs/>
                <w:color w:val="000000"/>
              </w:rPr>
              <w:t>&gt;0.05</w:t>
            </w:r>
          </w:p>
        </w:tc>
        <w:tc>
          <w:tcPr>
            <w:tcW w:w="1060" w:type="dxa"/>
            <w:tcBorders>
              <w:top w:val="nil"/>
              <w:left w:val="nil"/>
              <w:bottom w:val="nil"/>
              <w:right w:val="nil"/>
            </w:tcBorders>
            <w:shd w:val="clear" w:color="auto" w:fill="auto"/>
            <w:noWrap/>
            <w:vAlign w:val="bottom"/>
            <w:hideMark/>
          </w:tcPr>
          <w:p w14:paraId="5CE2611C" w14:textId="77777777" w:rsidR="004F6432" w:rsidRPr="007D4C8C" w:rsidRDefault="004F6432" w:rsidP="00A05F5B">
            <w:pPr>
              <w:spacing w:line="240" w:lineRule="auto"/>
              <w:rPr>
                <w:rFonts w:cs="Times New Roman"/>
                <w:sz w:val="20"/>
                <w:szCs w:val="20"/>
              </w:rPr>
            </w:pPr>
          </w:p>
        </w:tc>
      </w:tr>
      <w:tr w:rsidR="008671E7" w:rsidRPr="007D4C8C" w14:paraId="4BFDA076" w14:textId="77777777" w:rsidTr="00A05F5B">
        <w:trPr>
          <w:trHeight w:val="315"/>
        </w:trPr>
        <w:tc>
          <w:tcPr>
            <w:tcW w:w="8080" w:type="dxa"/>
            <w:gridSpan w:val="6"/>
            <w:tcBorders>
              <w:top w:val="single" w:sz="4" w:space="0" w:color="auto"/>
              <w:left w:val="nil"/>
              <w:bottom w:val="nil"/>
              <w:right w:val="nil"/>
            </w:tcBorders>
            <w:shd w:val="clear" w:color="auto" w:fill="auto"/>
            <w:noWrap/>
            <w:vAlign w:val="center"/>
            <w:hideMark/>
          </w:tcPr>
          <w:p w14:paraId="69F3E0A2" w14:textId="3233CAB4" w:rsidR="008671E7" w:rsidRPr="007D4C8C" w:rsidRDefault="008671E7" w:rsidP="00A05F5B">
            <w:pPr>
              <w:spacing w:line="240" w:lineRule="auto"/>
              <w:rPr>
                <w:rFonts w:cs="Times New Roman"/>
                <w:color w:val="000000"/>
              </w:rPr>
            </w:pPr>
            <w:r w:rsidRPr="007D4C8C">
              <w:rPr>
                <w:rFonts w:cs="Times New Roman"/>
                <w:color w:val="000000"/>
              </w:rPr>
              <w:t xml:space="preserve">Means within a column differ each </w:t>
            </w:r>
            <w:r w:rsidR="00711096" w:rsidRPr="00711096">
              <w:rPr>
                <w:rFonts w:cs="Times New Roman"/>
                <w:color w:val="000000"/>
              </w:rPr>
              <w:t xml:space="preserve">inoculation </w:t>
            </w:r>
            <w:r w:rsidRPr="007D4C8C">
              <w:rPr>
                <w:rFonts w:cs="Times New Roman"/>
                <w:color w:val="000000"/>
              </w:rPr>
              <w:t xml:space="preserve">into </w:t>
            </w:r>
            <w:r w:rsidR="00654A25">
              <w:t xml:space="preserve">N strategies </w:t>
            </w:r>
            <w:r w:rsidRPr="007D4C8C">
              <w:rPr>
                <w:rFonts w:cs="Times New Roman"/>
                <w:color w:val="000000"/>
              </w:rPr>
              <w:t>(</w:t>
            </w:r>
            <w:r w:rsidRPr="007D4C8C">
              <w:rPr>
                <w:rFonts w:cs="Times New Roman"/>
                <w:i/>
                <w:iCs/>
                <w:color w:val="000000"/>
              </w:rPr>
              <w:t>p</w:t>
            </w:r>
            <w:r w:rsidRPr="007D4C8C">
              <w:rPr>
                <w:rFonts w:cs="Times New Roman"/>
                <w:color w:val="000000"/>
              </w:rPr>
              <w:t xml:space="preserve"> &lt; .05). </w:t>
            </w:r>
          </w:p>
        </w:tc>
      </w:tr>
      <w:tr w:rsidR="008671E7" w:rsidRPr="007D4C8C" w14:paraId="458FA67D" w14:textId="77777777" w:rsidTr="00A05F5B">
        <w:trPr>
          <w:trHeight w:val="315"/>
        </w:trPr>
        <w:tc>
          <w:tcPr>
            <w:tcW w:w="8080" w:type="dxa"/>
            <w:gridSpan w:val="6"/>
            <w:tcBorders>
              <w:top w:val="nil"/>
              <w:left w:val="nil"/>
              <w:bottom w:val="nil"/>
              <w:right w:val="nil"/>
            </w:tcBorders>
            <w:shd w:val="clear" w:color="auto" w:fill="auto"/>
            <w:noWrap/>
            <w:vAlign w:val="center"/>
            <w:hideMark/>
          </w:tcPr>
          <w:p w14:paraId="5C01A123" w14:textId="7944F2FC" w:rsidR="008671E7" w:rsidRPr="007D4C8C" w:rsidRDefault="008671E7" w:rsidP="00A05F5B">
            <w:pPr>
              <w:spacing w:line="240" w:lineRule="auto"/>
              <w:rPr>
                <w:rFonts w:cs="Times New Roman"/>
                <w:color w:val="000000"/>
              </w:rPr>
            </w:pPr>
            <w:r w:rsidRPr="007D4C8C">
              <w:rPr>
                <w:rFonts w:cs="Times New Roman"/>
                <w:color w:val="000000"/>
              </w:rPr>
              <w:t xml:space="preserve">Means within a row differ each </w:t>
            </w:r>
            <w:r w:rsidR="00654A25">
              <w:t xml:space="preserve">N strategies </w:t>
            </w:r>
            <w:r w:rsidRPr="007D4C8C">
              <w:rPr>
                <w:rFonts w:cs="Times New Roman"/>
                <w:color w:val="000000"/>
              </w:rPr>
              <w:t xml:space="preserve">into </w:t>
            </w:r>
            <w:r w:rsidR="00711096" w:rsidRPr="00711096">
              <w:rPr>
                <w:rFonts w:cs="Times New Roman"/>
                <w:color w:val="000000"/>
              </w:rPr>
              <w:t xml:space="preserve">inoculation </w:t>
            </w:r>
            <w:r w:rsidRPr="007D4C8C">
              <w:rPr>
                <w:rFonts w:cs="Times New Roman"/>
                <w:color w:val="000000"/>
              </w:rPr>
              <w:t>(</w:t>
            </w:r>
            <w:r w:rsidRPr="007D4C8C">
              <w:rPr>
                <w:rFonts w:cs="Times New Roman"/>
                <w:i/>
                <w:iCs/>
                <w:color w:val="000000"/>
              </w:rPr>
              <w:t>p</w:t>
            </w:r>
            <w:r w:rsidRPr="007D4C8C">
              <w:rPr>
                <w:rFonts w:cs="Times New Roman"/>
                <w:color w:val="000000"/>
              </w:rPr>
              <w:t xml:space="preserve"> &lt; .05).</w:t>
            </w:r>
          </w:p>
        </w:tc>
      </w:tr>
      <w:tr w:rsidR="008671E7" w:rsidRPr="007D4C8C" w14:paraId="2A164AA8" w14:textId="77777777" w:rsidTr="00A05F5B">
        <w:trPr>
          <w:trHeight w:val="360"/>
        </w:trPr>
        <w:tc>
          <w:tcPr>
            <w:tcW w:w="8080" w:type="dxa"/>
            <w:gridSpan w:val="6"/>
            <w:tcBorders>
              <w:top w:val="nil"/>
              <w:left w:val="nil"/>
              <w:bottom w:val="nil"/>
              <w:right w:val="nil"/>
            </w:tcBorders>
            <w:shd w:val="clear" w:color="auto" w:fill="auto"/>
            <w:noWrap/>
            <w:vAlign w:val="center"/>
            <w:hideMark/>
          </w:tcPr>
          <w:p w14:paraId="32F2DD08" w14:textId="090AE949" w:rsidR="008671E7" w:rsidRPr="007D4C8C" w:rsidRDefault="008671E7" w:rsidP="00A05F5B">
            <w:pPr>
              <w:spacing w:line="240" w:lineRule="auto"/>
              <w:rPr>
                <w:rFonts w:cs="Times New Roman"/>
                <w:color w:val="000000"/>
              </w:rPr>
            </w:pPr>
            <w:r>
              <w:rPr>
                <w:rFonts w:cs="Times New Roman"/>
                <w:color w:val="000000"/>
              </w:rPr>
              <w:t xml:space="preserve">SEM = </w:t>
            </w:r>
            <w:r w:rsidR="004F6432">
              <w:rPr>
                <w:rFonts w:cs="Times New Roman"/>
                <w:color w:val="000000"/>
              </w:rPr>
              <w:t>1.6</w:t>
            </w:r>
            <w:r>
              <w:rPr>
                <w:rFonts w:cs="Times New Roman"/>
                <w:color w:val="000000"/>
              </w:rPr>
              <w:t>.</w:t>
            </w:r>
          </w:p>
        </w:tc>
      </w:tr>
      <w:tr w:rsidR="008671E7" w:rsidRPr="007D4C8C" w14:paraId="5277AB05" w14:textId="77777777" w:rsidTr="00A05F5B">
        <w:trPr>
          <w:trHeight w:val="600"/>
        </w:trPr>
        <w:tc>
          <w:tcPr>
            <w:tcW w:w="8080" w:type="dxa"/>
            <w:gridSpan w:val="6"/>
            <w:tcBorders>
              <w:top w:val="nil"/>
              <w:left w:val="nil"/>
              <w:bottom w:val="nil"/>
              <w:right w:val="nil"/>
            </w:tcBorders>
            <w:shd w:val="clear" w:color="auto" w:fill="auto"/>
            <w:vAlign w:val="center"/>
            <w:hideMark/>
          </w:tcPr>
          <w:p w14:paraId="343AE533" w14:textId="77777777" w:rsidR="008671E7" w:rsidRPr="007D4C8C" w:rsidRDefault="008671E7" w:rsidP="00A05F5B">
            <w:pPr>
              <w:spacing w:line="240" w:lineRule="auto"/>
              <w:rPr>
                <w:rFonts w:cs="Times New Roman"/>
                <w:i/>
                <w:iCs/>
                <w:color w:val="000000"/>
              </w:rPr>
            </w:pPr>
            <w:r w:rsidRPr="007D4C8C">
              <w:rPr>
                <w:rFonts w:cs="Times New Roman"/>
                <w:i/>
                <w:iCs/>
                <w:color w:val="000000"/>
              </w:rPr>
              <w:t>Note</w:t>
            </w:r>
            <w:r w:rsidRPr="007D4C8C">
              <w:rPr>
                <w:rFonts w:cs="Times New Roman"/>
                <w:color w:val="000000"/>
              </w:rPr>
              <w:t xml:space="preserve">: DH-44, </w:t>
            </w:r>
            <w:proofErr w:type="spellStart"/>
            <w:r w:rsidRPr="007D4C8C">
              <w:rPr>
                <w:rFonts w:cs="Times New Roman"/>
                <w:i/>
                <w:iCs/>
                <w:color w:val="000000"/>
              </w:rPr>
              <w:t>Paenibacillus</w:t>
            </w:r>
            <w:proofErr w:type="spellEnd"/>
            <w:r w:rsidRPr="007D4C8C">
              <w:rPr>
                <w:rFonts w:cs="Times New Roman"/>
                <w:i/>
                <w:iCs/>
                <w:color w:val="000000"/>
              </w:rPr>
              <w:t xml:space="preserve"> </w:t>
            </w:r>
            <w:proofErr w:type="spellStart"/>
            <w:r w:rsidRPr="007D4C8C">
              <w:rPr>
                <w:rFonts w:cs="Times New Roman"/>
                <w:i/>
                <w:iCs/>
                <w:color w:val="000000"/>
              </w:rPr>
              <w:t>riograndensis</w:t>
            </w:r>
            <w:proofErr w:type="spellEnd"/>
            <w:r w:rsidRPr="007D4C8C">
              <w:rPr>
                <w:rFonts w:cs="Times New Roman"/>
                <w:color w:val="000000"/>
              </w:rPr>
              <w:t xml:space="preserve">; C-PGPB, </w:t>
            </w:r>
            <w:proofErr w:type="spellStart"/>
            <w:r w:rsidRPr="007D4C8C">
              <w:rPr>
                <w:rFonts w:cs="Times New Roman"/>
                <w:color w:val="000000"/>
              </w:rPr>
              <w:t>UrtrishaN</w:t>
            </w:r>
            <w:proofErr w:type="spellEnd"/>
            <w:r w:rsidRPr="007D4C8C">
              <w:rPr>
                <w:rFonts w:cs="Times New Roman"/>
                <w:color w:val="000000"/>
              </w:rPr>
              <w:t xml:space="preserve">; DH-267, </w:t>
            </w:r>
            <w:r w:rsidRPr="007D4C8C">
              <w:rPr>
                <w:rFonts w:cs="Times New Roman"/>
                <w:i/>
                <w:iCs/>
                <w:color w:val="000000"/>
              </w:rPr>
              <w:t>Bacillus subtilis</w:t>
            </w:r>
            <w:r w:rsidRPr="007D4C8C">
              <w:rPr>
                <w:rFonts w:cs="Times New Roman"/>
                <w:color w:val="000000"/>
              </w:rPr>
              <w:t>; No-PGPB, control.</w:t>
            </w:r>
          </w:p>
        </w:tc>
      </w:tr>
      <w:tr w:rsidR="008671E7" w:rsidRPr="007D4C8C" w14:paraId="2373A606" w14:textId="77777777" w:rsidTr="00A05F5B">
        <w:trPr>
          <w:trHeight w:val="315"/>
        </w:trPr>
        <w:tc>
          <w:tcPr>
            <w:tcW w:w="8080" w:type="dxa"/>
            <w:gridSpan w:val="6"/>
            <w:tcBorders>
              <w:top w:val="nil"/>
              <w:left w:val="nil"/>
              <w:bottom w:val="nil"/>
              <w:right w:val="nil"/>
            </w:tcBorders>
            <w:shd w:val="clear" w:color="auto" w:fill="auto"/>
            <w:noWrap/>
            <w:vAlign w:val="bottom"/>
            <w:hideMark/>
          </w:tcPr>
          <w:p w14:paraId="53E8C252" w14:textId="77777777" w:rsidR="008671E7" w:rsidRPr="007D4C8C" w:rsidRDefault="008671E7" w:rsidP="00A05F5B">
            <w:pPr>
              <w:spacing w:line="240" w:lineRule="auto"/>
              <w:rPr>
                <w:rFonts w:cs="Times New Roman"/>
                <w:i/>
                <w:iCs/>
                <w:color w:val="000000"/>
              </w:rPr>
            </w:pPr>
            <w:r w:rsidRPr="007D4C8C">
              <w:rPr>
                <w:rFonts w:cs="Times New Roman"/>
                <w:i/>
                <w:iCs/>
                <w:color w:val="000000"/>
              </w:rPr>
              <w:t>Note</w:t>
            </w:r>
            <w:r w:rsidRPr="007D4C8C">
              <w:rPr>
                <w:rFonts w:cs="Times New Roman"/>
                <w:color w:val="000000"/>
              </w:rPr>
              <w:t>: U, urea; A, ammonium sulfate.</w:t>
            </w:r>
          </w:p>
        </w:tc>
      </w:tr>
    </w:tbl>
    <w:p w14:paraId="5CF3B2A3" w14:textId="77777777" w:rsidR="00E4012D" w:rsidRDefault="00E4012D" w:rsidP="00E4012D"/>
    <w:p w14:paraId="35F55FF6" w14:textId="77777777" w:rsidR="00E4012D" w:rsidRDefault="00E4012D" w:rsidP="00E4012D"/>
    <w:p w14:paraId="0B1DC30E" w14:textId="77777777" w:rsidR="00E4012D" w:rsidRDefault="00E4012D" w:rsidP="00E4012D"/>
    <w:p w14:paraId="43ECF901" w14:textId="77777777" w:rsidR="001C0858" w:rsidRDefault="001C0858" w:rsidP="00E4012D"/>
    <w:p w14:paraId="6BF1863A" w14:textId="77777777" w:rsidR="001C0858" w:rsidRDefault="001C0858" w:rsidP="00E4012D"/>
    <w:p w14:paraId="681EAF19" w14:textId="77777777" w:rsidR="001C0858" w:rsidRDefault="001C0858" w:rsidP="00E4012D"/>
    <w:p w14:paraId="27EB82CE" w14:textId="77777777" w:rsidR="001C0858" w:rsidRDefault="001C0858" w:rsidP="00E4012D"/>
    <w:p w14:paraId="0D1E70C5" w14:textId="77777777" w:rsidR="00543710" w:rsidRDefault="00543710">
      <w:r>
        <w:br w:type="page"/>
      </w:r>
    </w:p>
    <w:tbl>
      <w:tblPr>
        <w:tblW w:w="8910" w:type="dxa"/>
        <w:tblCellMar>
          <w:left w:w="70" w:type="dxa"/>
          <w:right w:w="70" w:type="dxa"/>
        </w:tblCellMar>
        <w:tblLook w:val="04A0" w:firstRow="1" w:lastRow="0" w:firstColumn="1" w:lastColumn="0" w:noHBand="0" w:noVBand="1"/>
      </w:tblPr>
      <w:tblGrid>
        <w:gridCol w:w="1696"/>
        <w:gridCol w:w="2866"/>
        <w:gridCol w:w="4348"/>
      </w:tblGrid>
      <w:tr w:rsidR="00543710" w:rsidRPr="00543710" w14:paraId="2A4F992C" w14:textId="77777777" w:rsidTr="0052522E">
        <w:trPr>
          <w:trHeight w:val="720"/>
        </w:trPr>
        <w:tc>
          <w:tcPr>
            <w:tcW w:w="8910" w:type="dxa"/>
            <w:gridSpan w:val="3"/>
            <w:tcBorders>
              <w:top w:val="nil"/>
              <w:left w:val="nil"/>
              <w:bottom w:val="single" w:sz="4" w:space="0" w:color="auto"/>
              <w:right w:val="nil"/>
            </w:tcBorders>
            <w:shd w:val="clear" w:color="auto" w:fill="auto"/>
            <w:vAlign w:val="bottom"/>
            <w:hideMark/>
          </w:tcPr>
          <w:p w14:paraId="4336D9D5" w14:textId="3625BA7E" w:rsidR="00543710" w:rsidRPr="003E0A16" w:rsidRDefault="00543710" w:rsidP="00543710">
            <w:pPr>
              <w:pStyle w:val="mytables"/>
              <w:rPr>
                <w:lang w:eastAsia="pt-BR"/>
              </w:rPr>
            </w:pPr>
            <w:bookmarkStart w:id="78" w:name="_Toc196315456"/>
            <w:r w:rsidRPr="003E0A16">
              <w:rPr>
                <w:lang w:eastAsia="pt-BR"/>
              </w:rPr>
              <w:lastRenderedPageBreak/>
              <w:t xml:space="preserve">Table 2.12 - </w:t>
            </w:r>
            <w:r w:rsidRPr="003E0A16">
              <w:rPr>
                <w:b w:val="0"/>
                <w:bCs w:val="0"/>
                <w:lang w:eastAsia="pt-BR"/>
              </w:rPr>
              <w:t>Stomatal conductance (</w:t>
            </w:r>
            <w:proofErr w:type="spellStart"/>
            <w:r w:rsidRPr="003E0A16">
              <w:rPr>
                <w:b w:val="0"/>
                <w:bCs w:val="0"/>
                <w:lang w:eastAsia="pt-BR"/>
              </w:rPr>
              <w:t>gsw</w:t>
            </w:r>
            <w:proofErr w:type="spellEnd"/>
            <w:r w:rsidRPr="003E0A16">
              <w:rPr>
                <w:b w:val="0"/>
                <w:bCs w:val="0"/>
                <w:lang w:eastAsia="pt-BR"/>
              </w:rPr>
              <w:t>) and photosynthesis CO</w:t>
            </w:r>
            <w:r w:rsidRPr="003E0A16">
              <w:rPr>
                <w:b w:val="0"/>
                <w:bCs w:val="0"/>
                <w:vertAlign w:val="superscript"/>
                <w:lang w:eastAsia="pt-BR"/>
              </w:rPr>
              <w:t>2</w:t>
            </w:r>
            <w:r w:rsidRPr="003E0A16">
              <w:rPr>
                <w:b w:val="0"/>
                <w:bCs w:val="0"/>
                <w:lang w:eastAsia="pt-BR"/>
              </w:rPr>
              <w:t xml:space="preserve"> assimilation (A) of Bermudagrass, across two growing seasons (year) 2023 (1) and 2024 (2), in Crossville, Tennessee, U.S.</w:t>
            </w:r>
            <w:bookmarkEnd w:id="78"/>
          </w:p>
        </w:tc>
      </w:tr>
      <w:tr w:rsidR="00543710" w:rsidRPr="00543710" w14:paraId="7891F766" w14:textId="77777777" w:rsidTr="00543710">
        <w:trPr>
          <w:trHeight w:val="312"/>
        </w:trPr>
        <w:tc>
          <w:tcPr>
            <w:tcW w:w="1696" w:type="dxa"/>
            <w:vMerge w:val="restart"/>
            <w:tcBorders>
              <w:top w:val="nil"/>
              <w:left w:val="nil"/>
              <w:bottom w:val="nil"/>
              <w:right w:val="nil"/>
            </w:tcBorders>
            <w:shd w:val="clear" w:color="auto" w:fill="auto"/>
            <w:noWrap/>
            <w:vAlign w:val="center"/>
            <w:hideMark/>
          </w:tcPr>
          <w:p w14:paraId="4AB3E9D3" w14:textId="77777777" w:rsidR="00543710" w:rsidRPr="00543710" w:rsidRDefault="00543710" w:rsidP="00543710">
            <w:pPr>
              <w:spacing w:line="240" w:lineRule="auto"/>
              <w:rPr>
                <w:rFonts w:cs="Times New Roman"/>
                <w:color w:val="000000"/>
                <w:lang w:val="pt-BR" w:eastAsia="pt-BR"/>
              </w:rPr>
            </w:pPr>
            <w:r w:rsidRPr="00543710">
              <w:rPr>
                <w:rFonts w:cs="Times New Roman"/>
                <w:color w:val="000000"/>
                <w:lang w:val="pt-BR" w:eastAsia="pt-BR"/>
              </w:rPr>
              <w:t>Year</w:t>
            </w:r>
          </w:p>
        </w:tc>
        <w:tc>
          <w:tcPr>
            <w:tcW w:w="2866" w:type="dxa"/>
            <w:tcBorders>
              <w:top w:val="nil"/>
              <w:left w:val="nil"/>
              <w:bottom w:val="nil"/>
              <w:right w:val="nil"/>
            </w:tcBorders>
            <w:shd w:val="clear" w:color="auto" w:fill="auto"/>
            <w:noWrap/>
            <w:vAlign w:val="bottom"/>
            <w:hideMark/>
          </w:tcPr>
          <w:p w14:paraId="731E305F" w14:textId="77777777" w:rsidR="00543710" w:rsidRPr="00543710" w:rsidRDefault="00543710" w:rsidP="00543710">
            <w:pPr>
              <w:spacing w:line="240" w:lineRule="auto"/>
              <w:jc w:val="center"/>
              <w:rPr>
                <w:rFonts w:cs="Times New Roman"/>
                <w:color w:val="000000"/>
                <w:lang w:val="pt-BR" w:eastAsia="pt-BR"/>
              </w:rPr>
            </w:pPr>
            <w:r w:rsidRPr="00543710">
              <w:rPr>
                <w:rFonts w:cs="Times New Roman"/>
                <w:color w:val="000000"/>
                <w:lang w:val="pt-BR" w:eastAsia="pt-BR"/>
              </w:rPr>
              <w:t>gsw</w:t>
            </w:r>
          </w:p>
        </w:tc>
        <w:tc>
          <w:tcPr>
            <w:tcW w:w="4348" w:type="dxa"/>
            <w:tcBorders>
              <w:top w:val="nil"/>
              <w:left w:val="nil"/>
              <w:bottom w:val="nil"/>
              <w:right w:val="nil"/>
            </w:tcBorders>
            <w:shd w:val="clear" w:color="auto" w:fill="auto"/>
            <w:noWrap/>
            <w:vAlign w:val="bottom"/>
            <w:hideMark/>
          </w:tcPr>
          <w:p w14:paraId="68329BDA" w14:textId="77777777" w:rsidR="00543710" w:rsidRPr="00543710" w:rsidRDefault="00543710" w:rsidP="00543710">
            <w:pPr>
              <w:spacing w:line="240" w:lineRule="auto"/>
              <w:jc w:val="center"/>
              <w:rPr>
                <w:rFonts w:cs="Times New Roman"/>
                <w:color w:val="000000"/>
                <w:lang w:val="pt-BR" w:eastAsia="pt-BR"/>
              </w:rPr>
            </w:pPr>
            <w:r w:rsidRPr="00543710">
              <w:rPr>
                <w:rFonts w:cs="Times New Roman"/>
                <w:color w:val="000000"/>
                <w:lang w:val="pt-BR" w:eastAsia="pt-BR"/>
              </w:rPr>
              <w:t>A</w:t>
            </w:r>
          </w:p>
        </w:tc>
      </w:tr>
      <w:tr w:rsidR="00543710" w:rsidRPr="00543710" w14:paraId="62D20739" w14:textId="77777777" w:rsidTr="00543710">
        <w:trPr>
          <w:trHeight w:val="312"/>
        </w:trPr>
        <w:tc>
          <w:tcPr>
            <w:tcW w:w="1696" w:type="dxa"/>
            <w:vMerge/>
            <w:tcBorders>
              <w:top w:val="nil"/>
              <w:left w:val="nil"/>
              <w:bottom w:val="nil"/>
              <w:right w:val="nil"/>
            </w:tcBorders>
            <w:vAlign w:val="center"/>
            <w:hideMark/>
          </w:tcPr>
          <w:p w14:paraId="12CCF1E7" w14:textId="77777777" w:rsidR="00543710" w:rsidRPr="00543710" w:rsidRDefault="00543710" w:rsidP="00543710">
            <w:pPr>
              <w:spacing w:line="240" w:lineRule="auto"/>
              <w:rPr>
                <w:rFonts w:cs="Times New Roman"/>
                <w:color w:val="000000"/>
                <w:lang w:val="pt-BR" w:eastAsia="pt-BR"/>
              </w:rPr>
            </w:pPr>
          </w:p>
        </w:tc>
        <w:tc>
          <w:tcPr>
            <w:tcW w:w="7214" w:type="dxa"/>
            <w:gridSpan w:val="2"/>
            <w:tcBorders>
              <w:top w:val="nil"/>
              <w:left w:val="nil"/>
              <w:bottom w:val="nil"/>
              <w:right w:val="nil"/>
            </w:tcBorders>
            <w:shd w:val="clear" w:color="auto" w:fill="auto"/>
            <w:noWrap/>
            <w:vAlign w:val="bottom"/>
            <w:hideMark/>
          </w:tcPr>
          <w:p w14:paraId="5B68E97B" w14:textId="77777777" w:rsidR="00543710" w:rsidRPr="00543710" w:rsidRDefault="00543710" w:rsidP="00543710">
            <w:pPr>
              <w:spacing w:line="240" w:lineRule="auto"/>
              <w:jc w:val="center"/>
              <w:rPr>
                <w:rFonts w:cs="Times New Roman"/>
                <w:color w:val="000000"/>
                <w:lang w:val="pt-BR" w:eastAsia="pt-BR"/>
              </w:rPr>
            </w:pPr>
            <w:r w:rsidRPr="00543710">
              <w:rPr>
                <w:rFonts w:cs="Times New Roman"/>
                <w:color w:val="000000"/>
                <w:lang w:val="pt-BR" w:eastAsia="pt-BR"/>
              </w:rPr>
              <w:t>------------ mol m</w:t>
            </w:r>
            <w:r w:rsidRPr="00543710">
              <w:rPr>
                <w:rFonts w:cs="Times New Roman"/>
                <w:color w:val="000000"/>
                <w:vertAlign w:val="superscript"/>
                <w:lang w:val="pt-BR" w:eastAsia="pt-BR"/>
              </w:rPr>
              <w:t>-2</w:t>
            </w:r>
            <w:r w:rsidRPr="00543710">
              <w:rPr>
                <w:rFonts w:cs="Times New Roman"/>
                <w:color w:val="000000"/>
                <w:lang w:val="pt-BR" w:eastAsia="pt-BR"/>
              </w:rPr>
              <w:t xml:space="preserve"> s</w:t>
            </w:r>
            <w:r w:rsidRPr="00543710">
              <w:rPr>
                <w:rFonts w:cs="Times New Roman"/>
                <w:color w:val="000000"/>
                <w:vertAlign w:val="superscript"/>
                <w:lang w:val="pt-BR" w:eastAsia="pt-BR"/>
              </w:rPr>
              <w:t>-1</w:t>
            </w:r>
            <w:r w:rsidRPr="00543710">
              <w:rPr>
                <w:rFonts w:cs="Times New Roman"/>
                <w:color w:val="000000"/>
                <w:lang w:val="pt-BR" w:eastAsia="pt-BR"/>
              </w:rPr>
              <w:t>------------</w:t>
            </w:r>
          </w:p>
        </w:tc>
      </w:tr>
      <w:tr w:rsidR="00543710" w:rsidRPr="00543710" w14:paraId="2988B2BD" w14:textId="77777777" w:rsidTr="00543710">
        <w:trPr>
          <w:trHeight w:val="372"/>
        </w:trPr>
        <w:tc>
          <w:tcPr>
            <w:tcW w:w="1696" w:type="dxa"/>
            <w:tcBorders>
              <w:top w:val="single" w:sz="4" w:space="0" w:color="auto"/>
              <w:left w:val="nil"/>
              <w:bottom w:val="nil"/>
              <w:right w:val="nil"/>
            </w:tcBorders>
            <w:shd w:val="clear" w:color="auto" w:fill="auto"/>
            <w:noWrap/>
            <w:vAlign w:val="center"/>
            <w:hideMark/>
          </w:tcPr>
          <w:p w14:paraId="2E6BF2FF" w14:textId="77777777" w:rsidR="00543710" w:rsidRPr="00543710" w:rsidRDefault="00543710" w:rsidP="00543710">
            <w:pPr>
              <w:spacing w:line="240" w:lineRule="auto"/>
              <w:rPr>
                <w:rFonts w:cs="Times New Roman"/>
                <w:color w:val="000000"/>
                <w:lang w:val="pt-BR" w:eastAsia="pt-BR"/>
              </w:rPr>
            </w:pPr>
            <w:r w:rsidRPr="00543710">
              <w:rPr>
                <w:rFonts w:cs="Times New Roman"/>
                <w:color w:val="000000"/>
                <w:lang w:val="pt-BR" w:eastAsia="pt-BR"/>
              </w:rPr>
              <w:t>2023</w:t>
            </w:r>
          </w:p>
        </w:tc>
        <w:tc>
          <w:tcPr>
            <w:tcW w:w="2866" w:type="dxa"/>
            <w:tcBorders>
              <w:top w:val="single" w:sz="4" w:space="0" w:color="auto"/>
              <w:left w:val="nil"/>
              <w:bottom w:val="nil"/>
              <w:right w:val="nil"/>
            </w:tcBorders>
            <w:shd w:val="clear" w:color="auto" w:fill="auto"/>
            <w:noWrap/>
            <w:vAlign w:val="bottom"/>
            <w:hideMark/>
          </w:tcPr>
          <w:p w14:paraId="7E55D994" w14:textId="77777777" w:rsidR="00543710" w:rsidRPr="00543710" w:rsidRDefault="00543710" w:rsidP="00543710">
            <w:pPr>
              <w:spacing w:line="240" w:lineRule="auto"/>
              <w:jc w:val="center"/>
              <w:rPr>
                <w:rFonts w:cs="Times New Roman"/>
                <w:color w:val="000000"/>
                <w:lang w:val="pt-BR" w:eastAsia="pt-BR"/>
              </w:rPr>
            </w:pPr>
            <w:r w:rsidRPr="00543710">
              <w:rPr>
                <w:rFonts w:cs="Times New Roman"/>
                <w:color w:val="000000"/>
                <w:lang w:val="pt-BR" w:eastAsia="pt-BR"/>
              </w:rPr>
              <w:t>0.4</w:t>
            </w:r>
            <w:r w:rsidRPr="00543710">
              <w:rPr>
                <w:rFonts w:cs="Times New Roman"/>
                <w:color w:val="000000"/>
                <w:vertAlign w:val="superscript"/>
                <w:lang w:val="pt-BR" w:eastAsia="pt-BR"/>
              </w:rPr>
              <w:t>A</w:t>
            </w:r>
          </w:p>
        </w:tc>
        <w:tc>
          <w:tcPr>
            <w:tcW w:w="4348" w:type="dxa"/>
            <w:tcBorders>
              <w:top w:val="single" w:sz="4" w:space="0" w:color="auto"/>
              <w:left w:val="nil"/>
              <w:bottom w:val="nil"/>
              <w:right w:val="nil"/>
            </w:tcBorders>
            <w:shd w:val="clear" w:color="auto" w:fill="auto"/>
            <w:noWrap/>
            <w:vAlign w:val="bottom"/>
            <w:hideMark/>
          </w:tcPr>
          <w:p w14:paraId="3E8904C4" w14:textId="77777777" w:rsidR="00543710" w:rsidRPr="00543710" w:rsidRDefault="00543710" w:rsidP="00543710">
            <w:pPr>
              <w:spacing w:line="240" w:lineRule="auto"/>
              <w:jc w:val="center"/>
              <w:rPr>
                <w:rFonts w:cs="Times New Roman"/>
                <w:color w:val="000000"/>
                <w:lang w:val="pt-BR" w:eastAsia="pt-BR"/>
              </w:rPr>
            </w:pPr>
            <w:r w:rsidRPr="00543710">
              <w:rPr>
                <w:rFonts w:cs="Times New Roman"/>
                <w:color w:val="000000"/>
                <w:lang w:val="pt-BR" w:eastAsia="pt-BR"/>
              </w:rPr>
              <w:t>16.7</w:t>
            </w:r>
            <w:r w:rsidRPr="00543710">
              <w:rPr>
                <w:rFonts w:cs="Times New Roman"/>
                <w:color w:val="000000"/>
                <w:vertAlign w:val="superscript"/>
                <w:lang w:val="pt-BR" w:eastAsia="pt-BR"/>
              </w:rPr>
              <w:t>B</w:t>
            </w:r>
          </w:p>
        </w:tc>
      </w:tr>
      <w:tr w:rsidR="00543710" w:rsidRPr="00543710" w14:paraId="2D2BD198" w14:textId="77777777" w:rsidTr="00543710">
        <w:trPr>
          <w:trHeight w:val="372"/>
        </w:trPr>
        <w:tc>
          <w:tcPr>
            <w:tcW w:w="1696" w:type="dxa"/>
            <w:tcBorders>
              <w:top w:val="nil"/>
              <w:left w:val="nil"/>
              <w:bottom w:val="nil"/>
              <w:right w:val="nil"/>
            </w:tcBorders>
            <w:shd w:val="clear" w:color="auto" w:fill="auto"/>
            <w:noWrap/>
            <w:vAlign w:val="center"/>
            <w:hideMark/>
          </w:tcPr>
          <w:p w14:paraId="7C3DC6D6" w14:textId="77777777" w:rsidR="00543710" w:rsidRPr="00543710" w:rsidRDefault="00543710" w:rsidP="00543710">
            <w:pPr>
              <w:spacing w:line="240" w:lineRule="auto"/>
              <w:rPr>
                <w:rFonts w:cs="Times New Roman"/>
                <w:color w:val="000000"/>
                <w:lang w:val="pt-BR" w:eastAsia="pt-BR"/>
              </w:rPr>
            </w:pPr>
            <w:r w:rsidRPr="00543710">
              <w:rPr>
                <w:rFonts w:cs="Times New Roman"/>
                <w:color w:val="000000"/>
                <w:lang w:val="pt-BR" w:eastAsia="pt-BR"/>
              </w:rPr>
              <w:t>2024</w:t>
            </w:r>
          </w:p>
        </w:tc>
        <w:tc>
          <w:tcPr>
            <w:tcW w:w="2866" w:type="dxa"/>
            <w:tcBorders>
              <w:top w:val="nil"/>
              <w:left w:val="nil"/>
              <w:bottom w:val="nil"/>
              <w:right w:val="nil"/>
            </w:tcBorders>
            <w:shd w:val="clear" w:color="auto" w:fill="auto"/>
            <w:noWrap/>
            <w:vAlign w:val="bottom"/>
            <w:hideMark/>
          </w:tcPr>
          <w:p w14:paraId="6901F933" w14:textId="77777777" w:rsidR="00543710" w:rsidRPr="00543710" w:rsidRDefault="00543710" w:rsidP="00543710">
            <w:pPr>
              <w:spacing w:line="240" w:lineRule="auto"/>
              <w:jc w:val="center"/>
              <w:rPr>
                <w:rFonts w:cs="Times New Roman"/>
                <w:color w:val="000000"/>
                <w:lang w:val="pt-BR" w:eastAsia="pt-BR"/>
              </w:rPr>
            </w:pPr>
            <w:r w:rsidRPr="00543710">
              <w:rPr>
                <w:rFonts w:cs="Times New Roman"/>
                <w:color w:val="000000"/>
                <w:lang w:val="pt-BR" w:eastAsia="pt-BR"/>
              </w:rPr>
              <w:t>0.2</w:t>
            </w:r>
            <w:r w:rsidRPr="00543710">
              <w:rPr>
                <w:rFonts w:cs="Times New Roman"/>
                <w:color w:val="000000"/>
                <w:vertAlign w:val="superscript"/>
                <w:lang w:val="pt-BR" w:eastAsia="pt-BR"/>
              </w:rPr>
              <w:t>B</w:t>
            </w:r>
          </w:p>
        </w:tc>
        <w:tc>
          <w:tcPr>
            <w:tcW w:w="4348" w:type="dxa"/>
            <w:tcBorders>
              <w:top w:val="nil"/>
              <w:left w:val="nil"/>
              <w:bottom w:val="nil"/>
              <w:right w:val="nil"/>
            </w:tcBorders>
            <w:shd w:val="clear" w:color="auto" w:fill="auto"/>
            <w:noWrap/>
            <w:vAlign w:val="bottom"/>
            <w:hideMark/>
          </w:tcPr>
          <w:p w14:paraId="0BC2044E" w14:textId="77777777" w:rsidR="00543710" w:rsidRPr="00543710" w:rsidRDefault="00543710" w:rsidP="00543710">
            <w:pPr>
              <w:spacing w:line="240" w:lineRule="auto"/>
              <w:jc w:val="center"/>
              <w:rPr>
                <w:rFonts w:cs="Times New Roman"/>
                <w:color w:val="000000"/>
                <w:lang w:val="pt-BR" w:eastAsia="pt-BR"/>
              </w:rPr>
            </w:pPr>
            <w:r w:rsidRPr="00543710">
              <w:rPr>
                <w:rFonts w:cs="Times New Roman"/>
                <w:color w:val="000000"/>
                <w:lang w:val="pt-BR" w:eastAsia="pt-BR"/>
              </w:rPr>
              <w:t>18.4</w:t>
            </w:r>
            <w:r w:rsidRPr="00543710">
              <w:rPr>
                <w:rFonts w:cs="Times New Roman"/>
                <w:color w:val="000000"/>
                <w:vertAlign w:val="superscript"/>
                <w:lang w:val="pt-BR" w:eastAsia="pt-BR"/>
              </w:rPr>
              <w:t>A</w:t>
            </w:r>
          </w:p>
        </w:tc>
      </w:tr>
      <w:tr w:rsidR="00543710" w:rsidRPr="00543710" w14:paraId="60CE5BF5" w14:textId="77777777" w:rsidTr="00543710">
        <w:trPr>
          <w:trHeight w:val="312"/>
        </w:trPr>
        <w:tc>
          <w:tcPr>
            <w:tcW w:w="1696" w:type="dxa"/>
            <w:tcBorders>
              <w:top w:val="single" w:sz="4" w:space="0" w:color="auto"/>
              <w:left w:val="nil"/>
              <w:bottom w:val="nil"/>
              <w:right w:val="nil"/>
            </w:tcBorders>
            <w:shd w:val="clear" w:color="auto" w:fill="auto"/>
            <w:noWrap/>
            <w:vAlign w:val="bottom"/>
            <w:hideMark/>
          </w:tcPr>
          <w:p w14:paraId="051482F9" w14:textId="77777777" w:rsidR="00543710" w:rsidRPr="00543710" w:rsidRDefault="00543710" w:rsidP="00543710">
            <w:pPr>
              <w:spacing w:line="240" w:lineRule="auto"/>
              <w:rPr>
                <w:rFonts w:cs="Times New Roman"/>
                <w:color w:val="000000"/>
                <w:lang w:val="pt-BR" w:eastAsia="pt-BR"/>
              </w:rPr>
            </w:pPr>
            <w:r w:rsidRPr="00543710">
              <w:rPr>
                <w:rFonts w:cs="Times New Roman"/>
                <w:color w:val="000000"/>
                <w:lang w:val="pt-BR" w:eastAsia="pt-BR"/>
              </w:rPr>
              <w:t>SEM</w:t>
            </w:r>
          </w:p>
        </w:tc>
        <w:tc>
          <w:tcPr>
            <w:tcW w:w="2866" w:type="dxa"/>
            <w:tcBorders>
              <w:top w:val="single" w:sz="4" w:space="0" w:color="auto"/>
              <w:left w:val="nil"/>
              <w:bottom w:val="nil"/>
              <w:right w:val="nil"/>
            </w:tcBorders>
            <w:shd w:val="clear" w:color="auto" w:fill="auto"/>
            <w:noWrap/>
            <w:vAlign w:val="bottom"/>
            <w:hideMark/>
          </w:tcPr>
          <w:p w14:paraId="7EF13A42" w14:textId="77777777" w:rsidR="00543710" w:rsidRPr="00543710" w:rsidRDefault="00543710" w:rsidP="00543710">
            <w:pPr>
              <w:spacing w:line="240" w:lineRule="auto"/>
              <w:jc w:val="center"/>
              <w:rPr>
                <w:rFonts w:cs="Times New Roman"/>
                <w:i/>
                <w:iCs/>
                <w:color w:val="000000"/>
                <w:lang w:val="pt-BR" w:eastAsia="pt-BR"/>
              </w:rPr>
            </w:pPr>
            <w:r w:rsidRPr="00543710">
              <w:rPr>
                <w:rFonts w:cs="Times New Roman"/>
                <w:i/>
                <w:iCs/>
                <w:color w:val="000000"/>
                <w:lang w:val="pt-BR" w:eastAsia="pt-BR"/>
              </w:rPr>
              <w:t>0.06</w:t>
            </w:r>
          </w:p>
        </w:tc>
        <w:tc>
          <w:tcPr>
            <w:tcW w:w="4348" w:type="dxa"/>
            <w:tcBorders>
              <w:top w:val="single" w:sz="4" w:space="0" w:color="auto"/>
              <w:left w:val="nil"/>
              <w:bottom w:val="nil"/>
              <w:right w:val="nil"/>
            </w:tcBorders>
            <w:shd w:val="clear" w:color="auto" w:fill="auto"/>
            <w:noWrap/>
            <w:vAlign w:val="bottom"/>
            <w:hideMark/>
          </w:tcPr>
          <w:p w14:paraId="0754F1D6" w14:textId="77777777" w:rsidR="00543710" w:rsidRPr="00543710" w:rsidRDefault="00543710" w:rsidP="00543710">
            <w:pPr>
              <w:spacing w:line="240" w:lineRule="auto"/>
              <w:jc w:val="center"/>
              <w:rPr>
                <w:rFonts w:cs="Times New Roman"/>
                <w:i/>
                <w:iCs/>
                <w:color w:val="000000"/>
                <w:lang w:val="pt-BR" w:eastAsia="pt-BR"/>
              </w:rPr>
            </w:pPr>
            <w:r w:rsidRPr="00543710">
              <w:rPr>
                <w:rFonts w:cs="Times New Roman"/>
                <w:i/>
                <w:iCs/>
                <w:color w:val="000000"/>
                <w:lang w:val="pt-BR" w:eastAsia="pt-BR"/>
              </w:rPr>
              <w:t>3.1</w:t>
            </w:r>
          </w:p>
        </w:tc>
      </w:tr>
      <w:tr w:rsidR="00543710" w:rsidRPr="00543710" w14:paraId="2C875463" w14:textId="77777777" w:rsidTr="00543710">
        <w:trPr>
          <w:trHeight w:val="312"/>
        </w:trPr>
        <w:tc>
          <w:tcPr>
            <w:tcW w:w="1696" w:type="dxa"/>
            <w:tcBorders>
              <w:top w:val="nil"/>
              <w:left w:val="nil"/>
              <w:bottom w:val="single" w:sz="4" w:space="0" w:color="auto"/>
              <w:right w:val="nil"/>
            </w:tcBorders>
            <w:shd w:val="clear" w:color="auto" w:fill="auto"/>
            <w:noWrap/>
            <w:vAlign w:val="bottom"/>
            <w:hideMark/>
          </w:tcPr>
          <w:p w14:paraId="67AAAF33" w14:textId="77777777" w:rsidR="00543710" w:rsidRPr="00543710" w:rsidRDefault="00543710" w:rsidP="00543710">
            <w:pPr>
              <w:spacing w:line="240" w:lineRule="auto"/>
              <w:rPr>
                <w:rFonts w:cs="Times New Roman"/>
                <w:color w:val="000000"/>
                <w:lang w:val="pt-BR" w:eastAsia="pt-BR"/>
              </w:rPr>
            </w:pPr>
            <w:r w:rsidRPr="00543710">
              <w:rPr>
                <w:rFonts w:cs="Times New Roman"/>
                <w:color w:val="000000"/>
                <w:lang w:val="pt-BR" w:eastAsia="pt-BR"/>
              </w:rPr>
              <w:t>P-value</w:t>
            </w:r>
          </w:p>
        </w:tc>
        <w:tc>
          <w:tcPr>
            <w:tcW w:w="2866" w:type="dxa"/>
            <w:tcBorders>
              <w:top w:val="nil"/>
              <w:left w:val="nil"/>
              <w:bottom w:val="single" w:sz="4" w:space="0" w:color="auto"/>
              <w:right w:val="nil"/>
            </w:tcBorders>
            <w:shd w:val="clear" w:color="auto" w:fill="auto"/>
            <w:noWrap/>
            <w:vAlign w:val="bottom"/>
            <w:hideMark/>
          </w:tcPr>
          <w:p w14:paraId="1A1038A2" w14:textId="4CA99973" w:rsidR="00543710" w:rsidRPr="00543710" w:rsidRDefault="00543710" w:rsidP="00543710">
            <w:pPr>
              <w:spacing w:line="240" w:lineRule="auto"/>
              <w:jc w:val="center"/>
              <w:rPr>
                <w:rFonts w:cs="Times New Roman"/>
                <w:i/>
                <w:iCs/>
                <w:color w:val="000000"/>
                <w:lang w:val="pt-BR" w:eastAsia="pt-BR"/>
              </w:rPr>
            </w:pPr>
            <w:r w:rsidRPr="00543710">
              <w:rPr>
                <w:rFonts w:cs="Times New Roman"/>
                <w:i/>
                <w:iCs/>
                <w:color w:val="000000"/>
                <w:lang w:val="pt-BR" w:eastAsia="pt-BR"/>
              </w:rPr>
              <w:t xml:space="preserve"> &lt; 0.0</w:t>
            </w:r>
            <w:r>
              <w:rPr>
                <w:rFonts w:cs="Times New Roman"/>
                <w:i/>
                <w:iCs/>
                <w:color w:val="000000"/>
                <w:lang w:val="pt-BR" w:eastAsia="pt-BR"/>
              </w:rPr>
              <w:t>5</w:t>
            </w:r>
          </w:p>
        </w:tc>
        <w:tc>
          <w:tcPr>
            <w:tcW w:w="4348" w:type="dxa"/>
            <w:tcBorders>
              <w:top w:val="nil"/>
              <w:left w:val="nil"/>
              <w:bottom w:val="single" w:sz="4" w:space="0" w:color="auto"/>
              <w:right w:val="nil"/>
            </w:tcBorders>
            <w:shd w:val="clear" w:color="auto" w:fill="auto"/>
            <w:noWrap/>
            <w:vAlign w:val="bottom"/>
            <w:hideMark/>
          </w:tcPr>
          <w:p w14:paraId="7B59510D" w14:textId="78BBD32C" w:rsidR="00543710" w:rsidRPr="00543710" w:rsidRDefault="00543710" w:rsidP="00543710">
            <w:pPr>
              <w:spacing w:line="240" w:lineRule="auto"/>
              <w:jc w:val="center"/>
              <w:rPr>
                <w:rFonts w:cs="Times New Roman"/>
                <w:i/>
                <w:iCs/>
                <w:color w:val="000000"/>
                <w:lang w:val="pt-BR" w:eastAsia="pt-BR"/>
              </w:rPr>
            </w:pPr>
            <w:r w:rsidRPr="00543710">
              <w:rPr>
                <w:rFonts w:cs="Times New Roman"/>
                <w:i/>
                <w:iCs/>
                <w:color w:val="000000"/>
                <w:lang w:val="pt-BR" w:eastAsia="pt-BR"/>
              </w:rPr>
              <w:t xml:space="preserve"> &lt; 0.0</w:t>
            </w:r>
            <w:r>
              <w:rPr>
                <w:rFonts w:cs="Times New Roman"/>
                <w:i/>
                <w:iCs/>
                <w:color w:val="000000"/>
                <w:lang w:val="pt-BR" w:eastAsia="pt-BR"/>
              </w:rPr>
              <w:t>5</w:t>
            </w:r>
          </w:p>
        </w:tc>
      </w:tr>
      <w:tr w:rsidR="00543710" w:rsidRPr="00543710" w14:paraId="1A6B03AB" w14:textId="77777777" w:rsidTr="00543710">
        <w:trPr>
          <w:trHeight w:val="312"/>
        </w:trPr>
        <w:tc>
          <w:tcPr>
            <w:tcW w:w="8910" w:type="dxa"/>
            <w:gridSpan w:val="3"/>
            <w:tcBorders>
              <w:top w:val="single" w:sz="4" w:space="0" w:color="auto"/>
              <w:left w:val="nil"/>
              <w:bottom w:val="nil"/>
              <w:right w:val="nil"/>
            </w:tcBorders>
            <w:shd w:val="clear" w:color="auto" w:fill="auto"/>
            <w:noWrap/>
            <w:vAlign w:val="bottom"/>
            <w:hideMark/>
          </w:tcPr>
          <w:p w14:paraId="5EBD2CC2" w14:textId="5EEEA60D" w:rsidR="00543710" w:rsidRPr="003E0A16" w:rsidRDefault="00543710" w:rsidP="00543710">
            <w:pPr>
              <w:spacing w:line="240" w:lineRule="auto"/>
              <w:rPr>
                <w:rFonts w:cs="Times New Roman"/>
                <w:color w:val="000000"/>
                <w:lang w:eastAsia="pt-BR"/>
              </w:rPr>
            </w:pPr>
            <w:r w:rsidRPr="003E0A16">
              <w:rPr>
                <w:rFonts w:cs="Times New Roman"/>
                <w:color w:val="000000"/>
                <w:lang w:eastAsia="pt-BR"/>
              </w:rPr>
              <w:t xml:space="preserve">Means with a common uppercase letter are not significant at </w:t>
            </w:r>
            <w:r>
              <w:rPr>
                <w:rFonts w:cs="Times New Roman"/>
                <w:color w:val="000000"/>
                <w:lang w:val="pt-BR" w:eastAsia="pt-BR"/>
              </w:rPr>
              <w:t>α</w:t>
            </w:r>
            <w:r w:rsidRPr="003E0A16">
              <w:rPr>
                <w:rFonts w:cs="Times New Roman"/>
                <w:color w:val="000000"/>
                <w:lang w:eastAsia="pt-BR"/>
              </w:rPr>
              <w:t xml:space="preserve"> = 0.05</w:t>
            </w:r>
          </w:p>
        </w:tc>
      </w:tr>
      <w:tr w:rsidR="00543710" w:rsidRPr="00543710" w14:paraId="251CBB91" w14:textId="77777777" w:rsidTr="00543710">
        <w:trPr>
          <w:trHeight w:val="312"/>
        </w:trPr>
        <w:tc>
          <w:tcPr>
            <w:tcW w:w="8910" w:type="dxa"/>
            <w:gridSpan w:val="3"/>
            <w:tcBorders>
              <w:top w:val="nil"/>
              <w:left w:val="nil"/>
              <w:bottom w:val="nil"/>
              <w:right w:val="nil"/>
            </w:tcBorders>
            <w:shd w:val="clear" w:color="auto" w:fill="auto"/>
            <w:noWrap/>
            <w:vAlign w:val="bottom"/>
            <w:hideMark/>
          </w:tcPr>
          <w:p w14:paraId="16786DE6" w14:textId="77777777" w:rsidR="00543710" w:rsidRPr="003E0A16" w:rsidRDefault="00543710" w:rsidP="00543710">
            <w:pPr>
              <w:spacing w:line="240" w:lineRule="auto"/>
              <w:rPr>
                <w:rFonts w:cs="Times New Roman"/>
                <w:color w:val="000000"/>
                <w:lang w:eastAsia="pt-BR"/>
              </w:rPr>
            </w:pPr>
            <w:r w:rsidRPr="003E0A16">
              <w:rPr>
                <w:rFonts w:cs="Times New Roman"/>
                <w:color w:val="000000"/>
                <w:lang w:eastAsia="pt-BR"/>
              </w:rPr>
              <w:t>SEM, Standard Error of the Mean</w:t>
            </w:r>
          </w:p>
        </w:tc>
      </w:tr>
      <w:tr w:rsidR="00543710" w:rsidRPr="00543710" w14:paraId="7307A182" w14:textId="77777777" w:rsidTr="00543710">
        <w:trPr>
          <w:trHeight w:val="312"/>
        </w:trPr>
        <w:tc>
          <w:tcPr>
            <w:tcW w:w="8910" w:type="dxa"/>
            <w:gridSpan w:val="3"/>
            <w:tcBorders>
              <w:top w:val="nil"/>
              <w:left w:val="nil"/>
              <w:bottom w:val="nil"/>
              <w:right w:val="nil"/>
            </w:tcBorders>
            <w:shd w:val="clear" w:color="auto" w:fill="auto"/>
            <w:vAlign w:val="bottom"/>
            <w:hideMark/>
          </w:tcPr>
          <w:p w14:paraId="5A546731" w14:textId="4F5891F7" w:rsidR="00543710" w:rsidRPr="003E0A16" w:rsidRDefault="00543710" w:rsidP="00543710">
            <w:pPr>
              <w:spacing w:line="240" w:lineRule="auto"/>
              <w:rPr>
                <w:rFonts w:cs="Times New Roman"/>
                <w:color w:val="000000"/>
                <w:lang w:eastAsia="pt-BR"/>
              </w:rPr>
            </w:pPr>
            <w:r w:rsidRPr="003E0A16">
              <w:rPr>
                <w:rFonts w:cs="Times New Roman"/>
                <w:i/>
                <w:iCs/>
                <w:color w:val="000000"/>
                <w:lang w:eastAsia="pt-BR"/>
              </w:rPr>
              <w:t>Note:</w:t>
            </w:r>
            <w:r w:rsidRPr="003E0A16">
              <w:rPr>
                <w:rFonts w:cs="Times New Roman"/>
                <w:color w:val="000000"/>
                <w:lang w:eastAsia="pt-BR"/>
              </w:rPr>
              <w:t xml:space="preserve"> </w:t>
            </w:r>
            <w:proofErr w:type="spellStart"/>
            <w:r w:rsidRPr="003E0A16">
              <w:rPr>
                <w:rFonts w:cs="Times New Roman"/>
                <w:color w:val="000000"/>
                <w:lang w:eastAsia="pt-BR"/>
              </w:rPr>
              <w:t>gsw</w:t>
            </w:r>
            <w:proofErr w:type="spellEnd"/>
            <w:r w:rsidRPr="003E0A16">
              <w:rPr>
                <w:rFonts w:cs="Times New Roman"/>
                <w:color w:val="000000"/>
                <w:lang w:eastAsia="pt-BR"/>
              </w:rPr>
              <w:t xml:space="preserve"> corresponds to Stomatal conductance, and A corresponds to photosynthesis CO</w:t>
            </w:r>
            <w:r w:rsidRPr="003E0A16">
              <w:rPr>
                <w:rFonts w:cs="Times New Roman"/>
                <w:color w:val="000000"/>
                <w:vertAlign w:val="superscript"/>
                <w:lang w:eastAsia="pt-BR"/>
              </w:rPr>
              <w:t>2</w:t>
            </w:r>
            <w:r w:rsidRPr="003E0A16">
              <w:rPr>
                <w:rFonts w:cs="Times New Roman"/>
                <w:color w:val="000000"/>
                <w:lang w:eastAsia="pt-BR"/>
              </w:rPr>
              <w:t xml:space="preserve"> assimilation</w:t>
            </w:r>
          </w:p>
        </w:tc>
      </w:tr>
    </w:tbl>
    <w:p w14:paraId="41A22C0E" w14:textId="77777777" w:rsidR="001C0858" w:rsidRDefault="001C0858" w:rsidP="00E4012D"/>
    <w:p w14:paraId="71FAD7CA" w14:textId="77777777" w:rsidR="001C0858" w:rsidRDefault="001C0858" w:rsidP="00E4012D"/>
    <w:p w14:paraId="4DCAC25F" w14:textId="77777777" w:rsidR="001C0858" w:rsidRDefault="001C0858" w:rsidP="00E4012D"/>
    <w:p w14:paraId="5784A22A" w14:textId="77777777" w:rsidR="001C0858" w:rsidRDefault="001C0858" w:rsidP="00E4012D"/>
    <w:bookmarkEnd w:id="57"/>
    <w:p w14:paraId="6FB34EAE" w14:textId="77777777" w:rsidR="001C0858" w:rsidRDefault="001C0858" w:rsidP="00E4012D"/>
    <w:p w14:paraId="010AD90B" w14:textId="77777777" w:rsidR="001C0858" w:rsidRDefault="001C0858" w:rsidP="00E4012D"/>
    <w:p w14:paraId="47AB26AE" w14:textId="77777777" w:rsidR="00543710" w:rsidRDefault="00543710">
      <w:pPr>
        <w:spacing w:line="240" w:lineRule="auto"/>
        <w:rPr>
          <w:rFonts w:cs="Times New Roman"/>
          <w:b/>
          <w:bCs/>
          <w:iCs/>
        </w:rPr>
      </w:pPr>
      <w:bookmarkStart w:id="79" w:name="_Toc289175842"/>
      <w:bookmarkStart w:id="80" w:name="_Toc175638327"/>
      <w:r>
        <w:rPr>
          <w:rFonts w:cs="Times New Roman"/>
        </w:rPr>
        <w:br w:type="page"/>
      </w:r>
    </w:p>
    <w:p w14:paraId="63ABC244" w14:textId="5738F14A" w:rsidR="003E0A16" w:rsidRDefault="003E0A16" w:rsidP="003E0A16">
      <w:pPr>
        <w:spacing w:line="480" w:lineRule="auto"/>
        <w:rPr>
          <w:rFonts w:cs="Times New Roman"/>
        </w:rPr>
      </w:pPr>
      <w:r>
        <w:rPr>
          <w:rFonts w:cs="Times New Roman"/>
        </w:rPr>
        <w:lastRenderedPageBreak/>
        <w:t>mutations that improve defenses against biotic and abiotic stresses over time (</w:t>
      </w:r>
      <w:proofErr w:type="spellStart"/>
      <w:r w:rsidRPr="00037ACB">
        <w:rPr>
          <w:rFonts w:cs="Times New Roman"/>
        </w:rPr>
        <w:t>Rennenberg</w:t>
      </w:r>
      <w:proofErr w:type="spellEnd"/>
      <w:r w:rsidRPr="00037ACB">
        <w:rPr>
          <w:rFonts w:cs="Times New Roman"/>
        </w:rPr>
        <w:t xml:space="preserve"> &amp; Simon, 2013</w:t>
      </w:r>
      <w:r>
        <w:rPr>
          <w:rFonts w:cs="Times New Roman"/>
        </w:rPr>
        <w:t xml:space="preserve">). </w:t>
      </w:r>
    </w:p>
    <w:p w14:paraId="557EAF7B" w14:textId="4137F59A" w:rsidR="003E0A16" w:rsidRDefault="003E0A16" w:rsidP="0052522E">
      <w:pPr>
        <w:spacing w:line="480" w:lineRule="auto"/>
        <w:ind w:firstLine="720"/>
        <w:rPr>
          <w:rFonts w:cs="Times New Roman"/>
          <w:b/>
          <w:bCs/>
          <w:iCs/>
        </w:rPr>
      </w:pPr>
      <w:r>
        <w:rPr>
          <w:rFonts w:cs="Times New Roman"/>
        </w:rPr>
        <w:t>Despite this potential, no evidence of stress alleviation due to PGPB inoculation was identified in bermudagrass in this study (</w:t>
      </w:r>
      <w:r w:rsidRPr="00C64F12">
        <w:rPr>
          <w:rFonts w:cs="Times New Roman"/>
          <w:b/>
          <w:bCs/>
        </w:rPr>
        <w:t>Tables 2.</w:t>
      </w:r>
      <w:r>
        <w:rPr>
          <w:rFonts w:cs="Times New Roman"/>
          <w:b/>
          <w:bCs/>
        </w:rPr>
        <w:t>10;</w:t>
      </w:r>
      <w:r>
        <w:rPr>
          <w:rFonts w:cs="Times New Roman"/>
        </w:rPr>
        <w:t xml:space="preserve"> </w:t>
      </w:r>
      <w:r w:rsidRPr="00C64F12">
        <w:rPr>
          <w:rFonts w:cs="Times New Roman"/>
          <w:b/>
          <w:bCs/>
        </w:rPr>
        <w:t>Table 2.</w:t>
      </w:r>
      <w:r>
        <w:rPr>
          <w:rFonts w:cs="Times New Roman"/>
          <w:b/>
          <w:bCs/>
        </w:rPr>
        <w:t>11</w:t>
      </w:r>
      <w:r>
        <w:rPr>
          <w:rFonts w:cs="Times New Roman"/>
        </w:rPr>
        <w:t xml:space="preserve">). </w:t>
      </w:r>
    </w:p>
    <w:p w14:paraId="23546E23" w14:textId="379D7BF1" w:rsidR="000C580F" w:rsidRDefault="000C580F" w:rsidP="0052522E">
      <w:pPr>
        <w:pStyle w:val="Heading2"/>
        <w:spacing w:before="0" w:after="0" w:line="480" w:lineRule="auto"/>
        <w:rPr>
          <w:rFonts w:cs="Times New Roman"/>
          <w:szCs w:val="24"/>
        </w:rPr>
      </w:pPr>
      <w:bookmarkStart w:id="81" w:name="_Toc196315263"/>
      <w:r>
        <w:rPr>
          <w:rFonts w:cs="Times New Roman"/>
          <w:szCs w:val="24"/>
        </w:rPr>
        <w:t>Conclusion</w:t>
      </w:r>
      <w:bookmarkEnd w:id="81"/>
    </w:p>
    <w:p w14:paraId="04319FFC" w14:textId="2EC94BB5" w:rsidR="001C0858" w:rsidRPr="00973F19" w:rsidRDefault="00973F19" w:rsidP="0052522E">
      <w:pPr>
        <w:spacing w:line="480" w:lineRule="auto"/>
        <w:ind w:firstLine="720"/>
      </w:pPr>
      <w:bookmarkStart w:id="82" w:name="_Hlk196062067"/>
      <w:r w:rsidRPr="001A5F09">
        <w:t xml:space="preserve">This study evaluated the effects of plant growth-promoting bacteria (PGPB) and nitrogen (N) fertilization on bermudagrass forage mass (FM) and nutritive value over two growing seasons (2023 and 2024) at the Plateau </w:t>
      </w:r>
      <w:proofErr w:type="spellStart"/>
      <w:r w:rsidRPr="001A5F09">
        <w:t>AgResearch</w:t>
      </w:r>
      <w:proofErr w:type="spellEnd"/>
      <w:r w:rsidRPr="001A5F09">
        <w:t xml:space="preserve"> and Education Center in Crossville, TN. The results indicate that N fertilization significantly increased FM and crude protein (CP) content, but PGPB inoculation alone did not result in significant differences in </w:t>
      </w:r>
      <w:r w:rsidR="00AE2288">
        <w:t xml:space="preserve">average </w:t>
      </w:r>
      <w:r w:rsidRPr="001A5F09">
        <w:t xml:space="preserve">FM, </w:t>
      </w:r>
      <w:r w:rsidR="00AE2288">
        <w:t xml:space="preserve">FA, </w:t>
      </w:r>
      <w:r w:rsidRPr="001A5F09">
        <w:t>CP, or forage digestibility. Specifically, treatments with 67 kg N ha⁻</w:t>
      </w:r>
      <w:r w:rsidRPr="001A5F09">
        <w:rPr>
          <w:rFonts w:hint="eastAsia"/>
        </w:rPr>
        <w:t>¹</w:t>
      </w:r>
      <w:r w:rsidRPr="001A5F09">
        <w:t xml:space="preserve"> of ammonium sulfate produced the greatest FM (2</w:t>
      </w:r>
      <w:r w:rsidR="0061459B">
        <w:t>606</w:t>
      </w:r>
      <w:r w:rsidRPr="001A5F09">
        <w:t xml:space="preserve"> kg DM ha⁻</w:t>
      </w:r>
      <w:r w:rsidRPr="001A5F09">
        <w:rPr>
          <w:rFonts w:hint="eastAsia"/>
        </w:rPr>
        <w:t>¹</w:t>
      </w:r>
      <w:r w:rsidRPr="001A5F09">
        <w:t>) and highest CP content (1</w:t>
      </w:r>
      <w:r w:rsidR="0061459B">
        <w:t>4</w:t>
      </w:r>
      <w:r w:rsidRPr="001A5F09">
        <w:t>6 g kg⁻</w:t>
      </w:r>
      <w:r w:rsidRPr="001A5F09">
        <w:rPr>
          <w:rFonts w:hint="eastAsia"/>
        </w:rPr>
        <w:t>¹</w:t>
      </w:r>
      <w:r w:rsidRPr="001A5F09">
        <w:t xml:space="preserve">), consistent with the known response of bermudagrass to </w:t>
      </w:r>
      <w:proofErr w:type="spellStart"/>
      <w:r w:rsidRPr="001A5F09">
        <w:t>N</w:t>
      </w:r>
      <w:proofErr w:type="spellEnd"/>
      <w:r w:rsidRPr="001A5F09">
        <w:t xml:space="preserve"> application. Despite variations in FM and CP, in vitro dry matter digestibility (IVDMD48) and neutral detergent fiber digestibility (NDFD48) remained unaffected by both PGPB and N </w:t>
      </w:r>
      <w:r w:rsidR="00E94C04">
        <w:t>strategies</w:t>
      </w:r>
      <w:r w:rsidRPr="001A5F09">
        <w:t>, suggesting that the overall forage quality was maintained across treatments. The findings support the importance of N fertilization in improving bermudagrass yield and quality but highlight the need for further research to clarify the inconsistent responses to PGPB inoculation under different environmental and management conditions.</w:t>
      </w:r>
    </w:p>
    <w:bookmarkEnd w:id="82"/>
    <w:p w14:paraId="11CC283E" w14:textId="77777777" w:rsidR="001C0858" w:rsidRPr="001C0858" w:rsidRDefault="001C0858" w:rsidP="001C0858"/>
    <w:p w14:paraId="505A4295" w14:textId="77777777" w:rsidR="00773081" w:rsidRDefault="00773081">
      <w:pPr>
        <w:spacing w:line="240" w:lineRule="auto"/>
        <w:rPr>
          <w:b/>
          <w:bCs/>
          <w:caps/>
        </w:rPr>
      </w:pPr>
      <w:r>
        <w:br w:type="page"/>
      </w:r>
    </w:p>
    <w:p w14:paraId="0EC56254" w14:textId="052CD79E" w:rsidR="00D677AA" w:rsidRPr="00C64F12" w:rsidRDefault="004C2071" w:rsidP="00C64F12">
      <w:pPr>
        <w:pStyle w:val="Heading1"/>
      </w:pPr>
      <w:bookmarkStart w:id="83" w:name="_Toc196315264"/>
      <w:r w:rsidRPr="00037ACB">
        <w:lastRenderedPageBreak/>
        <w:t>R</w:t>
      </w:r>
      <w:bookmarkEnd w:id="79"/>
      <w:r w:rsidR="00060A6A" w:rsidRPr="00037ACB">
        <w:t>EFERENCES</w:t>
      </w:r>
      <w:bookmarkEnd w:id="80"/>
      <w:bookmarkEnd w:id="83"/>
    </w:p>
    <w:p w14:paraId="3716692A" w14:textId="77777777" w:rsidR="00277CD6" w:rsidRDefault="00C27AD4" w:rsidP="00277CD6">
      <w:pPr>
        <w:pStyle w:val="Bibliography"/>
      </w:pPr>
      <w:r>
        <w:fldChar w:fldCharType="begin"/>
      </w:r>
      <w:r w:rsidR="00B015B5">
        <w:instrText xml:space="preserve"> ADDIN ZOTERO_BIBL {"uncited":[],"omitted":[],"custom":[]} CSL_BIBLIOGRAPHY </w:instrText>
      </w:r>
      <w:r>
        <w:fldChar w:fldCharType="separate"/>
      </w:r>
      <w:r w:rsidR="00277CD6">
        <w:t xml:space="preserve">Aggarwal, R. K., Raina, P., &amp; Kumar, P. (1987). Ammonia volatilization losses from urea and their possible management for increasing nitrogen use efficiency in an arid region. </w:t>
      </w:r>
      <w:r w:rsidR="00277CD6">
        <w:rPr>
          <w:i/>
          <w:iCs/>
        </w:rPr>
        <w:t>Journal of Arid Environments</w:t>
      </w:r>
      <w:r w:rsidR="00277CD6">
        <w:t xml:space="preserve">, </w:t>
      </w:r>
      <w:r w:rsidR="00277CD6">
        <w:rPr>
          <w:i/>
          <w:iCs/>
        </w:rPr>
        <w:t>13</w:t>
      </w:r>
      <w:r w:rsidR="00277CD6">
        <w:t>(2), 163–168. https://doi.org/10.1016/S0140-1963(18)31135-2</w:t>
      </w:r>
    </w:p>
    <w:p w14:paraId="71CD48E5" w14:textId="77777777" w:rsidR="00277CD6" w:rsidRDefault="00277CD6" w:rsidP="00277CD6">
      <w:pPr>
        <w:pStyle w:val="Bibliography"/>
      </w:pPr>
      <w:r>
        <w:t xml:space="preserve">Akin, D. E., Robinson, E. L., Barton, F. E., &amp; Himmelsbach, D. S. (1977). Changes with maturity in anatomy, histochemistry, chemistry, and tissue digestibility of bermudagrass plant parts. </w:t>
      </w:r>
      <w:r>
        <w:rPr>
          <w:i/>
          <w:iCs/>
        </w:rPr>
        <w:t>Journal of Agricultural and Food Chemistry</w:t>
      </w:r>
      <w:r>
        <w:t xml:space="preserve">, </w:t>
      </w:r>
      <w:r>
        <w:rPr>
          <w:i/>
          <w:iCs/>
        </w:rPr>
        <w:t>25</w:t>
      </w:r>
      <w:r>
        <w:t>(1), 179–186. https://doi.org/10.1021/jf60209a034</w:t>
      </w:r>
    </w:p>
    <w:p w14:paraId="6B7274D2" w14:textId="77777777" w:rsidR="00277CD6" w:rsidRDefault="00277CD6" w:rsidP="00277CD6">
      <w:pPr>
        <w:pStyle w:val="Bibliography"/>
      </w:pPr>
      <w:r>
        <w:t xml:space="preserve">Arthington, J. D., &amp; Brown, W. F. (2005). Estimation of feeding value of four tropical forage species at two stages of maturity1,2. </w:t>
      </w:r>
      <w:r>
        <w:rPr>
          <w:i/>
          <w:iCs/>
        </w:rPr>
        <w:t>Journal of Animal Science</w:t>
      </w:r>
      <w:r>
        <w:t xml:space="preserve">, </w:t>
      </w:r>
      <w:r>
        <w:rPr>
          <w:i/>
          <w:iCs/>
        </w:rPr>
        <w:t>83</w:t>
      </w:r>
      <w:r>
        <w:t>(7), 1726–1731. https://doi.org/10.2527/2005.8371726x</w:t>
      </w:r>
    </w:p>
    <w:p w14:paraId="20F89167" w14:textId="77777777" w:rsidR="00277CD6" w:rsidRDefault="00277CD6" w:rsidP="00277CD6">
      <w:pPr>
        <w:pStyle w:val="Bibliography"/>
      </w:pPr>
      <w:r>
        <w:t xml:space="preserve">Ball, D. (n.d.). </w:t>
      </w:r>
      <w:r>
        <w:rPr>
          <w:i/>
          <w:iCs/>
        </w:rPr>
        <w:t>Extending Grazing and Reducting Stored Feed Needs—Don Ball etal</w:t>
      </w:r>
      <w:r>
        <w:t>.</w:t>
      </w:r>
    </w:p>
    <w:p w14:paraId="7AEEF2A8" w14:textId="77777777" w:rsidR="00277CD6" w:rsidRDefault="00277CD6" w:rsidP="00277CD6">
      <w:pPr>
        <w:pStyle w:val="Bibliography"/>
      </w:pPr>
      <w:r>
        <w:t xml:space="preserve">Barreta, D. A., Winter, F. L., Gislon, F. C. S., Sollenberger, L. E., &amp; Sbrissia, A. F. (2023). Managing a mixed sward to maintain species and functional diversity. </w:t>
      </w:r>
      <w:r>
        <w:rPr>
          <w:i/>
          <w:iCs/>
        </w:rPr>
        <w:t>European Journal of Agronomy</w:t>
      </w:r>
      <w:r>
        <w:t xml:space="preserve">, </w:t>
      </w:r>
      <w:r>
        <w:rPr>
          <w:i/>
          <w:iCs/>
        </w:rPr>
        <w:t>149</w:t>
      </w:r>
      <w:r>
        <w:t>, 126883. https://doi.org/10.1016/j.eja.2023.126883</w:t>
      </w:r>
    </w:p>
    <w:p w14:paraId="3BE019DB" w14:textId="77777777" w:rsidR="00277CD6" w:rsidRDefault="00277CD6" w:rsidP="00277CD6">
      <w:pPr>
        <w:pStyle w:val="Bibliography"/>
      </w:pPr>
      <w:r>
        <w:t xml:space="preserve">Bashan, Y., &amp; Holguin, G. (1997). </w:t>
      </w:r>
      <w:r>
        <w:rPr>
          <w:i/>
          <w:iCs/>
        </w:rPr>
        <w:t>Azospirillum</w:t>
      </w:r>
      <w:r>
        <w:t xml:space="preserve"> – plant relationships: Environmental and physiological advances (1990–1996). </w:t>
      </w:r>
      <w:r>
        <w:rPr>
          <w:i/>
          <w:iCs/>
        </w:rPr>
        <w:t>Canadian Journal of Microbiology</w:t>
      </w:r>
      <w:r>
        <w:t xml:space="preserve">, </w:t>
      </w:r>
      <w:r>
        <w:rPr>
          <w:i/>
          <w:iCs/>
        </w:rPr>
        <w:t>43</w:t>
      </w:r>
      <w:r>
        <w:t>(2), 103–121. https://doi.org/10.1139/m97-015</w:t>
      </w:r>
    </w:p>
    <w:p w14:paraId="1F4CC618" w14:textId="77777777" w:rsidR="00277CD6" w:rsidRDefault="00277CD6" w:rsidP="00277CD6">
      <w:pPr>
        <w:pStyle w:val="Bibliography"/>
      </w:pPr>
      <w:r>
        <w:lastRenderedPageBreak/>
        <w:t xml:space="preserve">Baxter, L. L., Anderson, W. F., Gates, R. N., Rios, E. F., &amp; Burt, J. C. (2024). Challenges in bermudagrass production in the southeastern USA. </w:t>
      </w:r>
      <w:r>
        <w:rPr>
          <w:i/>
          <w:iCs/>
        </w:rPr>
        <w:t>Grassland Research</w:t>
      </w:r>
      <w:r>
        <w:t xml:space="preserve">, </w:t>
      </w:r>
      <w:r>
        <w:rPr>
          <w:i/>
          <w:iCs/>
        </w:rPr>
        <w:t>3</w:t>
      </w:r>
      <w:r>
        <w:t>(2), 123–131. https://doi.org/10.1002/glr2.12092</w:t>
      </w:r>
    </w:p>
    <w:p w14:paraId="5F5850E5" w14:textId="77777777" w:rsidR="00277CD6" w:rsidRDefault="00277CD6" w:rsidP="00277CD6">
      <w:pPr>
        <w:pStyle w:val="Bibliography"/>
      </w:pPr>
      <w:r>
        <w:t xml:space="preserve">Chandra, A., &amp; Shmelev, S. (2017). The relevance of political ecology perspectives for smallholder Climate-Smart Agriculture: A review. </w:t>
      </w:r>
      <w:r>
        <w:rPr>
          <w:i/>
          <w:iCs/>
        </w:rPr>
        <w:t>Journal of Political Ecology</w:t>
      </w:r>
      <w:r>
        <w:t xml:space="preserve">, </w:t>
      </w:r>
      <w:r>
        <w:rPr>
          <w:i/>
          <w:iCs/>
        </w:rPr>
        <w:t>24</w:t>
      </w:r>
      <w:r>
        <w:t>(1). https://doi.org/10.2458/v24i1.20969</w:t>
      </w:r>
    </w:p>
    <w:p w14:paraId="5A245AA6" w14:textId="77777777" w:rsidR="00277CD6" w:rsidRDefault="00277CD6" w:rsidP="00277CD6">
      <w:pPr>
        <w:pStyle w:val="Bibliography"/>
      </w:pPr>
      <w:r>
        <w:t xml:space="preserve">Corbin, M. D., Nave, R. L. G., Bates, G. E., Butler, D. M., &amp; Hawkins, S. A. (2019). Alternatives to Conventional Nitrogen Fertilization on Tall Fescue and Bermudagrass. </w:t>
      </w:r>
      <w:r>
        <w:rPr>
          <w:i/>
          <w:iCs/>
        </w:rPr>
        <w:t>Agronomy Journal</w:t>
      </w:r>
      <w:r>
        <w:t xml:space="preserve">, </w:t>
      </w:r>
      <w:r>
        <w:rPr>
          <w:i/>
          <w:iCs/>
        </w:rPr>
        <w:t>111</w:t>
      </w:r>
      <w:r>
        <w:t>(1), 275–286. https://doi.org/10.2134/agronj2018.03.0190</w:t>
      </w:r>
    </w:p>
    <w:p w14:paraId="3FB67D01" w14:textId="77777777" w:rsidR="00277CD6" w:rsidRDefault="00277CD6" w:rsidP="00277CD6">
      <w:pPr>
        <w:pStyle w:val="Bibliography"/>
      </w:pPr>
      <w:r>
        <w:t xml:space="preserve">Corbin, M. D., Nave, R. L. G., Naumann, H. D., Bates, G. E., Boyer, C., &amp; De Almeida, O. G. (2024a). Does adding legumes to tall fescue pastures before stockpiling improve productivity and animal performance? </w:t>
      </w:r>
      <w:r>
        <w:rPr>
          <w:i/>
          <w:iCs/>
        </w:rPr>
        <w:t>Agronomy Journal</w:t>
      </w:r>
      <w:r>
        <w:t xml:space="preserve">, </w:t>
      </w:r>
      <w:r>
        <w:rPr>
          <w:i/>
          <w:iCs/>
        </w:rPr>
        <w:t>116</w:t>
      </w:r>
      <w:r>
        <w:t>(6), 3081–3096. https://doi.org/10.1002/agj2.21676</w:t>
      </w:r>
    </w:p>
    <w:p w14:paraId="56E65C04" w14:textId="77777777" w:rsidR="00277CD6" w:rsidRDefault="00277CD6" w:rsidP="00277CD6">
      <w:pPr>
        <w:pStyle w:val="Bibliography"/>
      </w:pPr>
      <w:r>
        <w:t xml:space="preserve">Corbin, M. D., Nave, R. L. G., Naumann, H. D., Bates, G. E., Boyer, C., &amp; De Almeida, O. G. (2024b). Inclusion of cool‐ and warm‐season species in tall fescue swards for increased productivity. </w:t>
      </w:r>
      <w:r>
        <w:rPr>
          <w:i/>
          <w:iCs/>
        </w:rPr>
        <w:t>Agronomy Journal</w:t>
      </w:r>
      <w:r>
        <w:t xml:space="preserve">, </w:t>
      </w:r>
      <w:r>
        <w:rPr>
          <w:i/>
          <w:iCs/>
        </w:rPr>
        <w:t>116</w:t>
      </w:r>
      <w:r>
        <w:t>(6), 3158–3170. https://doi.org/10.1002/agj2.21690</w:t>
      </w:r>
    </w:p>
    <w:p w14:paraId="5E64D853" w14:textId="77777777" w:rsidR="00277CD6" w:rsidRPr="003E0A16" w:rsidRDefault="00277CD6" w:rsidP="00277CD6">
      <w:pPr>
        <w:pStyle w:val="Bibliography"/>
        <w:rPr>
          <w:lang w:val="pt-BR"/>
        </w:rPr>
      </w:pPr>
      <w:r>
        <w:t xml:space="preserve">Coy, R. M., Held, D. W., &amp; Kloepper, J. W. (2014). Rhizobacterial Inoculants Increase Root and Shoot Growth in ‘Tifway’ Hybrid Bermudagrass. </w:t>
      </w:r>
      <w:r w:rsidRPr="003E0A16">
        <w:rPr>
          <w:i/>
          <w:iCs/>
          <w:lang w:val="pt-BR"/>
        </w:rPr>
        <w:t>Journal of Environmental Horticulture</w:t>
      </w:r>
      <w:r w:rsidRPr="003E0A16">
        <w:rPr>
          <w:lang w:val="pt-BR"/>
        </w:rPr>
        <w:t xml:space="preserve">, </w:t>
      </w:r>
      <w:r w:rsidRPr="003E0A16">
        <w:rPr>
          <w:i/>
          <w:iCs/>
          <w:lang w:val="pt-BR"/>
        </w:rPr>
        <w:t>32</w:t>
      </w:r>
      <w:r w:rsidRPr="003E0A16">
        <w:rPr>
          <w:lang w:val="pt-BR"/>
        </w:rPr>
        <w:t>(3), 149–154. https://doi.org/10.24266/0738-2898.32.3.149</w:t>
      </w:r>
    </w:p>
    <w:p w14:paraId="5DCBBDF2" w14:textId="77777777" w:rsidR="00277CD6" w:rsidRPr="003E0A16" w:rsidRDefault="00277CD6" w:rsidP="00277CD6">
      <w:pPr>
        <w:pStyle w:val="Bibliography"/>
        <w:rPr>
          <w:lang w:val="pt-BR"/>
        </w:rPr>
      </w:pPr>
      <w:r w:rsidRPr="003E0A16">
        <w:rPr>
          <w:lang w:val="pt-BR"/>
        </w:rPr>
        <w:lastRenderedPageBreak/>
        <w:t xml:space="preserve">Crestani, S., Congio, G. F. D. S., Mascheroni, J. D. C., Geremia, E. V., Carnevalli, R. A., Mourão, G. B., &amp; Da Silva, S. C. (2022). </w:t>
      </w:r>
      <w:r>
        <w:t xml:space="preserve">Tussock and tiller population dynamics on rotationally stocked Piatã palisadegrass (. </w:t>
      </w:r>
      <w:r w:rsidRPr="003E0A16">
        <w:rPr>
          <w:i/>
          <w:iCs/>
          <w:lang w:val="pt-BR"/>
        </w:rPr>
        <w:t>Crop &amp; Pasture Science</w:t>
      </w:r>
      <w:r w:rsidRPr="003E0A16">
        <w:rPr>
          <w:lang w:val="pt-BR"/>
        </w:rPr>
        <w:t xml:space="preserve">, </w:t>
      </w:r>
      <w:r w:rsidRPr="003E0A16">
        <w:rPr>
          <w:i/>
          <w:iCs/>
          <w:lang w:val="pt-BR"/>
        </w:rPr>
        <w:t>73</w:t>
      </w:r>
      <w:r w:rsidRPr="003E0A16">
        <w:rPr>
          <w:lang w:val="pt-BR"/>
        </w:rPr>
        <w:t>(3), 273–284. https://doi.org/10.1071/CP21184</w:t>
      </w:r>
    </w:p>
    <w:p w14:paraId="6C42C5ED" w14:textId="77777777" w:rsidR="00277CD6" w:rsidRDefault="00277CD6" w:rsidP="00277CD6">
      <w:pPr>
        <w:pStyle w:val="Bibliography"/>
      </w:pPr>
      <w:r w:rsidRPr="003E0A16">
        <w:rPr>
          <w:lang w:val="pt-BR"/>
        </w:rPr>
        <w:t xml:space="preserve">De Almeida, O. G., Pedreira, C. G. S., De Assis, J. A., Da Silva, V. J., &amp; Pedreira, B. C. E. (2024). </w:t>
      </w:r>
      <w:r>
        <w:t xml:space="preserve">Forage accumulation, nutritive value, and grazing efficiency on rotationally stocked ‘ </w:t>
      </w:r>
      <w:r>
        <w:rPr>
          <w:smallCaps/>
        </w:rPr>
        <w:t>Zuri</w:t>
      </w:r>
      <w:r>
        <w:t xml:space="preserve"> ’ guineagrass pastures as affected by pre‐graze canopy height and </w:t>
      </w:r>
      <w:r>
        <w:rPr>
          <w:smallCaps/>
        </w:rPr>
        <w:t>N</w:t>
      </w:r>
      <w:r>
        <w:t xml:space="preserve"> rate. </w:t>
      </w:r>
      <w:r>
        <w:rPr>
          <w:i/>
          <w:iCs/>
        </w:rPr>
        <w:t>Grass and Forage Science</w:t>
      </w:r>
      <w:r>
        <w:t xml:space="preserve">, </w:t>
      </w:r>
      <w:r>
        <w:rPr>
          <w:i/>
          <w:iCs/>
        </w:rPr>
        <w:t>79</w:t>
      </w:r>
      <w:r>
        <w:t>(2), 308–317. https://doi.org/10.1111/gfs.12672</w:t>
      </w:r>
    </w:p>
    <w:p w14:paraId="58B00D35" w14:textId="77777777" w:rsidR="00277CD6" w:rsidRDefault="00277CD6" w:rsidP="00277CD6">
      <w:pPr>
        <w:pStyle w:val="Bibliography"/>
      </w:pPr>
      <w:r>
        <w:t xml:space="preserve">Di, H. J., &amp; Cameron, K. C. (2000). Calculating nitrogen leaching losses and critical nitrogen application rates in dairy pasture systems using a semi‐empirical model. </w:t>
      </w:r>
      <w:r>
        <w:rPr>
          <w:i/>
          <w:iCs/>
        </w:rPr>
        <w:t>New Zealand Journal of Agricultural Research</w:t>
      </w:r>
      <w:r>
        <w:t xml:space="preserve">, </w:t>
      </w:r>
      <w:r>
        <w:rPr>
          <w:i/>
          <w:iCs/>
        </w:rPr>
        <w:t>43</w:t>
      </w:r>
      <w:r>
        <w:t>(1), 139–147. https://doi.org/10.1080/00288233.2000.9513415</w:t>
      </w:r>
    </w:p>
    <w:p w14:paraId="74F78AAF" w14:textId="77777777" w:rsidR="00277CD6" w:rsidRDefault="00277CD6" w:rsidP="00277CD6">
      <w:pPr>
        <w:pStyle w:val="Bibliography"/>
      </w:pPr>
      <w:r>
        <w:t xml:space="preserve">Dong, L., Li, Y., Xu, J., Yang, J., Wei, G., Shen, L., Ding, W., &amp; Chen, S. (2019). Biofertilizers regulate the soil microbial community and enhance Panax ginseng yields. </w:t>
      </w:r>
      <w:r>
        <w:rPr>
          <w:i/>
          <w:iCs/>
        </w:rPr>
        <w:t>Chinese Medicine</w:t>
      </w:r>
      <w:r>
        <w:t xml:space="preserve">, </w:t>
      </w:r>
      <w:r>
        <w:rPr>
          <w:i/>
          <w:iCs/>
        </w:rPr>
        <w:t>14</w:t>
      </w:r>
      <w:r>
        <w:t>(1), 20. https://doi.org/10.1186/s13020-019-0241-1</w:t>
      </w:r>
    </w:p>
    <w:p w14:paraId="57905302" w14:textId="77777777" w:rsidR="00277CD6" w:rsidRDefault="00277CD6" w:rsidP="00277CD6">
      <w:pPr>
        <w:pStyle w:val="Bibliography"/>
      </w:pPr>
      <w:r>
        <w:t xml:space="preserve">Erekalo, K. T., Pedersen, S. M., Christensen, T., Denver, S., Gemtou, M., Fountas, S., &amp; Isakhanyan, G. (2024). Review on the contribution of farming practices and technologies towards climate-smart agricultural outcomes in a European context. </w:t>
      </w:r>
      <w:r>
        <w:rPr>
          <w:i/>
          <w:iCs/>
        </w:rPr>
        <w:t>Smart Agricultural Technology</w:t>
      </w:r>
      <w:r>
        <w:t xml:space="preserve">, </w:t>
      </w:r>
      <w:r>
        <w:rPr>
          <w:i/>
          <w:iCs/>
        </w:rPr>
        <w:t>7</w:t>
      </w:r>
      <w:r>
        <w:t>, 100413. https://doi.org/10.1016/j.atech.2024.100413</w:t>
      </w:r>
    </w:p>
    <w:p w14:paraId="56CD623F" w14:textId="77777777" w:rsidR="00277CD6" w:rsidRDefault="00277CD6" w:rsidP="00277CD6">
      <w:pPr>
        <w:pStyle w:val="Bibliography"/>
      </w:pPr>
      <w:r>
        <w:lastRenderedPageBreak/>
        <w:t xml:space="preserve">Erisman, J. W., Sutton, M. A., Galloway, J., Klimont, Z., &amp; Winiwarter, W. (2008). How a century of ammonia synthesis changed the world. </w:t>
      </w:r>
      <w:r>
        <w:rPr>
          <w:i/>
          <w:iCs/>
        </w:rPr>
        <w:t>Nature Geoscience</w:t>
      </w:r>
      <w:r>
        <w:t xml:space="preserve">, </w:t>
      </w:r>
      <w:r>
        <w:rPr>
          <w:i/>
          <w:iCs/>
        </w:rPr>
        <w:t>1</w:t>
      </w:r>
      <w:r>
        <w:t>(10), 636–639. https://doi.org/10.1038/ngeo325</w:t>
      </w:r>
    </w:p>
    <w:p w14:paraId="203EE1A8" w14:textId="77777777" w:rsidR="00277CD6" w:rsidRDefault="00277CD6" w:rsidP="00277CD6">
      <w:pPr>
        <w:pStyle w:val="Bibliography"/>
      </w:pPr>
      <w:r>
        <w:t xml:space="preserve">Farvardin, A., González-Hernández, A. I., Llorens, E., García-Agustín, P., Scalschi, L., &amp; Vicedo, B. (2020). The Apoplast: A Key Player in Plant Survival. </w:t>
      </w:r>
      <w:r>
        <w:rPr>
          <w:i/>
          <w:iCs/>
        </w:rPr>
        <w:t>Antioxidants</w:t>
      </w:r>
      <w:r>
        <w:t xml:space="preserve">, </w:t>
      </w:r>
      <w:r>
        <w:rPr>
          <w:i/>
          <w:iCs/>
        </w:rPr>
        <w:t>9</w:t>
      </w:r>
      <w:r>
        <w:t>(7), 604. https://doi.org/10.3390/antiox9070604</w:t>
      </w:r>
    </w:p>
    <w:p w14:paraId="2763AA8C" w14:textId="77777777" w:rsidR="00277CD6" w:rsidRDefault="00277CD6" w:rsidP="00277CD6">
      <w:pPr>
        <w:pStyle w:val="Bibliography"/>
      </w:pPr>
      <w:r>
        <w:t xml:space="preserve">Garay, A. H., Sollenberger, L. E., McDonald, D. C., Ruegsegger, G. J., Kalmbacher, R. S., &amp; Mislevy, P. (2004). Nitrogen Fertilization and Stocking Rate Affect Stargrass Pasture and Cattle Performance. </w:t>
      </w:r>
      <w:r>
        <w:rPr>
          <w:i/>
          <w:iCs/>
        </w:rPr>
        <w:t>Crop Science</w:t>
      </w:r>
      <w:r>
        <w:t xml:space="preserve">, </w:t>
      </w:r>
      <w:r>
        <w:rPr>
          <w:i/>
          <w:iCs/>
        </w:rPr>
        <w:t>44</w:t>
      </w:r>
      <w:r>
        <w:t>(4), 1348–1354. https://doi.org/10.2135/cropsci2004.1348</w:t>
      </w:r>
    </w:p>
    <w:p w14:paraId="35927F66" w14:textId="77777777" w:rsidR="00277CD6" w:rsidRDefault="00277CD6" w:rsidP="00277CD6">
      <w:pPr>
        <w:pStyle w:val="Bibliography"/>
      </w:pPr>
      <w:r>
        <w:t xml:space="preserve">Glick, B. R., Liu, C., Ghosh, S., &amp; Dumbroff, E. B. (1997). Early development of canola seedlings in the presence of the plant growth-promoting rhizobacterium Pseudomonas putida GR12-2. </w:t>
      </w:r>
      <w:r>
        <w:rPr>
          <w:i/>
          <w:iCs/>
        </w:rPr>
        <w:t>Soil Biology and Biochemistry</w:t>
      </w:r>
      <w:r>
        <w:t xml:space="preserve">, </w:t>
      </w:r>
      <w:r>
        <w:rPr>
          <w:i/>
          <w:iCs/>
        </w:rPr>
        <w:t>29</w:t>
      </w:r>
      <w:r>
        <w:t>(8), 1233–1239. https://doi.org/10.1016/S0038-0717(97)00026-6</w:t>
      </w:r>
    </w:p>
    <w:p w14:paraId="502E2AEB" w14:textId="77777777" w:rsidR="00277CD6" w:rsidRDefault="00277CD6" w:rsidP="00277CD6">
      <w:pPr>
        <w:pStyle w:val="Bibliography"/>
      </w:pPr>
      <w:r>
        <w:t xml:space="preserve">Griffin, M. E., Muntifering, R. B., Mullenix, M. K., Held, D. W., &amp; Dillard, S. L. (2020). Evaluation of plant growth‐promoting rhizobacteria on stockpiled bermudagrass. </w:t>
      </w:r>
      <w:r>
        <w:rPr>
          <w:i/>
          <w:iCs/>
        </w:rPr>
        <w:t>Crop, Forage &amp; Turfgrass Management</w:t>
      </w:r>
      <w:r>
        <w:t xml:space="preserve">, </w:t>
      </w:r>
      <w:r>
        <w:rPr>
          <w:i/>
          <w:iCs/>
        </w:rPr>
        <w:t>6</w:t>
      </w:r>
      <w:r>
        <w:t>(1), e20028. https://doi.org/10.1002/cft2.20028</w:t>
      </w:r>
    </w:p>
    <w:p w14:paraId="1631626C" w14:textId="77777777" w:rsidR="00277CD6" w:rsidRDefault="00277CD6" w:rsidP="00277CD6">
      <w:pPr>
        <w:pStyle w:val="Bibliography"/>
      </w:pPr>
      <w:r w:rsidRPr="003E0A16">
        <w:rPr>
          <w:lang w:val="pt-BR"/>
        </w:rPr>
        <w:t xml:space="preserve">Guimarães, G. S., Rondina, A. B. L., Santos, M. S., Nogueira, M. A., &amp; Hungria, M. (2022). </w:t>
      </w:r>
      <w:r>
        <w:t xml:space="preserve">Pointing Out Opportunities to Increase Grassland Pastures Productivity via Microbial Inoculants: Attending the Society’s Demands for Meat Production </w:t>
      </w:r>
      <w:r>
        <w:lastRenderedPageBreak/>
        <w:t xml:space="preserve">with Sustainability. </w:t>
      </w:r>
      <w:r>
        <w:rPr>
          <w:i/>
          <w:iCs/>
        </w:rPr>
        <w:t>Agronomy</w:t>
      </w:r>
      <w:r>
        <w:t xml:space="preserve">, </w:t>
      </w:r>
      <w:r>
        <w:rPr>
          <w:i/>
          <w:iCs/>
        </w:rPr>
        <w:t>12</w:t>
      </w:r>
      <w:r>
        <w:t>(8), 1748. https://doi.org/10.3390/agronomy12081748</w:t>
      </w:r>
    </w:p>
    <w:p w14:paraId="7F999608" w14:textId="77777777" w:rsidR="00277CD6" w:rsidRDefault="00277CD6" w:rsidP="00277CD6">
      <w:pPr>
        <w:pStyle w:val="Bibliography"/>
      </w:pPr>
      <w:r>
        <w:t xml:space="preserve">Hendricks, T. J., Tucker, J. J., Hancock, D. W., Mullenix, M. K., Baxter, L. L., Stewart, R. L., Segers, J. R., &amp; Bernard, J. K. (2020). Forage accumulation and nutritive value of bermudagrass and alfalfa–bermudagrass mixtures when harvested for baleage. </w:t>
      </w:r>
      <w:r>
        <w:rPr>
          <w:i/>
          <w:iCs/>
        </w:rPr>
        <w:t>Crop Science</w:t>
      </w:r>
      <w:r>
        <w:t xml:space="preserve">, </w:t>
      </w:r>
      <w:r>
        <w:rPr>
          <w:i/>
          <w:iCs/>
        </w:rPr>
        <w:t>60</w:t>
      </w:r>
      <w:r>
        <w:t>(5), 2792–2801. https://doi.org/10.1002/csc2.20222</w:t>
      </w:r>
    </w:p>
    <w:p w14:paraId="421DB814" w14:textId="77777777" w:rsidR="00277CD6" w:rsidRPr="003E0A16" w:rsidRDefault="00277CD6" w:rsidP="00277CD6">
      <w:pPr>
        <w:pStyle w:val="Bibliography"/>
        <w:rPr>
          <w:lang w:val="pt-BR"/>
        </w:rPr>
      </w:pPr>
      <w:r>
        <w:t xml:space="preserve">Hu, L., Wang, Z., &amp; Huang, B. (2009). Photosynthetic Responses of Bermudagrass to Drought Stress Associated with Stomatal and Metabolic Limitations. </w:t>
      </w:r>
      <w:r w:rsidRPr="003E0A16">
        <w:rPr>
          <w:i/>
          <w:iCs/>
          <w:lang w:val="pt-BR"/>
        </w:rPr>
        <w:t>Crop Science</w:t>
      </w:r>
      <w:r w:rsidRPr="003E0A16">
        <w:rPr>
          <w:lang w:val="pt-BR"/>
        </w:rPr>
        <w:t xml:space="preserve">, </w:t>
      </w:r>
      <w:r w:rsidRPr="003E0A16">
        <w:rPr>
          <w:i/>
          <w:iCs/>
          <w:lang w:val="pt-BR"/>
        </w:rPr>
        <w:t>49</w:t>
      </w:r>
      <w:r w:rsidRPr="003E0A16">
        <w:rPr>
          <w:lang w:val="pt-BR"/>
        </w:rPr>
        <w:t>(5), 1902–1909. https://doi.org/10.2135/cropsci2008.12.0697</w:t>
      </w:r>
    </w:p>
    <w:p w14:paraId="092BA4D2" w14:textId="77777777" w:rsidR="00277CD6" w:rsidRDefault="00277CD6" w:rsidP="00277CD6">
      <w:pPr>
        <w:pStyle w:val="Bibliography"/>
      </w:pPr>
      <w:r w:rsidRPr="003E0A16">
        <w:rPr>
          <w:lang w:val="pt-BR"/>
        </w:rPr>
        <w:t xml:space="preserve">Hungria, M., Campo, R. J., Souza, E. M., &amp; Pedrosa, F. O. (2010). </w:t>
      </w:r>
      <w:r>
        <w:t xml:space="preserve">Inoculation with selected strains of Azospirillum brasilense and A. lipoferum improves yields of maize and wheat in Brazil. </w:t>
      </w:r>
      <w:r>
        <w:rPr>
          <w:i/>
          <w:iCs/>
        </w:rPr>
        <w:t>Plant and Soil</w:t>
      </w:r>
      <w:r>
        <w:t xml:space="preserve">, </w:t>
      </w:r>
      <w:r>
        <w:rPr>
          <w:i/>
          <w:iCs/>
        </w:rPr>
        <w:t>331</w:t>
      </w:r>
      <w:r>
        <w:t>(1–2), 413–425. https://doi.org/10.1007/s11104-009-0262-0</w:t>
      </w:r>
    </w:p>
    <w:p w14:paraId="6A5EBFB0" w14:textId="77777777" w:rsidR="00277CD6" w:rsidRDefault="00277CD6" w:rsidP="00277CD6">
      <w:pPr>
        <w:pStyle w:val="Bibliography"/>
      </w:pPr>
      <w:r>
        <w:t xml:space="preserve">Hungria, M., Nogueira, M. A., &amp; Araujo, R. S. (2016). Inoculation of Brachiaria spp. with the plant growth-promoting bacterium Azospirillum brasilense: An environment-friendly component in the reclamation of degraded pastures in the tropics. </w:t>
      </w:r>
      <w:r>
        <w:rPr>
          <w:i/>
          <w:iCs/>
        </w:rPr>
        <w:t>Agriculture, Ecosystems &amp; Environment</w:t>
      </w:r>
      <w:r>
        <w:t xml:space="preserve">, </w:t>
      </w:r>
      <w:r>
        <w:rPr>
          <w:i/>
          <w:iCs/>
        </w:rPr>
        <w:t>221</w:t>
      </w:r>
      <w:r>
        <w:t>, 125–131. https://doi.org/10.1016/j.agee.2016.01.024</w:t>
      </w:r>
    </w:p>
    <w:p w14:paraId="4FECB401" w14:textId="77777777" w:rsidR="00277CD6" w:rsidRDefault="00277CD6" w:rsidP="00277CD6">
      <w:pPr>
        <w:pStyle w:val="Bibliography"/>
      </w:pPr>
      <w:r>
        <w:t xml:space="preserve">Hungria, M., &amp; Vargas, M. A. T. (2000). Environmental factors affecting N2 fixation in grain legumes in the tropics, with an emphasis on Brazil. </w:t>
      </w:r>
      <w:r>
        <w:rPr>
          <w:i/>
          <w:iCs/>
        </w:rPr>
        <w:t>Field Crops Research</w:t>
      </w:r>
      <w:r>
        <w:t xml:space="preserve">, </w:t>
      </w:r>
      <w:r>
        <w:rPr>
          <w:i/>
          <w:iCs/>
        </w:rPr>
        <w:t>65</w:t>
      </w:r>
      <w:r>
        <w:t>(2–3), 151–164. https://doi.org/10.1016/S0378-4290(99)00084-2</w:t>
      </w:r>
    </w:p>
    <w:p w14:paraId="46C267E0" w14:textId="77777777" w:rsidR="00277CD6" w:rsidRDefault="00277CD6" w:rsidP="00277CD6">
      <w:pPr>
        <w:pStyle w:val="Bibliography"/>
      </w:pPr>
      <w:r>
        <w:lastRenderedPageBreak/>
        <w:t xml:space="preserve">Ibendahl, G., &amp; Fleming, R. A. (2007). Controlling aquifer nitrogen levels when fertilizing crops: A study of groundwater contamination and denitrification. </w:t>
      </w:r>
      <w:r>
        <w:rPr>
          <w:i/>
          <w:iCs/>
        </w:rPr>
        <w:t>Ecological Modelling</w:t>
      </w:r>
      <w:r>
        <w:t xml:space="preserve">, </w:t>
      </w:r>
      <w:r>
        <w:rPr>
          <w:i/>
          <w:iCs/>
        </w:rPr>
        <w:t>205</w:t>
      </w:r>
      <w:r>
        <w:t>(3–4), 507–514. https://doi.org/10.1016/j.ecolmodel.2007.03.011</w:t>
      </w:r>
    </w:p>
    <w:p w14:paraId="2B17CA3A" w14:textId="77777777" w:rsidR="00277CD6" w:rsidRDefault="00277CD6" w:rsidP="00277CD6">
      <w:pPr>
        <w:pStyle w:val="Bibliography"/>
      </w:pPr>
      <w:r>
        <w:t xml:space="preserve">Jaramillo, D. M., Sheridan, H., Soder, K., &amp; Dubeux, J. C. B. (2021). Enhancing the Sustainability of Temperate Pasture Systems through More Diverse Swards. </w:t>
      </w:r>
      <w:r>
        <w:rPr>
          <w:i/>
          <w:iCs/>
        </w:rPr>
        <w:t>Agronomy</w:t>
      </w:r>
      <w:r>
        <w:t xml:space="preserve">, </w:t>
      </w:r>
      <w:r>
        <w:rPr>
          <w:i/>
          <w:iCs/>
        </w:rPr>
        <w:t>11</w:t>
      </w:r>
      <w:r>
        <w:t>(10), 1912. https://doi.org/10.3390/agronomy11101912</w:t>
      </w:r>
    </w:p>
    <w:p w14:paraId="4AB5E258" w14:textId="77777777" w:rsidR="00277CD6" w:rsidRDefault="00277CD6" w:rsidP="00277CD6">
      <w:pPr>
        <w:pStyle w:val="Bibliography"/>
      </w:pPr>
      <w:r>
        <w:t xml:space="preserve">Kong, Z., &amp; Liu, H. (2022). Modification of Rhizosphere Microbial Communities: A Possible Mechanism of Plant Growth Promoting Rhizobacteria Enhancing Plant Growth and Fitness. </w:t>
      </w:r>
      <w:r>
        <w:rPr>
          <w:i/>
          <w:iCs/>
        </w:rPr>
        <w:t>Frontiers in Plant Science</w:t>
      </w:r>
      <w:r>
        <w:t xml:space="preserve">, </w:t>
      </w:r>
      <w:r>
        <w:rPr>
          <w:i/>
          <w:iCs/>
        </w:rPr>
        <w:t>13</w:t>
      </w:r>
      <w:r>
        <w:t>, 920813. https://doi.org/10.3389/fpls.2022.920813</w:t>
      </w:r>
    </w:p>
    <w:p w14:paraId="3EB92A8D" w14:textId="77777777" w:rsidR="00277CD6" w:rsidRDefault="00277CD6" w:rsidP="00277CD6">
      <w:pPr>
        <w:pStyle w:val="Bibliography"/>
      </w:pPr>
      <w:r>
        <w:t xml:space="preserve">La Guardia Nave, R., &amp; Corbin, M. D. (2019). Seasonal and diurnal relationship of forage nutritive value and mass in a tall fescue pasture under continuous stocking. </w:t>
      </w:r>
      <w:r>
        <w:rPr>
          <w:i/>
          <w:iCs/>
        </w:rPr>
        <w:t>Grassland Science</w:t>
      </w:r>
      <w:r>
        <w:t xml:space="preserve">, </w:t>
      </w:r>
      <w:r>
        <w:rPr>
          <w:i/>
          <w:iCs/>
        </w:rPr>
        <w:t>65</w:t>
      </w:r>
      <w:r>
        <w:t>(3), 162–170. https://doi.org/10.1111/grs.12231</w:t>
      </w:r>
    </w:p>
    <w:p w14:paraId="60A2423B" w14:textId="77777777" w:rsidR="00277CD6" w:rsidRDefault="00277CD6" w:rsidP="00277CD6">
      <w:pPr>
        <w:pStyle w:val="Bibliography"/>
      </w:pPr>
      <w:r>
        <w:t xml:space="preserve">Libutti, A., &amp; Monteleone, M. (2017). Soil vs. groundwater: The quality dilemma. Managing nitrogen leaching and salinity control under irrigated agriculture in Mediterranean conditions. </w:t>
      </w:r>
      <w:r>
        <w:rPr>
          <w:i/>
          <w:iCs/>
        </w:rPr>
        <w:t>Agricultural Water Management</w:t>
      </w:r>
      <w:r>
        <w:t xml:space="preserve">, </w:t>
      </w:r>
      <w:r>
        <w:rPr>
          <w:i/>
          <w:iCs/>
        </w:rPr>
        <w:t>186</w:t>
      </w:r>
      <w:r>
        <w:t>, 40–50. https://doi.org/10.1016/j.agwat.2017.02.019</w:t>
      </w:r>
    </w:p>
    <w:p w14:paraId="4BD3B78F" w14:textId="77777777" w:rsidR="00277CD6" w:rsidRDefault="00277CD6" w:rsidP="00277CD6">
      <w:pPr>
        <w:pStyle w:val="Bibliography"/>
      </w:pPr>
      <w:r>
        <w:t xml:space="preserve">Liu, K., Sollenberger, L. E., Newman, Y. C., Vendramini, J. M. B., Interrante, S. M., &amp; White‐Leech, R. (2011). Grazing Management Effects on Productivity, Nutritive Value, and Persistence of ‘Tifton 85’ Bermudagrass. </w:t>
      </w:r>
      <w:r>
        <w:rPr>
          <w:i/>
          <w:iCs/>
        </w:rPr>
        <w:t>Crop Science</w:t>
      </w:r>
      <w:r>
        <w:t xml:space="preserve">, </w:t>
      </w:r>
      <w:r>
        <w:rPr>
          <w:i/>
          <w:iCs/>
        </w:rPr>
        <w:t>51</w:t>
      </w:r>
      <w:r>
        <w:t>(1), 353–360. https://doi.org/10.2135/cropsci2010.02.0122</w:t>
      </w:r>
    </w:p>
    <w:p w14:paraId="1435D8E5" w14:textId="77777777" w:rsidR="00277CD6" w:rsidRDefault="00277CD6" w:rsidP="00277CD6">
      <w:pPr>
        <w:pStyle w:val="Bibliography"/>
      </w:pPr>
      <w:r>
        <w:lastRenderedPageBreak/>
        <w:t xml:space="preserve">Manzoor Alam, S. (1999). Nutrient Uptake by Plants Under Stress Conditions. In M. Pessarakli (Ed.), </w:t>
      </w:r>
      <w:r>
        <w:rPr>
          <w:i/>
          <w:iCs/>
        </w:rPr>
        <w:t>Handbook of Plant and Crop Stress, Second Edition</w:t>
      </w:r>
      <w:r>
        <w:t xml:space="preserve"> (Vol. 19990540, pp. 285–313). CRC Press. https://doi.org/10.1201/9780824746728.ch12</w:t>
      </w:r>
    </w:p>
    <w:p w14:paraId="70CE8AE7" w14:textId="77777777" w:rsidR="00277CD6" w:rsidRPr="003E0A16" w:rsidRDefault="00277CD6" w:rsidP="00277CD6">
      <w:pPr>
        <w:pStyle w:val="Bibliography"/>
        <w:rPr>
          <w:lang w:val="pt-BR"/>
        </w:rPr>
      </w:pPr>
      <w:r>
        <w:t>McCloud, D. E., &amp; Mott, G. O. (1953). Influence of Association Upon the Forage Yield of Legume‐grass Mixtures</w:t>
      </w:r>
      <w:r>
        <w:rPr>
          <w:vertAlign w:val="superscript"/>
        </w:rPr>
        <w:t>1</w:t>
      </w:r>
      <w:r>
        <w:t xml:space="preserve">. </w:t>
      </w:r>
      <w:r w:rsidRPr="003E0A16">
        <w:rPr>
          <w:i/>
          <w:iCs/>
          <w:lang w:val="pt-BR"/>
        </w:rPr>
        <w:t>Agronomy Journal</w:t>
      </w:r>
      <w:r w:rsidRPr="003E0A16">
        <w:rPr>
          <w:lang w:val="pt-BR"/>
        </w:rPr>
        <w:t xml:space="preserve">, </w:t>
      </w:r>
      <w:r w:rsidRPr="003E0A16">
        <w:rPr>
          <w:i/>
          <w:iCs/>
          <w:lang w:val="pt-BR"/>
        </w:rPr>
        <w:t>45</w:t>
      </w:r>
      <w:r w:rsidRPr="003E0A16">
        <w:rPr>
          <w:lang w:val="pt-BR"/>
        </w:rPr>
        <w:t>(2), 61–65. https://doi.org/10.2134/agronj1953.00021962004500020006x</w:t>
      </w:r>
    </w:p>
    <w:p w14:paraId="3EB3A539" w14:textId="77777777" w:rsidR="00277CD6" w:rsidRDefault="00277CD6" w:rsidP="00277CD6">
      <w:pPr>
        <w:pStyle w:val="Bibliography"/>
      </w:pPr>
      <w:r w:rsidRPr="003E0A16">
        <w:rPr>
          <w:lang w:val="pt-BR"/>
        </w:rPr>
        <w:t xml:space="preserve">Nave, R. L. G., De Almeida, O. G., Tucker, J., &amp; Xiong, V. (2025). </w:t>
      </w:r>
      <w:r>
        <w:t xml:space="preserve">Restoring ecosystems in the southeastern United States by interseeding alfalfa in existing cool‐season grass pastures. </w:t>
      </w:r>
      <w:r>
        <w:rPr>
          <w:i/>
          <w:iCs/>
        </w:rPr>
        <w:t>Grassland Science</w:t>
      </w:r>
      <w:r>
        <w:t xml:space="preserve">, </w:t>
      </w:r>
      <w:r>
        <w:rPr>
          <w:i/>
          <w:iCs/>
        </w:rPr>
        <w:t>71</w:t>
      </w:r>
      <w:r>
        <w:t>(1), 25–34. https://doi.org/10.1111/grs.12434</w:t>
      </w:r>
    </w:p>
    <w:p w14:paraId="0CD6455D" w14:textId="77777777" w:rsidR="00277CD6" w:rsidRDefault="00277CD6" w:rsidP="00277CD6">
      <w:pPr>
        <w:pStyle w:val="Bibliography"/>
      </w:pPr>
      <w:r>
        <w:t xml:space="preserve">Newell, P., &amp; Taylor, O. (2018). Contested landscapes: The global political economy of climate-smart agriculture. </w:t>
      </w:r>
      <w:r>
        <w:rPr>
          <w:i/>
          <w:iCs/>
        </w:rPr>
        <w:t>The Journal of Peasant Studies</w:t>
      </w:r>
      <w:r>
        <w:t xml:space="preserve">, </w:t>
      </w:r>
      <w:r>
        <w:rPr>
          <w:i/>
          <w:iCs/>
        </w:rPr>
        <w:t>45</w:t>
      </w:r>
      <w:r>
        <w:t>(1), 108–129. https://doi.org/10.1080/03066150.2017.1324426</w:t>
      </w:r>
    </w:p>
    <w:p w14:paraId="132FC978" w14:textId="77777777" w:rsidR="00277CD6" w:rsidRDefault="00277CD6" w:rsidP="00277CD6">
      <w:pPr>
        <w:pStyle w:val="Bibliography"/>
      </w:pPr>
      <w:r>
        <w:t xml:space="preserve">Oakes, R. N., &amp; Hancock, D. W. (2020). Systems for Humid Transition Areas. In K. J. Moore, M. Collins, C. J. Nelson, &amp; D. D. Redfearn (Eds.), </w:t>
      </w:r>
      <w:r>
        <w:rPr>
          <w:i/>
          <w:iCs/>
        </w:rPr>
        <w:t>Forages</w:t>
      </w:r>
      <w:r>
        <w:t xml:space="preserve"> (1st ed., pp. 419–432). Wiley. https://doi.org/10.1002/9781119436669.ch23</w:t>
      </w:r>
    </w:p>
    <w:p w14:paraId="2B50BB6A" w14:textId="77777777" w:rsidR="00277CD6" w:rsidRDefault="00277CD6" w:rsidP="00277CD6">
      <w:pPr>
        <w:pStyle w:val="Bibliography"/>
      </w:pPr>
      <w:r>
        <w:t xml:space="preserve">Okon, Y., &amp; Labandera-Gonzalez, C. A. (1994). Agronomic applications of azospirillum: An evaluation of 20 years worldwide field inoculation. </w:t>
      </w:r>
      <w:r>
        <w:rPr>
          <w:i/>
          <w:iCs/>
        </w:rPr>
        <w:t>Soil Biology and Biochemistry</w:t>
      </w:r>
      <w:r>
        <w:t xml:space="preserve">, </w:t>
      </w:r>
      <w:r>
        <w:rPr>
          <w:i/>
          <w:iCs/>
        </w:rPr>
        <w:t>26</w:t>
      </w:r>
      <w:r>
        <w:t>(12), 1591–1601. https://doi.org/10.1016/0038-0717(94)90311-5</w:t>
      </w:r>
    </w:p>
    <w:p w14:paraId="53329B89" w14:textId="77777777" w:rsidR="00277CD6" w:rsidRDefault="00277CD6" w:rsidP="00277CD6">
      <w:pPr>
        <w:pStyle w:val="Bibliography"/>
      </w:pPr>
      <w:r>
        <w:t xml:space="preserve">Osborne, S. L., Raun, W. R., Johnson, G. V., Rogers, J. L., &amp; Altom, W. (1999). Bermudagrass Response to High Nitrogen Rates, Source, and Season of </w:t>
      </w:r>
      <w:r>
        <w:lastRenderedPageBreak/>
        <w:t xml:space="preserve">Application. </w:t>
      </w:r>
      <w:r>
        <w:rPr>
          <w:i/>
          <w:iCs/>
        </w:rPr>
        <w:t>Agronomy Journal</w:t>
      </w:r>
      <w:r>
        <w:t xml:space="preserve">, </w:t>
      </w:r>
      <w:r>
        <w:rPr>
          <w:i/>
          <w:iCs/>
        </w:rPr>
        <w:t>91</w:t>
      </w:r>
      <w:r>
        <w:t>(3), 438–444. https://doi.org/10.2134/agronj1999.00021962009100030013x</w:t>
      </w:r>
    </w:p>
    <w:p w14:paraId="5785C24A" w14:textId="77777777" w:rsidR="00277CD6" w:rsidRPr="003E0A16" w:rsidRDefault="00277CD6" w:rsidP="00277CD6">
      <w:pPr>
        <w:pStyle w:val="Bibliography"/>
        <w:rPr>
          <w:lang w:val="pt-BR"/>
        </w:rPr>
      </w:pPr>
      <w:r>
        <w:t xml:space="preserve">Pedreira, C. G. S., Sollenberger, L. E., &amp; Mislevy, P. (1999). Productivity and Nutritive Value of ‘Florakirk’ Bermudagrass as Affected by Grazing Management. </w:t>
      </w:r>
      <w:r w:rsidRPr="003E0A16">
        <w:rPr>
          <w:i/>
          <w:iCs/>
          <w:lang w:val="pt-BR"/>
        </w:rPr>
        <w:t>Agronomy Journal</w:t>
      </w:r>
      <w:r w:rsidRPr="003E0A16">
        <w:rPr>
          <w:lang w:val="pt-BR"/>
        </w:rPr>
        <w:t xml:space="preserve">, </w:t>
      </w:r>
      <w:r w:rsidRPr="003E0A16">
        <w:rPr>
          <w:i/>
          <w:iCs/>
          <w:lang w:val="pt-BR"/>
        </w:rPr>
        <w:t>91</w:t>
      </w:r>
      <w:r w:rsidRPr="003E0A16">
        <w:rPr>
          <w:lang w:val="pt-BR"/>
        </w:rPr>
        <w:t>(5), 796–801. https://doi.org/10.2134/agronj1999.915796x</w:t>
      </w:r>
    </w:p>
    <w:p w14:paraId="417B83D3" w14:textId="77777777" w:rsidR="00277CD6" w:rsidRDefault="00277CD6" w:rsidP="00277CD6">
      <w:pPr>
        <w:pStyle w:val="Bibliography"/>
      </w:pPr>
      <w:r w:rsidRPr="003E0A16">
        <w:rPr>
          <w:lang w:val="pt-BR"/>
        </w:rPr>
        <w:t xml:space="preserve">Perrig, D., Boiero, M. L., Masciarelli, O. A., Penna, C., Ruiz, O. A., Cassán, F. D., &amp; Luna, M. V. (2007). </w:t>
      </w:r>
      <w:r>
        <w:t xml:space="preserve">Plant-growth-promoting compounds produced by two agronomically important strains of Azospirillum brasilense, and implications for inoculant formulation. </w:t>
      </w:r>
      <w:r>
        <w:rPr>
          <w:i/>
          <w:iCs/>
        </w:rPr>
        <w:t>Applied Microbiology and Biotechnology</w:t>
      </w:r>
      <w:r>
        <w:t xml:space="preserve">, </w:t>
      </w:r>
      <w:r>
        <w:rPr>
          <w:i/>
          <w:iCs/>
        </w:rPr>
        <w:t>75</w:t>
      </w:r>
      <w:r>
        <w:t>(5), 1143–1150. https://doi.org/10.1007/s00253-007-0909-9</w:t>
      </w:r>
    </w:p>
    <w:p w14:paraId="3A7D018E" w14:textId="77777777" w:rsidR="00277CD6" w:rsidRDefault="00277CD6" w:rsidP="00277CD6">
      <w:pPr>
        <w:pStyle w:val="Bibliography"/>
      </w:pPr>
      <w:r>
        <w:t>Petersen, R. G., Lucas, H. L., &amp; Mott, G. O. (1965). Relationship Between Rate of Stocking and Per Animal and Per Acre Performance on Pasture</w:t>
      </w:r>
      <w:r>
        <w:rPr>
          <w:vertAlign w:val="superscript"/>
        </w:rPr>
        <w:t>1</w:t>
      </w:r>
      <w:r>
        <w:t xml:space="preserve">. </w:t>
      </w:r>
      <w:r>
        <w:rPr>
          <w:i/>
          <w:iCs/>
        </w:rPr>
        <w:t>Agronomy Journal</w:t>
      </w:r>
      <w:r>
        <w:t xml:space="preserve">, </w:t>
      </w:r>
      <w:r>
        <w:rPr>
          <w:i/>
          <w:iCs/>
        </w:rPr>
        <w:t>57</w:t>
      </w:r>
      <w:r>
        <w:t>(1), 27–30. https://doi.org/10.2134/agronj1965.00021962005700010010x</w:t>
      </w:r>
    </w:p>
    <w:p w14:paraId="68B17E7F" w14:textId="77777777" w:rsidR="00277CD6" w:rsidRDefault="00277CD6" w:rsidP="00277CD6">
      <w:pPr>
        <w:pStyle w:val="Bibliography"/>
      </w:pPr>
      <w:r>
        <w:t>Prine, G. M., &amp; Burton, G. W. (1956). The Effect of Nitrogen Rate and Clipping Frequency upon the Yield, Protein Content and Certain Morphological Characteristics of Coastal Bermudagrass (Cynodon dactylon, (L) Pers.)</w:t>
      </w:r>
      <w:r>
        <w:rPr>
          <w:vertAlign w:val="superscript"/>
        </w:rPr>
        <w:t>1</w:t>
      </w:r>
      <w:r>
        <w:t xml:space="preserve">. </w:t>
      </w:r>
      <w:r>
        <w:rPr>
          <w:i/>
          <w:iCs/>
        </w:rPr>
        <w:t>Agronomy Journal</w:t>
      </w:r>
      <w:r>
        <w:t xml:space="preserve">, </w:t>
      </w:r>
      <w:r>
        <w:rPr>
          <w:i/>
          <w:iCs/>
        </w:rPr>
        <w:t>48</w:t>
      </w:r>
      <w:r>
        <w:t>(7), 296–301. https://doi.org/10.2134/agronj1956.00021962004800070005x</w:t>
      </w:r>
    </w:p>
    <w:p w14:paraId="7C4ECD23" w14:textId="77777777" w:rsidR="00277CD6" w:rsidRDefault="00277CD6" w:rsidP="00277CD6">
      <w:pPr>
        <w:pStyle w:val="Bibliography"/>
      </w:pPr>
      <w:r>
        <w:t xml:space="preserve">Puckett, L. J., Tesoriero, A. J., &amp; Dubrovsky, N. M. (2011). Nitrogen Contamination of Surficial Aquifers—A Growing Legacy. </w:t>
      </w:r>
      <w:r>
        <w:rPr>
          <w:i/>
          <w:iCs/>
        </w:rPr>
        <w:t>Environmental Science &amp; Technology</w:t>
      </w:r>
      <w:r>
        <w:t xml:space="preserve">, </w:t>
      </w:r>
      <w:r>
        <w:rPr>
          <w:i/>
          <w:iCs/>
        </w:rPr>
        <w:t>45</w:t>
      </w:r>
      <w:r>
        <w:t>(3), 839–844. https://doi.org/10.1021/es1038358</w:t>
      </w:r>
    </w:p>
    <w:p w14:paraId="7620B358" w14:textId="77777777" w:rsidR="00277CD6" w:rsidRDefault="00277CD6" w:rsidP="00277CD6">
      <w:pPr>
        <w:pStyle w:val="Bibliography"/>
      </w:pPr>
      <w:r>
        <w:lastRenderedPageBreak/>
        <w:t xml:space="preserve">Ratnasiri, N. (2008). The challenge of improving food supply. </w:t>
      </w:r>
      <w:r>
        <w:rPr>
          <w:i/>
          <w:iCs/>
        </w:rPr>
        <w:t>Journal of the National Science Foundation of Sri Lanka</w:t>
      </w:r>
      <w:r>
        <w:t xml:space="preserve">, </w:t>
      </w:r>
      <w:r>
        <w:rPr>
          <w:i/>
          <w:iCs/>
        </w:rPr>
        <w:t>36</w:t>
      </w:r>
      <w:r>
        <w:t>(2), 115. https://doi.org/10.4038/jnsfsr.v36i2.142</w:t>
      </w:r>
    </w:p>
    <w:p w14:paraId="5F8D2C14" w14:textId="77777777" w:rsidR="00277CD6" w:rsidRDefault="00277CD6" w:rsidP="00277CD6">
      <w:pPr>
        <w:pStyle w:val="Bibliography"/>
      </w:pPr>
      <w:r w:rsidRPr="003E0A16">
        <w:rPr>
          <w:lang w:val="pt-BR"/>
        </w:rPr>
        <w:t xml:space="preserve">Ribeiro, I. D. A., Paes, J. A., Wendisch, V. F., Ferreira, H. B., &amp; Passaglia, L. M. P. (2024). </w:t>
      </w:r>
      <w:r>
        <w:t xml:space="preserve">Proteome profiling of Paenibacillus sonchi genomovar Riograndensis SBR5T under conventional and alternative nitrogen fixation. </w:t>
      </w:r>
      <w:r>
        <w:rPr>
          <w:i/>
          <w:iCs/>
        </w:rPr>
        <w:t>Journal of Proteomics</w:t>
      </w:r>
      <w:r>
        <w:t xml:space="preserve">, </w:t>
      </w:r>
      <w:r>
        <w:rPr>
          <w:i/>
          <w:iCs/>
        </w:rPr>
        <w:t>294</w:t>
      </w:r>
      <w:r>
        <w:t>, 105061. https://doi.org/10.1016/j.jprot.2023.105061</w:t>
      </w:r>
    </w:p>
    <w:p w14:paraId="45E0F7DF" w14:textId="77777777" w:rsidR="00277CD6" w:rsidRDefault="00277CD6" w:rsidP="00277CD6">
      <w:pPr>
        <w:pStyle w:val="Bibliography"/>
      </w:pPr>
      <w:r>
        <w:t xml:space="preserve">Rouquette, F. M., Anderson, W. F., Harris‐Shultz, K. R., &amp; Smith, G. R. (2011). Stand Maintenance and Genetic Diversity of Bermudagrass Pastures under Different Grazing Management Strategies during a 38‐Year Period. </w:t>
      </w:r>
      <w:r>
        <w:rPr>
          <w:i/>
          <w:iCs/>
        </w:rPr>
        <w:t>Crop Science</w:t>
      </w:r>
      <w:r>
        <w:t xml:space="preserve">, </w:t>
      </w:r>
      <w:r>
        <w:rPr>
          <w:i/>
          <w:iCs/>
        </w:rPr>
        <w:t>51</w:t>
      </w:r>
      <w:r>
        <w:t>(6), 2886–2894. https://doi.org/10.2135/cropsci2011.03.0123</w:t>
      </w:r>
    </w:p>
    <w:p w14:paraId="62920279" w14:textId="77777777" w:rsidR="00277CD6" w:rsidRDefault="00277CD6" w:rsidP="00277CD6">
      <w:pPr>
        <w:pStyle w:val="Bibliography"/>
      </w:pPr>
      <w:r>
        <w:t xml:space="preserve">Sanderson, M. A., Skinner, R. H., Barker, D. J., Edwards, G. R., Tracy, B. F., &amp; Wedin, D. A. (2004). Plant Species Diversity and Management of Temperate Forage and Grazing Land Ecosystems. </w:t>
      </w:r>
      <w:r>
        <w:rPr>
          <w:i/>
          <w:iCs/>
        </w:rPr>
        <w:t>Crop Science</w:t>
      </w:r>
      <w:r>
        <w:t xml:space="preserve">, </w:t>
      </w:r>
      <w:r>
        <w:rPr>
          <w:i/>
          <w:iCs/>
        </w:rPr>
        <w:t>44</w:t>
      </w:r>
      <w:r>
        <w:t>(4), 1132–1144. https://doi.org/10.2135/cropsci2004.1132</w:t>
      </w:r>
    </w:p>
    <w:p w14:paraId="1675BB58" w14:textId="77777777" w:rsidR="00277CD6" w:rsidRPr="003E0A16" w:rsidRDefault="00277CD6" w:rsidP="00277CD6">
      <w:pPr>
        <w:pStyle w:val="Bibliography"/>
        <w:rPr>
          <w:lang w:val="pt-BR"/>
        </w:rPr>
      </w:pPr>
      <w:r>
        <w:t xml:space="preserve">Santos, E. R. S., Dubeux, J. C. B., Mackowiak, C. L., Blount, A. R. S., Sollenberger, L. E., Jaramillo, D. M., Garcia, L., Abreu, D. S., Souza, R. T., &amp; Ruiz‐Moreno, M. (2021). Herbage responses and nitrogen agronomic efficiency of bermudagrass–legume mixtures. </w:t>
      </w:r>
      <w:r w:rsidRPr="003E0A16">
        <w:rPr>
          <w:i/>
          <w:iCs/>
          <w:lang w:val="pt-BR"/>
        </w:rPr>
        <w:t>Crop Science</w:t>
      </w:r>
      <w:r w:rsidRPr="003E0A16">
        <w:rPr>
          <w:lang w:val="pt-BR"/>
        </w:rPr>
        <w:t xml:space="preserve">, </w:t>
      </w:r>
      <w:r w:rsidRPr="003E0A16">
        <w:rPr>
          <w:i/>
          <w:iCs/>
          <w:lang w:val="pt-BR"/>
        </w:rPr>
        <w:t>61</w:t>
      </w:r>
      <w:r w:rsidRPr="003E0A16">
        <w:rPr>
          <w:lang w:val="pt-BR"/>
        </w:rPr>
        <w:t>(5), 3815–3829. https://doi.org/10.1002/csc2.20552</w:t>
      </w:r>
    </w:p>
    <w:p w14:paraId="3DA0DB36" w14:textId="77777777" w:rsidR="00277CD6" w:rsidRPr="003E0A16" w:rsidRDefault="00277CD6" w:rsidP="00277CD6">
      <w:pPr>
        <w:pStyle w:val="Bibliography"/>
        <w:rPr>
          <w:lang w:val="pt-BR"/>
        </w:rPr>
      </w:pPr>
      <w:r w:rsidRPr="003E0A16">
        <w:rPr>
          <w:lang w:val="pt-BR"/>
        </w:rPr>
        <w:t xml:space="preserve">Silva, A. R., Olivo, C. J., Granada, D. M., Casagrande, L. G., Quatrin, M. P., &amp; Sauter, C. P. (2023). </w:t>
      </w:r>
      <w:r>
        <w:t xml:space="preserve">Productivity and nutritive value of Tifton 85 bermudagrass </w:t>
      </w:r>
      <w:r>
        <w:lastRenderedPageBreak/>
        <w:t xml:space="preserve">inoculated with Azospirillum brasilense in association with nitrogen fertilization. </w:t>
      </w:r>
      <w:r w:rsidRPr="003E0A16">
        <w:rPr>
          <w:i/>
          <w:iCs/>
          <w:lang w:val="pt-BR"/>
        </w:rPr>
        <w:t>Revista Ceres</w:t>
      </w:r>
      <w:r w:rsidRPr="003E0A16">
        <w:rPr>
          <w:lang w:val="pt-BR"/>
        </w:rPr>
        <w:t xml:space="preserve">, </w:t>
      </w:r>
      <w:r w:rsidRPr="003E0A16">
        <w:rPr>
          <w:i/>
          <w:iCs/>
          <w:lang w:val="pt-BR"/>
        </w:rPr>
        <w:t>70</w:t>
      </w:r>
      <w:r w:rsidRPr="003E0A16">
        <w:rPr>
          <w:lang w:val="pt-BR"/>
        </w:rPr>
        <w:t>(4), 42–50. https://doi.org/10.1590/0034-737x202370040007</w:t>
      </w:r>
    </w:p>
    <w:p w14:paraId="5F0681F4" w14:textId="77777777" w:rsidR="00277CD6" w:rsidRDefault="00277CD6" w:rsidP="00277CD6">
      <w:pPr>
        <w:pStyle w:val="Bibliography"/>
      </w:pPr>
      <w:r w:rsidRPr="003E0A16">
        <w:rPr>
          <w:lang w:val="pt-BR"/>
        </w:rPr>
        <w:t xml:space="preserve">Silveira, M. L., Haby, V. A., &amp; Leonard, A. T. (2007). </w:t>
      </w:r>
      <w:r>
        <w:t xml:space="preserve">Response of Coastal Bermudagrass Yield and Nutrient Uptake Efficiency to Nitrogen Sources. </w:t>
      </w:r>
      <w:r>
        <w:rPr>
          <w:i/>
          <w:iCs/>
        </w:rPr>
        <w:t>Agronomy Journal</w:t>
      </w:r>
      <w:r>
        <w:t xml:space="preserve">, </w:t>
      </w:r>
      <w:r>
        <w:rPr>
          <w:i/>
          <w:iCs/>
        </w:rPr>
        <w:t>99</w:t>
      </w:r>
      <w:r>
        <w:t>(3), 707–714. https://doi.org/10.2134/agronj2006.0200</w:t>
      </w:r>
    </w:p>
    <w:p w14:paraId="17B45798" w14:textId="77777777" w:rsidR="00277CD6" w:rsidRDefault="00277CD6" w:rsidP="00277CD6">
      <w:pPr>
        <w:pStyle w:val="Bibliography"/>
      </w:pPr>
      <w:r>
        <w:t xml:space="preserve">Sleper, D. A., &amp; West, C. P. (2015). Tall Fescue. In L. E. Moser, D. R. Buxton, &amp; M. D. Casler (Eds.), </w:t>
      </w:r>
      <w:r>
        <w:rPr>
          <w:i/>
          <w:iCs/>
        </w:rPr>
        <w:t>Agronomy Monographs</w:t>
      </w:r>
      <w:r>
        <w:t xml:space="preserve"> (pp. 471–502). American Society of Agronomy, Crop Science Society of America, Soil Science Society of America. https://doi.org/10.2134/agronmonogr34.c15</w:t>
      </w:r>
    </w:p>
    <w:p w14:paraId="7C910F8C" w14:textId="77777777" w:rsidR="00277CD6" w:rsidRDefault="00277CD6" w:rsidP="00277CD6">
      <w:pPr>
        <w:pStyle w:val="Bibliography"/>
      </w:pPr>
      <w:r>
        <w:t xml:space="preserve">Smith, A. P., Christie, K. M., Rawnsley, R. P., &amp; Eckard, R. J. (2018). Fertiliser strategies for improving nitrogen use efficiency in grazed dairy pastures. </w:t>
      </w:r>
      <w:r>
        <w:rPr>
          <w:i/>
          <w:iCs/>
        </w:rPr>
        <w:t>Agricultural Systems</w:t>
      </w:r>
      <w:r>
        <w:t xml:space="preserve">, </w:t>
      </w:r>
      <w:r>
        <w:rPr>
          <w:i/>
          <w:iCs/>
        </w:rPr>
        <w:t>165</w:t>
      </w:r>
      <w:r>
        <w:t>, 274–282. https://doi.org/10.1016/j.agsy.2018.06.017</w:t>
      </w:r>
    </w:p>
    <w:p w14:paraId="640E69F0" w14:textId="77777777" w:rsidR="00277CD6" w:rsidRDefault="00277CD6" w:rsidP="00277CD6">
      <w:pPr>
        <w:pStyle w:val="Bibliography"/>
      </w:pPr>
      <w:r>
        <w:t xml:space="preserve">Sohm, G., Thompson, C., Assefa, Y., Schlegel, A., &amp; Holman, J. (2014). Yield and Quality of Irrigated Bermudagrass as a Function of Nitrogen Rate. </w:t>
      </w:r>
      <w:r>
        <w:rPr>
          <w:i/>
          <w:iCs/>
        </w:rPr>
        <w:t>Agronomy Journal</w:t>
      </w:r>
      <w:r>
        <w:t xml:space="preserve">, </w:t>
      </w:r>
      <w:r>
        <w:rPr>
          <w:i/>
          <w:iCs/>
        </w:rPr>
        <w:t>106</w:t>
      </w:r>
      <w:r>
        <w:t>(4), 1489–1496. https://doi.org/10.2134/agronj13.0580</w:t>
      </w:r>
    </w:p>
    <w:p w14:paraId="1803149A" w14:textId="77777777" w:rsidR="00277CD6" w:rsidRDefault="00277CD6" w:rsidP="00277CD6">
      <w:pPr>
        <w:pStyle w:val="Bibliography"/>
      </w:pPr>
      <w:r>
        <w:t xml:space="preserve">Sullins, K. N., Dillard, S. L., Held, D. W., &amp; Carroll, E. P. (2023). Utility of Plant Growth-Promoting Rhizobacteria for Sustainable Production of Bermudagrass Forage. </w:t>
      </w:r>
      <w:r>
        <w:rPr>
          <w:i/>
          <w:iCs/>
        </w:rPr>
        <w:t>Microorganisms</w:t>
      </w:r>
      <w:r>
        <w:t xml:space="preserve">, </w:t>
      </w:r>
      <w:r>
        <w:rPr>
          <w:i/>
          <w:iCs/>
        </w:rPr>
        <w:t>11</w:t>
      </w:r>
      <w:r>
        <w:t>(4), 863. https://doi.org/10.3390/microorganisms11040863</w:t>
      </w:r>
    </w:p>
    <w:p w14:paraId="493A0773" w14:textId="77777777" w:rsidR="00277CD6" w:rsidRDefault="00277CD6" w:rsidP="00277CD6">
      <w:pPr>
        <w:pStyle w:val="Bibliography"/>
      </w:pPr>
      <w:r>
        <w:t xml:space="preserve">Suryani, E., Hendrawan, R. A., Muhandhis, I., &amp; Puspa Dewi, L. (2016). DYNAMIC SIMULATION MODEL OF BEEF SUPPLY CHAIN TO FULFILL NATIONAL DEMAND. </w:t>
      </w:r>
      <w:r>
        <w:rPr>
          <w:i/>
          <w:iCs/>
        </w:rPr>
        <w:t>Jurnal Teknologi</w:t>
      </w:r>
      <w:r>
        <w:t xml:space="preserve">, </w:t>
      </w:r>
      <w:r>
        <w:rPr>
          <w:i/>
          <w:iCs/>
        </w:rPr>
        <w:t>78</w:t>
      </w:r>
      <w:r>
        <w:t>(9). https://doi.org/10.11113/jt.v78.9609</w:t>
      </w:r>
    </w:p>
    <w:p w14:paraId="523CA6C2" w14:textId="77777777" w:rsidR="00277CD6" w:rsidRDefault="00277CD6" w:rsidP="00277CD6">
      <w:pPr>
        <w:pStyle w:val="Bibliography"/>
      </w:pPr>
      <w:r>
        <w:lastRenderedPageBreak/>
        <w:t xml:space="preserve">Takahashi, F., &amp; Shinozaki, K. (2019). Long-distance signaling in plant stress response. </w:t>
      </w:r>
      <w:r>
        <w:rPr>
          <w:i/>
          <w:iCs/>
        </w:rPr>
        <w:t>Current Opinion in Plant Biology</w:t>
      </w:r>
      <w:r>
        <w:t xml:space="preserve">, </w:t>
      </w:r>
      <w:r>
        <w:rPr>
          <w:i/>
          <w:iCs/>
        </w:rPr>
        <w:t>47</w:t>
      </w:r>
      <w:r>
        <w:t>, 106–111. https://doi.org/10.1016/j.pbi.2018.10.006</w:t>
      </w:r>
    </w:p>
    <w:p w14:paraId="7BD65476" w14:textId="77777777" w:rsidR="00277CD6" w:rsidRDefault="00277CD6" w:rsidP="00277CD6">
      <w:pPr>
        <w:pStyle w:val="Bibliography"/>
      </w:pPr>
      <w:r w:rsidRPr="003E0A16">
        <w:rPr>
          <w:lang w:val="pt-BR"/>
        </w:rPr>
        <w:t xml:space="preserve">Taliaferro, C. M., Rouquette, F. M., &amp; Mislevy, P. (2016). </w:t>
      </w:r>
      <w:r>
        <w:t xml:space="preserve">Bermudagrass and Stargrass. In L. E. Moser, B. L. Burson, &amp; L. E. Sollenberger (Eds.), </w:t>
      </w:r>
      <w:r>
        <w:rPr>
          <w:i/>
          <w:iCs/>
        </w:rPr>
        <w:t>Agronomy Monographs</w:t>
      </w:r>
      <w:r>
        <w:t xml:space="preserve"> (pp. 417–475). American Society of Agronomy, Crop Science Society of America, Soil Science Society of America. https://doi.org/10.2134/agronmonogr45.c12</w:t>
      </w:r>
    </w:p>
    <w:p w14:paraId="687339F6" w14:textId="77777777" w:rsidR="00277CD6" w:rsidRDefault="00277CD6" w:rsidP="00277CD6">
      <w:pPr>
        <w:pStyle w:val="Bibliography"/>
      </w:pPr>
      <w:r w:rsidRPr="003E0A16">
        <w:rPr>
          <w:lang w:val="pt-BR"/>
        </w:rPr>
        <w:t xml:space="preserve">Tilak, K. V. B. R., Ranganayaki, N., &amp; Manoharachari, C. (2006). </w:t>
      </w:r>
      <w:r>
        <w:t xml:space="preserve">Synergistic effects of plant‐growth promoting rhizobacteria and </w:t>
      </w:r>
      <w:r>
        <w:rPr>
          <w:i/>
          <w:iCs/>
        </w:rPr>
        <w:t>Rhizobium</w:t>
      </w:r>
      <w:r>
        <w:t xml:space="preserve"> on nodulation and nitrogen fixation by pigeonpea ( </w:t>
      </w:r>
      <w:r>
        <w:rPr>
          <w:i/>
          <w:iCs/>
        </w:rPr>
        <w:t>Cajanus cajan</w:t>
      </w:r>
      <w:r>
        <w:t xml:space="preserve"> ). </w:t>
      </w:r>
      <w:r>
        <w:rPr>
          <w:i/>
          <w:iCs/>
        </w:rPr>
        <w:t>European Journal of Soil Science</w:t>
      </w:r>
      <w:r>
        <w:t xml:space="preserve">, </w:t>
      </w:r>
      <w:r>
        <w:rPr>
          <w:i/>
          <w:iCs/>
        </w:rPr>
        <w:t>57</w:t>
      </w:r>
      <w:r>
        <w:t>(1), 67–71. https://doi.org/10.1111/j.1365-2389.2006.00771.x</w:t>
      </w:r>
    </w:p>
    <w:p w14:paraId="27837F64" w14:textId="77777777" w:rsidR="00277CD6" w:rsidRDefault="00277CD6" w:rsidP="00277CD6">
      <w:pPr>
        <w:pStyle w:val="Bibliography"/>
      </w:pPr>
      <w:r>
        <w:t xml:space="preserve">Wang, S., Wei, S., Liang, H., Zheng, W., Li, X., Hu, C., Currell, M. J., Zhou, F., &amp; Min, L. (2019). Nitrogen stock and leaching rates in a thick vadose zone below areas of long-term nitrogen fertilizer application in the North China Plain: A future groundwater quality threat. </w:t>
      </w:r>
      <w:r>
        <w:rPr>
          <w:i/>
          <w:iCs/>
        </w:rPr>
        <w:t>Journal of Hydrology</w:t>
      </w:r>
      <w:r>
        <w:t xml:space="preserve">, </w:t>
      </w:r>
      <w:r>
        <w:rPr>
          <w:i/>
          <w:iCs/>
        </w:rPr>
        <w:t>576</w:t>
      </w:r>
      <w:r>
        <w:t>, 28–40. https://doi.org/10.1016/j.jhydrol.2019.06.012</w:t>
      </w:r>
    </w:p>
    <w:p w14:paraId="7ABADDD1" w14:textId="77777777" w:rsidR="00277CD6" w:rsidRDefault="00277CD6" w:rsidP="00277CD6">
      <w:pPr>
        <w:pStyle w:val="Bibliography"/>
      </w:pPr>
      <w:r>
        <w:t xml:space="preserve">Winters-Michaud, C. (n.d.). </w:t>
      </w:r>
      <w:r>
        <w:rPr>
          <w:i/>
          <w:iCs/>
        </w:rPr>
        <w:t>Major Uses of Land in the United States, 2017</w:t>
      </w:r>
      <w:r>
        <w:t>.</w:t>
      </w:r>
    </w:p>
    <w:p w14:paraId="6DDC877F" w14:textId="77777777" w:rsidR="00277CD6" w:rsidRDefault="00277CD6" w:rsidP="00277CD6">
      <w:pPr>
        <w:pStyle w:val="Bibliography"/>
      </w:pPr>
      <w:r>
        <w:t xml:space="preserve">Yang, C., Li, X., Han, J., &amp; Chen, L. (n.d.). </w:t>
      </w:r>
      <w:r>
        <w:rPr>
          <w:i/>
          <w:iCs/>
        </w:rPr>
        <w:t>Mixtures of whipgrass with cool-season annual forages to extend the forage production season in south-west China</w:t>
      </w:r>
      <w:r>
        <w:t>.</w:t>
      </w:r>
    </w:p>
    <w:p w14:paraId="0EC56255" w14:textId="7D23375F" w:rsidR="00D677AA" w:rsidRPr="00037ACB" w:rsidRDefault="00C27AD4" w:rsidP="00460ADF">
      <w:pPr>
        <w:spacing w:line="480" w:lineRule="auto"/>
        <w:rPr>
          <w:rFonts w:cs="Times New Roman"/>
        </w:rPr>
      </w:pPr>
      <w:r>
        <w:rPr>
          <w:rFonts w:cs="Times New Roman"/>
        </w:rPr>
        <w:fldChar w:fldCharType="end"/>
      </w:r>
    </w:p>
    <w:p w14:paraId="0EC56256" w14:textId="77777777" w:rsidR="00D677AA" w:rsidRPr="00037ACB" w:rsidRDefault="00D677AA" w:rsidP="00D677AA">
      <w:pPr>
        <w:rPr>
          <w:rFonts w:cs="Times New Roman"/>
        </w:rPr>
      </w:pPr>
    </w:p>
    <w:p w14:paraId="316FB82D" w14:textId="77777777" w:rsidR="005558DE" w:rsidRPr="00DF7C87" w:rsidRDefault="005558DE" w:rsidP="005558DE">
      <w:pPr>
        <w:pStyle w:val="Heading2"/>
        <w:rPr>
          <w:rFonts w:cs="Times New Roman"/>
        </w:rPr>
      </w:pPr>
      <w:r>
        <w:rPr>
          <w:rFonts w:cs="Times New Roman"/>
        </w:rPr>
        <w:br w:type="page"/>
      </w:r>
      <w:bookmarkStart w:id="84" w:name="_Toc175638328"/>
      <w:bookmarkStart w:id="85" w:name="_Toc196315265"/>
      <w:r w:rsidRPr="00DF7C87">
        <w:rPr>
          <w:rFonts w:cs="Times New Roman"/>
        </w:rPr>
        <w:lastRenderedPageBreak/>
        <w:t>A</w:t>
      </w:r>
      <w:r>
        <w:rPr>
          <w:rFonts w:cs="Times New Roman"/>
        </w:rPr>
        <w:t>PPENDIX</w:t>
      </w:r>
      <w:bookmarkEnd w:id="84"/>
      <w:bookmarkEnd w:id="85"/>
    </w:p>
    <w:p w14:paraId="2F8551ED" w14:textId="77777777" w:rsidR="005558DE" w:rsidRDefault="005558DE" w:rsidP="005558DE">
      <w:pPr>
        <w:keepNext/>
        <w:spacing w:line="480" w:lineRule="auto"/>
        <w:ind w:firstLine="720"/>
        <w:jc w:val="both"/>
      </w:pPr>
      <w:r>
        <w:rPr>
          <w:noProof/>
        </w:rPr>
        <w:drawing>
          <wp:inline distT="0" distB="0" distL="0" distR="0" wp14:anchorId="502209BC" wp14:editId="44DC4AD6">
            <wp:extent cx="5191125" cy="3162300"/>
            <wp:effectExtent l="0" t="0" r="0" b="0"/>
            <wp:docPr id="1044617388" name="Gráfico 1">
              <a:extLst xmlns:a="http://schemas.openxmlformats.org/drawingml/2006/main">
                <a:ext uri="{FF2B5EF4-FFF2-40B4-BE49-F238E27FC236}">
                  <a16:creationId xmlns:a16="http://schemas.microsoft.com/office/drawing/2014/main" id="{5C55BD0E-5F4D-6B3D-A12B-EFC1EFE8965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8A4BBF4" w14:textId="09CA24C5" w:rsidR="005558DE" w:rsidRPr="00EB67C6" w:rsidRDefault="005558DE" w:rsidP="005558DE">
      <w:pPr>
        <w:pStyle w:val="myfigures"/>
      </w:pPr>
      <w:bookmarkStart w:id="86" w:name="_Toc196315435"/>
      <w:r w:rsidRPr="00EB67C6">
        <w:t xml:space="preserve">Figure </w:t>
      </w:r>
      <w:r>
        <w:t>A</w:t>
      </w:r>
      <w:r w:rsidRPr="00EB67C6">
        <w:t>.</w:t>
      </w:r>
      <w:fldSimple w:instr=" SEQ Figure \* ARABIC \s 7 ">
        <w:r w:rsidR="00F56900">
          <w:rPr>
            <w:noProof/>
          </w:rPr>
          <w:t>1</w:t>
        </w:r>
      </w:fldSimple>
      <w:r w:rsidRPr="00EB67C6">
        <w:t xml:space="preserve"> </w:t>
      </w:r>
      <w:r w:rsidRPr="00EB67C6">
        <w:rPr>
          <w:b w:val="0"/>
          <w:bCs w:val="0"/>
        </w:rPr>
        <w:t xml:space="preserve">Temperature for Plateau </w:t>
      </w:r>
      <w:proofErr w:type="spellStart"/>
      <w:r w:rsidRPr="00EB67C6">
        <w:rPr>
          <w:b w:val="0"/>
          <w:bCs w:val="0"/>
        </w:rPr>
        <w:t>AgResearch</w:t>
      </w:r>
      <w:proofErr w:type="spellEnd"/>
      <w:r w:rsidRPr="00EB67C6">
        <w:rPr>
          <w:b w:val="0"/>
          <w:bCs w:val="0"/>
        </w:rPr>
        <w:t xml:space="preserve"> and Education Center, Crossville, TN, including 2023 and 2024, including the 30-year average.</w:t>
      </w:r>
      <w:bookmarkEnd w:id="86"/>
    </w:p>
    <w:p w14:paraId="0EF568F3" w14:textId="77777777" w:rsidR="00584063" w:rsidRDefault="00584063">
      <w:pPr>
        <w:spacing w:line="240" w:lineRule="auto"/>
        <w:rPr>
          <w:noProof/>
        </w:rPr>
      </w:pPr>
      <w:r>
        <w:rPr>
          <w:noProof/>
        </w:rPr>
        <w:br w:type="page"/>
      </w:r>
    </w:p>
    <w:p w14:paraId="52CB44B9" w14:textId="7DCF2618" w:rsidR="005558DE" w:rsidRDefault="005558DE" w:rsidP="005558DE">
      <w:pPr>
        <w:keepNext/>
      </w:pPr>
      <w:r>
        <w:rPr>
          <w:noProof/>
        </w:rPr>
        <w:lastRenderedPageBreak/>
        <w:drawing>
          <wp:inline distT="0" distB="0" distL="0" distR="0" wp14:anchorId="522FCFE7" wp14:editId="0F47BACC">
            <wp:extent cx="4940935" cy="3154680"/>
            <wp:effectExtent l="0" t="0" r="0" b="0"/>
            <wp:docPr id="1924721997" name="Gráfico 1">
              <a:extLst xmlns:a="http://schemas.openxmlformats.org/drawingml/2006/main">
                <a:ext uri="{FF2B5EF4-FFF2-40B4-BE49-F238E27FC236}">
                  <a16:creationId xmlns:a16="http://schemas.microsoft.com/office/drawing/2014/main" id="{06CFF751-DF56-063B-CC30-151470780D0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B18592D" w14:textId="7AC5EE58" w:rsidR="005558DE" w:rsidRPr="00EB67C6" w:rsidRDefault="005558DE" w:rsidP="005558DE">
      <w:pPr>
        <w:pStyle w:val="myfigures"/>
      </w:pPr>
      <w:bookmarkStart w:id="87" w:name="_Toc196315436"/>
      <w:r w:rsidRPr="00EB67C6">
        <w:t xml:space="preserve">Figure </w:t>
      </w:r>
      <w:r>
        <w:t>A</w:t>
      </w:r>
      <w:r w:rsidRPr="00EB67C6">
        <w:t>.</w:t>
      </w:r>
      <w:fldSimple w:instr=" SEQ Figure \* ARABIC \s 7 ">
        <w:r w:rsidR="00F56900">
          <w:rPr>
            <w:noProof/>
          </w:rPr>
          <w:t>2</w:t>
        </w:r>
      </w:fldSimple>
      <w:r w:rsidRPr="00EB67C6">
        <w:t xml:space="preserve"> </w:t>
      </w:r>
      <w:r w:rsidRPr="00EB67C6">
        <w:rPr>
          <w:b w:val="0"/>
          <w:bCs w:val="0"/>
        </w:rPr>
        <w:t xml:space="preserve">Precipitation for Plateau </w:t>
      </w:r>
      <w:proofErr w:type="spellStart"/>
      <w:r w:rsidRPr="00EB67C6">
        <w:rPr>
          <w:b w:val="0"/>
          <w:bCs w:val="0"/>
        </w:rPr>
        <w:t>AgResearch</w:t>
      </w:r>
      <w:proofErr w:type="spellEnd"/>
      <w:r w:rsidRPr="00EB67C6">
        <w:rPr>
          <w:b w:val="0"/>
          <w:bCs w:val="0"/>
        </w:rPr>
        <w:t xml:space="preserve"> and Education Center, Crossville, TN, in 2023 and 2024, including the 30-year average.</w:t>
      </w:r>
      <w:bookmarkEnd w:id="87"/>
    </w:p>
    <w:p w14:paraId="34FF09D4" w14:textId="77777777" w:rsidR="00D677AA" w:rsidRPr="00037ACB" w:rsidRDefault="00D677AA" w:rsidP="00D677AA">
      <w:pPr>
        <w:rPr>
          <w:rFonts w:cs="Times New Roman"/>
        </w:rPr>
      </w:pPr>
    </w:p>
    <w:p w14:paraId="2B53BE0F" w14:textId="77777777" w:rsidR="005558DE" w:rsidRPr="003E0A16" w:rsidRDefault="005558DE">
      <w:pPr>
        <w:spacing w:line="240" w:lineRule="auto"/>
        <w:rPr>
          <w:b/>
          <w:bCs/>
          <w:caps/>
        </w:rPr>
      </w:pPr>
      <w:r w:rsidRPr="003E0A16">
        <w:br w:type="page"/>
      </w:r>
    </w:p>
    <w:p w14:paraId="3561FC35" w14:textId="77777777" w:rsidR="00391753" w:rsidRPr="003E0A16" w:rsidRDefault="00391753" w:rsidP="00584063">
      <w:pPr>
        <w:pStyle w:val="Heading1"/>
        <w:spacing w:line="480" w:lineRule="auto"/>
      </w:pPr>
      <w:bookmarkStart w:id="88" w:name="_Toc196315266"/>
      <w:r w:rsidRPr="003E0A16">
        <w:lastRenderedPageBreak/>
        <w:t>conclusion</w:t>
      </w:r>
      <w:bookmarkEnd w:id="88"/>
    </w:p>
    <w:p w14:paraId="6565BD1E" w14:textId="57B7708C" w:rsidR="000E5496" w:rsidRDefault="000E5496" w:rsidP="000E5496">
      <w:pPr>
        <w:spacing w:line="480" w:lineRule="auto"/>
        <w:ind w:firstLine="720"/>
      </w:pPr>
      <w:r w:rsidRPr="001A5F09">
        <w:t xml:space="preserve">This </w:t>
      </w:r>
      <w:r>
        <w:t>work</w:t>
      </w:r>
      <w:r w:rsidRPr="001A5F09">
        <w:t xml:space="preserve"> evaluated the effects of plant growth-promoting bacteria (PGPB) and nitrogen (N) fertilization on bermudagrass</w:t>
      </w:r>
      <w:r>
        <w:t xml:space="preserve"> shoot and root weight, shoot and root length, and number of tillers in Knox</w:t>
      </w:r>
      <w:r w:rsidRPr="001A5F09">
        <w:t>ville, TN</w:t>
      </w:r>
      <w:r>
        <w:t xml:space="preserve"> and </w:t>
      </w:r>
      <w:r w:rsidRPr="001A5F09">
        <w:t xml:space="preserve">forage mass (FM) and nutritive value over two growing seasons (2023 and 2024) at the Plateau </w:t>
      </w:r>
      <w:proofErr w:type="spellStart"/>
      <w:r w:rsidRPr="001A5F09">
        <w:t>AgResearch</w:t>
      </w:r>
      <w:proofErr w:type="spellEnd"/>
      <w:r w:rsidRPr="001A5F09">
        <w:t xml:space="preserve"> and Education Center in Crossville, TN.</w:t>
      </w:r>
      <w:r>
        <w:t xml:space="preserve"> </w:t>
      </w:r>
      <w:r w:rsidRPr="001A5F09">
        <w:t xml:space="preserve">The results indicate that N fertilization </w:t>
      </w:r>
      <w:r>
        <w:t>did not impact shoot and root weight</w:t>
      </w:r>
      <w:r w:rsidRPr="001A5F09">
        <w:t xml:space="preserve">, but PGPB inoculation alone did result in significant differences in </w:t>
      </w:r>
      <w:r>
        <w:t>shoot weight, shoot length, and number of tillers</w:t>
      </w:r>
      <w:r w:rsidRPr="001A5F09">
        <w:t xml:space="preserve">. </w:t>
      </w:r>
      <w:r>
        <w:t xml:space="preserve">Inoculation with Micro-AZ dry showed greater results overall. The present work also indicated that </w:t>
      </w:r>
      <w:r w:rsidRPr="001A5F09">
        <w:t>indicate that N fertilization significantly increased FM and crude protein (CP) content, but PGPB inoculation alone did not result in significant differences in FM, CP, or forage digestibility. Specifically, treatments with 67 kg N ha⁻</w:t>
      </w:r>
      <w:r w:rsidRPr="001A5F09">
        <w:rPr>
          <w:rFonts w:hint="eastAsia"/>
        </w:rPr>
        <w:t>¹</w:t>
      </w:r>
      <w:r w:rsidRPr="001A5F09">
        <w:t xml:space="preserve"> of ammonium sulfate produced the greatest FM (2</w:t>
      </w:r>
      <w:r>
        <w:t>606</w:t>
      </w:r>
      <w:r w:rsidRPr="001A5F09">
        <w:t xml:space="preserve"> kg DM ha⁻</w:t>
      </w:r>
      <w:r w:rsidRPr="001A5F09">
        <w:rPr>
          <w:rFonts w:hint="eastAsia"/>
        </w:rPr>
        <w:t>¹</w:t>
      </w:r>
      <w:r w:rsidRPr="001A5F09">
        <w:t>) and highest CP content (1</w:t>
      </w:r>
      <w:r>
        <w:t>4</w:t>
      </w:r>
      <w:r w:rsidRPr="001A5F09">
        <w:t>6 g kg⁻</w:t>
      </w:r>
      <w:r w:rsidRPr="001A5F09">
        <w:rPr>
          <w:rFonts w:hint="eastAsia"/>
        </w:rPr>
        <w:t>¹</w:t>
      </w:r>
      <w:r w:rsidRPr="001A5F09">
        <w:t xml:space="preserve">), consistent with the known response of bermudagrass to </w:t>
      </w:r>
      <w:proofErr w:type="spellStart"/>
      <w:r w:rsidRPr="001A5F09">
        <w:t>N</w:t>
      </w:r>
      <w:proofErr w:type="spellEnd"/>
      <w:r w:rsidRPr="001A5F09">
        <w:t xml:space="preserve"> application. Despite variations in FM and CP, in vitro dry matter digestibility (IVDMD48) and neutral detergent fiber digestibility (NDFD48) remained unaffected by both PGPB and N </w:t>
      </w:r>
      <w:r>
        <w:t>strategies</w:t>
      </w:r>
      <w:r w:rsidRPr="001A5F09">
        <w:t>, suggesting that the overall forage quality was maintained across treatments. The findings support the importance of N fertilization in improving bermudagrass yield and quality but highlight the need for further research to clarify the inconsistent responses to PGPB inoculation under different environmental and management conditions.</w:t>
      </w:r>
    </w:p>
    <w:p w14:paraId="4B483613" w14:textId="0B15088F" w:rsidR="00391753" w:rsidRPr="003E0A16" w:rsidRDefault="00391753">
      <w:pPr>
        <w:spacing w:line="240" w:lineRule="auto"/>
        <w:rPr>
          <w:b/>
          <w:bCs/>
          <w:caps/>
        </w:rPr>
      </w:pPr>
    </w:p>
    <w:p w14:paraId="0B0EF41B" w14:textId="77777777" w:rsidR="000E5496" w:rsidRPr="003E0A16" w:rsidRDefault="000E5496">
      <w:pPr>
        <w:spacing w:line="240" w:lineRule="auto"/>
        <w:rPr>
          <w:b/>
          <w:bCs/>
          <w:caps/>
        </w:rPr>
      </w:pPr>
      <w:r w:rsidRPr="003E0A16">
        <w:br w:type="page"/>
      </w:r>
    </w:p>
    <w:p w14:paraId="0EC56287" w14:textId="196D241C" w:rsidR="003D63DF" w:rsidRPr="005558DE" w:rsidRDefault="00171B6F" w:rsidP="00584063">
      <w:pPr>
        <w:pStyle w:val="Heading1"/>
        <w:spacing w:line="480" w:lineRule="auto"/>
        <w:rPr>
          <w:lang w:val="pt-BR"/>
        </w:rPr>
      </w:pPr>
      <w:bookmarkStart w:id="89" w:name="_Toc196315267"/>
      <w:r w:rsidRPr="005558DE">
        <w:rPr>
          <w:lang w:val="pt-BR"/>
        </w:rPr>
        <w:lastRenderedPageBreak/>
        <w:t>vita</w:t>
      </w:r>
      <w:bookmarkEnd w:id="89"/>
    </w:p>
    <w:p w14:paraId="167C9FBB" w14:textId="62DD2041" w:rsidR="00171B6F" w:rsidRPr="00514F2D" w:rsidRDefault="00171B6F" w:rsidP="00584063">
      <w:pPr>
        <w:spacing w:line="480" w:lineRule="auto"/>
        <w:ind w:firstLine="720"/>
      </w:pPr>
      <w:r w:rsidRPr="005558DE">
        <w:rPr>
          <w:lang w:val="pt-BR"/>
        </w:rPr>
        <w:t xml:space="preserve">Felipe Fonseca Nassar was born in Catanduva, São Paulo, Brasil. </w:t>
      </w:r>
      <w:r w:rsidRPr="00514F2D">
        <w:t xml:space="preserve">He </w:t>
      </w:r>
      <w:r w:rsidR="00E03392" w:rsidRPr="00514F2D">
        <w:t xml:space="preserve">graduated in 2022 from the University of Sao Paulo (ESALQ) with a Bachelor of Science in Agronomic Engineering. After, Felipe worked for a year as a student intern under Dr. Oakes in the Middle Tennessee </w:t>
      </w:r>
      <w:proofErr w:type="spellStart"/>
      <w:r w:rsidR="00E03392" w:rsidRPr="00514F2D">
        <w:t>AgResearch</w:t>
      </w:r>
      <w:proofErr w:type="spellEnd"/>
      <w:r w:rsidR="00E03392" w:rsidRPr="00514F2D">
        <w:t xml:space="preserve"> and Education Center (MTREC), when he decided to pursue his master's degree at the University of Tennessee in 2023.</w:t>
      </w:r>
    </w:p>
    <w:sectPr w:rsidR="00171B6F" w:rsidRPr="00514F2D" w:rsidSect="00B3078E">
      <w:pgSz w:w="12240" w:h="15840" w:code="1"/>
      <w:pgMar w:top="1440" w:right="1800" w:bottom="1872" w:left="1800" w:header="1440" w:footer="144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784F8B" w14:textId="77777777" w:rsidR="00E11A2D" w:rsidRPr="00037ACB" w:rsidRDefault="00E11A2D" w:rsidP="005E54E2">
      <w:r w:rsidRPr="00037ACB">
        <w:separator/>
      </w:r>
    </w:p>
    <w:p w14:paraId="509044DD" w14:textId="77777777" w:rsidR="00E11A2D" w:rsidRPr="00037ACB" w:rsidRDefault="00E11A2D" w:rsidP="005E54E2"/>
    <w:p w14:paraId="49AEA30F" w14:textId="77777777" w:rsidR="00E11A2D" w:rsidRPr="00037ACB" w:rsidRDefault="00E11A2D" w:rsidP="005E54E2"/>
    <w:p w14:paraId="4BB248F2" w14:textId="77777777" w:rsidR="00E11A2D" w:rsidRPr="00037ACB" w:rsidRDefault="00E11A2D" w:rsidP="005E54E2"/>
  </w:endnote>
  <w:endnote w:type="continuationSeparator" w:id="0">
    <w:p w14:paraId="0C5DAFB2" w14:textId="77777777" w:rsidR="00E11A2D" w:rsidRPr="00037ACB" w:rsidRDefault="00E11A2D" w:rsidP="005E54E2">
      <w:r w:rsidRPr="00037ACB">
        <w:continuationSeparator/>
      </w:r>
    </w:p>
    <w:p w14:paraId="0129E92E" w14:textId="77777777" w:rsidR="00E11A2D" w:rsidRPr="00037ACB" w:rsidRDefault="00E11A2D" w:rsidP="005E54E2"/>
    <w:p w14:paraId="3FE32EF3" w14:textId="77777777" w:rsidR="00E11A2D" w:rsidRPr="00037ACB" w:rsidRDefault="00E11A2D" w:rsidP="005E54E2"/>
    <w:p w14:paraId="098D04B0" w14:textId="77777777" w:rsidR="00E11A2D" w:rsidRPr="00037ACB" w:rsidRDefault="00E11A2D" w:rsidP="005E54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5629A" w14:textId="77777777" w:rsidR="00387656" w:rsidRPr="00037ACB" w:rsidRDefault="00387656">
    <w:pPr>
      <w:pStyle w:val="Footer"/>
      <w:jc w:val="right"/>
      <w:rPr>
        <w:rFonts w:cs="Times New Roman"/>
      </w:rPr>
    </w:pPr>
    <w:r w:rsidRPr="00037ACB">
      <w:rPr>
        <w:rFonts w:cs="Times New Roman"/>
      </w:rPr>
      <w:fldChar w:fldCharType="begin"/>
    </w:r>
    <w:r w:rsidRPr="00037ACB">
      <w:rPr>
        <w:rFonts w:cs="Times New Roman"/>
      </w:rPr>
      <w:instrText xml:space="preserve"> PAGE   \* MERGEFORMAT </w:instrText>
    </w:r>
    <w:r w:rsidRPr="00037ACB">
      <w:rPr>
        <w:rFonts w:cs="Times New Roman"/>
      </w:rPr>
      <w:fldChar w:fldCharType="separate"/>
    </w:r>
    <w:r w:rsidR="000E3772" w:rsidRPr="00037ACB">
      <w:rPr>
        <w:rFonts w:cs="Times New Roman"/>
      </w:rPr>
      <w:t>13</w:t>
    </w:r>
    <w:r w:rsidRPr="00037ACB">
      <w:rPr>
        <w:rFonts w:cs="Times New Roman"/>
      </w:rPr>
      <w:fldChar w:fldCharType="end"/>
    </w:r>
  </w:p>
  <w:p w14:paraId="0EC5629B" w14:textId="77777777" w:rsidR="008F60C3" w:rsidRPr="00037ACB" w:rsidRDefault="008F60C3" w:rsidP="005E54E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6D4067" w14:textId="77777777" w:rsidR="00E11A2D" w:rsidRPr="00037ACB" w:rsidRDefault="00E11A2D" w:rsidP="005E54E2">
      <w:r w:rsidRPr="00037ACB">
        <w:separator/>
      </w:r>
    </w:p>
    <w:p w14:paraId="724C9BFC" w14:textId="77777777" w:rsidR="00E11A2D" w:rsidRPr="00037ACB" w:rsidRDefault="00E11A2D" w:rsidP="005E54E2"/>
    <w:p w14:paraId="00091A52" w14:textId="77777777" w:rsidR="00E11A2D" w:rsidRPr="00037ACB" w:rsidRDefault="00E11A2D" w:rsidP="005E54E2"/>
    <w:p w14:paraId="7843745B" w14:textId="77777777" w:rsidR="00E11A2D" w:rsidRPr="00037ACB" w:rsidRDefault="00E11A2D" w:rsidP="005E54E2"/>
  </w:footnote>
  <w:footnote w:type="continuationSeparator" w:id="0">
    <w:p w14:paraId="2E5C4B9E" w14:textId="77777777" w:rsidR="00E11A2D" w:rsidRPr="00037ACB" w:rsidRDefault="00E11A2D" w:rsidP="005E54E2">
      <w:r w:rsidRPr="00037ACB">
        <w:continuationSeparator/>
      </w:r>
    </w:p>
    <w:p w14:paraId="25CDBDEC" w14:textId="77777777" w:rsidR="00E11A2D" w:rsidRPr="00037ACB" w:rsidRDefault="00E11A2D" w:rsidP="005E54E2"/>
    <w:p w14:paraId="60FBD22F" w14:textId="77777777" w:rsidR="00E11A2D" w:rsidRPr="00037ACB" w:rsidRDefault="00E11A2D" w:rsidP="005E54E2"/>
    <w:p w14:paraId="37BB51E8" w14:textId="77777777" w:rsidR="00E11A2D" w:rsidRPr="00037ACB" w:rsidRDefault="00E11A2D" w:rsidP="005E54E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BF70A5"/>
    <w:multiLevelType w:val="hybridMultilevel"/>
    <w:tmpl w:val="5420D1A2"/>
    <w:lvl w:ilvl="0" w:tplc="B9BAA4A4">
      <w:start w:val="1"/>
      <w:numFmt w:val="decimal"/>
      <w:pStyle w:val="Heading7"/>
      <w:lvlText w:val="CHAPTER %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58626D96"/>
    <w:multiLevelType w:val="multilevel"/>
    <w:tmpl w:val="8D3E2E38"/>
    <w:lvl w:ilvl="0">
      <w:start w:val="1"/>
      <w:numFmt w:val="decimal"/>
      <w:lvlText w:val="%1)"/>
      <w:lvlJc w:val="left"/>
      <w:pPr>
        <w:ind w:left="360" w:hanging="360"/>
      </w:pPr>
      <w:rPr>
        <w:rFonts w:hint="default"/>
      </w:rPr>
    </w:lvl>
    <w:lvl w:ilvl="1">
      <w:start w:val="1"/>
      <w:numFmt w:val="none"/>
      <w:lvlText w:val="1)"/>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6F804B03"/>
    <w:multiLevelType w:val="hybridMultilevel"/>
    <w:tmpl w:val="09C29884"/>
    <w:lvl w:ilvl="0" w:tplc="D2F819CC">
      <w:numFmt w:val="bullet"/>
      <w:lvlText w:val="-"/>
      <w:lvlJc w:val="left"/>
      <w:pPr>
        <w:ind w:left="720" w:hanging="360"/>
      </w:pPr>
      <w:rPr>
        <w:rFonts w:ascii="Times New Roman" w:eastAsia="Times New Roman" w:hAnsi="Times New Roman"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4F07EA7"/>
    <w:multiLevelType w:val="hybridMultilevel"/>
    <w:tmpl w:val="B8FACA96"/>
    <w:lvl w:ilvl="0" w:tplc="6F14CF54">
      <w:start w:val="1"/>
      <w:numFmt w:val="decimal"/>
      <w:pStyle w:val="CHAPTER"/>
      <w:lvlText w:val="CHAPTER %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918252108">
    <w:abstractNumId w:val="1"/>
  </w:num>
  <w:num w:numId="2" w16cid:durableId="2104375310">
    <w:abstractNumId w:val="3"/>
  </w:num>
  <w:num w:numId="3" w16cid:durableId="496112887">
    <w:abstractNumId w:val="0"/>
  </w:num>
  <w:num w:numId="4" w16cid:durableId="19108471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2"/>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8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7C87"/>
    <w:rsid w:val="000033A9"/>
    <w:rsid w:val="00003F6A"/>
    <w:rsid w:val="00006122"/>
    <w:rsid w:val="00006512"/>
    <w:rsid w:val="000108EC"/>
    <w:rsid w:val="00013026"/>
    <w:rsid w:val="00014A3E"/>
    <w:rsid w:val="00014C80"/>
    <w:rsid w:val="000156E9"/>
    <w:rsid w:val="00016528"/>
    <w:rsid w:val="000166A9"/>
    <w:rsid w:val="00016A10"/>
    <w:rsid w:val="00016BC5"/>
    <w:rsid w:val="000214B4"/>
    <w:rsid w:val="00021E6A"/>
    <w:rsid w:val="0003195D"/>
    <w:rsid w:val="0003672C"/>
    <w:rsid w:val="00037739"/>
    <w:rsid w:val="00037ACB"/>
    <w:rsid w:val="0004168E"/>
    <w:rsid w:val="00041C70"/>
    <w:rsid w:val="00041D22"/>
    <w:rsid w:val="00043791"/>
    <w:rsid w:val="0004557F"/>
    <w:rsid w:val="00051C4A"/>
    <w:rsid w:val="0005575E"/>
    <w:rsid w:val="00057004"/>
    <w:rsid w:val="00057C7C"/>
    <w:rsid w:val="00060A6A"/>
    <w:rsid w:val="00060C6C"/>
    <w:rsid w:val="00061974"/>
    <w:rsid w:val="0006518E"/>
    <w:rsid w:val="00071FB8"/>
    <w:rsid w:val="0007375F"/>
    <w:rsid w:val="00075E3D"/>
    <w:rsid w:val="00076A95"/>
    <w:rsid w:val="000774A9"/>
    <w:rsid w:val="00081703"/>
    <w:rsid w:val="00084046"/>
    <w:rsid w:val="000875C6"/>
    <w:rsid w:val="00087CA7"/>
    <w:rsid w:val="00087CAD"/>
    <w:rsid w:val="00092CBA"/>
    <w:rsid w:val="00092F47"/>
    <w:rsid w:val="000952F5"/>
    <w:rsid w:val="0009573C"/>
    <w:rsid w:val="00096C56"/>
    <w:rsid w:val="000A4EC6"/>
    <w:rsid w:val="000A508B"/>
    <w:rsid w:val="000B1BBF"/>
    <w:rsid w:val="000B5C42"/>
    <w:rsid w:val="000B630F"/>
    <w:rsid w:val="000C1995"/>
    <w:rsid w:val="000C4421"/>
    <w:rsid w:val="000C4645"/>
    <w:rsid w:val="000C49AF"/>
    <w:rsid w:val="000C580F"/>
    <w:rsid w:val="000D0B9C"/>
    <w:rsid w:val="000D1083"/>
    <w:rsid w:val="000E3772"/>
    <w:rsid w:val="000E5496"/>
    <w:rsid w:val="000E6322"/>
    <w:rsid w:val="000F0CE1"/>
    <w:rsid w:val="000F1E50"/>
    <w:rsid w:val="000F2971"/>
    <w:rsid w:val="000F2E5F"/>
    <w:rsid w:val="000F368F"/>
    <w:rsid w:val="000F6026"/>
    <w:rsid w:val="000F73A7"/>
    <w:rsid w:val="00101E3D"/>
    <w:rsid w:val="0010217F"/>
    <w:rsid w:val="001036ED"/>
    <w:rsid w:val="00103754"/>
    <w:rsid w:val="00105810"/>
    <w:rsid w:val="00111198"/>
    <w:rsid w:val="0011184D"/>
    <w:rsid w:val="00114659"/>
    <w:rsid w:val="001157BC"/>
    <w:rsid w:val="0011612C"/>
    <w:rsid w:val="0011736B"/>
    <w:rsid w:val="00121143"/>
    <w:rsid w:val="001218BA"/>
    <w:rsid w:val="00121F25"/>
    <w:rsid w:val="00125345"/>
    <w:rsid w:val="00125457"/>
    <w:rsid w:val="00126A66"/>
    <w:rsid w:val="00130F45"/>
    <w:rsid w:val="001420A6"/>
    <w:rsid w:val="00143261"/>
    <w:rsid w:val="00144F92"/>
    <w:rsid w:val="001454CB"/>
    <w:rsid w:val="00147004"/>
    <w:rsid w:val="0015117D"/>
    <w:rsid w:val="001520B7"/>
    <w:rsid w:val="00153A6A"/>
    <w:rsid w:val="001540C9"/>
    <w:rsid w:val="00160114"/>
    <w:rsid w:val="00161938"/>
    <w:rsid w:val="001629F9"/>
    <w:rsid w:val="001631AD"/>
    <w:rsid w:val="001631DB"/>
    <w:rsid w:val="001655E8"/>
    <w:rsid w:val="00171B6F"/>
    <w:rsid w:val="001732D0"/>
    <w:rsid w:val="001737FF"/>
    <w:rsid w:val="0017619D"/>
    <w:rsid w:val="001817FC"/>
    <w:rsid w:val="00181B21"/>
    <w:rsid w:val="00182613"/>
    <w:rsid w:val="00184959"/>
    <w:rsid w:val="001854FB"/>
    <w:rsid w:val="00190192"/>
    <w:rsid w:val="00193642"/>
    <w:rsid w:val="00195989"/>
    <w:rsid w:val="0019699A"/>
    <w:rsid w:val="001A1AFC"/>
    <w:rsid w:val="001A3565"/>
    <w:rsid w:val="001A5F09"/>
    <w:rsid w:val="001A6038"/>
    <w:rsid w:val="001A6661"/>
    <w:rsid w:val="001B1034"/>
    <w:rsid w:val="001B3568"/>
    <w:rsid w:val="001B3A34"/>
    <w:rsid w:val="001B5C9F"/>
    <w:rsid w:val="001C0858"/>
    <w:rsid w:val="001C39F6"/>
    <w:rsid w:val="001C66FE"/>
    <w:rsid w:val="001C7DA6"/>
    <w:rsid w:val="001D11B2"/>
    <w:rsid w:val="001D1295"/>
    <w:rsid w:val="001D353E"/>
    <w:rsid w:val="001D3CE0"/>
    <w:rsid w:val="001D4908"/>
    <w:rsid w:val="001D53E5"/>
    <w:rsid w:val="001D5A80"/>
    <w:rsid w:val="001D6904"/>
    <w:rsid w:val="001E2076"/>
    <w:rsid w:val="001E4CD4"/>
    <w:rsid w:val="001F0C08"/>
    <w:rsid w:val="001F43C1"/>
    <w:rsid w:val="001F4F41"/>
    <w:rsid w:val="001F522F"/>
    <w:rsid w:val="001F5E0D"/>
    <w:rsid w:val="002012CB"/>
    <w:rsid w:val="00202604"/>
    <w:rsid w:val="0020481F"/>
    <w:rsid w:val="00206B6C"/>
    <w:rsid w:val="00207293"/>
    <w:rsid w:val="002079EC"/>
    <w:rsid w:val="002109C0"/>
    <w:rsid w:val="0021261A"/>
    <w:rsid w:val="00215C1D"/>
    <w:rsid w:val="0022210F"/>
    <w:rsid w:val="0022592B"/>
    <w:rsid w:val="002300C2"/>
    <w:rsid w:val="00233230"/>
    <w:rsid w:val="002340B4"/>
    <w:rsid w:val="00234E5A"/>
    <w:rsid w:val="0023505A"/>
    <w:rsid w:val="00236E6D"/>
    <w:rsid w:val="00242631"/>
    <w:rsid w:val="00242947"/>
    <w:rsid w:val="002429E5"/>
    <w:rsid w:val="00245716"/>
    <w:rsid w:val="00246AF3"/>
    <w:rsid w:val="00254DCB"/>
    <w:rsid w:val="0025614C"/>
    <w:rsid w:val="00261B12"/>
    <w:rsid w:val="002649E1"/>
    <w:rsid w:val="0026544D"/>
    <w:rsid w:val="002658D4"/>
    <w:rsid w:val="00267477"/>
    <w:rsid w:val="002704C2"/>
    <w:rsid w:val="002733E7"/>
    <w:rsid w:val="00273BCF"/>
    <w:rsid w:val="002744AF"/>
    <w:rsid w:val="00276440"/>
    <w:rsid w:val="00277CD6"/>
    <w:rsid w:val="0028032E"/>
    <w:rsid w:val="00280CEF"/>
    <w:rsid w:val="00284840"/>
    <w:rsid w:val="00284D15"/>
    <w:rsid w:val="00285685"/>
    <w:rsid w:val="0028757A"/>
    <w:rsid w:val="00287589"/>
    <w:rsid w:val="0029065F"/>
    <w:rsid w:val="00292059"/>
    <w:rsid w:val="00292F9A"/>
    <w:rsid w:val="00293B6D"/>
    <w:rsid w:val="00294083"/>
    <w:rsid w:val="002A12F0"/>
    <w:rsid w:val="002A1822"/>
    <w:rsid w:val="002A1FEC"/>
    <w:rsid w:val="002A3139"/>
    <w:rsid w:val="002A3264"/>
    <w:rsid w:val="002A64C1"/>
    <w:rsid w:val="002A6751"/>
    <w:rsid w:val="002B0492"/>
    <w:rsid w:val="002B05BF"/>
    <w:rsid w:val="002B0F57"/>
    <w:rsid w:val="002B2544"/>
    <w:rsid w:val="002B4E7D"/>
    <w:rsid w:val="002D00D0"/>
    <w:rsid w:val="002D111A"/>
    <w:rsid w:val="002D1A32"/>
    <w:rsid w:val="002D23F8"/>
    <w:rsid w:val="002E0C33"/>
    <w:rsid w:val="002E2492"/>
    <w:rsid w:val="002E48B8"/>
    <w:rsid w:val="002E5F14"/>
    <w:rsid w:val="002E6014"/>
    <w:rsid w:val="002E63C6"/>
    <w:rsid w:val="002F6C76"/>
    <w:rsid w:val="00304BD0"/>
    <w:rsid w:val="00305039"/>
    <w:rsid w:val="003050D2"/>
    <w:rsid w:val="00306BE7"/>
    <w:rsid w:val="00307D77"/>
    <w:rsid w:val="00312599"/>
    <w:rsid w:val="003126DC"/>
    <w:rsid w:val="00312727"/>
    <w:rsid w:val="00313E9E"/>
    <w:rsid w:val="003150D5"/>
    <w:rsid w:val="003204D1"/>
    <w:rsid w:val="003206F1"/>
    <w:rsid w:val="00320F78"/>
    <w:rsid w:val="00322E50"/>
    <w:rsid w:val="00323077"/>
    <w:rsid w:val="00330935"/>
    <w:rsid w:val="00331353"/>
    <w:rsid w:val="00332361"/>
    <w:rsid w:val="00333B9F"/>
    <w:rsid w:val="00334400"/>
    <w:rsid w:val="003348A6"/>
    <w:rsid w:val="0034135F"/>
    <w:rsid w:val="0035203E"/>
    <w:rsid w:val="00356DFF"/>
    <w:rsid w:val="0035768F"/>
    <w:rsid w:val="00360B3C"/>
    <w:rsid w:val="0036251E"/>
    <w:rsid w:val="00363AC6"/>
    <w:rsid w:val="00371F8F"/>
    <w:rsid w:val="003726E9"/>
    <w:rsid w:val="00373919"/>
    <w:rsid w:val="003740C3"/>
    <w:rsid w:val="0038177C"/>
    <w:rsid w:val="00381F5D"/>
    <w:rsid w:val="0038218D"/>
    <w:rsid w:val="003836EB"/>
    <w:rsid w:val="00383FB4"/>
    <w:rsid w:val="00384BA0"/>
    <w:rsid w:val="00387024"/>
    <w:rsid w:val="00387656"/>
    <w:rsid w:val="00390052"/>
    <w:rsid w:val="003900BA"/>
    <w:rsid w:val="00390F62"/>
    <w:rsid w:val="00391753"/>
    <w:rsid w:val="00394464"/>
    <w:rsid w:val="003949AD"/>
    <w:rsid w:val="00394D63"/>
    <w:rsid w:val="00395818"/>
    <w:rsid w:val="003A1011"/>
    <w:rsid w:val="003A1A31"/>
    <w:rsid w:val="003A2158"/>
    <w:rsid w:val="003A2B98"/>
    <w:rsid w:val="003B073E"/>
    <w:rsid w:val="003B1801"/>
    <w:rsid w:val="003C070F"/>
    <w:rsid w:val="003C1575"/>
    <w:rsid w:val="003C2BB8"/>
    <w:rsid w:val="003C41B8"/>
    <w:rsid w:val="003C73DD"/>
    <w:rsid w:val="003C7FC5"/>
    <w:rsid w:val="003D07F7"/>
    <w:rsid w:val="003D13F2"/>
    <w:rsid w:val="003D2305"/>
    <w:rsid w:val="003D51C3"/>
    <w:rsid w:val="003D5275"/>
    <w:rsid w:val="003D5BD0"/>
    <w:rsid w:val="003D63DF"/>
    <w:rsid w:val="003D737F"/>
    <w:rsid w:val="003D7B77"/>
    <w:rsid w:val="003E0A16"/>
    <w:rsid w:val="003E1EE7"/>
    <w:rsid w:val="003E23BB"/>
    <w:rsid w:val="003E5B8E"/>
    <w:rsid w:val="003F2E0A"/>
    <w:rsid w:val="003F7474"/>
    <w:rsid w:val="004041B0"/>
    <w:rsid w:val="00404616"/>
    <w:rsid w:val="00406872"/>
    <w:rsid w:val="00406F6E"/>
    <w:rsid w:val="00407B6A"/>
    <w:rsid w:val="00407DA4"/>
    <w:rsid w:val="0041192A"/>
    <w:rsid w:val="00414400"/>
    <w:rsid w:val="00414B04"/>
    <w:rsid w:val="004160F9"/>
    <w:rsid w:val="00416510"/>
    <w:rsid w:val="00417BE7"/>
    <w:rsid w:val="00421B67"/>
    <w:rsid w:val="00421CD4"/>
    <w:rsid w:val="00421F15"/>
    <w:rsid w:val="00422932"/>
    <w:rsid w:val="00423528"/>
    <w:rsid w:val="00423EA7"/>
    <w:rsid w:val="00426DE8"/>
    <w:rsid w:val="00427833"/>
    <w:rsid w:val="004335E8"/>
    <w:rsid w:val="00433FE8"/>
    <w:rsid w:val="00433FF5"/>
    <w:rsid w:val="0043502E"/>
    <w:rsid w:val="0044092C"/>
    <w:rsid w:val="0044196E"/>
    <w:rsid w:val="00441E14"/>
    <w:rsid w:val="00442075"/>
    <w:rsid w:val="004432D5"/>
    <w:rsid w:val="004444C5"/>
    <w:rsid w:val="00445628"/>
    <w:rsid w:val="00445738"/>
    <w:rsid w:val="004501F5"/>
    <w:rsid w:val="004579F0"/>
    <w:rsid w:val="00460458"/>
    <w:rsid w:val="00460ADF"/>
    <w:rsid w:val="0046110F"/>
    <w:rsid w:val="00461379"/>
    <w:rsid w:val="00462645"/>
    <w:rsid w:val="00465BF1"/>
    <w:rsid w:val="00466309"/>
    <w:rsid w:val="00470AF9"/>
    <w:rsid w:val="00474210"/>
    <w:rsid w:val="004749BC"/>
    <w:rsid w:val="0047644D"/>
    <w:rsid w:val="00480B96"/>
    <w:rsid w:val="0048303E"/>
    <w:rsid w:val="00483540"/>
    <w:rsid w:val="00486018"/>
    <w:rsid w:val="00487F7F"/>
    <w:rsid w:val="0049004B"/>
    <w:rsid w:val="004905F3"/>
    <w:rsid w:val="00490DF9"/>
    <w:rsid w:val="004920F6"/>
    <w:rsid w:val="00496203"/>
    <w:rsid w:val="00497636"/>
    <w:rsid w:val="00497CA9"/>
    <w:rsid w:val="004A3EA2"/>
    <w:rsid w:val="004A414F"/>
    <w:rsid w:val="004A58D6"/>
    <w:rsid w:val="004A67E8"/>
    <w:rsid w:val="004B0774"/>
    <w:rsid w:val="004B0DD7"/>
    <w:rsid w:val="004B4CF2"/>
    <w:rsid w:val="004B72BA"/>
    <w:rsid w:val="004C2071"/>
    <w:rsid w:val="004C3D65"/>
    <w:rsid w:val="004C42B9"/>
    <w:rsid w:val="004D516F"/>
    <w:rsid w:val="004D6472"/>
    <w:rsid w:val="004D6CB9"/>
    <w:rsid w:val="004E0709"/>
    <w:rsid w:val="004E4C98"/>
    <w:rsid w:val="004E627B"/>
    <w:rsid w:val="004E6B54"/>
    <w:rsid w:val="004F2E25"/>
    <w:rsid w:val="004F6432"/>
    <w:rsid w:val="005049EE"/>
    <w:rsid w:val="00505526"/>
    <w:rsid w:val="00512577"/>
    <w:rsid w:val="00514E2B"/>
    <w:rsid w:val="00514F2D"/>
    <w:rsid w:val="00515A56"/>
    <w:rsid w:val="005164BC"/>
    <w:rsid w:val="0052522E"/>
    <w:rsid w:val="0052577E"/>
    <w:rsid w:val="00526151"/>
    <w:rsid w:val="00526CAD"/>
    <w:rsid w:val="00534898"/>
    <w:rsid w:val="005415A6"/>
    <w:rsid w:val="00543710"/>
    <w:rsid w:val="00553127"/>
    <w:rsid w:val="00553BB1"/>
    <w:rsid w:val="005552AC"/>
    <w:rsid w:val="005558DE"/>
    <w:rsid w:val="00557404"/>
    <w:rsid w:val="0055781A"/>
    <w:rsid w:val="00563F11"/>
    <w:rsid w:val="005642A3"/>
    <w:rsid w:val="00565647"/>
    <w:rsid w:val="00565F99"/>
    <w:rsid w:val="00566308"/>
    <w:rsid w:val="00573054"/>
    <w:rsid w:val="00575173"/>
    <w:rsid w:val="00575C17"/>
    <w:rsid w:val="00583A04"/>
    <w:rsid w:val="00584063"/>
    <w:rsid w:val="0058485D"/>
    <w:rsid w:val="00585FFE"/>
    <w:rsid w:val="005865D4"/>
    <w:rsid w:val="005874AA"/>
    <w:rsid w:val="00587BD3"/>
    <w:rsid w:val="00590E28"/>
    <w:rsid w:val="00597AD2"/>
    <w:rsid w:val="00597D3F"/>
    <w:rsid w:val="005A3EC2"/>
    <w:rsid w:val="005A44E5"/>
    <w:rsid w:val="005A451B"/>
    <w:rsid w:val="005A4F6C"/>
    <w:rsid w:val="005B3801"/>
    <w:rsid w:val="005B4671"/>
    <w:rsid w:val="005B68E2"/>
    <w:rsid w:val="005B79E9"/>
    <w:rsid w:val="005C01C5"/>
    <w:rsid w:val="005C26DD"/>
    <w:rsid w:val="005C2EB2"/>
    <w:rsid w:val="005C398A"/>
    <w:rsid w:val="005C3A53"/>
    <w:rsid w:val="005C73D0"/>
    <w:rsid w:val="005C74E7"/>
    <w:rsid w:val="005C7E43"/>
    <w:rsid w:val="005D0470"/>
    <w:rsid w:val="005D1462"/>
    <w:rsid w:val="005E0AAF"/>
    <w:rsid w:val="005E2BFA"/>
    <w:rsid w:val="005E4912"/>
    <w:rsid w:val="005E54E2"/>
    <w:rsid w:val="005E6F1F"/>
    <w:rsid w:val="005E771B"/>
    <w:rsid w:val="005F0E59"/>
    <w:rsid w:val="005F44D1"/>
    <w:rsid w:val="005F520E"/>
    <w:rsid w:val="005F66DA"/>
    <w:rsid w:val="006033FF"/>
    <w:rsid w:val="00605CBD"/>
    <w:rsid w:val="00611B90"/>
    <w:rsid w:val="00611F2A"/>
    <w:rsid w:val="00612C75"/>
    <w:rsid w:val="00612CF8"/>
    <w:rsid w:val="0061459B"/>
    <w:rsid w:val="00616475"/>
    <w:rsid w:val="00621129"/>
    <w:rsid w:val="00623C13"/>
    <w:rsid w:val="00626B5A"/>
    <w:rsid w:val="00631EC9"/>
    <w:rsid w:val="00633086"/>
    <w:rsid w:val="00633916"/>
    <w:rsid w:val="006352D4"/>
    <w:rsid w:val="006369BB"/>
    <w:rsid w:val="00636F0B"/>
    <w:rsid w:val="00641D2B"/>
    <w:rsid w:val="00644614"/>
    <w:rsid w:val="006471A3"/>
    <w:rsid w:val="00647F40"/>
    <w:rsid w:val="00651732"/>
    <w:rsid w:val="00652687"/>
    <w:rsid w:val="00654955"/>
    <w:rsid w:val="00654A25"/>
    <w:rsid w:val="00654D68"/>
    <w:rsid w:val="00655D47"/>
    <w:rsid w:val="00656A27"/>
    <w:rsid w:val="006618B1"/>
    <w:rsid w:val="00661B9E"/>
    <w:rsid w:val="00662D3E"/>
    <w:rsid w:val="00665C7E"/>
    <w:rsid w:val="00672DDD"/>
    <w:rsid w:val="00674D0B"/>
    <w:rsid w:val="00676C91"/>
    <w:rsid w:val="00677FEE"/>
    <w:rsid w:val="006803C0"/>
    <w:rsid w:val="00685AE0"/>
    <w:rsid w:val="00690B77"/>
    <w:rsid w:val="00691AB0"/>
    <w:rsid w:val="00692D53"/>
    <w:rsid w:val="006A0D69"/>
    <w:rsid w:val="006A3EB6"/>
    <w:rsid w:val="006A4959"/>
    <w:rsid w:val="006A4DAC"/>
    <w:rsid w:val="006B295B"/>
    <w:rsid w:val="006B2E7A"/>
    <w:rsid w:val="006B36B9"/>
    <w:rsid w:val="006B79F8"/>
    <w:rsid w:val="006B7E19"/>
    <w:rsid w:val="006C024F"/>
    <w:rsid w:val="006C1DF1"/>
    <w:rsid w:val="006C4000"/>
    <w:rsid w:val="006C621F"/>
    <w:rsid w:val="006C651A"/>
    <w:rsid w:val="006C78EF"/>
    <w:rsid w:val="006C7C0F"/>
    <w:rsid w:val="006D2308"/>
    <w:rsid w:val="006D3E6E"/>
    <w:rsid w:val="006D5EE8"/>
    <w:rsid w:val="006D6EAF"/>
    <w:rsid w:val="006D7CEB"/>
    <w:rsid w:val="006E0434"/>
    <w:rsid w:val="006E0877"/>
    <w:rsid w:val="006E1577"/>
    <w:rsid w:val="006E17DE"/>
    <w:rsid w:val="006E1FCC"/>
    <w:rsid w:val="006E555C"/>
    <w:rsid w:val="006E56E8"/>
    <w:rsid w:val="006E5B01"/>
    <w:rsid w:val="006E6D26"/>
    <w:rsid w:val="006F1BCF"/>
    <w:rsid w:val="006F5AA4"/>
    <w:rsid w:val="006F7EFB"/>
    <w:rsid w:val="007039A2"/>
    <w:rsid w:val="00704548"/>
    <w:rsid w:val="00706BDC"/>
    <w:rsid w:val="00707A87"/>
    <w:rsid w:val="00707EA0"/>
    <w:rsid w:val="00711096"/>
    <w:rsid w:val="00711200"/>
    <w:rsid w:val="00712D9A"/>
    <w:rsid w:val="0071693C"/>
    <w:rsid w:val="00716ABD"/>
    <w:rsid w:val="00720F85"/>
    <w:rsid w:val="00721572"/>
    <w:rsid w:val="00721843"/>
    <w:rsid w:val="0072397F"/>
    <w:rsid w:val="00726657"/>
    <w:rsid w:val="00727250"/>
    <w:rsid w:val="0072752B"/>
    <w:rsid w:val="00731922"/>
    <w:rsid w:val="00731ACB"/>
    <w:rsid w:val="00732213"/>
    <w:rsid w:val="007368AD"/>
    <w:rsid w:val="0074133D"/>
    <w:rsid w:val="0074135B"/>
    <w:rsid w:val="00742E18"/>
    <w:rsid w:val="00745DF6"/>
    <w:rsid w:val="00747DCB"/>
    <w:rsid w:val="007512C9"/>
    <w:rsid w:val="0075196D"/>
    <w:rsid w:val="0075277A"/>
    <w:rsid w:val="0075558C"/>
    <w:rsid w:val="00755944"/>
    <w:rsid w:val="00755F6A"/>
    <w:rsid w:val="007605AB"/>
    <w:rsid w:val="00761497"/>
    <w:rsid w:val="00761EFA"/>
    <w:rsid w:val="00764873"/>
    <w:rsid w:val="00764A85"/>
    <w:rsid w:val="00766034"/>
    <w:rsid w:val="00767A67"/>
    <w:rsid w:val="00773081"/>
    <w:rsid w:val="00773B29"/>
    <w:rsid w:val="00774C36"/>
    <w:rsid w:val="00776576"/>
    <w:rsid w:val="007778DD"/>
    <w:rsid w:val="00781055"/>
    <w:rsid w:val="00781875"/>
    <w:rsid w:val="00782D56"/>
    <w:rsid w:val="00786A95"/>
    <w:rsid w:val="00787075"/>
    <w:rsid w:val="00787617"/>
    <w:rsid w:val="00796693"/>
    <w:rsid w:val="00797F5F"/>
    <w:rsid w:val="007A0F41"/>
    <w:rsid w:val="007A1C0F"/>
    <w:rsid w:val="007A466D"/>
    <w:rsid w:val="007A4B37"/>
    <w:rsid w:val="007A4C49"/>
    <w:rsid w:val="007B2975"/>
    <w:rsid w:val="007B364F"/>
    <w:rsid w:val="007B6B8A"/>
    <w:rsid w:val="007C172D"/>
    <w:rsid w:val="007C26BD"/>
    <w:rsid w:val="007C33D8"/>
    <w:rsid w:val="007C3977"/>
    <w:rsid w:val="007C5CCF"/>
    <w:rsid w:val="007C6EE6"/>
    <w:rsid w:val="007C7591"/>
    <w:rsid w:val="007D0866"/>
    <w:rsid w:val="007D1C7E"/>
    <w:rsid w:val="007D201B"/>
    <w:rsid w:val="007D2CFC"/>
    <w:rsid w:val="007D34EB"/>
    <w:rsid w:val="007D3EA0"/>
    <w:rsid w:val="007D5CD5"/>
    <w:rsid w:val="007D69B4"/>
    <w:rsid w:val="007D7239"/>
    <w:rsid w:val="007E1C2D"/>
    <w:rsid w:val="007F29DA"/>
    <w:rsid w:val="007F2E06"/>
    <w:rsid w:val="007F32AF"/>
    <w:rsid w:val="007F6AE9"/>
    <w:rsid w:val="00800C0E"/>
    <w:rsid w:val="00802412"/>
    <w:rsid w:val="00810BBD"/>
    <w:rsid w:val="00817D08"/>
    <w:rsid w:val="00822614"/>
    <w:rsid w:val="00825933"/>
    <w:rsid w:val="00826D54"/>
    <w:rsid w:val="00827DE3"/>
    <w:rsid w:val="00832923"/>
    <w:rsid w:val="00833523"/>
    <w:rsid w:val="0083396E"/>
    <w:rsid w:val="00834CBF"/>
    <w:rsid w:val="00835E9D"/>
    <w:rsid w:val="00836DCA"/>
    <w:rsid w:val="00836F89"/>
    <w:rsid w:val="0084211F"/>
    <w:rsid w:val="00846459"/>
    <w:rsid w:val="00853C18"/>
    <w:rsid w:val="0085757D"/>
    <w:rsid w:val="008613F5"/>
    <w:rsid w:val="00863435"/>
    <w:rsid w:val="00864954"/>
    <w:rsid w:val="008671E7"/>
    <w:rsid w:val="00872827"/>
    <w:rsid w:val="0087349A"/>
    <w:rsid w:val="0087532D"/>
    <w:rsid w:val="008765B0"/>
    <w:rsid w:val="00882E08"/>
    <w:rsid w:val="008833E3"/>
    <w:rsid w:val="008841B5"/>
    <w:rsid w:val="00886112"/>
    <w:rsid w:val="008865B6"/>
    <w:rsid w:val="008872D2"/>
    <w:rsid w:val="00887328"/>
    <w:rsid w:val="008949E3"/>
    <w:rsid w:val="00895DF4"/>
    <w:rsid w:val="0089740C"/>
    <w:rsid w:val="008A0296"/>
    <w:rsid w:val="008A0AD5"/>
    <w:rsid w:val="008A0D49"/>
    <w:rsid w:val="008A12E7"/>
    <w:rsid w:val="008A23E1"/>
    <w:rsid w:val="008A4EE7"/>
    <w:rsid w:val="008A5209"/>
    <w:rsid w:val="008A63AC"/>
    <w:rsid w:val="008A6472"/>
    <w:rsid w:val="008A7971"/>
    <w:rsid w:val="008B0A19"/>
    <w:rsid w:val="008B1A4D"/>
    <w:rsid w:val="008B6D46"/>
    <w:rsid w:val="008C0DA6"/>
    <w:rsid w:val="008D0A54"/>
    <w:rsid w:val="008D589C"/>
    <w:rsid w:val="008D5E78"/>
    <w:rsid w:val="008D7F23"/>
    <w:rsid w:val="008E0CC6"/>
    <w:rsid w:val="008E3A8E"/>
    <w:rsid w:val="008E3BEF"/>
    <w:rsid w:val="008E4869"/>
    <w:rsid w:val="008E7085"/>
    <w:rsid w:val="008E75D4"/>
    <w:rsid w:val="008F362F"/>
    <w:rsid w:val="008F60C3"/>
    <w:rsid w:val="00900771"/>
    <w:rsid w:val="00904969"/>
    <w:rsid w:val="00914F7A"/>
    <w:rsid w:val="00915E13"/>
    <w:rsid w:val="009254D6"/>
    <w:rsid w:val="0092669B"/>
    <w:rsid w:val="0092712C"/>
    <w:rsid w:val="00930E88"/>
    <w:rsid w:val="0093163E"/>
    <w:rsid w:val="00931ADB"/>
    <w:rsid w:val="00933462"/>
    <w:rsid w:val="00936436"/>
    <w:rsid w:val="009411D1"/>
    <w:rsid w:val="009423AD"/>
    <w:rsid w:val="00943DB3"/>
    <w:rsid w:val="00952635"/>
    <w:rsid w:val="00953FFA"/>
    <w:rsid w:val="00955700"/>
    <w:rsid w:val="00957461"/>
    <w:rsid w:val="0096094F"/>
    <w:rsid w:val="00960BE3"/>
    <w:rsid w:val="00961F0D"/>
    <w:rsid w:val="00962785"/>
    <w:rsid w:val="00965B98"/>
    <w:rsid w:val="00966BAC"/>
    <w:rsid w:val="00967D28"/>
    <w:rsid w:val="00973F19"/>
    <w:rsid w:val="00974492"/>
    <w:rsid w:val="00975E37"/>
    <w:rsid w:val="00976FE1"/>
    <w:rsid w:val="00984270"/>
    <w:rsid w:val="00985CAA"/>
    <w:rsid w:val="0099249C"/>
    <w:rsid w:val="00992937"/>
    <w:rsid w:val="00995917"/>
    <w:rsid w:val="00995C5B"/>
    <w:rsid w:val="00997689"/>
    <w:rsid w:val="009A0336"/>
    <w:rsid w:val="009A0D78"/>
    <w:rsid w:val="009A2ABE"/>
    <w:rsid w:val="009A2EAB"/>
    <w:rsid w:val="009A5776"/>
    <w:rsid w:val="009A57A5"/>
    <w:rsid w:val="009A6A2F"/>
    <w:rsid w:val="009A7636"/>
    <w:rsid w:val="009B1D17"/>
    <w:rsid w:val="009B57A5"/>
    <w:rsid w:val="009B670E"/>
    <w:rsid w:val="009C2B09"/>
    <w:rsid w:val="009C755C"/>
    <w:rsid w:val="009C780F"/>
    <w:rsid w:val="009D14DE"/>
    <w:rsid w:val="009D3A96"/>
    <w:rsid w:val="009D3BCE"/>
    <w:rsid w:val="009D68D0"/>
    <w:rsid w:val="009D794C"/>
    <w:rsid w:val="009D7ED7"/>
    <w:rsid w:val="009E2A60"/>
    <w:rsid w:val="009E36FD"/>
    <w:rsid w:val="009E7B4B"/>
    <w:rsid w:val="009F080A"/>
    <w:rsid w:val="009F3A13"/>
    <w:rsid w:val="00A000F8"/>
    <w:rsid w:val="00A0212F"/>
    <w:rsid w:val="00A05A36"/>
    <w:rsid w:val="00A11182"/>
    <w:rsid w:val="00A11624"/>
    <w:rsid w:val="00A125F3"/>
    <w:rsid w:val="00A12CE5"/>
    <w:rsid w:val="00A2041C"/>
    <w:rsid w:val="00A25353"/>
    <w:rsid w:val="00A264A8"/>
    <w:rsid w:val="00A266A8"/>
    <w:rsid w:val="00A27164"/>
    <w:rsid w:val="00A27743"/>
    <w:rsid w:val="00A27D17"/>
    <w:rsid w:val="00A31CF9"/>
    <w:rsid w:val="00A33D1B"/>
    <w:rsid w:val="00A34F5F"/>
    <w:rsid w:val="00A44100"/>
    <w:rsid w:val="00A45B8B"/>
    <w:rsid w:val="00A46A68"/>
    <w:rsid w:val="00A46BF9"/>
    <w:rsid w:val="00A50EE9"/>
    <w:rsid w:val="00A50F5A"/>
    <w:rsid w:val="00A5213C"/>
    <w:rsid w:val="00A523C5"/>
    <w:rsid w:val="00A54F7B"/>
    <w:rsid w:val="00A5543F"/>
    <w:rsid w:val="00A5721B"/>
    <w:rsid w:val="00A6148F"/>
    <w:rsid w:val="00A65125"/>
    <w:rsid w:val="00A65493"/>
    <w:rsid w:val="00A660AE"/>
    <w:rsid w:val="00A66DC0"/>
    <w:rsid w:val="00A67C25"/>
    <w:rsid w:val="00A70E8C"/>
    <w:rsid w:val="00A7336C"/>
    <w:rsid w:val="00A746DE"/>
    <w:rsid w:val="00A75978"/>
    <w:rsid w:val="00A75B02"/>
    <w:rsid w:val="00A77246"/>
    <w:rsid w:val="00A77708"/>
    <w:rsid w:val="00A80727"/>
    <w:rsid w:val="00A847CB"/>
    <w:rsid w:val="00A865EE"/>
    <w:rsid w:val="00A86BCC"/>
    <w:rsid w:val="00A86F48"/>
    <w:rsid w:val="00A8783F"/>
    <w:rsid w:val="00A87B24"/>
    <w:rsid w:val="00A9033C"/>
    <w:rsid w:val="00A90D66"/>
    <w:rsid w:val="00A96727"/>
    <w:rsid w:val="00A975C0"/>
    <w:rsid w:val="00AA090A"/>
    <w:rsid w:val="00AA3E0C"/>
    <w:rsid w:val="00AA77D7"/>
    <w:rsid w:val="00AB37E5"/>
    <w:rsid w:val="00AB5CF2"/>
    <w:rsid w:val="00AB6429"/>
    <w:rsid w:val="00AC2466"/>
    <w:rsid w:val="00AC2776"/>
    <w:rsid w:val="00AC362B"/>
    <w:rsid w:val="00AC5F07"/>
    <w:rsid w:val="00AC7AD3"/>
    <w:rsid w:val="00AD029D"/>
    <w:rsid w:val="00AD0A33"/>
    <w:rsid w:val="00AD1B4E"/>
    <w:rsid w:val="00AD31BE"/>
    <w:rsid w:val="00AE0982"/>
    <w:rsid w:val="00AE1DA1"/>
    <w:rsid w:val="00AE2288"/>
    <w:rsid w:val="00AE23C0"/>
    <w:rsid w:val="00AE2634"/>
    <w:rsid w:val="00AE2D72"/>
    <w:rsid w:val="00AE37E5"/>
    <w:rsid w:val="00AE5216"/>
    <w:rsid w:val="00AE5F29"/>
    <w:rsid w:val="00AF19D4"/>
    <w:rsid w:val="00AF1BB0"/>
    <w:rsid w:val="00AF2C7C"/>
    <w:rsid w:val="00AF30F5"/>
    <w:rsid w:val="00AF3B44"/>
    <w:rsid w:val="00AF678A"/>
    <w:rsid w:val="00AF7902"/>
    <w:rsid w:val="00B015B5"/>
    <w:rsid w:val="00B038A9"/>
    <w:rsid w:val="00B03DD9"/>
    <w:rsid w:val="00B0641F"/>
    <w:rsid w:val="00B067DD"/>
    <w:rsid w:val="00B07524"/>
    <w:rsid w:val="00B113E7"/>
    <w:rsid w:val="00B115D7"/>
    <w:rsid w:val="00B13013"/>
    <w:rsid w:val="00B20115"/>
    <w:rsid w:val="00B23AE4"/>
    <w:rsid w:val="00B3078E"/>
    <w:rsid w:val="00B33724"/>
    <w:rsid w:val="00B33C28"/>
    <w:rsid w:val="00B35B7C"/>
    <w:rsid w:val="00B36790"/>
    <w:rsid w:val="00B400DE"/>
    <w:rsid w:val="00B461C7"/>
    <w:rsid w:val="00B46677"/>
    <w:rsid w:val="00B4760C"/>
    <w:rsid w:val="00B47F5B"/>
    <w:rsid w:val="00B505D5"/>
    <w:rsid w:val="00B51C0E"/>
    <w:rsid w:val="00B53C15"/>
    <w:rsid w:val="00B57620"/>
    <w:rsid w:val="00B60C3E"/>
    <w:rsid w:val="00B62AFE"/>
    <w:rsid w:val="00B62BF2"/>
    <w:rsid w:val="00B66140"/>
    <w:rsid w:val="00B66820"/>
    <w:rsid w:val="00B6736B"/>
    <w:rsid w:val="00B7087F"/>
    <w:rsid w:val="00B70D0E"/>
    <w:rsid w:val="00B722B6"/>
    <w:rsid w:val="00B72548"/>
    <w:rsid w:val="00B72F6A"/>
    <w:rsid w:val="00B74308"/>
    <w:rsid w:val="00B7746D"/>
    <w:rsid w:val="00B7755E"/>
    <w:rsid w:val="00B820A3"/>
    <w:rsid w:val="00B8539A"/>
    <w:rsid w:val="00B86CAC"/>
    <w:rsid w:val="00B90095"/>
    <w:rsid w:val="00B91226"/>
    <w:rsid w:val="00B95E61"/>
    <w:rsid w:val="00B9675D"/>
    <w:rsid w:val="00B96F57"/>
    <w:rsid w:val="00B97C61"/>
    <w:rsid w:val="00BA1319"/>
    <w:rsid w:val="00BA2172"/>
    <w:rsid w:val="00BA706A"/>
    <w:rsid w:val="00BA74D2"/>
    <w:rsid w:val="00BB3F7D"/>
    <w:rsid w:val="00BB573F"/>
    <w:rsid w:val="00BB5E17"/>
    <w:rsid w:val="00BB698F"/>
    <w:rsid w:val="00BC1DBF"/>
    <w:rsid w:val="00BC58F0"/>
    <w:rsid w:val="00BC5F7D"/>
    <w:rsid w:val="00BC5FE7"/>
    <w:rsid w:val="00BD1EAD"/>
    <w:rsid w:val="00BD2603"/>
    <w:rsid w:val="00BD2679"/>
    <w:rsid w:val="00BD3522"/>
    <w:rsid w:val="00BD43E6"/>
    <w:rsid w:val="00BD6829"/>
    <w:rsid w:val="00BE06B3"/>
    <w:rsid w:val="00BE5958"/>
    <w:rsid w:val="00BF331C"/>
    <w:rsid w:val="00BF434F"/>
    <w:rsid w:val="00C0152F"/>
    <w:rsid w:val="00C01834"/>
    <w:rsid w:val="00C021BA"/>
    <w:rsid w:val="00C041DB"/>
    <w:rsid w:val="00C060A7"/>
    <w:rsid w:val="00C0799A"/>
    <w:rsid w:val="00C11215"/>
    <w:rsid w:val="00C11D0D"/>
    <w:rsid w:val="00C140B6"/>
    <w:rsid w:val="00C17312"/>
    <w:rsid w:val="00C1789F"/>
    <w:rsid w:val="00C26544"/>
    <w:rsid w:val="00C27AD4"/>
    <w:rsid w:val="00C30D60"/>
    <w:rsid w:val="00C34BEA"/>
    <w:rsid w:val="00C356C6"/>
    <w:rsid w:val="00C4167A"/>
    <w:rsid w:val="00C43176"/>
    <w:rsid w:val="00C437C9"/>
    <w:rsid w:val="00C4773E"/>
    <w:rsid w:val="00C50195"/>
    <w:rsid w:val="00C509C3"/>
    <w:rsid w:val="00C50A17"/>
    <w:rsid w:val="00C623B7"/>
    <w:rsid w:val="00C64F12"/>
    <w:rsid w:val="00C7091F"/>
    <w:rsid w:val="00C70C96"/>
    <w:rsid w:val="00C70EAE"/>
    <w:rsid w:val="00C70ECA"/>
    <w:rsid w:val="00C72D15"/>
    <w:rsid w:val="00C76686"/>
    <w:rsid w:val="00C8231F"/>
    <w:rsid w:val="00C823DC"/>
    <w:rsid w:val="00C82A4D"/>
    <w:rsid w:val="00C83B65"/>
    <w:rsid w:val="00C859D9"/>
    <w:rsid w:val="00C8699B"/>
    <w:rsid w:val="00C9536A"/>
    <w:rsid w:val="00C979AC"/>
    <w:rsid w:val="00CA7011"/>
    <w:rsid w:val="00CB03E6"/>
    <w:rsid w:val="00CB29B7"/>
    <w:rsid w:val="00CB46C3"/>
    <w:rsid w:val="00CC47D5"/>
    <w:rsid w:val="00CC64CC"/>
    <w:rsid w:val="00CD18BC"/>
    <w:rsid w:val="00CD1C0F"/>
    <w:rsid w:val="00CD50B5"/>
    <w:rsid w:val="00CD73A9"/>
    <w:rsid w:val="00CD78D3"/>
    <w:rsid w:val="00CE3A3E"/>
    <w:rsid w:val="00CE484D"/>
    <w:rsid w:val="00CE4D4B"/>
    <w:rsid w:val="00CE768B"/>
    <w:rsid w:val="00CF77E3"/>
    <w:rsid w:val="00CF7F38"/>
    <w:rsid w:val="00D00A4D"/>
    <w:rsid w:val="00D00C9B"/>
    <w:rsid w:val="00D02F18"/>
    <w:rsid w:val="00D054A3"/>
    <w:rsid w:val="00D06913"/>
    <w:rsid w:val="00D06F12"/>
    <w:rsid w:val="00D07496"/>
    <w:rsid w:val="00D1186E"/>
    <w:rsid w:val="00D21EF3"/>
    <w:rsid w:val="00D231CE"/>
    <w:rsid w:val="00D2696C"/>
    <w:rsid w:val="00D26B19"/>
    <w:rsid w:val="00D36772"/>
    <w:rsid w:val="00D41205"/>
    <w:rsid w:val="00D46790"/>
    <w:rsid w:val="00D468E2"/>
    <w:rsid w:val="00D470BE"/>
    <w:rsid w:val="00D4743C"/>
    <w:rsid w:val="00D50767"/>
    <w:rsid w:val="00D51CD5"/>
    <w:rsid w:val="00D56673"/>
    <w:rsid w:val="00D6200E"/>
    <w:rsid w:val="00D6504C"/>
    <w:rsid w:val="00D669BE"/>
    <w:rsid w:val="00D66ABE"/>
    <w:rsid w:val="00D6709F"/>
    <w:rsid w:val="00D677AA"/>
    <w:rsid w:val="00D71686"/>
    <w:rsid w:val="00D73ABF"/>
    <w:rsid w:val="00D73F4D"/>
    <w:rsid w:val="00D765F7"/>
    <w:rsid w:val="00D773CC"/>
    <w:rsid w:val="00D82451"/>
    <w:rsid w:val="00D82E57"/>
    <w:rsid w:val="00D83567"/>
    <w:rsid w:val="00D85282"/>
    <w:rsid w:val="00D90CA6"/>
    <w:rsid w:val="00D913F0"/>
    <w:rsid w:val="00D91C27"/>
    <w:rsid w:val="00D91D85"/>
    <w:rsid w:val="00D93941"/>
    <w:rsid w:val="00D93BD9"/>
    <w:rsid w:val="00D94B6C"/>
    <w:rsid w:val="00D94F1B"/>
    <w:rsid w:val="00DA0861"/>
    <w:rsid w:val="00DA0B69"/>
    <w:rsid w:val="00DA1336"/>
    <w:rsid w:val="00DA38E1"/>
    <w:rsid w:val="00DB0B11"/>
    <w:rsid w:val="00DB63DB"/>
    <w:rsid w:val="00DB6D86"/>
    <w:rsid w:val="00DC0BE5"/>
    <w:rsid w:val="00DC1693"/>
    <w:rsid w:val="00DC37AF"/>
    <w:rsid w:val="00DC501A"/>
    <w:rsid w:val="00DC50EC"/>
    <w:rsid w:val="00DC5452"/>
    <w:rsid w:val="00DC54E0"/>
    <w:rsid w:val="00DC5925"/>
    <w:rsid w:val="00DC60FA"/>
    <w:rsid w:val="00DD00DE"/>
    <w:rsid w:val="00DD1F83"/>
    <w:rsid w:val="00DE06E3"/>
    <w:rsid w:val="00DE0C57"/>
    <w:rsid w:val="00DE14DC"/>
    <w:rsid w:val="00DE1ACB"/>
    <w:rsid w:val="00DE23AF"/>
    <w:rsid w:val="00DE4BB6"/>
    <w:rsid w:val="00DE572B"/>
    <w:rsid w:val="00DE7F6B"/>
    <w:rsid w:val="00DF3B9A"/>
    <w:rsid w:val="00DF70BB"/>
    <w:rsid w:val="00DF7C87"/>
    <w:rsid w:val="00E03392"/>
    <w:rsid w:val="00E07CC9"/>
    <w:rsid w:val="00E11A2D"/>
    <w:rsid w:val="00E154D9"/>
    <w:rsid w:val="00E17598"/>
    <w:rsid w:val="00E20F6F"/>
    <w:rsid w:val="00E214E6"/>
    <w:rsid w:val="00E25E35"/>
    <w:rsid w:val="00E27586"/>
    <w:rsid w:val="00E327AC"/>
    <w:rsid w:val="00E32DF8"/>
    <w:rsid w:val="00E35856"/>
    <w:rsid w:val="00E3615E"/>
    <w:rsid w:val="00E372A5"/>
    <w:rsid w:val="00E378A0"/>
    <w:rsid w:val="00E4012D"/>
    <w:rsid w:val="00E40988"/>
    <w:rsid w:val="00E41BDE"/>
    <w:rsid w:val="00E43D3C"/>
    <w:rsid w:val="00E459DC"/>
    <w:rsid w:val="00E4665E"/>
    <w:rsid w:val="00E532D5"/>
    <w:rsid w:val="00E54B89"/>
    <w:rsid w:val="00E576D5"/>
    <w:rsid w:val="00E579B9"/>
    <w:rsid w:val="00E633BE"/>
    <w:rsid w:val="00E647F6"/>
    <w:rsid w:val="00E6662C"/>
    <w:rsid w:val="00E66C88"/>
    <w:rsid w:val="00E7537A"/>
    <w:rsid w:val="00E8553F"/>
    <w:rsid w:val="00E91D7A"/>
    <w:rsid w:val="00E939C8"/>
    <w:rsid w:val="00E94075"/>
    <w:rsid w:val="00E94C04"/>
    <w:rsid w:val="00E95117"/>
    <w:rsid w:val="00E96EE0"/>
    <w:rsid w:val="00EA0830"/>
    <w:rsid w:val="00EA0FBA"/>
    <w:rsid w:val="00EA10CF"/>
    <w:rsid w:val="00EA193B"/>
    <w:rsid w:val="00EA464C"/>
    <w:rsid w:val="00EA4DBE"/>
    <w:rsid w:val="00EA5199"/>
    <w:rsid w:val="00EA6909"/>
    <w:rsid w:val="00EA6E2E"/>
    <w:rsid w:val="00EB0EB1"/>
    <w:rsid w:val="00EB1EC3"/>
    <w:rsid w:val="00EB2FF0"/>
    <w:rsid w:val="00EB5550"/>
    <w:rsid w:val="00EB67C6"/>
    <w:rsid w:val="00EC55DF"/>
    <w:rsid w:val="00EC7027"/>
    <w:rsid w:val="00ED0B64"/>
    <w:rsid w:val="00ED1489"/>
    <w:rsid w:val="00ED54C4"/>
    <w:rsid w:val="00ED5C65"/>
    <w:rsid w:val="00ED5FC8"/>
    <w:rsid w:val="00ED7A05"/>
    <w:rsid w:val="00EE334C"/>
    <w:rsid w:val="00EE3736"/>
    <w:rsid w:val="00EE40EB"/>
    <w:rsid w:val="00EF2F95"/>
    <w:rsid w:val="00EF4347"/>
    <w:rsid w:val="00EF4A25"/>
    <w:rsid w:val="00EF4A56"/>
    <w:rsid w:val="00EF6370"/>
    <w:rsid w:val="00F01A7F"/>
    <w:rsid w:val="00F02153"/>
    <w:rsid w:val="00F03502"/>
    <w:rsid w:val="00F03F76"/>
    <w:rsid w:val="00F058DF"/>
    <w:rsid w:val="00F063AE"/>
    <w:rsid w:val="00F15675"/>
    <w:rsid w:val="00F15DA4"/>
    <w:rsid w:val="00F16004"/>
    <w:rsid w:val="00F16BE6"/>
    <w:rsid w:val="00F21250"/>
    <w:rsid w:val="00F2398D"/>
    <w:rsid w:val="00F2430B"/>
    <w:rsid w:val="00F25BA7"/>
    <w:rsid w:val="00F26C23"/>
    <w:rsid w:val="00F271A6"/>
    <w:rsid w:val="00F31520"/>
    <w:rsid w:val="00F32073"/>
    <w:rsid w:val="00F3443D"/>
    <w:rsid w:val="00F35E7B"/>
    <w:rsid w:val="00F3683C"/>
    <w:rsid w:val="00F37898"/>
    <w:rsid w:val="00F37B1F"/>
    <w:rsid w:val="00F40D42"/>
    <w:rsid w:val="00F51E07"/>
    <w:rsid w:val="00F5569A"/>
    <w:rsid w:val="00F56900"/>
    <w:rsid w:val="00F6174D"/>
    <w:rsid w:val="00F634A3"/>
    <w:rsid w:val="00F677C8"/>
    <w:rsid w:val="00F70716"/>
    <w:rsid w:val="00F710F9"/>
    <w:rsid w:val="00F71ADC"/>
    <w:rsid w:val="00F726E6"/>
    <w:rsid w:val="00F75B35"/>
    <w:rsid w:val="00F7620F"/>
    <w:rsid w:val="00F814CB"/>
    <w:rsid w:val="00F815B9"/>
    <w:rsid w:val="00F87F40"/>
    <w:rsid w:val="00F90814"/>
    <w:rsid w:val="00F9449C"/>
    <w:rsid w:val="00F948C1"/>
    <w:rsid w:val="00FA06E8"/>
    <w:rsid w:val="00FA0AE4"/>
    <w:rsid w:val="00FA2EAD"/>
    <w:rsid w:val="00FA75A5"/>
    <w:rsid w:val="00FB38E4"/>
    <w:rsid w:val="00FB419B"/>
    <w:rsid w:val="00FB471F"/>
    <w:rsid w:val="00FB4DBA"/>
    <w:rsid w:val="00FB667E"/>
    <w:rsid w:val="00FC362B"/>
    <w:rsid w:val="00FC5A1B"/>
    <w:rsid w:val="00FC73CB"/>
    <w:rsid w:val="00FD0F2B"/>
    <w:rsid w:val="00FD3CAB"/>
    <w:rsid w:val="00FD7AC3"/>
    <w:rsid w:val="00FE0168"/>
    <w:rsid w:val="00FE3755"/>
    <w:rsid w:val="00FE4DBB"/>
    <w:rsid w:val="00FE552D"/>
    <w:rsid w:val="00FF03D1"/>
    <w:rsid w:val="00FF07B8"/>
    <w:rsid w:val="00FF1665"/>
    <w:rsid w:val="00FF195C"/>
    <w:rsid w:val="00FF60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C56123"/>
  <w15:docId w15:val="{04232D6C-C5D9-4D4F-BBBA-223D16458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A0D69"/>
    <w:pPr>
      <w:spacing w:line="360" w:lineRule="auto"/>
    </w:pPr>
    <w:rPr>
      <w:rFonts w:cs="Arial"/>
      <w:sz w:val="24"/>
      <w:szCs w:val="24"/>
    </w:rPr>
  </w:style>
  <w:style w:type="paragraph" w:styleId="Heading1">
    <w:name w:val="heading 1"/>
    <w:basedOn w:val="Normal"/>
    <w:next w:val="Normal"/>
    <w:link w:val="Heading1Char"/>
    <w:qFormat/>
    <w:rsid w:val="00721572"/>
    <w:pPr>
      <w:autoSpaceDE w:val="0"/>
      <w:autoSpaceDN w:val="0"/>
      <w:adjustRightInd w:val="0"/>
      <w:jc w:val="center"/>
      <w:outlineLvl w:val="0"/>
    </w:pPr>
    <w:rPr>
      <w:b/>
      <w:bCs/>
      <w:caps/>
    </w:rPr>
  </w:style>
  <w:style w:type="paragraph" w:styleId="Heading2">
    <w:name w:val="heading 2"/>
    <w:basedOn w:val="Normal"/>
    <w:next w:val="Normal"/>
    <w:qFormat/>
    <w:rsid w:val="00721572"/>
    <w:pPr>
      <w:keepNext/>
      <w:spacing w:before="240" w:after="60"/>
      <w:jc w:val="center"/>
      <w:outlineLvl w:val="1"/>
    </w:pPr>
    <w:rPr>
      <w:b/>
      <w:bCs/>
      <w:iCs/>
      <w:szCs w:val="28"/>
    </w:rPr>
  </w:style>
  <w:style w:type="paragraph" w:styleId="Heading3">
    <w:name w:val="heading 3"/>
    <w:basedOn w:val="Normal"/>
    <w:next w:val="Normal"/>
    <w:link w:val="Heading3Char"/>
    <w:qFormat/>
    <w:rsid w:val="00665C7E"/>
    <w:pPr>
      <w:keepNext/>
      <w:spacing w:before="240" w:after="60"/>
      <w:outlineLvl w:val="2"/>
    </w:pPr>
    <w:rPr>
      <w:b/>
      <w:bCs/>
      <w:i/>
      <w:szCs w:val="26"/>
    </w:rPr>
  </w:style>
  <w:style w:type="paragraph" w:styleId="Heading7">
    <w:name w:val="heading 7"/>
    <w:basedOn w:val="Heading1"/>
    <w:next w:val="Normal"/>
    <w:link w:val="Heading7Char"/>
    <w:unhideWhenUsed/>
    <w:qFormat/>
    <w:rsid w:val="006A0D69"/>
    <w:pPr>
      <w:keepNext/>
      <w:keepLines/>
      <w:numPr>
        <w:numId w:val="3"/>
      </w:numPr>
      <w:spacing w:before="40"/>
      <w:outlineLvl w:val="6"/>
    </w:pPr>
    <w:rPr>
      <w:rFonts w:eastAsiaTheme="majorEastAsia"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ETDTitle">
    <w:name w:val="ETD Title"/>
    <w:basedOn w:val="Normal"/>
    <w:qFormat/>
    <w:rsid w:val="00334400"/>
    <w:pPr>
      <w:jc w:val="center"/>
    </w:pPr>
    <w:rPr>
      <w:b/>
      <w:lang w:val="en-CA"/>
    </w:rPr>
  </w:style>
  <w:style w:type="character" w:customStyle="1" w:styleId="SYSHYPERTEXT">
    <w:name w:val="SYS_HYPERTEXT"/>
    <w:rsid w:val="00665C7E"/>
    <w:rPr>
      <w:noProof/>
      <w:color w:val="0000FF"/>
      <w:u w:val="single"/>
    </w:rPr>
  </w:style>
  <w:style w:type="character" w:customStyle="1" w:styleId="TitleChar">
    <w:name w:val="Title Char"/>
    <w:link w:val="Title"/>
    <w:rsid w:val="00387656"/>
    <w:rPr>
      <w:rFonts w:ascii="Arial" w:hAnsi="Arial" w:cs="Arial"/>
      <w:b/>
      <w:sz w:val="28"/>
      <w:szCs w:val="24"/>
      <w:lang w:val="en-CA"/>
    </w:rPr>
  </w:style>
  <w:style w:type="character" w:customStyle="1" w:styleId="FooterChar">
    <w:name w:val="Footer Char"/>
    <w:link w:val="Footer"/>
    <w:uiPriority w:val="99"/>
    <w:rsid w:val="00387656"/>
    <w:rPr>
      <w:rFonts w:ascii="Arial" w:hAnsi="Arial" w:cs="Arial"/>
      <w:sz w:val="24"/>
      <w:szCs w:val="24"/>
    </w:rPr>
  </w:style>
  <w:style w:type="paragraph" w:styleId="Title">
    <w:name w:val="Title"/>
    <w:basedOn w:val="ETDTitle"/>
    <w:link w:val="TitleChar"/>
    <w:qFormat/>
    <w:rsid w:val="00387656"/>
    <w:rPr>
      <w:sz w:val="28"/>
    </w:rPr>
  </w:style>
  <w:style w:type="paragraph" w:styleId="TOCHeading">
    <w:name w:val="TOC Heading"/>
    <w:basedOn w:val="Heading1"/>
    <w:next w:val="Normal"/>
    <w:uiPriority w:val="39"/>
    <w:unhideWhenUsed/>
    <w:qFormat/>
    <w:rsid w:val="00387656"/>
    <w:pPr>
      <w:keepNext/>
      <w:keepLines/>
      <w:autoSpaceDE/>
      <w:autoSpaceDN/>
      <w:adjustRightInd/>
      <w:spacing w:before="480" w:line="276" w:lineRule="auto"/>
      <w:jc w:val="left"/>
      <w:outlineLvl w:val="9"/>
    </w:pPr>
    <w:rPr>
      <w:rFonts w:ascii="Cambria" w:eastAsia="MS Gothic" w:hAnsi="Cambria" w:cs="Times New Roman"/>
      <w:caps w:val="0"/>
      <w:color w:val="365F91"/>
      <w:szCs w:val="28"/>
      <w:lang w:eastAsia="ja-JP"/>
    </w:rPr>
  </w:style>
  <w:style w:type="paragraph" w:styleId="Caption">
    <w:name w:val="caption"/>
    <w:basedOn w:val="Normal"/>
    <w:next w:val="Normal"/>
    <w:qFormat/>
    <w:rsid w:val="004C2071"/>
    <w:pPr>
      <w:keepNext/>
      <w:spacing w:before="120" w:after="120"/>
    </w:pPr>
    <w:rPr>
      <w:b/>
      <w:bCs/>
    </w:rPr>
  </w:style>
  <w:style w:type="paragraph" w:styleId="TableofFigures">
    <w:name w:val="table of figures"/>
    <w:basedOn w:val="Normal"/>
    <w:next w:val="Normal"/>
    <w:uiPriority w:val="99"/>
    <w:rsid w:val="00685AE0"/>
    <w:pPr>
      <w:ind w:left="480" w:hanging="480"/>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A3EB6"/>
    <w:pPr>
      <w:tabs>
        <w:tab w:val="right" w:leader="dot" w:pos="8630"/>
      </w:tabs>
      <w:spacing w:line="480" w:lineRule="auto"/>
      <w:ind w:left="480"/>
    </w:pPr>
    <w:rPr>
      <w:rFonts w:cs="Times New Roman"/>
      <w:b/>
      <w:bCs/>
      <w:i/>
      <w:noProof/>
    </w:r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character" w:customStyle="1" w:styleId="Heading1Char">
    <w:name w:val="Heading 1 Char"/>
    <w:link w:val="Heading1"/>
    <w:rsid w:val="00721572"/>
    <w:rPr>
      <w:rFonts w:cs="Arial"/>
      <w:b/>
      <w:bCs/>
      <w:caps/>
      <w:sz w:val="24"/>
      <w:szCs w:val="24"/>
    </w:rPr>
  </w:style>
  <w:style w:type="character" w:customStyle="1" w:styleId="Heading3Char">
    <w:name w:val="Heading 3 Char"/>
    <w:link w:val="Heading3"/>
    <w:rsid w:val="00975E37"/>
    <w:rPr>
      <w:rFonts w:ascii="Arial" w:hAnsi="Arial" w:cs="Arial"/>
      <w:b/>
      <w:bCs/>
      <w:i/>
      <w:sz w:val="24"/>
      <w:szCs w:val="26"/>
    </w:rPr>
  </w:style>
  <w:style w:type="table" w:styleId="TableGrid">
    <w:name w:val="Table Grid"/>
    <w:basedOn w:val="TableNormal"/>
    <w:rsid w:val="00975E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A1AFC"/>
    <w:rPr>
      <w:color w:val="605E5C"/>
      <w:shd w:val="clear" w:color="auto" w:fill="E1DFDD"/>
    </w:rPr>
  </w:style>
  <w:style w:type="table" w:styleId="TableGridLight">
    <w:name w:val="Grid Table Light"/>
    <w:basedOn w:val="TableNormal"/>
    <w:uiPriority w:val="40"/>
    <w:rsid w:val="007039A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D94B6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D94B6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1">
    <w:name w:val="Table Grid1"/>
    <w:basedOn w:val="TableNormal"/>
    <w:next w:val="TableGrid"/>
    <w:rsid w:val="005B3801"/>
    <w:rPr>
      <w:rFonts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A2EAB"/>
    <w:rPr>
      <w:rFonts w:cs="Arial"/>
      <w:sz w:val="24"/>
      <w:szCs w:val="24"/>
    </w:rPr>
  </w:style>
  <w:style w:type="character" w:styleId="CommentReference">
    <w:name w:val="annotation reference"/>
    <w:basedOn w:val="DefaultParagraphFont"/>
    <w:semiHidden/>
    <w:unhideWhenUsed/>
    <w:rsid w:val="009A2EAB"/>
    <w:rPr>
      <w:sz w:val="16"/>
      <w:szCs w:val="16"/>
    </w:rPr>
  </w:style>
  <w:style w:type="paragraph" w:styleId="CommentText">
    <w:name w:val="annotation text"/>
    <w:basedOn w:val="Normal"/>
    <w:link w:val="CommentTextChar"/>
    <w:unhideWhenUsed/>
    <w:rsid w:val="009A2EAB"/>
    <w:pPr>
      <w:spacing w:line="240" w:lineRule="auto"/>
    </w:pPr>
    <w:rPr>
      <w:sz w:val="20"/>
      <w:szCs w:val="20"/>
    </w:rPr>
  </w:style>
  <w:style w:type="character" w:customStyle="1" w:styleId="CommentTextChar">
    <w:name w:val="Comment Text Char"/>
    <w:basedOn w:val="DefaultParagraphFont"/>
    <w:link w:val="CommentText"/>
    <w:rsid w:val="009A2EAB"/>
    <w:rPr>
      <w:rFonts w:cs="Arial"/>
    </w:rPr>
  </w:style>
  <w:style w:type="paragraph" w:styleId="CommentSubject">
    <w:name w:val="annotation subject"/>
    <w:basedOn w:val="CommentText"/>
    <w:next w:val="CommentText"/>
    <w:link w:val="CommentSubjectChar"/>
    <w:semiHidden/>
    <w:unhideWhenUsed/>
    <w:rsid w:val="009A2EAB"/>
    <w:rPr>
      <w:b/>
      <w:bCs/>
    </w:rPr>
  </w:style>
  <w:style w:type="character" w:customStyle="1" w:styleId="CommentSubjectChar">
    <w:name w:val="Comment Subject Char"/>
    <w:basedOn w:val="CommentTextChar"/>
    <w:link w:val="CommentSubject"/>
    <w:semiHidden/>
    <w:rsid w:val="009A2EAB"/>
    <w:rPr>
      <w:rFonts w:cs="Arial"/>
      <w:b/>
      <w:bCs/>
    </w:rPr>
  </w:style>
  <w:style w:type="paragraph" w:styleId="Bibliography">
    <w:name w:val="Bibliography"/>
    <w:basedOn w:val="Normal"/>
    <w:next w:val="Normal"/>
    <w:uiPriority w:val="37"/>
    <w:unhideWhenUsed/>
    <w:rsid w:val="00C27AD4"/>
    <w:pPr>
      <w:spacing w:line="480" w:lineRule="auto"/>
      <w:ind w:left="720" w:hanging="720"/>
    </w:pPr>
  </w:style>
  <w:style w:type="paragraph" w:styleId="NormalWeb">
    <w:name w:val="Normal (Web)"/>
    <w:basedOn w:val="Normal"/>
    <w:uiPriority w:val="99"/>
    <w:unhideWhenUsed/>
    <w:rsid w:val="001157BC"/>
    <w:pPr>
      <w:spacing w:before="100" w:beforeAutospacing="1" w:after="100" w:afterAutospacing="1" w:line="240" w:lineRule="auto"/>
    </w:pPr>
    <w:rPr>
      <w:rFonts w:cs="Times New Roman"/>
      <w:lang w:val="pt-BR" w:eastAsia="pt-BR"/>
    </w:rPr>
  </w:style>
  <w:style w:type="paragraph" w:customStyle="1" w:styleId="CHAPTER">
    <w:name w:val="CHAPTER"/>
    <w:basedOn w:val="Heading1"/>
    <w:link w:val="CHAPTERChar"/>
    <w:qFormat/>
    <w:rsid w:val="002D00D0"/>
    <w:pPr>
      <w:numPr>
        <w:numId w:val="2"/>
      </w:numPr>
    </w:pPr>
  </w:style>
  <w:style w:type="character" w:customStyle="1" w:styleId="CHAPTERChar">
    <w:name w:val="CHAPTER Char"/>
    <w:basedOn w:val="Heading1Char"/>
    <w:link w:val="CHAPTER"/>
    <w:rsid w:val="002D00D0"/>
    <w:rPr>
      <w:rFonts w:cs="Arial"/>
      <w:b/>
      <w:bCs/>
      <w:caps/>
      <w:sz w:val="24"/>
      <w:szCs w:val="24"/>
    </w:rPr>
  </w:style>
  <w:style w:type="character" w:customStyle="1" w:styleId="Heading7Char">
    <w:name w:val="Heading 7 Char"/>
    <w:basedOn w:val="DefaultParagraphFont"/>
    <w:link w:val="Heading7"/>
    <w:rsid w:val="006A0D69"/>
    <w:rPr>
      <w:rFonts w:eastAsiaTheme="majorEastAsia" w:cstheme="majorBidi"/>
      <w:b/>
      <w:bCs/>
      <w:i/>
      <w:iCs/>
      <w:caps/>
      <w:color w:val="243F60" w:themeColor="accent1" w:themeShade="7F"/>
      <w:sz w:val="24"/>
      <w:szCs w:val="24"/>
    </w:rPr>
  </w:style>
  <w:style w:type="paragraph" w:customStyle="1" w:styleId="myfigures">
    <w:name w:val="my figures"/>
    <w:basedOn w:val="Caption"/>
    <w:next w:val="Caption"/>
    <w:qFormat/>
    <w:rsid w:val="000D1083"/>
    <w:pPr>
      <w:numPr>
        <w:ilvl w:val="12"/>
      </w:numPr>
      <w:spacing w:line="240" w:lineRule="auto"/>
    </w:pPr>
    <w:rPr>
      <w:rFonts w:cs="Times New Roman"/>
    </w:rPr>
  </w:style>
  <w:style w:type="paragraph" w:customStyle="1" w:styleId="mytables">
    <w:name w:val="my tables"/>
    <w:basedOn w:val="Caption"/>
    <w:next w:val="Caption"/>
    <w:qFormat/>
    <w:rsid w:val="000D1083"/>
    <w:pPr>
      <w:spacing w:line="240" w:lineRule="auto"/>
    </w:pPr>
  </w:style>
  <w:style w:type="paragraph" w:styleId="ListParagraph">
    <w:name w:val="List Paragraph"/>
    <w:basedOn w:val="Normal"/>
    <w:uiPriority w:val="34"/>
    <w:qFormat/>
    <w:rsid w:val="00421F15"/>
    <w:pPr>
      <w:ind w:left="720"/>
      <w:contextualSpacing/>
    </w:pPr>
  </w:style>
  <w:style w:type="character" w:styleId="PlaceholderText">
    <w:name w:val="Placeholder Text"/>
    <w:basedOn w:val="DefaultParagraphFont"/>
    <w:uiPriority w:val="99"/>
    <w:semiHidden/>
    <w:rsid w:val="00DD1F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7042">
      <w:marLeft w:val="0"/>
      <w:marRight w:val="0"/>
      <w:marTop w:val="0"/>
      <w:marBottom w:val="0"/>
      <w:divBdr>
        <w:top w:val="none" w:sz="0" w:space="0" w:color="auto"/>
        <w:left w:val="none" w:sz="0" w:space="0" w:color="auto"/>
        <w:bottom w:val="none" w:sz="0" w:space="0" w:color="auto"/>
        <w:right w:val="none" w:sz="0" w:space="0" w:color="auto"/>
      </w:divBdr>
      <w:divsChild>
        <w:div w:id="2098138653">
          <w:marLeft w:val="0"/>
          <w:marRight w:val="0"/>
          <w:marTop w:val="0"/>
          <w:marBottom w:val="0"/>
          <w:divBdr>
            <w:top w:val="none" w:sz="0" w:space="0" w:color="auto"/>
            <w:left w:val="none" w:sz="0" w:space="0" w:color="auto"/>
            <w:bottom w:val="none" w:sz="0" w:space="0" w:color="auto"/>
            <w:right w:val="none" w:sz="0" w:space="0" w:color="auto"/>
          </w:divBdr>
        </w:div>
      </w:divsChild>
    </w:div>
    <w:div w:id="2636744">
      <w:bodyDiv w:val="1"/>
      <w:marLeft w:val="0"/>
      <w:marRight w:val="0"/>
      <w:marTop w:val="0"/>
      <w:marBottom w:val="0"/>
      <w:divBdr>
        <w:top w:val="none" w:sz="0" w:space="0" w:color="auto"/>
        <w:left w:val="none" w:sz="0" w:space="0" w:color="auto"/>
        <w:bottom w:val="none" w:sz="0" w:space="0" w:color="auto"/>
        <w:right w:val="none" w:sz="0" w:space="0" w:color="auto"/>
      </w:divBdr>
    </w:div>
    <w:div w:id="19404729">
      <w:bodyDiv w:val="1"/>
      <w:marLeft w:val="0"/>
      <w:marRight w:val="0"/>
      <w:marTop w:val="0"/>
      <w:marBottom w:val="0"/>
      <w:divBdr>
        <w:top w:val="none" w:sz="0" w:space="0" w:color="auto"/>
        <w:left w:val="none" w:sz="0" w:space="0" w:color="auto"/>
        <w:bottom w:val="none" w:sz="0" w:space="0" w:color="auto"/>
        <w:right w:val="none" w:sz="0" w:space="0" w:color="auto"/>
      </w:divBdr>
      <w:divsChild>
        <w:div w:id="635650459">
          <w:marLeft w:val="0"/>
          <w:marRight w:val="0"/>
          <w:marTop w:val="0"/>
          <w:marBottom w:val="0"/>
          <w:divBdr>
            <w:top w:val="none" w:sz="0" w:space="0" w:color="auto"/>
            <w:left w:val="none" w:sz="0" w:space="0" w:color="auto"/>
            <w:bottom w:val="none" w:sz="0" w:space="0" w:color="auto"/>
            <w:right w:val="none" w:sz="0" w:space="0" w:color="auto"/>
          </w:divBdr>
          <w:divsChild>
            <w:div w:id="1246647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90785">
      <w:bodyDiv w:val="1"/>
      <w:marLeft w:val="0"/>
      <w:marRight w:val="0"/>
      <w:marTop w:val="0"/>
      <w:marBottom w:val="0"/>
      <w:divBdr>
        <w:top w:val="none" w:sz="0" w:space="0" w:color="auto"/>
        <w:left w:val="none" w:sz="0" w:space="0" w:color="auto"/>
        <w:bottom w:val="none" w:sz="0" w:space="0" w:color="auto"/>
        <w:right w:val="none" w:sz="0" w:space="0" w:color="auto"/>
      </w:divBdr>
    </w:div>
    <w:div w:id="26758282">
      <w:marLeft w:val="0"/>
      <w:marRight w:val="0"/>
      <w:marTop w:val="0"/>
      <w:marBottom w:val="0"/>
      <w:divBdr>
        <w:top w:val="none" w:sz="0" w:space="0" w:color="auto"/>
        <w:left w:val="none" w:sz="0" w:space="0" w:color="auto"/>
        <w:bottom w:val="none" w:sz="0" w:space="0" w:color="auto"/>
        <w:right w:val="none" w:sz="0" w:space="0" w:color="auto"/>
      </w:divBdr>
      <w:divsChild>
        <w:div w:id="2130465608">
          <w:marLeft w:val="0"/>
          <w:marRight w:val="0"/>
          <w:marTop w:val="0"/>
          <w:marBottom w:val="0"/>
          <w:divBdr>
            <w:top w:val="none" w:sz="0" w:space="0" w:color="auto"/>
            <w:left w:val="none" w:sz="0" w:space="0" w:color="auto"/>
            <w:bottom w:val="none" w:sz="0" w:space="0" w:color="auto"/>
            <w:right w:val="none" w:sz="0" w:space="0" w:color="auto"/>
          </w:divBdr>
        </w:div>
      </w:divsChild>
    </w:div>
    <w:div w:id="29112091">
      <w:marLeft w:val="0"/>
      <w:marRight w:val="0"/>
      <w:marTop w:val="0"/>
      <w:marBottom w:val="0"/>
      <w:divBdr>
        <w:top w:val="none" w:sz="0" w:space="0" w:color="auto"/>
        <w:left w:val="none" w:sz="0" w:space="0" w:color="auto"/>
        <w:bottom w:val="none" w:sz="0" w:space="0" w:color="auto"/>
        <w:right w:val="none" w:sz="0" w:space="0" w:color="auto"/>
      </w:divBdr>
      <w:divsChild>
        <w:div w:id="235475893">
          <w:marLeft w:val="0"/>
          <w:marRight w:val="0"/>
          <w:marTop w:val="0"/>
          <w:marBottom w:val="0"/>
          <w:divBdr>
            <w:top w:val="none" w:sz="0" w:space="0" w:color="auto"/>
            <w:left w:val="none" w:sz="0" w:space="0" w:color="auto"/>
            <w:bottom w:val="none" w:sz="0" w:space="0" w:color="auto"/>
            <w:right w:val="none" w:sz="0" w:space="0" w:color="auto"/>
          </w:divBdr>
        </w:div>
      </w:divsChild>
    </w:div>
    <w:div w:id="50078353">
      <w:marLeft w:val="0"/>
      <w:marRight w:val="0"/>
      <w:marTop w:val="0"/>
      <w:marBottom w:val="0"/>
      <w:divBdr>
        <w:top w:val="none" w:sz="0" w:space="0" w:color="auto"/>
        <w:left w:val="none" w:sz="0" w:space="0" w:color="auto"/>
        <w:bottom w:val="none" w:sz="0" w:space="0" w:color="auto"/>
        <w:right w:val="none" w:sz="0" w:space="0" w:color="auto"/>
      </w:divBdr>
      <w:divsChild>
        <w:div w:id="635529430">
          <w:marLeft w:val="0"/>
          <w:marRight w:val="0"/>
          <w:marTop w:val="0"/>
          <w:marBottom w:val="0"/>
          <w:divBdr>
            <w:top w:val="none" w:sz="0" w:space="0" w:color="auto"/>
            <w:left w:val="none" w:sz="0" w:space="0" w:color="auto"/>
            <w:bottom w:val="none" w:sz="0" w:space="0" w:color="auto"/>
            <w:right w:val="none" w:sz="0" w:space="0" w:color="auto"/>
          </w:divBdr>
        </w:div>
      </w:divsChild>
    </w:div>
    <w:div w:id="59138142">
      <w:marLeft w:val="0"/>
      <w:marRight w:val="0"/>
      <w:marTop w:val="0"/>
      <w:marBottom w:val="0"/>
      <w:divBdr>
        <w:top w:val="none" w:sz="0" w:space="0" w:color="auto"/>
        <w:left w:val="none" w:sz="0" w:space="0" w:color="auto"/>
        <w:bottom w:val="none" w:sz="0" w:space="0" w:color="auto"/>
        <w:right w:val="none" w:sz="0" w:space="0" w:color="auto"/>
      </w:divBdr>
      <w:divsChild>
        <w:div w:id="196233952">
          <w:marLeft w:val="0"/>
          <w:marRight w:val="0"/>
          <w:marTop w:val="0"/>
          <w:marBottom w:val="0"/>
          <w:divBdr>
            <w:top w:val="none" w:sz="0" w:space="0" w:color="auto"/>
            <w:left w:val="none" w:sz="0" w:space="0" w:color="auto"/>
            <w:bottom w:val="none" w:sz="0" w:space="0" w:color="auto"/>
            <w:right w:val="none" w:sz="0" w:space="0" w:color="auto"/>
          </w:divBdr>
        </w:div>
      </w:divsChild>
    </w:div>
    <w:div w:id="85463467">
      <w:marLeft w:val="0"/>
      <w:marRight w:val="0"/>
      <w:marTop w:val="0"/>
      <w:marBottom w:val="0"/>
      <w:divBdr>
        <w:top w:val="none" w:sz="0" w:space="0" w:color="auto"/>
        <w:left w:val="none" w:sz="0" w:space="0" w:color="auto"/>
        <w:bottom w:val="none" w:sz="0" w:space="0" w:color="auto"/>
        <w:right w:val="none" w:sz="0" w:space="0" w:color="auto"/>
      </w:divBdr>
      <w:divsChild>
        <w:div w:id="1436706143">
          <w:marLeft w:val="0"/>
          <w:marRight w:val="0"/>
          <w:marTop w:val="0"/>
          <w:marBottom w:val="0"/>
          <w:divBdr>
            <w:top w:val="none" w:sz="0" w:space="0" w:color="auto"/>
            <w:left w:val="none" w:sz="0" w:space="0" w:color="auto"/>
            <w:bottom w:val="none" w:sz="0" w:space="0" w:color="auto"/>
            <w:right w:val="none" w:sz="0" w:space="0" w:color="auto"/>
          </w:divBdr>
        </w:div>
      </w:divsChild>
    </w:div>
    <w:div w:id="95102622">
      <w:marLeft w:val="0"/>
      <w:marRight w:val="0"/>
      <w:marTop w:val="0"/>
      <w:marBottom w:val="0"/>
      <w:divBdr>
        <w:top w:val="none" w:sz="0" w:space="0" w:color="auto"/>
        <w:left w:val="none" w:sz="0" w:space="0" w:color="auto"/>
        <w:bottom w:val="none" w:sz="0" w:space="0" w:color="auto"/>
        <w:right w:val="none" w:sz="0" w:space="0" w:color="auto"/>
      </w:divBdr>
      <w:divsChild>
        <w:div w:id="918834131">
          <w:marLeft w:val="0"/>
          <w:marRight w:val="0"/>
          <w:marTop w:val="0"/>
          <w:marBottom w:val="0"/>
          <w:divBdr>
            <w:top w:val="none" w:sz="0" w:space="0" w:color="auto"/>
            <w:left w:val="none" w:sz="0" w:space="0" w:color="auto"/>
            <w:bottom w:val="none" w:sz="0" w:space="0" w:color="auto"/>
            <w:right w:val="none" w:sz="0" w:space="0" w:color="auto"/>
          </w:divBdr>
        </w:div>
      </w:divsChild>
    </w:div>
    <w:div w:id="98840849">
      <w:bodyDiv w:val="1"/>
      <w:marLeft w:val="0"/>
      <w:marRight w:val="0"/>
      <w:marTop w:val="0"/>
      <w:marBottom w:val="0"/>
      <w:divBdr>
        <w:top w:val="none" w:sz="0" w:space="0" w:color="auto"/>
        <w:left w:val="none" w:sz="0" w:space="0" w:color="auto"/>
        <w:bottom w:val="none" w:sz="0" w:space="0" w:color="auto"/>
        <w:right w:val="none" w:sz="0" w:space="0" w:color="auto"/>
      </w:divBdr>
      <w:divsChild>
        <w:div w:id="733090380">
          <w:marLeft w:val="0"/>
          <w:marRight w:val="0"/>
          <w:marTop w:val="0"/>
          <w:marBottom w:val="0"/>
          <w:divBdr>
            <w:top w:val="none" w:sz="0" w:space="0" w:color="auto"/>
            <w:left w:val="none" w:sz="0" w:space="0" w:color="auto"/>
            <w:bottom w:val="none" w:sz="0" w:space="0" w:color="auto"/>
            <w:right w:val="none" w:sz="0" w:space="0" w:color="auto"/>
          </w:divBdr>
          <w:divsChild>
            <w:div w:id="281502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60084">
      <w:bodyDiv w:val="1"/>
      <w:marLeft w:val="0"/>
      <w:marRight w:val="0"/>
      <w:marTop w:val="0"/>
      <w:marBottom w:val="0"/>
      <w:divBdr>
        <w:top w:val="none" w:sz="0" w:space="0" w:color="auto"/>
        <w:left w:val="none" w:sz="0" w:space="0" w:color="auto"/>
        <w:bottom w:val="none" w:sz="0" w:space="0" w:color="auto"/>
        <w:right w:val="none" w:sz="0" w:space="0" w:color="auto"/>
      </w:divBdr>
    </w:div>
    <w:div w:id="115606701">
      <w:bodyDiv w:val="1"/>
      <w:marLeft w:val="0"/>
      <w:marRight w:val="0"/>
      <w:marTop w:val="0"/>
      <w:marBottom w:val="0"/>
      <w:divBdr>
        <w:top w:val="none" w:sz="0" w:space="0" w:color="auto"/>
        <w:left w:val="none" w:sz="0" w:space="0" w:color="auto"/>
        <w:bottom w:val="none" w:sz="0" w:space="0" w:color="auto"/>
        <w:right w:val="none" w:sz="0" w:space="0" w:color="auto"/>
      </w:divBdr>
    </w:div>
    <w:div w:id="159077123">
      <w:marLeft w:val="0"/>
      <w:marRight w:val="0"/>
      <w:marTop w:val="0"/>
      <w:marBottom w:val="0"/>
      <w:divBdr>
        <w:top w:val="none" w:sz="0" w:space="0" w:color="auto"/>
        <w:left w:val="none" w:sz="0" w:space="0" w:color="auto"/>
        <w:bottom w:val="none" w:sz="0" w:space="0" w:color="auto"/>
        <w:right w:val="none" w:sz="0" w:space="0" w:color="auto"/>
      </w:divBdr>
      <w:divsChild>
        <w:div w:id="1124229881">
          <w:marLeft w:val="0"/>
          <w:marRight w:val="0"/>
          <w:marTop w:val="0"/>
          <w:marBottom w:val="0"/>
          <w:divBdr>
            <w:top w:val="none" w:sz="0" w:space="0" w:color="auto"/>
            <w:left w:val="none" w:sz="0" w:space="0" w:color="auto"/>
            <w:bottom w:val="none" w:sz="0" w:space="0" w:color="auto"/>
            <w:right w:val="none" w:sz="0" w:space="0" w:color="auto"/>
          </w:divBdr>
        </w:div>
      </w:divsChild>
    </w:div>
    <w:div w:id="168564768">
      <w:marLeft w:val="0"/>
      <w:marRight w:val="0"/>
      <w:marTop w:val="0"/>
      <w:marBottom w:val="0"/>
      <w:divBdr>
        <w:top w:val="none" w:sz="0" w:space="0" w:color="auto"/>
        <w:left w:val="none" w:sz="0" w:space="0" w:color="auto"/>
        <w:bottom w:val="none" w:sz="0" w:space="0" w:color="auto"/>
        <w:right w:val="none" w:sz="0" w:space="0" w:color="auto"/>
      </w:divBdr>
      <w:divsChild>
        <w:div w:id="1838880399">
          <w:marLeft w:val="0"/>
          <w:marRight w:val="0"/>
          <w:marTop w:val="0"/>
          <w:marBottom w:val="0"/>
          <w:divBdr>
            <w:top w:val="none" w:sz="0" w:space="0" w:color="auto"/>
            <w:left w:val="none" w:sz="0" w:space="0" w:color="auto"/>
            <w:bottom w:val="none" w:sz="0" w:space="0" w:color="auto"/>
            <w:right w:val="none" w:sz="0" w:space="0" w:color="auto"/>
          </w:divBdr>
        </w:div>
      </w:divsChild>
    </w:div>
    <w:div w:id="182284269">
      <w:marLeft w:val="0"/>
      <w:marRight w:val="0"/>
      <w:marTop w:val="0"/>
      <w:marBottom w:val="0"/>
      <w:divBdr>
        <w:top w:val="none" w:sz="0" w:space="0" w:color="auto"/>
        <w:left w:val="none" w:sz="0" w:space="0" w:color="auto"/>
        <w:bottom w:val="none" w:sz="0" w:space="0" w:color="auto"/>
        <w:right w:val="none" w:sz="0" w:space="0" w:color="auto"/>
      </w:divBdr>
      <w:divsChild>
        <w:div w:id="1149395882">
          <w:marLeft w:val="0"/>
          <w:marRight w:val="0"/>
          <w:marTop w:val="0"/>
          <w:marBottom w:val="0"/>
          <w:divBdr>
            <w:top w:val="none" w:sz="0" w:space="0" w:color="auto"/>
            <w:left w:val="none" w:sz="0" w:space="0" w:color="auto"/>
            <w:bottom w:val="none" w:sz="0" w:space="0" w:color="auto"/>
            <w:right w:val="none" w:sz="0" w:space="0" w:color="auto"/>
          </w:divBdr>
        </w:div>
      </w:divsChild>
    </w:div>
    <w:div w:id="192546736">
      <w:bodyDiv w:val="1"/>
      <w:marLeft w:val="0"/>
      <w:marRight w:val="0"/>
      <w:marTop w:val="0"/>
      <w:marBottom w:val="0"/>
      <w:divBdr>
        <w:top w:val="none" w:sz="0" w:space="0" w:color="auto"/>
        <w:left w:val="none" w:sz="0" w:space="0" w:color="auto"/>
        <w:bottom w:val="none" w:sz="0" w:space="0" w:color="auto"/>
        <w:right w:val="none" w:sz="0" w:space="0" w:color="auto"/>
      </w:divBdr>
      <w:divsChild>
        <w:div w:id="791365617">
          <w:marLeft w:val="0"/>
          <w:marRight w:val="0"/>
          <w:marTop w:val="0"/>
          <w:marBottom w:val="0"/>
          <w:divBdr>
            <w:top w:val="none" w:sz="0" w:space="0" w:color="auto"/>
            <w:left w:val="none" w:sz="0" w:space="0" w:color="auto"/>
            <w:bottom w:val="none" w:sz="0" w:space="0" w:color="auto"/>
            <w:right w:val="none" w:sz="0" w:space="0" w:color="auto"/>
          </w:divBdr>
          <w:divsChild>
            <w:div w:id="1013456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95013">
      <w:marLeft w:val="0"/>
      <w:marRight w:val="0"/>
      <w:marTop w:val="0"/>
      <w:marBottom w:val="0"/>
      <w:divBdr>
        <w:top w:val="none" w:sz="0" w:space="0" w:color="auto"/>
        <w:left w:val="none" w:sz="0" w:space="0" w:color="auto"/>
        <w:bottom w:val="none" w:sz="0" w:space="0" w:color="auto"/>
        <w:right w:val="none" w:sz="0" w:space="0" w:color="auto"/>
      </w:divBdr>
      <w:divsChild>
        <w:div w:id="2110468877">
          <w:marLeft w:val="0"/>
          <w:marRight w:val="0"/>
          <w:marTop w:val="0"/>
          <w:marBottom w:val="0"/>
          <w:divBdr>
            <w:top w:val="none" w:sz="0" w:space="0" w:color="auto"/>
            <w:left w:val="none" w:sz="0" w:space="0" w:color="auto"/>
            <w:bottom w:val="none" w:sz="0" w:space="0" w:color="auto"/>
            <w:right w:val="none" w:sz="0" w:space="0" w:color="auto"/>
          </w:divBdr>
        </w:div>
      </w:divsChild>
    </w:div>
    <w:div w:id="207766381">
      <w:marLeft w:val="0"/>
      <w:marRight w:val="0"/>
      <w:marTop w:val="0"/>
      <w:marBottom w:val="0"/>
      <w:divBdr>
        <w:top w:val="none" w:sz="0" w:space="0" w:color="auto"/>
        <w:left w:val="none" w:sz="0" w:space="0" w:color="auto"/>
        <w:bottom w:val="none" w:sz="0" w:space="0" w:color="auto"/>
        <w:right w:val="none" w:sz="0" w:space="0" w:color="auto"/>
      </w:divBdr>
      <w:divsChild>
        <w:div w:id="1417630586">
          <w:marLeft w:val="0"/>
          <w:marRight w:val="0"/>
          <w:marTop w:val="0"/>
          <w:marBottom w:val="0"/>
          <w:divBdr>
            <w:top w:val="none" w:sz="0" w:space="0" w:color="auto"/>
            <w:left w:val="none" w:sz="0" w:space="0" w:color="auto"/>
            <w:bottom w:val="none" w:sz="0" w:space="0" w:color="auto"/>
            <w:right w:val="none" w:sz="0" w:space="0" w:color="auto"/>
          </w:divBdr>
        </w:div>
      </w:divsChild>
    </w:div>
    <w:div w:id="216168420">
      <w:marLeft w:val="0"/>
      <w:marRight w:val="0"/>
      <w:marTop w:val="0"/>
      <w:marBottom w:val="0"/>
      <w:divBdr>
        <w:top w:val="none" w:sz="0" w:space="0" w:color="auto"/>
        <w:left w:val="none" w:sz="0" w:space="0" w:color="auto"/>
        <w:bottom w:val="none" w:sz="0" w:space="0" w:color="auto"/>
        <w:right w:val="none" w:sz="0" w:space="0" w:color="auto"/>
      </w:divBdr>
      <w:divsChild>
        <w:div w:id="1256867255">
          <w:marLeft w:val="0"/>
          <w:marRight w:val="0"/>
          <w:marTop w:val="0"/>
          <w:marBottom w:val="0"/>
          <w:divBdr>
            <w:top w:val="none" w:sz="0" w:space="0" w:color="auto"/>
            <w:left w:val="none" w:sz="0" w:space="0" w:color="auto"/>
            <w:bottom w:val="none" w:sz="0" w:space="0" w:color="auto"/>
            <w:right w:val="none" w:sz="0" w:space="0" w:color="auto"/>
          </w:divBdr>
        </w:div>
      </w:divsChild>
    </w:div>
    <w:div w:id="220755818">
      <w:bodyDiv w:val="1"/>
      <w:marLeft w:val="0"/>
      <w:marRight w:val="0"/>
      <w:marTop w:val="0"/>
      <w:marBottom w:val="0"/>
      <w:divBdr>
        <w:top w:val="none" w:sz="0" w:space="0" w:color="auto"/>
        <w:left w:val="none" w:sz="0" w:space="0" w:color="auto"/>
        <w:bottom w:val="none" w:sz="0" w:space="0" w:color="auto"/>
        <w:right w:val="none" w:sz="0" w:space="0" w:color="auto"/>
      </w:divBdr>
    </w:div>
    <w:div w:id="230700935">
      <w:bodyDiv w:val="1"/>
      <w:marLeft w:val="0"/>
      <w:marRight w:val="0"/>
      <w:marTop w:val="0"/>
      <w:marBottom w:val="0"/>
      <w:divBdr>
        <w:top w:val="none" w:sz="0" w:space="0" w:color="auto"/>
        <w:left w:val="none" w:sz="0" w:space="0" w:color="auto"/>
        <w:bottom w:val="none" w:sz="0" w:space="0" w:color="auto"/>
        <w:right w:val="none" w:sz="0" w:space="0" w:color="auto"/>
      </w:divBdr>
      <w:divsChild>
        <w:div w:id="1961839398">
          <w:marLeft w:val="0"/>
          <w:marRight w:val="0"/>
          <w:marTop w:val="0"/>
          <w:marBottom w:val="0"/>
          <w:divBdr>
            <w:top w:val="none" w:sz="0" w:space="0" w:color="auto"/>
            <w:left w:val="none" w:sz="0" w:space="0" w:color="auto"/>
            <w:bottom w:val="none" w:sz="0" w:space="0" w:color="auto"/>
            <w:right w:val="none" w:sz="0" w:space="0" w:color="auto"/>
          </w:divBdr>
          <w:divsChild>
            <w:div w:id="135804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274499">
      <w:marLeft w:val="0"/>
      <w:marRight w:val="0"/>
      <w:marTop w:val="0"/>
      <w:marBottom w:val="0"/>
      <w:divBdr>
        <w:top w:val="none" w:sz="0" w:space="0" w:color="auto"/>
        <w:left w:val="none" w:sz="0" w:space="0" w:color="auto"/>
        <w:bottom w:val="none" w:sz="0" w:space="0" w:color="auto"/>
        <w:right w:val="none" w:sz="0" w:space="0" w:color="auto"/>
      </w:divBdr>
      <w:divsChild>
        <w:div w:id="1810589840">
          <w:marLeft w:val="0"/>
          <w:marRight w:val="0"/>
          <w:marTop w:val="0"/>
          <w:marBottom w:val="0"/>
          <w:divBdr>
            <w:top w:val="none" w:sz="0" w:space="0" w:color="auto"/>
            <w:left w:val="none" w:sz="0" w:space="0" w:color="auto"/>
            <w:bottom w:val="none" w:sz="0" w:space="0" w:color="auto"/>
            <w:right w:val="none" w:sz="0" w:space="0" w:color="auto"/>
          </w:divBdr>
        </w:div>
      </w:divsChild>
    </w:div>
    <w:div w:id="259723524">
      <w:marLeft w:val="0"/>
      <w:marRight w:val="0"/>
      <w:marTop w:val="0"/>
      <w:marBottom w:val="0"/>
      <w:divBdr>
        <w:top w:val="none" w:sz="0" w:space="0" w:color="auto"/>
        <w:left w:val="none" w:sz="0" w:space="0" w:color="auto"/>
        <w:bottom w:val="none" w:sz="0" w:space="0" w:color="auto"/>
        <w:right w:val="none" w:sz="0" w:space="0" w:color="auto"/>
      </w:divBdr>
      <w:divsChild>
        <w:div w:id="1011417959">
          <w:marLeft w:val="0"/>
          <w:marRight w:val="0"/>
          <w:marTop w:val="0"/>
          <w:marBottom w:val="0"/>
          <w:divBdr>
            <w:top w:val="none" w:sz="0" w:space="0" w:color="auto"/>
            <w:left w:val="none" w:sz="0" w:space="0" w:color="auto"/>
            <w:bottom w:val="none" w:sz="0" w:space="0" w:color="auto"/>
            <w:right w:val="none" w:sz="0" w:space="0" w:color="auto"/>
          </w:divBdr>
        </w:div>
      </w:divsChild>
    </w:div>
    <w:div w:id="260647547">
      <w:marLeft w:val="0"/>
      <w:marRight w:val="0"/>
      <w:marTop w:val="0"/>
      <w:marBottom w:val="0"/>
      <w:divBdr>
        <w:top w:val="none" w:sz="0" w:space="0" w:color="auto"/>
        <w:left w:val="none" w:sz="0" w:space="0" w:color="auto"/>
        <w:bottom w:val="none" w:sz="0" w:space="0" w:color="auto"/>
        <w:right w:val="none" w:sz="0" w:space="0" w:color="auto"/>
      </w:divBdr>
      <w:divsChild>
        <w:div w:id="210263594">
          <w:marLeft w:val="0"/>
          <w:marRight w:val="0"/>
          <w:marTop w:val="0"/>
          <w:marBottom w:val="0"/>
          <w:divBdr>
            <w:top w:val="none" w:sz="0" w:space="0" w:color="auto"/>
            <w:left w:val="none" w:sz="0" w:space="0" w:color="auto"/>
            <w:bottom w:val="none" w:sz="0" w:space="0" w:color="auto"/>
            <w:right w:val="none" w:sz="0" w:space="0" w:color="auto"/>
          </w:divBdr>
          <w:divsChild>
            <w:div w:id="417481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168969">
      <w:marLeft w:val="0"/>
      <w:marRight w:val="0"/>
      <w:marTop w:val="0"/>
      <w:marBottom w:val="0"/>
      <w:divBdr>
        <w:top w:val="none" w:sz="0" w:space="0" w:color="auto"/>
        <w:left w:val="none" w:sz="0" w:space="0" w:color="auto"/>
        <w:bottom w:val="none" w:sz="0" w:space="0" w:color="auto"/>
        <w:right w:val="none" w:sz="0" w:space="0" w:color="auto"/>
      </w:divBdr>
      <w:divsChild>
        <w:div w:id="1377269482">
          <w:marLeft w:val="0"/>
          <w:marRight w:val="0"/>
          <w:marTop w:val="0"/>
          <w:marBottom w:val="0"/>
          <w:divBdr>
            <w:top w:val="none" w:sz="0" w:space="0" w:color="auto"/>
            <w:left w:val="none" w:sz="0" w:space="0" w:color="auto"/>
            <w:bottom w:val="none" w:sz="0" w:space="0" w:color="auto"/>
            <w:right w:val="none" w:sz="0" w:space="0" w:color="auto"/>
          </w:divBdr>
        </w:div>
      </w:divsChild>
    </w:div>
    <w:div w:id="278491164">
      <w:marLeft w:val="0"/>
      <w:marRight w:val="0"/>
      <w:marTop w:val="0"/>
      <w:marBottom w:val="0"/>
      <w:divBdr>
        <w:top w:val="none" w:sz="0" w:space="0" w:color="auto"/>
        <w:left w:val="none" w:sz="0" w:space="0" w:color="auto"/>
        <w:bottom w:val="none" w:sz="0" w:space="0" w:color="auto"/>
        <w:right w:val="none" w:sz="0" w:space="0" w:color="auto"/>
      </w:divBdr>
      <w:divsChild>
        <w:div w:id="1802847414">
          <w:marLeft w:val="0"/>
          <w:marRight w:val="0"/>
          <w:marTop w:val="0"/>
          <w:marBottom w:val="0"/>
          <w:divBdr>
            <w:top w:val="none" w:sz="0" w:space="0" w:color="auto"/>
            <w:left w:val="none" w:sz="0" w:space="0" w:color="auto"/>
            <w:bottom w:val="none" w:sz="0" w:space="0" w:color="auto"/>
            <w:right w:val="none" w:sz="0" w:space="0" w:color="auto"/>
          </w:divBdr>
        </w:div>
      </w:divsChild>
    </w:div>
    <w:div w:id="291332287">
      <w:marLeft w:val="0"/>
      <w:marRight w:val="0"/>
      <w:marTop w:val="0"/>
      <w:marBottom w:val="0"/>
      <w:divBdr>
        <w:top w:val="none" w:sz="0" w:space="0" w:color="auto"/>
        <w:left w:val="none" w:sz="0" w:space="0" w:color="auto"/>
        <w:bottom w:val="none" w:sz="0" w:space="0" w:color="auto"/>
        <w:right w:val="none" w:sz="0" w:space="0" w:color="auto"/>
      </w:divBdr>
      <w:divsChild>
        <w:div w:id="1945727645">
          <w:marLeft w:val="0"/>
          <w:marRight w:val="0"/>
          <w:marTop w:val="0"/>
          <w:marBottom w:val="0"/>
          <w:divBdr>
            <w:top w:val="none" w:sz="0" w:space="0" w:color="auto"/>
            <w:left w:val="none" w:sz="0" w:space="0" w:color="auto"/>
            <w:bottom w:val="none" w:sz="0" w:space="0" w:color="auto"/>
            <w:right w:val="none" w:sz="0" w:space="0" w:color="auto"/>
          </w:divBdr>
        </w:div>
      </w:divsChild>
    </w:div>
    <w:div w:id="326859390">
      <w:bodyDiv w:val="1"/>
      <w:marLeft w:val="0"/>
      <w:marRight w:val="0"/>
      <w:marTop w:val="0"/>
      <w:marBottom w:val="0"/>
      <w:divBdr>
        <w:top w:val="none" w:sz="0" w:space="0" w:color="auto"/>
        <w:left w:val="none" w:sz="0" w:space="0" w:color="auto"/>
        <w:bottom w:val="none" w:sz="0" w:space="0" w:color="auto"/>
        <w:right w:val="none" w:sz="0" w:space="0" w:color="auto"/>
      </w:divBdr>
    </w:div>
    <w:div w:id="335228577">
      <w:marLeft w:val="0"/>
      <w:marRight w:val="0"/>
      <w:marTop w:val="0"/>
      <w:marBottom w:val="0"/>
      <w:divBdr>
        <w:top w:val="none" w:sz="0" w:space="0" w:color="auto"/>
        <w:left w:val="none" w:sz="0" w:space="0" w:color="auto"/>
        <w:bottom w:val="none" w:sz="0" w:space="0" w:color="auto"/>
        <w:right w:val="none" w:sz="0" w:space="0" w:color="auto"/>
      </w:divBdr>
      <w:divsChild>
        <w:div w:id="625694256">
          <w:marLeft w:val="0"/>
          <w:marRight w:val="0"/>
          <w:marTop w:val="0"/>
          <w:marBottom w:val="0"/>
          <w:divBdr>
            <w:top w:val="none" w:sz="0" w:space="0" w:color="auto"/>
            <w:left w:val="none" w:sz="0" w:space="0" w:color="auto"/>
            <w:bottom w:val="none" w:sz="0" w:space="0" w:color="auto"/>
            <w:right w:val="none" w:sz="0" w:space="0" w:color="auto"/>
          </w:divBdr>
        </w:div>
      </w:divsChild>
    </w:div>
    <w:div w:id="337273311">
      <w:marLeft w:val="0"/>
      <w:marRight w:val="0"/>
      <w:marTop w:val="0"/>
      <w:marBottom w:val="0"/>
      <w:divBdr>
        <w:top w:val="none" w:sz="0" w:space="0" w:color="auto"/>
        <w:left w:val="none" w:sz="0" w:space="0" w:color="auto"/>
        <w:bottom w:val="none" w:sz="0" w:space="0" w:color="auto"/>
        <w:right w:val="none" w:sz="0" w:space="0" w:color="auto"/>
      </w:divBdr>
      <w:divsChild>
        <w:div w:id="397478139">
          <w:marLeft w:val="0"/>
          <w:marRight w:val="0"/>
          <w:marTop w:val="0"/>
          <w:marBottom w:val="0"/>
          <w:divBdr>
            <w:top w:val="none" w:sz="0" w:space="0" w:color="auto"/>
            <w:left w:val="none" w:sz="0" w:space="0" w:color="auto"/>
            <w:bottom w:val="none" w:sz="0" w:space="0" w:color="auto"/>
            <w:right w:val="none" w:sz="0" w:space="0" w:color="auto"/>
          </w:divBdr>
        </w:div>
      </w:divsChild>
    </w:div>
    <w:div w:id="338390498">
      <w:marLeft w:val="0"/>
      <w:marRight w:val="0"/>
      <w:marTop w:val="0"/>
      <w:marBottom w:val="0"/>
      <w:divBdr>
        <w:top w:val="none" w:sz="0" w:space="0" w:color="auto"/>
        <w:left w:val="none" w:sz="0" w:space="0" w:color="auto"/>
        <w:bottom w:val="none" w:sz="0" w:space="0" w:color="auto"/>
        <w:right w:val="none" w:sz="0" w:space="0" w:color="auto"/>
      </w:divBdr>
      <w:divsChild>
        <w:div w:id="1935278794">
          <w:marLeft w:val="0"/>
          <w:marRight w:val="0"/>
          <w:marTop w:val="0"/>
          <w:marBottom w:val="0"/>
          <w:divBdr>
            <w:top w:val="none" w:sz="0" w:space="0" w:color="auto"/>
            <w:left w:val="none" w:sz="0" w:space="0" w:color="auto"/>
            <w:bottom w:val="none" w:sz="0" w:space="0" w:color="auto"/>
            <w:right w:val="none" w:sz="0" w:space="0" w:color="auto"/>
          </w:divBdr>
        </w:div>
      </w:divsChild>
    </w:div>
    <w:div w:id="345907177">
      <w:marLeft w:val="0"/>
      <w:marRight w:val="0"/>
      <w:marTop w:val="0"/>
      <w:marBottom w:val="0"/>
      <w:divBdr>
        <w:top w:val="none" w:sz="0" w:space="0" w:color="auto"/>
        <w:left w:val="none" w:sz="0" w:space="0" w:color="auto"/>
        <w:bottom w:val="none" w:sz="0" w:space="0" w:color="auto"/>
        <w:right w:val="none" w:sz="0" w:space="0" w:color="auto"/>
      </w:divBdr>
      <w:divsChild>
        <w:div w:id="1709135425">
          <w:marLeft w:val="0"/>
          <w:marRight w:val="0"/>
          <w:marTop w:val="0"/>
          <w:marBottom w:val="0"/>
          <w:divBdr>
            <w:top w:val="none" w:sz="0" w:space="0" w:color="auto"/>
            <w:left w:val="none" w:sz="0" w:space="0" w:color="auto"/>
            <w:bottom w:val="none" w:sz="0" w:space="0" w:color="auto"/>
            <w:right w:val="none" w:sz="0" w:space="0" w:color="auto"/>
          </w:divBdr>
        </w:div>
      </w:divsChild>
    </w:div>
    <w:div w:id="375860720">
      <w:marLeft w:val="0"/>
      <w:marRight w:val="0"/>
      <w:marTop w:val="0"/>
      <w:marBottom w:val="0"/>
      <w:divBdr>
        <w:top w:val="none" w:sz="0" w:space="0" w:color="auto"/>
        <w:left w:val="none" w:sz="0" w:space="0" w:color="auto"/>
        <w:bottom w:val="none" w:sz="0" w:space="0" w:color="auto"/>
        <w:right w:val="none" w:sz="0" w:space="0" w:color="auto"/>
      </w:divBdr>
      <w:divsChild>
        <w:div w:id="41028252">
          <w:marLeft w:val="0"/>
          <w:marRight w:val="0"/>
          <w:marTop w:val="0"/>
          <w:marBottom w:val="0"/>
          <w:divBdr>
            <w:top w:val="none" w:sz="0" w:space="0" w:color="auto"/>
            <w:left w:val="none" w:sz="0" w:space="0" w:color="auto"/>
            <w:bottom w:val="none" w:sz="0" w:space="0" w:color="auto"/>
            <w:right w:val="none" w:sz="0" w:space="0" w:color="auto"/>
          </w:divBdr>
        </w:div>
      </w:divsChild>
    </w:div>
    <w:div w:id="376589176">
      <w:marLeft w:val="0"/>
      <w:marRight w:val="0"/>
      <w:marTop w:val="0"/>
      <w:marBottom w:val="0"/>
      <w:divBdr>
        <w:top w:val="none" w:sz="0" w:space="0" w:color="auto"/>
        <w:left w:val="none" w:sz="0" w:space="0" w:color="auto"/>
        <w:bottom w:val="none" w:sz="0" w:space="0" w:color="auto"/>
        <w:right w:val="none" w:sz="0" w:space="0" w:color="auto"/>
      </w:divBdr>
      <w:divsChild>
        <w:div w:id="1430852957">
          <w:marLeft w:val="0"/>
          <w:marRight w:val="0"/>
          <w:marTop w:val="0"/>
          <w:marBottom w:val="0"/>
          <w:divBdr>
            <w:top w:val="none" w:sz="0" w:space="0" w:color="auto"/>
            <w:left w:val="none" w:sz="0" w:space="0" w:color="auto"/>
            <w:bottom w:val="none" w:sz="0" w:space="0" w:color="auto"/>
            <w:right w:val="none" w:sz="0" w:space="0" w:color="auto"/>
          </w:divBdr>
        </w:div>
      </w:divsChild>
    </w:div>
    <w:div w:id="383648410">
      <w:marLeft w:val="0"/>
      <w:marRight w:val="0"/>
      <w:marTop w:val="0"/>
      <w:marBottom w:val="0"/>
      <w:divBdr>
        <w:top w:val="none" w:sz="0" w:space="0" w:color="auto"/>
        <w:left w:val="none" w:sz="0" w:space="0" w:color="auto"/>
        <w:bottom w:val="none" w:sz="0" w:space="0" w:color="auto"/>
        <w:right w:val="none" w:sz="0" w:space="0" w:color="auto"/>
      </w:divBdr>
      <w:divsChild>
        <w:div w:id="7103255">
          <w:marLeft w:val="0"/>
          <w:marRight w:val="0"/>
          <w:marTop w:val="0"/>
          <w:marBottom w:val="0"/>
          <w:divBdr>
            <w:top w:val="none" w:sz="0" w:space="0" w:color="auto"/>
            <w:left w:val="none" w:sz="0" w:space="0" w:color="auto"/>
            <w:bottom w:val="none" w:sz="0" w:space="0" w:color="auto"/>
            <w:right w:val="none" w:sz="0" w:space="0" w:color="auto"/>
          </w:divBdr>
        </w:div>
      </w:divsChild>
    </w:div>
    <w:div w:id="389964127">
      <w:marLeft w:val="0"/>
      <w:marRight w:val="0"/>
      <w:marTop w:val="0"/>
      <w:marBottom w:val="0"/>
      <w:divBdr>
        <w:top w:val="none" w:sz="0" w:space="0" w:color="auto"/>
        <w:left w:val="none" w:sz="0" w:space="0" w:color="auto"/>
        <w:bottom w:val="none" w:sz="0" w:space="0" w:color="auto"/>
        <w:right w:val="none" w:sz="0" w:space="0" w:color="auto"/>
      </w:divBdr>
      <w:divsChild>
        <w:div w:id="1194073814">
          <w:marLeft w:val="0"/>
          <w:marRight w:val="0"/>
          <w:marTop w:val="0"/>
          <w:marBottom w:val="0"/>
          <w:divBdr>
            <w:top w:val="none" w:sz="0" w:space="0" w:color="auto"/>
            <w:left w:val="none" w:sz="0" w:space="0" w:color="auto"/>
            <w:bottom w:val="none" w:sz="0" w:space="0" w:color="auto"/>
            <w:right w:val="none" w:sz="0" w:space="0" w:color="auto"/>
          </w:divBdr>
        </w:div>
      </w:divsChild>
    </w:div>
    <w:div w:id="397216640">
      <w:marLeft w:val="0"/>
      <w:marRight w:val="0"/>
      <w:marTop w:val="0"/>
      <w:marBottom w:val="0"/>
      <w:divBdr>
        <w:top w:val="none" w:sz="0" w:space="0" w:color="auto"/>
        <w:left w:val="none" w:sz="0" w:space="0" w:color="auto"/>
        <w:bottom w:val="none" w:sz="0" w:space="0" w:color="auto"/>
        <w:right w:val="none" w:sz="0" w:space="0" w:color="auto"/>
      </w:divBdr>
      <w:divsChild>
        <w:div w:id="2092699940">
          <w:marLeft w:val="0"/>
          <w:marRight w:val="0"/>
          <w:marTop w:val="0"/>
          <w:marBottom w:val="0"/>
          <w:divBdr>
            <w:top w:val="none" w:sz="0" w:space="0" w:color="auto"/>
            <w:left w:val="none" w:sz="0" w:space="0" w:color="auto"/>
            <w:bottom w:val="none" w:sz="0" w:space="0" w:color="auto"/>
            <w:right w:val="none" w:sz="0" w:space="0" w:color="auto"/>
          </w:divBdr>
        </w:div>
      </w:divsChild>
    </w:div>
    <w:div w:id="411511443">
      <w:marLeft w:val="0"/>
      <w:marRight w:val="0"/>
      <w:marTop w:val="0"/>
      <w:marBottom w:val="0"/>
      <w:divBdr>
        <w:top w:val="none" w:sz="0" w:space="0" w:color="auto"/>
        <w:left w:val="none" w:sz="0" w:space="0" w:color="auto"/>
        <w:bottom w:val="none" w:sz="0" w:space="0" w:color="auto"/>
        <w:right w:val="none" w:sz="0" w:space="0" w:color="auto"/>
      </w:divBdr>
      <w:divsChild>
        <w:div w:id="344787469">
          <w:marLeft w:val="0"/>
          <w:marRight w:val="0"/>
          <w:marTop w:val="0"/>
          <w:marBottom w:val="0"/>
          <w:divBdr>
            <w:top w:val="none" w:sz="0" w:space="0" w:color="auto"/>
            <w:left w:val="none" w:sz="0" w:space="0" w:color="auto"/>
            <w:bottom w:val="none" w:sz="0" w:space="0" w:color="auto"/>
            <w:right w:val="none" w:sz="0" w:space="0" w:color="auto"/>
          </w:divBdr>
        </w:div>
      </w:divsChild>
    </w:div>
    <w:div w:id="411662211">
      <w:marLeft w:val="0"/>
      <w:marRight w:val="0"/>
      <w:marTop w:val="0"/>
      <w:marBottom w:val="0"/>
      <w:divBdr>
        <w:top w:val="none" w:sz="0" w:space="0" w:color="auto"/>
        <w:left w:val="none" w:sz="0" w:space="0" w:color="auto"/>
        <w:bottom w:val="none" w:sz="0" w:space="0" w:color="auto"/>
        <w:right w:val="none" w:sz="0" w:space="0" w:color="auto"/>
      </w:divBdr>
      <w:divsChild>
        <w:div w:id="2045473664">
          <w:marLeft w:val="0"/>
          <w:marRight w:val="0"/>
          <w:marTop w:val="0"/>
          <w:marBottom w:val="0"/>
          <w:divBdr>
            <w:top w:val="none" w:sz="0" w:space="0" w:color="auto"/>
            <w:left w:val="none" w:sz="0" w:space="0" w:color="auto"/>
            <w:bottom w:val="none" w:sz="0" w:space="0" w:color="auto"/>
            <w:right w:val="none" w:sz="0" w:space="0" w:color="auto"/>
          </w:divBdr>
        </w:div>
      </w:divsChild>
    </w:div>
    <w:div w:id="416750465">
      <w:marLeft w:val="0"/>
      <w:marRight w:val="0"/>
      <w:marTop w:val="0"/>
      <w:marBottom w:val="0"/>
      <w:divBdr>
        <w:top w:val="none" w:sz="0" w:space="0" w:color="auto"/>
        <w:left w:val="none" w:sz="0" w:space="0" w:color="auto"/>
        <w:bottom w:val="none" w:sz="0" w:space="0" w:color="auto"/>
        <w:right w:val="none" w:sz="0" w:space="0" w:color="auto"/>
      </w:divBdr>
      <w:divsChild>
        <w:div w:id="1516117962">
          <w:marLeft w:val="0"/>
          <w:marRight w:val="0"/>
          <w:marTop w:val="0"/>
          <w:marBottom w:val="0"/>
          <w:divBdr>
            <w:top w:val="none" w:sz="0" w:space="0" w:color="auto"/>
            <w:left w:val="none" w:sz="0" w:space="0" w:color="auto"/>
            <w:bottom w:val="none" w:sz="0" w:space="0" w:color="auto"/>
            <w:right w:val="none" w:sz="0" w:space="0" w:color="auto"/>
          </w:divBdr>
        </w:div>
      </w:divsChild>
    </w:div>
    <w:div w:id="422072750">
      <w:marLeft w:val="0"/>
      <w:marRight w:val="0"/>
      <w:marTop w:val="0"/>
      <w:marBottom w:val="0"/>
      <w:divBdr>
        <w:top w:val="none" w:sz="0" w:space="0" w:color="auto"/>
        <w:left w:val="none" w:sz="0" w:space="0" w:color="auto"/>
        <w:bottom w:val="none" w:sz="0" w:space="0" w:color="auto"/>
        <w:right w:val="none" w:sz="0" w:space="0" w:color="auto"/>
      </w:divBdr>
      <w:divsChild>
        <w:div w:id="327488204">
          <w:marLeft w:val="0"/>
          <w:marRight w:val="0"/>
          <w:marTop w:val="0"/>
          <w:marBottom w:val="0"/>
          <w:divBdr>
            <w:top w:val="none" w:sz="0" w:space="0" w:color="auto"/>
            <w:left w:val="none" w:sz="0" w:space="0" w:color="auto"/>
            <w:bottom w:val="none" w:sz="0" w:space="0" w:color="auto"/>
            <w:right w:val="none" w:sz="0" w:space="0" w:color="auto"/>
          </w:divBdr>
        </w:div>
      </w:divsChild>
    </w:div>
    <w:div w:id="435641246">
      <w:marLeft w:val="0"/>
      <w:marRight w:val="0"/>
      <w:marTop w:val="0"/>
      <w:marBottom w:val="0"/>
      <w:divBdr>
        <w:top w:val="none" w:sz="0" w:space="0" w:color="auto"/>
        <w:left w:val="none" w:sz="0" w:space="0" w:color="auto"/>
        <w:bottom w:val="none" w:sz="0" w:space="0" w:color="auto"/>
        <w:right w:val="none" w:sz="0" w:space="0" w:color="auto"/>
      </w:divBdr>
      <w:divsChild>
        <w:div w:id="2114935898">
          <w:marLeft w:val="0"/>
          <w:marRight w:val="0"/>
          <w:marTop w:val="0"/>
          <w:marBottom w:val="0"/>
          <w:divBdr>
            <w:top w:val="none" w:sz="0" w:space="0" w:color="auto"/>
            <w:left w:val="none" w:sz="0" w:space="0" w:color="auto"/>
            <w:bottom w:val="none" w:sz="0" w:space="0" w:color="auto"/>
            <w:right w:val="none" w:sz="0" w:space="0" w:color="auto"/>
          </w:divBdr>
        </w:div>
      </w:divsChild>
    </w:div>
    <w:div w:id="436750933">
      <w:marLeft w:val="0"/>
      <w:marRight w:val="0"/>
      <w:marTop w:val="0"/>
      <w:marBottom w:val="0"/>
      <w:divBdr>
        <w:top w:val="none" w:sz="0" w:space="0" w:color="auto"/>
        <w:left w:val="none" w:sz="0" w:space="0" w:color="auto"/>
        <w:bottom w:val="none" w:sz="0" w:space="0" w:color="auto"/>
        <w:right w:val="none" w:sz="0" w:space="0" w:color="auto"/>
      </w:divBdr>
      <w:divsChild>
        <w:div w:id="1410349514">
          <w:marLeft w:val="0"/>
          <w:marRight w:val="0"/>
          <w:marTop w:val="0"/>
          <w:marBottom w:val="0"/>
          <w:divBdr>
            <w:top w:val="none" w:sz="0" w:space="0" w:color="auto"/>
            <w:left w:val="none" w:sz="0" w:space="0" w:color="auto"/>
            <w:bottom w:val="none" w:sz="0" w:space="0" w:color="auto"/>
            <w:right w:val="none" w:sz="0" w:space="0" w:color="auto"/>
          </w:divBdr>
        </w:div>
      </w:divsChild>
    </w:div>
    <w:div w:id="450629230">
      <w:marLeft w:val="0"/>
      <w:marRight w:val="0"/>
      <w:marTop w:val="0"/>
      <w:marBottom w:val="0"/>
      <w:divBdr>
        <w:top w:val="none" w:sz="0" w:space="0" w:color="auto"/>
        <w:left w:val="none" w:sz="0" w:space="0" w:color="auto"/>
        <w:bottom w:val="none" w:sz="0" w:space="0" w:color="auto"/>
        <w:right w:val="none" w:sz="0" w:space="0" w:color="auto"/>
      </w:divBdr>
      <w:divsChild>
        <w:div w:id="1946844950">
          <w:marLeft w:val="0"/>
          <w:marRight w:val="0"/>
          <w:marTop w:val="0"/>
          <w:marBottom w:val="0"/>
          <w:divBdr>
            <w:top w:val="none" w:sz="0" w:space="0" w:color="auto"/>
            <w:left w:val="none" w:sz="0" w:space="0" w:color="auto"/>
            <w:bottom w:val="none" w:sz="0" w:space="0" w:color="auto"/>
            <w:right w:val="none" w:sz="0" w:space="0" w:color="auto"/>
          </w:divBdr>
        </w:div>
      </w:divsChild>
    </w:div>
    <w:div w:id="452023626">
      <w:marLeft w:val="0"/>
      <w:marRight w:val="0"/>
      <w:marTop w:val="0"/>
      <w:marBottom w:val="0"/>
      <w:divBdr>
        <w:top w:val="none" w:sz="0" w:space="0" w:color="auto"/>
        <w:left w:val="none" w:sz="0" w:space="0" w:color="auto"/>
        <w:bottom w:val="none" w:sz="0" w:space="0" w:color="auto"/>
        <w:right w:val="none" w:sz="0" w:space="0" w:color="auto"/>
      </w:divBdr>
      <w:divsChild>
        <w:div w:id="831335604">
          <w:marLeft w:val="0"/>
          <w:marRight w:val="0"/>
          <w:marTop w:val="0"/>
          <w:marBottom w:val="0"/>
          <w:divBdr>
            <w:top w:val="none" w:sz="0" w:space="0" w:color="auto"/>
            <w:left w:val="none" w:sz="0" w:space="0" w:color="auto"/>
            <w:bottom w:val="none" w:sz="0" w:space="0" w:color="auto"/>
            <w:right w:val="none" w:sz="0" w:space="0" w:color="auto"/>
          </w:divBdr>
        </w:div>
      </w:divsChild>
    </w:div>
    <w:div w:id="459155052">
      <w:marLeft w:val="0"/>
      <w:marRight w:val="0"/>
      <w:marTop w:val="0"/>
      <w:marBottom w:val="0"/>
      <w:divBdr>
        <w:top w:val="none" w:sz="0" w:space="0" w:color="auto"/>
        <w:left w:val="none" w:sz="0" w:space="0" w:color="auto"/>
        <w:bottom w:val="none" w:sz="0" w:space="0" w:color="auto"/>
        <w:right w:val="none" w:sz="0" w:space="0" w:color="auto"/>
      </w:divBdr>
      <w:divsChild>
        <w:div w:id="1757313984">
          <w:marLeft w:val="0"/>
          <w:marRight w:val="0"/>
          <w:marTop w:val="0"/>
          <w:marBottom w:val="0"/>
          <w:divBdr>
            <w:top w:val="none" w:sz="0" w:space="0" w:color="auto"/>
            <w:left w:val="none" w:sz="0" w:space="0" w:color="auto"/>
            <w:bottom w:val="none" w:sz="0" w:space="0" w:color="auto"/>
            <w:right w:val="none" w:sz="0" w:space="0" w:color="auto"/>
          </w:divBdr>
        </w:div>
      </w:divsChild>
    </w:div>
    <w:div w:id="474183220">
      <w:marLeft w:val="0"/>
      <w:marRight w:val="0"/>
      <w:marTop w:val="0"/>
      <w:marBottom w:val="0"/>
      <w:divBdr>
        <w:top w:val="none" w:sz="0" w:space="0" w:color="auto"/>
        <w:left w:val="none" w:sz="0" w:space="0" w:color="auto"/>
        <w:bottom w:val="none" w:sz="0" w:space="0" w:color="auto"/>
        <w:right w:val="none" w:sz="0" w:space="0" w:color="auto"/>
      </w:divBdr>
      <w:divsChild>
        <w:div w:id="1068115771">
          <w:marLeft w:val="0"/>
          <w:marRight w:val="0"/>
          <w:marTop w:val="0"/>
          <w:marBottom w:val="0"/>
          <w:divBdr>
            <w:top w:val="none" w:sz="0" w:space="0" w:color="auto"/>
            <w:left w:val="none" w:sz="0" w:space="0" w:color="auto"/>
            <w:bottom w:val="none" w:sz="0" w:space="0" w:color="auto"/>
            <w:right w:val="none" w:sz="0" w:space="0" w:color="auto"/>
          </w:divBdr>
        </w:div>
      </w:divsChild>
    </w:div>
    <w:div w:id="480275914">
      <w:bodyDiv w:val="1"/>
      <w:marLeft w:val="0"/>
      <w:marRight w:val="0"/>
      <w:marTop w:val="0"/>
      <w:marBottom w:val="0"/>
      <w:divBdr>
        <w:top w:val="none" w:sz="0" w:space="0" w:color="auto"/>
        <w:left w:val="none" w:sz="0" w:space="0" w:color="auto"/>
        <w:bottom w:val="none" w:sz="0" w:space="0" w:color="auto"/>
        <w:right w:val="none" w:sz="0" w:space="0" w:color="auto"/>
      </w:divBdr>
      <w:divsChild>
        <w:div w:id="1272280226">
          <w:marLeft w:val="0"/>
          <w:marRight w:val="0"/>
          <w:marTop w:val="0"/>
          <w:marBottom w:val="0"/>
          <w:divBdr>
            <w:top w:val="none" w:sz="0" w:space="0" w:color="auto"/>
            <w:left w:val="none" w:sz="0" w:space="0" w:color="auto"/>
            <w:bottom w:val="none" w:sz="0" w:space="0" w:color="auto"/>
            <w:right w:val="none" w:sz="0" w:space="0" w:color="auto"/>
          </w:divBdr>
          <w:divsChild>
            <w:div w:id="1609577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163928">
      <w:marLeft w:val="0"/>
      <w:marRight w:val="0"/>
      <w:marTop w:val="0"/>
      <w:marBottom w:val="0"/>
      <w:divBdr>
        <w:top w:val="none" w:sz="0" w:space="0" w:color="auto"/>
        <w:left w:val="none" w:sz="0" w:space="0" w:color="auto"/>
        <w:bottom w:val="none" w:sz="0" w:space="0" w:color="auto"/>
        <w:right w:val="none" w:sz="0" w:space="0" w:color="auto"/>
      </w:divBdr>
      <w:divsChild>
        <w:div w:id="150144201">
          <w:marLeft w:val="0"/>
          <w:marRight w:val="0"/>
          <w:marTop w:val="0"/>
          <w:marBottom w:val="0"/>
          <w:divBdr>
            <w:top w:val="none" w:sz="0" w:space="0" w:color="auto"/>
            <w:left w:val="none" w:sz="0" w:space="0" w:color="auto"/>
            <w:bottom w:val="none" w:sz="0" w:space="0" w:color="auto"/>
            <w:right w:val="none" w:sz="0" w:space="0" w:color="auto"/>
          </w:divBdr>
        </w:div>
      </w:divsChild>
    </w:div>
    <w:div w:id="529684413">
      <w:bodyDiv w:val="1"/>
      <w:marLeft w:val="0"/>
      <w:marRight w:val="0"/>
      <w:marTop w:val="0"/>
      <w:marBottom w:val="0"/>
      <w:divBdr>
        <w:top w:val="none" w:sz="0" w:space="0" w:color="auto"/>
        <w:left w:val="none" w:sz="0" w:space="0" w:color="auto"/>
        <w:bottom w:val="none" w:sz="0" w:space="0" w:color="auto"/>
        <w:right w:val="none" w:sz="0" w:space="0" w:color="auto"/>
      </w:divBdr>
    </w:div>
    <w:div w:id="534077600">
      <w:marLeft w:val="0"/>
      <w:marRight w:val="0"/>
      <w:marTop w:val="0"/>
      <w:marBottom w:val="0"/>
      <w:divBdr>
        <w:top w:val="none" w:sz="0" w:space="0" w:color="auto"/>
        <w:left w:val="none" w:sz="0" w:space="0" w:color="auto"/>
        <w:bottom w:val="none" w:sz="0" w:space="0" w:color="auto"/>
        <w:right w:val="none" w:sz="0" w:space="0" w:color="auto"/>
      </w:divBdr>
      <w:divsChild>
        <w:div w:id="1657568839">
          <w:marLeft w:val="0"/>
          <w:marRight w:val="0"/>
          <w:marTop w:val="0"/>
          <w:marBottom w:val="0"/>
          <w:divBdr>
            <w:top w:val="none" w:sz="0" w:space="0" w:color="auto"/>
            <w:left w:val="none" w:sz="0" w:space="0" w:color="auto"/>
            <w:bottom w:val="none" w:sz="0" w:space="0" w:color="auto"/>
            <w:right w:val="none" w:sz="0" w:space="0" w:color="auto"/>
          </w:divBdr>
        </w:div>
      </w:divsChild>
    </w:div>
    <w:div w:id="537283586">
      <w:marLeft w:val="0"/>
      <w:marRight w:val="0"/>
      <w:marTop w:val="0"/>
      <w:marBottom w:val="0"/>
      <w:divBdr>
        <w:top w:val="none" w:sz="0" w:space="0" w:color="auto"/>
        <w:left w:val="none" w:sz="0" w:space="0" w:color="auto"/>
        <w:bottom w:val="none" w:sz="0" w:space="0" w:color="auto"/>
        <w:right w:val="none" w:sz="0" w:space="0" w:color="auto"/>
      </w:divBdr>
      <w:divsChild>
        <w:div w:id="331223262">
          <w:marLeft w:val="0"/>
          <w:marRight w:val="0"/>
          <w:marTop w:val="0"/>
          <w:marBottom w:val="0"/>
          <w:divBdr>
            <w:top w:val="none" w:sz="0" w:space="0" w:color="auto"/>
            <w:left w:val="none" w:sz="0" w:space="0" w:color="auto"/>
            <w:bottom w:val="none" w:sz="0" w:space="0" w:color="auto"/>
            <w:right w:val="none" w:sz="0" w:space="0" w:color="auto"/>
          </w:divBdr>
        </w:div>
      </w:divsChild>
    </w:div>
    <w:div w:id="573199687">
      <w:marLeft w:val="0"/>
      <w:marRight w:val="0"/>
      <w:marTop w:val="0"/>
      <w:marBottom w:val="0"/>
      <w:divBdr>
        <w:top w:val="none" w:sz="0" w:space="0" w:color="auto"/>
        <w:left w:val="none" w:sz="0" w:space="0" w:color="auto"/>
        <w:bottom w:val="none" w:sz="0" w:space="0" w:color="auto"/>
        <w:right w:val="none" w:sz="0" w:space="0" w:color="auto"/>
      </w:divBdr>
      <w:divsChild>
        <w:div w:id="1324041048">
          <w:marLeft w:val="0"/>
          <w:marRight w:val="0"/>
          <w:marTop w:val="0"/>
          <w:marBottom w:val="0"/>
          <w:divBdr>
            <w:top w:val="none" w:sz="0" w:space="0" w:color="auto"/>
            <w:left w:val="none" w:sz="0" w:space="0" w:color="auto"/>
            <w:bottom w:val="none" w:sz="0" w:space="0" w:color="auto"/>
            <w:right w:val="none" w:sz="0" w:space="0" w:color="auto"/>
          </w:divBdr>
        </w:div>
      </w:divsChild>
    </w:div>
    <w:div w:id="580918605">
      <w:bodyDiv w:val="1"/>
      <w:marLeft w:val="0"/>
      <w:marRight w:val="0"/>
      <w:marTop w:val="0"/>
      <w:marBottom w:val="0"/>
      <w:divBdr>
        <w:top w:val="none" w:sz="0" w:space="0" w:color="auto"/>
        <w:left w:val="none" w:sz="0" w:space="0" w:color="auto"/>
        <w:bottom w:val="none" w:sz="0" w:space="0" w:color="auto"/>
        <w:right w:val="none" w:sz="0" w:space="0" w:color="auto"/>
      </w:divBdr>
    </w:div>
    <w:div w:id="586812231">
      <w:marLeft w:val="0"/>
      <w:marRight w:val="0"/>
      <w:marTop w:val="0"/>
      <w:marBottom w:val="0"/>
      <w:divBdr>
        <w:top w:val="none" w:sz="0" w:space="0" w:color="auto"/>
        <w:left w:val="none" w:sz="0" w:space="0" w:color="auto"/>
        <w:bottom w:val="none" w:sz="0" w:space="0" w:color="auto"/>
        <w:right w:val="none" w:sz="0" w:space="0" w:color="auto"/>
      </w:divBdr>
      <w:divsChild>
        <w:div w:id="8302">
          <w:marLeft w:val="0"/>
          <w:marRight w:val="0"/>
          <w:marTop w:val="0"/>
          <w:marBottom w:val="0"/>
          <w:divBdr>
            <w:top w:val="none" w:sz="0" w:space="0" w:color="auto"/>
            <w:left w:val="none" w:sz="0" w:space="0" w:color="auto"/>
            <w:bottom w:val="none" w:sz="0" w:space="0" w:color="auto"/>
            <w:right w:val="none" w:sz="0" w:space="0" w:color="auto"/>
          </w:divBdr>
        </w:div>
      </w:divsChild>
    </w:div>
    <w:div w:id="596712571">
      <w:bodyDiv w:val="1"/>
      <w:marLeft w:val="0"/>
      <w:marRight w:val="0"/>
      <w:marTop w:val="0"/>
      <w:marBottom w:val="0"/>
      <w:divBdr>
        <w:top w:val="none" w:sz="0" w:space="0" w:color="auto"/>
        <w:left w:val="none" w:sz="0" w:space="0" w:color="auto"/>
        <w:bottom w:val="none" w:sz="0" w:space="0" w:color="auto"/>
        <w:right w:val="none" w:sz="0" w:space="0" w:color="auto"/>
      </w:divBdr>
    </w:div>
    <w:div w:id="603537863">
      <w:marLeft w:val="0"/>
      <w:marRight w:val="0"/>
      <w:marTop w:val="0"/>
      <w:marBottom w:val="0"/>
      <w:divBdr>
        <w:top w:val="none" w:sz="0" w:space="0" w:color="auto"/>
        <w:left w:val="none" w:sz="0" w:space="0" w:color="auto"/>
        <w:bottom w:val="none" w:sz="0" w:space="0" w:color="auto"/>
        <w:right w:val="none" w:sz="0" w:space="0" w:color="auto"/>
      </w:divBdr>
      <w:divsChild>
        <w:div w:id="640499080">
          <w:marLeft w:val="0"/>
          <w:marRight w:val="0"/>
          <w:marTop w:val="0"/>
          <w:marBottom w:val="0"/>
          <w:divBdr>
            <w:top w:val="none" w:sz="0" w:space="0" w:color="auto"/>
            <w:left w:val="none" w:sz="0" w:space="0" w:color="auto"/>
            <w:bottom w:val="none" w:sz="0" w:space="0" w:color="auto"/>
            <w:right w:val="none" w:sz="0" w:space="0" w:color="auto"/>
          </w:divBdr>
        </w:div>
      </w:divsChild>
    </w:div>
    <w:div w:id="629440499">
      <w:marLeft w:val="0"/>
      <w:marRight w:val="0"/>
      <w:marTop w:val="0"/>
      <w:marBottom w:val="0"/>
      <w:divBdr>
        <w:top w:val="none" w:sz="0" w:space="0" w:color="auto"/>
        <w:left w:val="none" w:sz="0" w:space="0" w:color="auto"/>
        <w:bottom w:val="none" w:sz="0" w:space="0" w:color="auto"/>
        <w:right w:val="none" w:sz="0" w:space="0" w:color="auto"/>
      </w:divBdr>
      <w:divsChild>
        <w:div w:id="999043336">
          <w:marLeft w:val="0"/>
          <w:marRight w:val="0"/>
          <w:marTop w:val="0"/>
          <w:marBottom w:val="0"/>
          <w:divBdr>
            <w:top w:val="none" w:sz="0" w:space="0" w:color="auto"/>
            <w:left w:val="none" w:sz="0" w:space="0" w:color="auto"/>
            <w:bottom w:val="none" w:sz="0" w:space="0" w:color="auto"/>
            <w:right w:val="none" w:sz="0" w:space="0" w:color="auto"/>
          </w:divBdr>
        </w:div>
      </w:divsChild>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651786790">
      <w:marLeft w:val="0"/>
      <w:marRight w:val="0"/>
      <w:marTop w:val="0"/>
      <w:marBottom w:val="0"/>
      <w:divBdr>
        <w:top w:val="none" w:sz="0" w:space="0" w:color="auto"/>
        <w:left w:val="none" w:sz="0" w:space="0" w:color="auto"/>
        <w:bottom w:val="none" w:sz="0" w:space="0" w:color="auto"/>
        <w:right w:val="none" w:sz="0" w:space="0" w:color="auto"/>
      </w:divBdr>
      <w:divsChild>
        <w:div w:id="1712262920">
          <w:marLeft w:val="0"/>
          <w:marRight w:val="0"/>
          <w:marTop w:val="0"/>
          <w:marBottom w:val="0"/>
          <w:divBdr>
            <w:top w:val="none" w:sz="0" w:space="0" w:color="auto"/>
            <w:left w:val="none" w:sz="0" w:space="0" w:color="auto"/>
            <w:bottom w:val="none" w:sz="0" w:space="0" w:color="auto"/>
            <w:right w:val="none" w:sz="0" w:space="0" w:color="auto"/>
          </w:divBdr>
        </w:div>
      </w:divsChild>
    </w:div>
    <w:div w:id="673918516">
      <w:marLeft w:val="0"/>
      <w:marRight w:val="0"/>
      <w:marTop w:val="0"/>
      <w:marBottom w:val="0"/>
      <w:divBdr>
        <w:top w:val="none" w:sz="0" w:space="0" w:color="auto"/>
        <w:left w:val="none" w:sz="0" w:space="0" w:color="auto"/>
        <w:bottom w:val="none" w:sz="0" w:space="0" w:color="auto"/>
        <w:right w:val="none" w:sz="0" w:space="0" w:color="auto"/>
      </w:divBdr>
      <w:divsChild>
        <w:div w:id="894050080">
          <w:marLeft w:val="0"/>
          <w:marRight w:val="0"/>
          <w:marTop w:val="0"/>
          <w:marBottom w:val="0"/>
          <w:divBdr>
            <w:top w:val="none" w:sz="0" w:space="0" w:color="auto"/>
            <w:left w:val="none" w:sz="0" w:space="0" w:color="auto"/>
            <w:bottom w:val="none" w:sz="0" w:space="0" w:color="auto"/>
            <w:right w:val="none" w:sz="0" w:space="0" w:color="auto"/>
          </w:divBdr>
        </w:div>
      </w:divsChild>
    </w:div>
    <w:div w:id="689064354">
      <w:marLeft w:val="0"/>
      <w:marRight w:val="0"/>
      <w:marTop w:val="0"/>
      <w:marBottom w:val="0"/>
      <w:divBdr>
        <w:top w:val="none" w:sz="0" w:space="0" w:color="auto"/>
        <w:left w:val="none" w:sz="0" w:space="0" w:color="auto"/>
        <w:bottom w:val="none" w:sz="0" w:space="0" w:color="auto"/>
        <w:right w:val="none" w:sz="0" w:space="0" w:color="auto"/>
      </w:divBdr>
      <w:divsChild>
        <w:div w:id="286551042">
          <w:marLeft w:val="0"/>
          <w:marRight w:val="0"/>
          <w:marTop w:val="0"/>
          <w:marBottom w:val="0"/>
          <w:divBdr>
            <w:top w:val="none" w:sz="0" w:space="0" w:color="auto"/>
            <w:left w:val="none" w:sz="0" w:space="0" w:color="auto"/>
            <w:bottom w:val="none" w:sz="0" w:space="0" w:color="auto"/>
            <w:right w:val="none" w:sz="0" w:space="0" w:color="auto"/>
          </w:divBdr>
        </w:div>
      </w:divsChild>
    </w:div>
    <w:div w:id="690450760">
      <w:marLeft w:val="0"/>
      <w:marRight w:val="0"/>
      <w:marTop w:val="0"/>
      <w:marBottom w:val="0"/>
      <w:divBdr>
        <w:top w:val="none" w:sz="0" w:space="0" w:color="auto"/>
        <w:left w:val="none" w:sz="0" w:space="0" w:color="auto"/>
        <w:bottom w:val="none" w:sz="0" w:space="0" w:color="auto"/>
        <w:right w:val="none" w:sz="0" w:space="0" w:color="auto"/>
      </w:divBdr>
      <w:divsChild>
        <w:div w:id="1131283848">
          <w:marLeft w:val="0"/>
          <w:marRight w:val="0"/>
          <w:marTop w:val="0"/>
          <w:marBottom w:val="0"/>
          <w:divBdr>
            <w:top w:val="none" w:sz="0" w:space="0" w:color="auto"/>
            <w:left w:val="none" w:sz="0" w:space="0" w:color="auto"/>
            <w:bottom w:val="none" w:sz="0" w:space="0" w:color="auto"/>
            <w:right w:val="none" w:sz="0" w:space="0" w:color="auto"/>
          </w:divBdr>
        </w:div>
      </w:divsChild>
    </w:div>
    <w:div w:id="703603882">
      <w:marLeft w:val="0"/>
      <w:marRight w:val="0"/>
      <w:marTop w:val="0"/>
      <w:marBottom w:val="0"/>
      <w:divBdr>
        <w:top w:val="none" w:sz="0" w:space="0" w:color="auto"/>
        <w:left w:val="none" w:sz="0" w:space="0" w:color="auto"/>
        <w:bottom w:val="none" w:sz="0" w:space="0" w:color="auto"/>
        <w:right w:val="none" w:sz="0" w:space="0" w:color="auto"/>
      </w:divBdr>
      <w:divsChild>
        <w:div w:id="925303599">
          <w:marLeft w:val="0"/>
          <w:marRight w:val="0"/>
          <w:marTop w:val="0"/>
          <w:marBottom w:val="0"/>
          <w:divBdr>
            <w:top w:val="none" w:sz="0" w:space="0" w:color="auto"/>
            <w:left w:val="none" w:sz="0" w:space="0" w:color="auto"/>
            <w:bottom w:val="none" w:sz="0" w:space="0" w:color="auto"/>
            <w:right w:val="none" w:sz="0" w:space="0" w:color="auto"/>
          </w:divBdr>
        </w:div>
      </w:divsChild>
    </w:div>
    <w:div w:id="703749671">
      <w:marLeft w:val="0"/>
      <w:marRight w:val="0"/>
      <w:marTop w:val="0"/>
      <w:marBottom w:val="0"/>
      <w:divBdr>
        <w:top w:val="none" w:sz="0" w:space="0" w:color="auto"/>
        <w:left w:val="none" w:sz="0" w:space="0" w:color="auto"/>
        <w:bottom w:val="none" w:sz="0" w:space="0" w:color="auto"/>
        <w:right w:val="none" w:sz="0" w:space="0" w:color="auto"/>
      </w:divBdr>
      <w:divsChild>
        <w:div w:id="2067100164">
          <w:marLeft w:val="0"/>
          <w:marRight w:val="0"/>
          <w:marTop w:val="0"/>
          <w:marBottom w:val="0"/>
          <w:divBdr>
            <w:top w:val="none" w:sz="0" w:space="0" w:color="auto"/>
            <w:left w:val="none" w:sz="0" w:space="0" w:color="auto"/>
            <w:bottom w:val="none" w:sz="0" w:space="0" w:color="auto"/>
            <w:right w:val="none" w:sz="0" w:space="0" w:color="auto"/>
          </w:divBdr>
        </w:div>
      </w:divsChild>
    </w:div>
    <w:div w:id="707073098">
      <w:marLeft w:val="0"/>
      <w:marRight w:val="0"/>
      <w:marTop w:val="0"/>
      <w:marBottom w:val="0"/>
      <w:divBdr>
        <w:top w:val="none" w:sz="0" w:space="0" w:color="auto"/>
        <w:left w:val="none" w:sz="0" w:space="0" w:color="auto"/>
        <w:bottom w:val="none" w:sz="0" w:space="0" w:color="auto"/>
        <w:right w:val="none" w:sz="0" w:space="0" w:color="auto"/>
      </w:divBdr>
      <w:divsChild>
        <w:div w:id="1232499347">
          <w:marLeft w:val="0"/>
          <w:marRight w:val="0"/>
          <w:marTop w:val="0"/>
          <w:marBottom w:val="0"/>
          <w:divBdr>
            <w:top w:val="none" w:sz="0" w:space="0" w:color="auto"/>
            <w:left w:val="none" w:sz="0" w:space="0" w:color="auto"/>
            <w:bottom w:val="none" w:sz="0" w:space="0" w:color="auto"/>
            <w:right w:val="none" w:sz="0" w:space="0" w:color="auto"/>
          </w:divBdr>
        </w:div>
      </w:divsChild>
    </w:div>
    <w:div w:id="717893988">
      <w:marLeft w:val="0"/>
      <w:marRight w:val="0"/>
      <w:marTop w:val="0"/>
      <w:marBottom w:val="0"/>
      <w:divBdr>
        <w:top w:val="none" w:sz="0" w:space="0" w:color="auto"/>
        <w:left w:val="none" w:sz="0" w:space="0" w:color="auto"/>
        <w:bottom w:val="none" w:sz="0" w:space="0" w:color="auto"/>
        <w:right w:val="none" w:sz="0" w:space="0" w:color="auto"/>
      </w:divBdr>
      <w:divsChild>
        <w:div w:id="1922525953">
          <w:marLeft w:val="0"/>
          <w:marRight w:val="0"/>
          <w:marTop w:val="0"/>
          <w:marBottom w:val="0"/>
          <w:divBdr>
            <w:top w:val="none" w:sz="0" w:space="0" w:color="auto"/>
            <w:left w:val="none" w:sz="0" w:space="0" w:color="auto"/>
            <w:bottom w:val="none" w:sz="0" w:space="0" w:color="auto"/>
            <w:right w:val="none" w:sz="0" w:space="0" w:color="auto"/>
          </w:divBdr>
        </w:div>
      </w:divsChild>
    </w:div>
    <w:div w:id="718169036">
      <w:bodyDiv w:val="1"/>
      <w:marLeft w:val="0"/>
      <w:marRight w:val="0"/>
      <w:marTop w:val="0"/>
      <w:marBottom w:val="0"/>
      <w:divBdr>
        <w:top w:val="none" w:sz="0" w:space="0" w:color="auto"/>
        <w:left w:val="none" w:sz="0" w:space="0" w:color="auto"/>
        <w:bottom w:val="none" w:sz="0" w:space="0" w:color="auto"/>
        <w:right w:val="none" w:sz="0" w:space="0" w:color="auto"/>
      </w:divBdr>
    </w:div>
    <w:div w:id="728385041">
      <w:bodyDiv w:val="1"/>
      <w:marLeft w:val="0"/>
      <w:marRight w:val="0"/>
      <w:marTop w:val="0"/>
      <w:marBottom w:val="0"/>
      <w:divBdr>
        <w:top w:val="none" w:sz="0" w:space="0" w:color="auto"/>
        <w:left w:val="none" w:sz="0" w:space="0" w:color="auto"/>
        <w:bottom w:val="none" w:sz="0" w:space="0" w:color="auto"/>
        <w:right w:val="none" w:sz="0" w:space="0" w:color="auto"/>
      </w:divBdr>
    </w:div>
    <w:div w:id="736785272">
      <w:marLeft w:val="0"/>
      <w:marRight w:val="0"/>
      <w:marTop w:val="0"/>
      <w:marBottom w:val="0"/>
      <w:divBdr>
        <w:top w:val="none" w:sz="0" w:space="0" w:color="auto"/>
        <w:left w:val="none" w:sz="0" w:space="0" w:color="auto"/>
        <w:bottom w:val="none" w:sz="0" w:space="0" w:color="auto"/>
        <w:right w:val="none" w:sz="0" w:space="0" w:color="auto"/>
      </w:divBdr>
      <w:divsChild>
        <w:div w:id="122312664">
          <w:marLeft w:val="0"/>
          <w:marRight w:val="0"/>
          <w:marTop w:val="0"/>
          <w:marBottom w:val="0"/>
          <w:divBdr>
            <w:top w:val="none" w:sz="0" w:space="0" w:color="auto"/>
            <w:left w:val="none" w:sz="0" w:space="0" w:color="auto"/>
            <w:bottom w:val="none" w:sz="0" w:space="0" w:color="auto"/>
            <w:right w:val="none" w:sz="0" w:space="0" w:color="auto"/>
          </w:divBdr>
        </w:div>
      </w:divsChild>
    </w:div>
    <w:div w:id="797994202">
      <w:marLeft w:val="0"/>
      <w:marRight w:val="0"/>
      <w:marTop w:val="0"/>
      <w:marBottom w:val="0"/>
      <w:divBdr>
        <w:top w:val="none" w:sz="0" w:space="0" w:color="auto"/>
        <w:left w:val="none" w:sz="0" w:space="0" w:color="auto"/>
        <w:bottom w:val="none" w:sz="0" w:space="0" w:color="auto"/>
        <w:right w:val="none" w:sz="0" w:space="0" w:color="auto"/>
      </w:divBdr>
      <w:divsChild>
        <w:div w:id="510411708">
          <w:marLeft w:val="0"/>
          <w:marRight w:val="0"/>
          <w:marTop w:val="0"/>
          <w:marBottom w:val="0"/>
          <w:divBdr>
            <w:top w:val="none" w:sz="0" w:space="0" w:color="auto"/>
            <w:left w:val="none" w:sz="0" w:space="0" w:color="auto"/>
            <w:bottom w:val="none" w:sz="0" w:space="0" w:color="auto"/>
            <w:right w:val="none" w:sz="0" w:space="0" w:color="auto"/>
          </w:divBdr>
        </w:div>
      </w:divsChild>
    </w:div>
    <w:div w:id="810823946">
      <w:bodyDiv w:val="1"/>
      <w:marLeft w:val="0"/>
      <w:marRight w:val="0"/>
      <w:marTop w:val="0"/>
      <w:marBottom w:val="0"/>
      <w:divBdr>
        <w:top w:val="none" w:sz="0" w:space="0" w:color="auto"/>
        <w:left w:val="none" w:sz="0" w:space="0" w:color="auto"/>
        <w:bottom w:val="none" w:sz="0" w:space="0" w:color="auto"/>
        <w:right w:val="none" w:sz="0" w:space="0" w:color="auto"/>
      </w:divBdr>
    </w:div>
    <w:div w:id="822812039">
      <w:bodyDiv w:val="1"/>
      <w:marLeft w:val="0"/>
      <w:marRight w:val="0"/>
      <w:marTop w:val="0"/>
      <w:marBottom w:val="0"/>
      <w:divBdr>
        <w:top w:val="none" w:sz="0" w:space="0" w:color="auto"/>
        <w:left w:val="none" w:sz="0" w:space="0" w:color="auto"/>
        <w:bottom w:val="none" w:sz="0" w:space="0" w:color="auto"/>
        <w:right w:val="none" w:sz="0" w:space="0" w:color="auto"/>
      </w:divBdr>
      <w:divsChild>
        <w:div w:id="904800066">
          <w:marLeft w:val="0"/>
          <w:marRight w:val="0"/>
          <w:marTop w:val="0"/>
          <w:marBottom w:val="0"/>
          <w:divBdr>
            <w:top w:val="none" w:sz="0" w:space="0" w:color="auto"/>
            <w:left w:val="none" w:sz="0" w:space="0" w:color="auto"/>
            <w:bottom w:val="none" w:sz="0" w:space="0" w:color="auto"/>
            <w:right w:val="none" w:sz="0" w:space="0" w:color="auto"/>
          </w:divBdr>
          <w:divsChild>
            <w:div w:id="181628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179813">
      <w:marLeft w:val="0"/>
      <w:marRight w:val="0"/>
      <w:marTop w:val="0"/>
      <w:marBottom w:val="0"/>
      <w:divBdr>
        <w:top w:val="none" w:sz="0" w:space="0" w:color="auto"/>
        <w:left w:val="none" w:sz="0" w:space="0" w:color="auto"/>
        <w:bottom w:val="none" w:sz="0" w:space="0" w:color="auto"/>
        <w:right w:val="none" w:sz="0" w:space="0" w:color="auto"/>
      </w:divBdr>
      <w:divsChild>
        <w:div w:id="419646310">
          <w:marLeft w:val="0"/>
          <w:marRight w:val="0"/>
          <w:marTop w:val="0"/>
          <w:marBottom w:val="0"/>
          <w:divBdr>
            <w:top w:val="none" w:sz="0" w:space="0" w:color="auto"/>
            <w:left w:val="none" w:sz="0" w:space="0" w:color="auto"/>
            <w:bottom w:val="none" w:sz="0" w:space="0" w:color="auto"/>
            <w:right w:val="none" w:sz="0" w:space="0" w:color="auto"/>
          </w:divBdr>
        </w:div>
      </w:divsChild>
    </w:div>
    <w:div w:id="849372397">
      <w:marLeft w:val="0"/>
      <w:marRight w:val="0"/>
      <w:marTop w:val="0"/>
      <w:marBottom w:val="0"/>
      <w:divBdr>
        <w:top w:val="none" w:sz="0" w:space="0" w:color="auto"/>
        <w:left w:val="none" w:sz="0" w:space="0" w:color="auto"/>
        <w:bottom w:val="none" w:sz="0" w:space="0" w:color="auto"/>
        <w:right w:val="none" w:sz="0" w:space="0" w:color="auto"/>
      </w:divBdr>
      <w:divsChild>
        <w:div w:id="1698308179">
          <w:marLeft w:val="0"/>
          <w:marRight w:val="0"/>
          <w:marTop w:val="0"/>
          <w:marBottom w:val="0"/>
          <w:divBdr>
            <w:top w:val="none" w:sz="0" w:space="0" w:color="auto"/>
            <w:left w:val="none" w:sz="0" w:space="0" w:color="auto"/>
            <w:bottom w:val="none" w:sz="0" w:space="0" w:color="auto"/>
            <w:right w:val="none" w:sz="0" w:space="0" w:color="auto"/>
          </w:divBdr>
        </w:div>
      </w:divsChild>
    </w:div>
    <w:div w:id="858472742">
      <w:bodyDiv w:val="1"/>
      <w:marLeft w:val="0"/>
      <w:marRight w:val="0"/>
      <w:marTop w:val="0"/>
      <w:marBottom w:val="0"/>
      <w:divBdr>
        <w:top w:val="none" w:sz="0" w:space="0" w:color="auto"/>
        <w:left w:val="none" w:sz="0" w:space="0" w:color="auto"/>
        <w:bottom w:val="none" w:sz="0" w:space="0" w:color="auto"/>
        <w:right w:val="none" w:sz="0" w:space="0" w:color="auto"/>
      </w:divBdr>
    </w:div>
    <w:div w:id="869075315">
      <w:bodyDiv w:val="1"/>
      <w:marLeft w:val="0"/>
      <w:marRight w:val="0"/>
      <w:marTop w:val="0"/>
      <w:marBottom w:val="0"/>
      <w:divBdr>
        <w:top w:val="none" w:sz="0" w:space="0" w:color="auto"/>
        <w:left w:val="none" w:sz="0" w:space="0" w:color="auto"/>
        <w:bottom w:val="none" w:sz="0" w:space="0" w:color="auto"/>
        <w:right w:val="none" w:sz="0" w:space="0" w:color="auto"/>
      </w:divBdr>
      <w:divsChild>
        <w:div w:id="1019085308">
          <w:marLeft w:val="0"/>
          <w:marRight w:val="0"/>
          <w:marTop w:val="0"/>
          <w:marBottom w:val="0"/>
          <w:divBdr>
            <w:top w:val="none" w:sz="0" w:space="0" w:color="auto"/>
            <w:left w:val="none" w:sz="0" w:space="0" w:color="auto"/>
            <w:bottom w:val="none" w:sz="0" w:space="0" w:color="auto"/>
            <w:right w:val="none" w:sz="0" w:space="0" w:color="auto"/>
          </w:divBdr>
          <w:divsChild>
            <w:div w:id="2125997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930699">
      <w:bodyDiv w:val="1"/>
      <w:marLeft w:val="0"/>
      <w:marRight w:val="0"/>
      <w:marTop w:val="0"/>
      <w:marBottom w:val="0"/>
      <w:divBdr>
        <w:top w:val="none" w:sz="0" w:space="0" w:color="auto"/>
        <w:left w:val="none" w:sz="0" w:space="0" w:color="auto"/>
        <w:bottom w:val="none" w:sz="0" w:space="0" w:color="auto"/>
        <w:right w:val="none" w:sz="0" w:space="0" w:color="auto"/>
      </w:divBdr>
    </w:div>
    <w:div w:id="881018825">
      <w:marLeft w:val="0"/>
      <w:marRight w:val="0"/>
      <w:marTop w:val="0"/>
      <w:marBottom w:val="0"/>
      <w:divBdr>
        <w:top w:val="none" w:sz="0" w:space="0" w:color="auto"/>
        <w:left w:val="none" w:sz="0" w:space="0" w:color="auto"/>
        <w:bottom w:val="none" w:sz="0" w:space="0" w:color="auto"/>
        <w:right w:val="none" w:sz="0" w:space="0" w:color="auto"/>
      </w:divBdr>
      <w:divsChild>
        <w:div w:id="721371659">
          <w:marLeft w:val="0"/>
          <w:marRight w:val="0"/>
          <w:marTop w:val="0"/>
          <w:marBottom w:val="0"/>
          <w:divBdr>
            <w:top w:val="none" w:sz="0" w:space="0" w:color="auto"/>
            <w:left w:val="none" w:sz="0" w:space="0" w:color="auto"/>
            <w:bottom w:val="none" w:sz="0" w:space="0" w:color="auto"/>
            <w:right w:val="none" w:sz="0" w:space="0" w:color="auto"/>
          </w:divBdr>
        </w:div>
      </w:divsChild>
    </w:div>
    <w:div w:id="886836514">
      <w:marLeft w:val="0"/>
      <w:marRight w:val="0"/>
      <w:marTop w:val="0"/>
      <w:marBottom w:val="0"/>
      <w:divBdr>
        <w:top w:val="none" w:sz="0" w:space="0" w:color="auto"/>
        <w:left w:val="none" w:sz="0" w:space="0" w:color="auto"/>
        <w:bottom w:val="none" w:sz="0" w:space="0" w:color="auto"/>
        <w:right w:val="none" w:sz="0" w:space="0" w:color="auto"/>
      </w:divBdr>
      <w:divsChild>
        <w:div w:id="293410432">
          <w:marLeft w:val="0"/>
          <w:marRight w:val="0"/>
          <w:marTop w:val="0"/>
          <w:marBottom w:val="0"/>
          <w:divBdr>
            <w:top w:val="none" w:sz="0" w:space="0" w:color="auto"/>
            <w:left w:val="none" w:sz="0" w:space="0" w:color="auto"/>
            <w:bottom w:val="none" w:sz="0" w:space="0" w:color="auto"/>
            <w:right w:val="none" w:sz="0" w:space="0" w:color="auto"/>
          </w:divBdr>
        </w:div>
      </w:divsChild>
    </w:div>
    <w:div w:id="889419444">
      <w:marLeft w:val="0"/>
      <w:marRight w:val="0"/>
      <w:marTop w:val="0"/>
      <w:marBottom w:val="0"/>
      <w:divBdr>
        <w:top w:val="none" w:sz="0" w:space="0" w:color="auto"/>
        <w:left w:val="none" w:sz="0" w:space="0" w:color="auto"/>
        <w:bottom w:val="none" w:sz="0" w:space="0" w:color="auto"/>
        <w:right w:val="none" w:sz="0" w:space="0" w:color="auto"/>
      </w:divBdr>
      <w:divsChild>
        <w:div w:id="1806434936">
          <w:marLeft w:val="0"/>
          <w:marRight w:val="0"/>
          <w:marTop w:val="0"/>
          <w:marBottom w:val="0"/>
          <w:divBdr>
            <w:top w:val="none" w:sz="0" w:space="0" w:color="auto"/>
            <w:left w:val="none" w:sz="0" w:space="0" w:color="auto"/>
            <w:bottom w:val="none" w:sz="0" w:space="0" w:color="auto"/>
            <w:right w:val="none" w:sz="0" w:space="0" w:color="auto"/>
          </w:divBdr>
        </w:div>
      </w:divsChild>
    </w:div>
    <w:div w:id="898173153">
      <w:marLeft w:val="0"/>
      <w:marRight w:val="0"/>
      <w:marTop w:val="0"/>
      <w:marBottom w:val="0"/>
      <w:divBdr>
        <w:top w:val="none" w:sz="0" w:space="0" w:color="auto"/>
        <w:left w:val="none" w:sz="0" w:space="0" w:color="auto"/>
        <w:bottom w:val="none" w:sz="0" w:space="0" w:color="auto"/>
        <w:right w:val="none" w:sz="0" w:space="0" w:color="auto"/>
      </w:divBdr>
      <w:divsChild>
        <w:div w:id="1501577125">
          <w:marLeft w:val="0"/>
          <w:marRight w:val="0"/>
          <w:marTop w:val="0"/>
          <w:marBottom w:val="0"/>
          <w:divBdr>
            <w:top w:val="none" w:sz="0" w:space="0" w:color="auto"/>
            <w:left w:val="none" w:sz="0" w:space="0" w:color="auto"/>
            <w:bottom w:val="none" w:sz="0" w:space="0" w:color="auto"/>
            <w:right w:val="none" w:sz="0" w:space="0" w:color="auto"/>
          </w:divBdr>
        </w:div>
      </w:divsChild>
    </w:div>
    <w:div w:id="924612246">
      <w:marLeft w:val="0"/>
      <w:marRight w:val="0"/>
      <w:marTop w:val="0"/>
      <w:marBottom w:val="0"/>
      <w:divBdr>
        <w:top w:val="none" w:sz="0" w:space="0" w:color="auto"/>
        <w:left w:val="none" w:sz="0" w:space="0" w:color="auto"/>
        <w:bottom w:val="none" w:sz="0" w:space="0" w:color="auto"/>
        <w:right w:val="none" w:sz="0" w:space="0" w:color="auto"/>
      </w:divBdr>
      <w:divsChild>
        <w:div w:id="179515143">
          <w:marLeft w:val="0"/>
          <w:marRight w:val="0"/>
          <w:marTop w:val="0"/>
          <w:marBottom w:val="0"/>
          <w:divBdr>
            <w:top w:val="none" w:sz="0" w:space="0" w:color="auto"/>
            <w:left w:val="none" w:sz="0" w:space="0" w:color="auto"/>
            <w:bottom w:val="none" w:sz="0" w:space="0" w:color="auto"/>
            <w:right w:val="none" w:sz="0" w:space="0" w:color="auto"/>
          </w:divBdr>
        </w:div>
      </w:divsChild>
    </w:div>
    <w:div w:id="928661506">
      <w:marLeft w:val="0"/>
      <w:marRight w:val="0"/>
      <w:marTop w:val="0"/>
      <w:marBottom w:val="0"/>
      <w:divBdr>
        <w:top w:val="none" w:sz="0" w:space="0" w:color="auto"/>
        <w:left w:val="none" w:sz="0" w:space="0" w:color="auto"/>
        <w:bottom w:val="none" w:sz="0" w:space="0" w:color="auto"/>
        <w:right w:val="none" w:sz="0" w:space="0" w:color="auto"/>
      </w:divBdr>
      <w:divsChild>
        <w:div w:id="525338689">
          <w:marLeft w:val="0"/>
          <w:marRight w:val="0"/>
          <w:marTop w:val="0"/>
          <w:marBottom w:val="0"/>
          <w:divBdr>
            <w:top w:val="none" w:sz="0" w:space="0" w:color="auto"/>
            <w:left w:val="none" w:sz="0" w:space="0" w:color="auto"/>
            <w:bottom w:val="none" w:sz="0" w:space="0" w:color="auto"/>
            <w:right w:val="none" w:sz="0" w:space="0" w:color="auto"/>
          </w:divBdr>
        </w:div>
      </w:divsChild>
    </w:div>
    <w:div w:id="964038835">
      <w:marLeft w:val="0"/>
      <w:marRight w:val="0"/>
      <w:marTop w:val="0"/>
      <w:marBottom w:val="0"/>
      <w:divBdr>
        <w:top w:val="none" w:sz="0" w:space="0" w:color="auto"/>
        <w:left w:val="none" w:sz="0" w:space="0" w:color="auto"/>
        <w:bottom w:val="none" w:sz="0" w:space="0" w:color="auto"/>
        <w:right w:val="none" w:sz="0" w:space="0" w:color="auto"/>
      </w:divBdr>
      <w:divsChild>
        <w:div w:id="1849103139">
          <w:marLeft w:val="0"/>
          <w:marRight w:val="0"/>
          <w:marTop w:val="0"/>
          <w:marBottom w:val="0"/>
          <w:divBdr>
            <w:top w:val="none" w:sz="0" w:space="0" w:color="auto"/>
            <w:left w:val="none" w:sz="0" w:space="0" w:color="auto"/>
            <w:bottom w:val="none" w:sz="0" w:space="0" w:color="auto"/>
            <w:right w:val="none" w:sz="0" w:space="0" w:color="auto"/>
          </w:divBdr>
        </w:div>
      </w:divsChild>
    </w:div>
    <w:div w:id="967396961">
      <w:bodyDiv w:val="1"/>
      <w:marLeft w:val="0"/>
      <w:marRight w:val="0"/>
      <w:marTop w:val="0"/>
      <w:marBottom w:val="0"/>
      <w:divBdr>
        <w:top w:val="none" w:sz="0" w:space="0" w:color="auto"/>
        <w:left w:val="none" w:sz="0" w:space="0" w:color="auto"/>
        <w:bottom w:val="none" w:sz="0" w:space="0" w:color="auto"/>
        <w:right w:val="none" w:sz="0" w:space="0" w:color="auto"/>
      </w:divBdr>
    </w:div>
    <w:div w:id="982153770">
      <w:marLeft w:val="0"/>
      <w:marRight w:val="0"/>
      <w:marTop w:val="0"/>
      <w:marBottom w:val="0"/>
      <w:divBdr>
        <w:top w:val="none" w:sz="0" w:space="0" w:color="auto"/>
        <w:left w:val="none" w:sz="0" w:space="0" w:color="auto"/>
        <w:bottom w:val="none" w:sz="0" w:space="0" w:color="auto"/>
        <w:right w:val="none" w:sz="0" w:space="0" w:color="auto"/>
      </w:divBdr>
      <w:divsChild>
        <w:div w:id="171339495">
          <w:marLeft w:val="0"/>
          <w:marRight w:val="0"/>
          <w:marTop w:val="0"/>
          <w:marBottom w:val="0"/>
          <w:divBdr>
            <w:top w:val="none" w:sz="0" w:space="0" w:color="auto"/>
            <w:left w:val="none" w:sz="0" w:space="0" w:color="auto"/>
            <w:bottom w:val="none" w:sz="0" w:space="0" w:color="auto"/>
            <w:right w:val="none" w:sz="0" w:space="0" w:color="auto"/>
          </w:divBdr>
        </w:div>
      </w:divsChild>
    </w:div>
    <w:div w:id="985401960">
      <w:bodyDiv w:val="1"/>
      <w:marLeft w:val="0"/>
      <w:marRight w:val="0"/>
      <w:marTop w:val="0"/>
      <w:marBottom w:val="0"/>
      <w:divBdr>
        <w:top w:val="none" w:sz="0" w:space="0" w:color="auto"/>
        <w:left w:val="none" w:sz="0" w:space="0" w:color="auto"/>
        <w:bottom w:val="none" w:sz="0" w:space="0" w:color="auto"/>
        <w:right w:val="none" w:sz="0" w:space="0" w:color="auto"/>
      </w:divBdr>
    </w:div>
    <w:div w:id="1012873421">
      <w:bodyDiv w:val="1"/>
      <w:marLeft w:val="0"/>
      <w:marRight w:val="0"/>
      <w:marTop w:val="0"/>
      <w:marBottom w:val="0"/>
      <w:divBdr>
        <w:top w:val="none" w:sz="0" w:space="0" w:color="auto"/>
        <w:left w:val="none" w:sz="0" w:space="0" w:color="auto"/>
        <w:bottom w:val="none" w:sz="0" w:space="0" w:color="auto"/>
        <w:right w:val="none" w:sz="0" w:space="0" w:color="auto"/>
      </w:divBdr>
      <w:divsChild>
        <w:div w:id="1799909172">
          <w:marLeft w:val="0"/>
          <w:marRight w:val="0"/>
          <w:marTop w:val="0"/>
          <w:marBottom w:val="0"/>
          <w:divBdr>
            <w:top w:val="none" w:sz="0" w:space="0" w:color="auto"/>
            <w:left w:val="none" w:sz="0" w:space="0" w:color="auto"/>
            <w:bottom w:val="none" w:sz="0" w:space="0" w:color="auto"/>
            <w:right w:val="none" w:sz="0" w:space="0" w:color="auto"/>
          </w:divBdr>
          <w:divsChild>
            <w:div w:id="28280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930673">
      <w:marLeft w:val="0"/>
      <w:marRight w:val="0"/>
      <w:marTop w:val="0"/>
      <w:marBottom w:val="0"/>
      <w:divBdr>
        <w:top w:val="none" w:sz="0" w:space="0" w:color="auto"/>
        <w:left w:val="none" w:sz="0" w:space="0" w:color="auto"/>
        <w:bottom w:val="none" w:sz="0" w:space="0" w:color="auto"/>
        <w:right w:val="none" w:sz="0" w:space="0" w:color="auto"/>
      </w:divBdr>
      <w:divsChild>
        <w:div w:id="1617322643">
          <w:marLeft w:val="0"/>
          <w:marRight w:val="0"/>
          <w:marTop w:val="0"/>
          <w:marBottom w:val="0"/>
          <w:divBdr>
            <w:top w:val="none" w:sz="0" w:space="0" w:color="auto"/>
            <w:left w:val="none" w:sz="0" w:space="0" w:color="auto"/>
            <w:bottom w:val="none" w:sz="0" w:space="0" w:color="auto"/>
            <w:right w:val="none" w:sz="0" w:space="0" w:color="auto"/>
          </w:divBdr>
        </w:div>
      </w:divsChild>
    </w:div>
    <w:div w:id="1036195527">
      <w:marLeft w:val="0"/>
      <w:marRight w:val="0"/>
      <w:marTop w:val="0"/>
      <w:marBottom w:val="0"/>
      <w:divBdr>
        <w:top w:val="none" w:sz="0" w:space="0" w:color="auto"/>
        <w:left w:val="none" w:sz="0" w:space="0" w:color="auto"/>
        <w:bottom w:val="none" w:sz="0" w:space="0" w:color="auto"/>
        <w:right w:val="none" w:sz="0" w:space="0" w:color="auto"/>
      </w:divBdr>
      <w:divsChild>
        <w:div w:id="1644698297">
          <w:marLeft w:val="0"/>
          <w:marRight w:val="0"/>
          <w:marTop w:val="0"/>
          <w:marBottom w:val="0"/>
          <w:divBdr>
            <w:top w:val="none" w:sz="0" w:space="0" w:color="auto"/>
            <w:left w:val="none" w:sz="0" w:space="0" w:color="auto"/>
            <w:bottom w:val="none" w:sz="0" w:space="0" w:color="auto"/>
            <w:right w:val="none" w:sz="0" w:space="0" w:color="auto"/>
          </w:divBdr>
        </w:div>
      </w:divsChild>
    </w:div>
    <w:div w:id="1067343248">
      <w:marLeft w:val="0"/>
      <w:marRight w:val="0"/>
      <w:marTop w:val="0"/>
      <w:marBottom w:val="0"/>
      <w:divBdr>
        <w:top w:val="none" w:sz="0" w:space="0" w:color="auto"/>
        <w:left w:val="none" w:sz="0" w:space="0" w:color="auto"/>
        <w:bottom w:val="none" w:sz="0" w:space="0" w:color="auto"/>
        <w:right w:val="none" w:sz="0" w:space="0" w:color="auto"/>
      </w:divBdr>
      <w:divsChild>
        <w:div w:id="1058821574">
          <w:marLeft w:val="0"/>
          <w:marRight w:val="0"/>
          <w:marTop w:val="0"/>
          <w:marBottom w:val="0"/>
          <w:divBdr>
            <w:top w:val="none" w:sz="0" w:space="0" w:color="auto"/>
            <w:left w:val="none" w:sz="0" w:space="0" w:color="auto"/>
            <w:bottom w:val="none" w:sz="0" w:space="0" w:color="auto"/>
            <w:right w:val="none" w:sz="0" w:space="0" w:color="auto"/>
          </w:divBdr>
        </w:div>
      </w:divsChild>
    </w:div>
    <w:div w:id="1079668780">
      <w:marLeft w:val="0"/>
      <w:marRight w:val="0"/>
      <w:marTop w:val="0"/>
      <w:marBottom w:val="0"/>
      <w:divBdr>
        <w:top w:val="none" w:sz="0" w:space="0" w:color="auto"/>
        <w:left w:val="none" w:sz="0" w:space="0" w:color="auto"/>
        <w:bottom w:val="none" w:sz="0" w:space="0" w:color="auto"/>
        <w:right w:val="none" w:sz="0" w:space="0" w:color="auto"/>
      </w:divBdr>
      <w:divsChild>
        <w:div w:id="1440758613">
          <w:marLeft w:val="0"/>
          <w:marRight w:val="0"/>
          <w:marTop w:val="0"/>
          <w:marBottom w:val="0"/>
          <w:divBdr>
            <w:top w:val="none" w:sz="0" w:space="0" w:color="auto"/>
            <w:left w:val="none" w:sz="0" w:space="0" w:color="auto"/>
            <w:bottom w:val="none" w:sz="0" w:space="0" w:color="auto"/>
            <w:right w:val="none" w:sz="0" w:space="0" w:color="auto"/>
          </w:divBdr>
        </w:div>
      </w:divsChild>
    </w:div>
    <w:div w:id="1094866166">
      <w:marLeft w:val="0"/>
      <w:marRight w:val="0"/>
      <w:marTop w:val="0"/>
      <w:marBottom w:val="0"/>
      <w:divBdr>
        <w:top w:val="none" w:sz="0" w:space="0" w:color="auto"/>
        <w:left w:val="none" w:sz="0" w:space="0" w:color="auto"/>
        <w:bottom w:val="none" w:sz="0" w:space="0" w:color="auto"/>
        <w:right w:val="none" w:sz="0" w:space="0" w:color="auto"/>
      </w:divBdr>
      <w:divsChild>
        <w:div w:id="2029598509">
          <w:marLeft w:val="0"/>
          <w:marRight w:val="0"/>
          <w:marTop w:val="0"/>
          <w:marBottom w:val="0"/>
          <w:divBdr>
            <w:top w:val="none" w:sz="0" w:space="0" w:color="auto"/>
            <w:left w:val="none" w:sz="0" w:space="0" w:color="auto"/>
            <w:bottom w:val="none" w:sz="0" w:space="0" w:color="auto"/>
            <w:right w:val="none" w:sz="0" w:space="0" w:color="auto"/>
          </w:divBdr>
        </w:div>
      </w:divsChild>
    </w:div>
    <w:div w:id="1097212463">
      <w:marLeft w:val="0"/>
      <w:marRight w:val="0"/>
      <w:marTop w:val="0"/>
      <w:marBottom w:val="0"/>
      <w:divBdr>
        <w:top w:val="none" w:sz="0" w:space="0" w:color="auto"/>
        <w:left w:val="none" w:sz="0" w:space="0" w:color="auto"/>
        <w:bottom w:val="none" w:sz="0" w:space="0" w:color="auto"/>
        <w:right w:val="none" w:sz="0" w:space="0" w:color="auto"/>
      </w:divBdr>
      <w:divsChild>
        <w:div w:id="1988128540">
          <w:marLeft w:val="0"/>
          <w:marRight w:val="0"/>
          <w:marTop w:val="0"/>
          <w:marBottom w:val="0"/>
          <w:divBdr>
            <w:top w:val="none" w:sz="0" w:space="0" w:color="auto"/>
            <w:left w:val="none" w:sz="0" w:space="0" w:color="auto"/>
            <w:bottom w:val="none" w:sz="0" w:space="0" w:color="auto"/>
            <w:right w:val="none" w:sz="0" w:space="0" w:color="auto"/>
          </w:divBdr>
        </w:div>
      </w:divsChild>
    </w:div>
    <w:div w:id="1102872239">
      <w:marLeft w:val="0"/>
      <w:marRight w:val="0"/>
      <w:marTop w:val="0"/>
      <w:marBottom w:val="0"/>
      <w:divBdr>
        <w:top w:val="none" w:sz="0" w:space="0" w:color="auto"/>
        <w:left w:val="none" w:sz="0" w:space="0" w:color="auto"/>
        <w:bottom w:val="none" w:sz="0" w:space="0" w:color="auto"/>
        <w:right w:val="none" w:sz="0" w:space="0" w:color="auto"/>
      </w:divBdr>
      <w:divsChild>
        <w:div w:id="1925843303">
          <w:marLeft w:val="0"/>
          <w:marRight w:val="0"/>
          <w:marTop w:val="0"/>
          <w:marBottom w:val="0"/>
          <w:divBdr>
            <w:top w:val="none" w:sz="0" w:space="0" w:color="auto"/>
            <w:left w:val="none" w:sz="0" w:space="0" w:color="auto"/>
            <w:bottom w:val="none" w:sz="0" w:space="0" w:color="auto"/>
            <w:right w:val="none" w:sz="0" w:space="0" w:color="auto"/>
          </w:divBdr>
        </w:div>
      </w:divsChild>
    </w:div>
    <w:div w:id="1114714491">
      <w:bodyDiv w:val="1"/>
      <w:marLeft w:val="0"/>
      <w:marRight w:val="0"/>
      <w:marTop w:val="0"/>
      <w:marBottom w:val="0"/>
      <w:divBdr>
        <w:top w:val="none" w:sz="0" w:space="0" w:color="auto"/>
        <w:left w:val="none" w:sz="0" w:space="0" w:color="auto"/>
        <w:bottom w:val="none" w:sz="0" w:space="0" w:color="auto"/>
        <w:right w:val="none" w:sz="0" w:space="0" w:color="auto"/>
      </w:divBdr>
    </w:div>
    <w:div w:id="1126660651">
      <w:bodyDiv w:val="1"/>
      <w:marLeft w:val="0"/>
      <w:marRight w:val="0"/>
      <w:marTop w:val="0"/>
      <w:marBottom w:val="0"/>
      <w:divBdr>
        <w:top w:val="none" w:sz="0" w:space="0" w:color="auto"/>
        <w:left w:val="none" w:sz="0" w:space="0" w:color="auto"/>
        <w:bottom w:val="none" w:sz="0" w:space="0" w:color="auto"/>
        <w:right w:val="none" w:sz="0" w:space="0" w:color="auto"/>
      </w:divBdr>
      <w:divsChild>
        <w:div w:id="698629570">
          <w:marLeft w:val="0"/>
          <w:marRight w:val="0"/>
          <w:marTop w:val="0"/>
          <w:marBottom w:val="0"/>
          <w:divBdr>
            <w:top w:val="none" w:sz="0" w:space="0" w:color="auto"/>
            <w:left w:val="none" w:sz="0" w:space="0" w:color="auto"/>
            <w:bottom w:val="none" w:sz="0" w:space="0" w:color="auto"/>
            <w:right w:val="none" w:sz="0" w:space="0" w:color="auto"/>
          </w:divBdr>
          <w:divsChild>
            <w:div w:id="867446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884591">
      <w:marLeft w:val="0"/>
      <w:marRight w:val="0"/>
      <w:marTop w:val="0"/>
      <w:marBottom w:val="0"/>
      <w:divBdr>
        <w:top w:val="none" w:sz="0" w:space="0" w:color="auto"/>
        <w:left w:val="none" w:sz="0" w:space="0" w:color="auto"/>
        <w:bottom w:val="none" w:sz="0" w:space="0" w:color="auto"/>
        <w:right w:val="none" w:sz="0" w:space="0" w:color="auto"/>
      </w:divBdr>
      <w:divsChild>
        <w:div w:id="177668254">
          <w:marLeft w:val="0"/>
          <w:marRight w:val="0"/>
          <w:marTop w:val="0"/>
          <w:marBottom w:val="0"/>
          <w:divBdr>
            <w:top w:val="none" w:sz="0" w:space="0" w:color="auto"/>
            <w:left w:val="none" w:sz="0" w:space="0" w:color="auto"/>
            <w:bottom w:val="none" w:sz="0" w:space="0" w:color="auto"/>
            <w:right w:val="none" w:sz="0" w:space="0" w:color="auto"/>
          </w:divBdr>
        </w:div>
      </w:divsChild>
    </w:div>
    <w:div w:id="1144346555">
      <w:marLeft w:val="0"/>
      <w:marRight w:val="0"/>
      <w:marTop w:val="0"/>
      <w:marBottom w:val="0"/>
      <w:divBdr>
        <w:top w:val="none" w:sz="0" w:space="0" w:color="auto"/>
        <w:left w:val="none" w:sz="0" w:space="0" w:color="auto"/>
        <w:bottom w:val="none" w:sz="0" w:space="0" w:color="auto"/>
        <w:right w:val="none" w:sz="0" w:space="0" w:color="auto"/>
      </w:divBdr>
      <w:divsChild>
        <w:div w:id="625476049">
          <w:marLeft w:val="0"/>
          <w:marRight w:val="0"/>
          <w:marTop w:val="0"/>
          <w:marBottom w:val="0"/>
          <w:divBdr>
            <w:top w:val="none" w:sz="0" w:space="0" w:color="auto"/>
            <w:left w:val="none" w:sz="0" w:space="0" w:color="auto"/>
            <w:bottom w:val="none" w:sz="0" w:space="0" w:color="auto"/>
            <w:right w:val="none" w:sz="0" w:space="0" w:color="auto"/>
          </w:divBdr>
        </w:div>
      </w:divsChild>
    </w:div>
    <w:div w:id="1147668797">
      <w:marLeft w:val="0"/>
      <w:marRight w:val="0"/>
      <w:marTop w:val="0"/>
      <w:marBottom w:val="0"/>
      <w:divBdr>
        <w:top w:val="none" w:sz="0" w:space="0" w:color="auto"/>
        <w:left w:val="none" w:sz="0" w:space="0" w:color="auto"/>
        <w:bottom w:val="none" w:sz="0" w:space="0" w:color="auto"/>
        <w:right w:val="none" w:sz="0" w:space="0" w:color="auto"/>
      </w:divBdr>
      <w:divsChild>
        <w:div w:id="1206714780">
          <w:marLeft w:val="0"/>
          <w:marRight w:val="0"/>
          <w:marTop w:val="0"/>
          <w:marBottom w:val="0"/>
          <w:divBdr>
            <w:top w:val="none" w:sz="0" w:space="0" w:color="auto"/>
            <w:left w:val="none" w:sz="0" w:space="0" w:color="auto"/>
            <w:bottom w:val="none" w:sz="0" w:space="0" w:color="auto"/>
            <w:right w:val="none" w:sz="0" w:space="0" w:color="auto"/>
          </w:divBdr>
        </w:div>
      </w:divsChild>
    </w:div>
    <w:div w:id="1149515117">
      <w:marLeft w:val="0"/>
      <w:marRight w:val="0"/>
      <w:marTop w:val="0"/>
      <w:marBottom w:val="0"/>
      <w:divBdr>
        <w:top w:val="none" w:sz="0" w:space="0" w:color="auto"/>
        <w:left w:val="none" w:sz="0" w:space="0" w:color="auto"/>
        <w:bottom w:val="none" w:sz="0" w:space="0" w:color="auto"/>
        <w:right w:val="none" w:sz="0" w:space="0" w:color="auto"/>
      </w:divBdr>
      <w:divsChild>
        <w:div w:id="1927226566">
          <w:marLeft w:val="0"/>
          <w:marRight w:val="0"/>
          <w:marTop w:val="0"/>
          <w:marBottom w:val="0"/>
          <w:divBdr>
            <w:top w:val="none" w:sz="0" w:space="0" w:color="auto"/>
            <w:left w:val="none" w:sz="0" w:space="0" w:color="auto"/>
            <w:bottom w:val="none" w:sz="0" w:space="0" w:color="auto"/>
            <w:right w:val="none" w:sz="0" w:space="0" w:color="auto"/>
          </w:divBdr>
        </w:div>
      </w:divsChild>
    </w:div>
    <w:div w:id="1182545221">
      <w:marLeft w:val="0"/>
      <w:marRight w:val="0"/>
      <w:marTop w:val="0"/>
      <w:marBottom w:val="0"/>
      <w:divBdr>
        <w:top w:val="none" w:sz="0" w:space="0" w:color="auto"/>
        <w:left w:val="none" w:sz="0" w:space="0" w:color="auto"/>
        <w:bottom w:val="none" w:sz="0" w:space="0" w:color="auto"/>
        <w:right w:val="none" w:sz="0" w:space="0" w:color="auto"/>
      </w:divBdr>
      <w:divsChild>
        <w:div w:id="819884489">
          <w:marLeft w:val="0"/>
          <w:marRight w:val="0"/>
          <w:marTop w:val="0"/>
          <w:marBottom w:val="0"/>
          <w:divBdr>
            <w:top w:val="none" w:sz="0" w:space="0" w:color="auto"/>
            <w:left w:val="none" w:sz="0" w:space="0" w:color="auto"/>
            <w:bottom w:val="none" w:sz="0" w:space="0" w:color="auto"/>
            <w:right w:val="none" w:sz="0" w:space="0" w:color="auto"/>
          </w:divBdr>
        </w:div>
      </w:divsChild>
    </w:div>
    <w:div w:id="1182863758">
      <w:marLeft w:val="0"/>
      <w:marRight w:val="0"/>
      <w:marTop w:val="0"/>
      <w:marBottom w:val="0"/>
      <w:divBdr>
        <w:top w:val="none" w:sz="0" w:space="0" w:color="auto"/>
        <w:left w:val="none" w:sz="0" w:space="0" w:color="auto"/>
        <w:bottom w:val="none" w:sz="0" w:space="0" w:color="auto"/>
        <w:right w:val="none" w:sz="0" w:space="0" w:color="auto"/>
      </w:divBdr>
      <w:divsChild>
        <w:div w:id="494490238">
          <w:marLeft w:val="0"/>
          <w:marRight w:val="0"/>
          <w:marTop w:val="0"/>
          <w:marBottom w:val="0"/>
          <w:divBdr>
            <w:top w:val="none" w:sz="0" w:space="0" w:color="auto"/>
            <w:left w:val="none" w:sz="0" w:space="0" w:color="auto"/>
            <w:bottom w:val="none" w:sz="0" w:space="0" w:color="auto"/>
            <w:right w:val="none" w:sz="0" w:space="0" w:color="auto"/>
          </w:divBdr>
        </w:div>
      </w:divsChild>
    </w:div>
    <w:div w:id="1191186581">
      <w:marLeft w:val="0"/>
      <w:marRight w:val="0"/>
      <w:marTop w:val="0"/>
      <w:marBottom w:val="0"/>
      <w:divBdr>
        <w:top w:val="none" w:sz="0" w:space="0" w:color="auto"/>
        <w:left w:val="none" w:sz="0" w:space="0" w:color="auto"/>
        <w:bottom w:val="none" w:sz="0" w:space="0" w:color="auto"/>
        <w:right w:val="none" w:sz="0" w:space="0" w:color="auto"/>
      </w:divBdr>
      <w:divsChild>
        <w:div w:id="431125877">
          <w:marLeft w:val="0"/>
          <w:marRight w:val="0"/>
          <w:marTop w:val="0"/>
          <w:marBottom w:val="0"/>
          <w:divBdr>
            <w:top w:val="none" w:sz="0" w:space="0" w:color="auto"/>
            <w:left w:val="none" w:sz="0" w:space="0" w:color="auto"/>
            <w:bottom w:val="none" w:sz="0" w:space="0" w:color="auto"/>
            <w:right w:val="none" w:sz="0" w:space="0" w:color="auto"/>
          </w:divBdr>
        </w:div>
      </w:divsChild>
    </w:div>
    <w:div w:id="1193226623">
      <w:marLeft w:val="0"/>
      <w:marRight w:val="0"/>
      <w:marTop w:val="0"/>
      <w:marBottom w:val="0"/>
      <w:divBdr>
        <w:top w:val="none" w:sz="0" w:space="0" w:color="auto"/>
        <w:left w:val="none" w:sz="0" w:space="0" w:color="auto"/>
        <w:bottom w:val="none" w:sz="0" w:space="0" w:color="auto"/>
        <w:right w:val="none" w:sz="0" w:space="0" w:color="auto"/>
      </w:divBdr>
      <w:divsChild>
        <w:div w:id="720860153">
          <w:marLeft w:val="0"/>
          <w:marRight w:val="0"/>
          <w:marTop w:val="0"/>
          <w:marBottom w:val="0"/>
          <w:divBdr>
            <w:top w:val="none" w:sz="0" w:space="0" w:color="auto"/>
            <w:left w:val="none" w:sz="0" w:space="0" w:color="auto"/>
            <w:bottom w:val="none" w:sz="0" w:space="0" w:color="auto"/>
            <w:right w:val="none" w:sz="0" w:space="0" w:color="auto"/>
          </w:divBdr>
        </w:div>
      </w:divsChild>
    </w:div>
    <w:div w:id="1210143028">
      <w:bodyDiv w:val="1"/>
      <w:marLeft w:val="0"/>
      <w:marRight w:val="0"/>
      <w:marTop w:val="0"/>
      <w:marBottom w:val="0"/>
      <w:divBdr>
        <w:top w:val="none" w:sz="0" w:space="0" w:color="auto"/>
        <w:left w:val="none" w:sz="0" w:space="0" w:color="auto"/>
        <w:bottom w:val="none" w:sz="0" w:space="0" w:color="auto"/>
        <w:right w:val="none" w:sz="0" w:space="0" w:color="auto"/>
      </w:divBdr>
      <w:divsChild>
        <w:div w:id="1527013151">
          <w:marLeft w:val="0"/>
          <w:marRight w:val="0"/>
          <w:marTop w:val="0"/>
          <w:marBottom w:val="0"/>
          <w:divBdr>
            <w:top w:val="none" w:sz="0" w:space="0" w:color="auto"/>
            <w:left w:val="none" w:sz="0" w:space="0" w:color="auto"/>
            <w:bottom w:val="none" w:sz="0" w:space="0" w:color="auto"/>
            <w:right w:val="none" w:sz="0" w:space="0" w:color="auto"/>
          </w:divBdr>
          <w:divsChild>
            <w:div w:id="480658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691937">
      <w:bodyDiv w:val="1"/>
      <w:marLeft w:val="0"/>
      <w:marRight w:val="0"/>
      <w:marTop w:val="0"/>
      <w:marBottom w:val="0"/>
      <w:divBdr>
        <w:top w:val="none" w:sz="0" w:space="0" w:color="auto"/>
        <w:left w:val="none" w:sz="0" w:space="0" w:color="auto"/>
        <w:bottom w:val="none" w:sz="0" w:space="0" w:color="auto"/>
        <w:right w:val="none" w:sz="0" w:space="0" w:color="auto"/>
      </w:divBdr>
    </w:div>
    <w:div w:id="1240336096">
      <w:marLeft w:val="0"/>
      <w:marRight w:val="0"/>
      <w:marTop w:val="0"/>
      <w:marBottom w:val="0"/>
      <w:divBdr>
        <w:top w:val="none" w:sz="0" w:space="0" w:color="auto"/>
        <w:left w:val="none" w:sz="0" w:space="0" w:color="auto"/>
        <w:bottom w:val="none" w:sz="0" w:space="0" w:color="auto"/>
        <w:right w:val="none" w:sz="0" w:space="0" w:color="auto"/>
      </w:divBdr>
      <w:divsChild>
        <w:div w:id="612174724">
          <w:marLeft w:val="0"/>
          <w:marRight w:val="0"/>
          <w:marTop w:val="0"/>
          <w:marBottom w:val="0"/>
          <w:divBdr>
            <w:top w:val="none" w:sz="0" w:space="0" w:color="auto"/>
            <w:left w:val="none" w:sz="0" w:space="0" w:color="auto"/>
            <w:bottom w:val="none" w:sz="0" w:space="0" w:color="auto"/>
            <w:right w:val="none" w:sz="0" w:space="0" w:color="auto"/>
          </w:divBdr>
        </w:div>
      </w:divsChild>
    </w:div>
    <w:div w:id="1286473445">
      <w:bodyDiv w:val="1"/>
      <w:marLeft w:val="0"/>
      <w:marRight w:val="0"/>
      <w:marTop w:val="0"/>
      <w:marBottom w:val="0"/>
      <w:divBdr>
        <w:top w:val="none" w:sz="0" w:space="0" w:color="auto"/>
        <w:left w:val="none" w:sz="0" w:space="0" w:color="auto"/>
        <w:bottom w:val="none" w:sz="0" w:space="0" w:color="auto"/>
        <w:right w:val="none" w:sz="0" w:space="0" w:color="auto"/>
      </w:divBdr>
    </w:div>
    <w:div w:id="1336298506">
      <w:marLeft w:val="0"/>
      <w:marRight w:val="0"/>
      <w:marTop w:val="0"/>
      <w:marBottom w:val="0"/>
      <w:divBdr>
        <w:top w:val="none" w:sz="0" w:space="0" w:color="auto"/>
        <w:left w:val="none" w:sz="0" w:space="0" w:color="auto"/>
        <w:bottom w:val="none" w:sz="0" w:space="0" w:color="auto"/>
        <w:right w:val="none" w:sz="0" w:space="0" w:color="auto"/>
      </w:divBdr>
      <w:divsChild>
        <w:div w:id="308750377">
          <w:marLeft w:val="0"/>
          <w:marRight w:val="0"/>
          <w:marTop w:val="0"/>
          <w:marBottom w:val="0"/>
          <w:divBdr>
            <w:top w:val="none" w:sz="0" w:space="0" w:color="auto"/>
            <w:left w:val="none" w:sz="0" w:space="0" w:color="auto"/>
            <w:bottom w:val="none" w:sz="0" w:space="0" w:color="auto"/>
            <w:right w:val="none" w:sz="0" w:space="0" w:color="auto"/>
          </w:divBdr>
        </w:div>
      </w:divsChild>
    </w:div>
    <w:div w:id="1348213143">
      <w:marLeft w:val="0"/>
      <w:marRight w:val="0"/>
      <w:marTop w:val="0"/>
      <w:marBottom w:val="0"/>
      <w:divBdr>
        <w:top w:val="none" w:sz="0" w:space="0" w:color="auto"/>
        <w:left w:val="none" w:sz="0" w:space="0" w:color="auto"/>
        <w:bottom w:val="none" w:sz="0" w:space="0" w:color="auto"/>
        <w:right w:val="none" w:sz="0" w:space="0" w:color="auto"/>
      </w:divBdr>
      <w:divsChild>
        <w:div w:id="1794326438">
          <w:marLeft w:val="0"/>
          <w:marRight w:val="0"/>
          <w:marTop w:val="0"/>
          <w:marBottom w:val="0"/>
          <w:divBdr>
            <w:top w:val="none" w:sz="0" w:space="0" w:color="auto"/>
            <w:left w:val="none" w:sz="0" w:space="0" w:color="auto"/>
            <w:bottom w:val="none" w:sz="0" w:space="0" w:color="auto"/>
            <w:right w:val="none" w:sz="0" w:space="0" w:color="auto"/>
          </w:divBdr>
        </w:div>
      </w:divsChild>
    </w:div>
    <w:div w:id="1353218363">
      <w:marLeft w:val="0"/>
      <w:marRight w:val="0"/>
      <w:marTop w:val="0"/>
      <w:marBottom w:val="0"/>
      <w:divBdr>
        <w:top w:val="none" w:sz="0" w:space="0" w:color="auto"/>
        <w:left w:val="none" w:sz="0" w:space="0" w:color="auto"/>
        <w:bottom w:val="none" w:sz="0" w:space="0" w:color="auto"/>
        <w:right w:val="none" w:sz="0" w:space="0" w:color="auto"/>
      </w:divBdr>
      <w:divsChild>
        <w:div w:id="62801974">
          <w:marLeft w:val="0"/>
          <w:marRight w:val="0"/>
          <w:marTop w:val="0"/>
          <w:marBottom w:val="0"/>
          <w:divBdr>
            <w:top w:val="none" w:sz="0" w:space="0" w:color="auto"/>
            <w:left w:val="none" w:sz="0" w:space="0" w:color="auto"/>
            <w:bottom w:val="none" w:sz="0" w:space="0" w:color="auto"/>
            <w:right w:val="none" w:sz="0" w:space="0" w:color="auto"/>
          </w:divBdr>
        </w:div>
      </w:divsChild>
    </w:div>
    <w:div w:id="1356542903">
      <w:marLeft w:val="0"/>
      <w:marRight w:val="0"/>
      <w:marTop w:val="0"/>
      <w:marBottom w:val="0"/>
      <w:divBdr>
        <w:top w:val="none" w:sz="0" w:space="0" w:color="auto"/>
        <w:left w:val="none" w:sz="0" w:space="0" w:color="auto"/>
        <w:bottom w:val="none" w:sz="0" w:space="0" w:color="auto"/>
        <w:right w:val="none" w:sz="0" w:space="0" w:color="auto"/>
      </w:divBdr>
      <w:divsChild>
        <w:div w:id="1153717539">
          <w:marLeft w:val="0"/>
          <w:marRight w:val="0"/>
          <w:marTop w:val="0"/>
          <w:marBottom w:val="0"/>
          <w:divBdr>
            <w:top w:val="none" w:sz="0" w:space="0" w:color="auto"/>
            <w:left w:val="none" w:sz="0" w:space="0" w:color="auto"/>
            <w:bottom w:val="none" w:sz="0" w:space="0" w:color="auto"/>
            <w:right w:val="none" w:sz="0" w:space="0" w:color="auto"/>
          </w:divBdr>
        </w:div>
      </w:divsChild>
    </w:div>
    <w:div w:id="1361517709">
      <w:marLeft w:val="0"/>
      <w:marRight w:val="0"/>
      <w:marTop w:val="0"/>
      <w:marBottom w:val="0"/>
      <w:divBdr>
        <w:top w:val="none" w:sz="0" w:space="0" w:color="auto"/>
        <w:left w:val="none" w:sz="0" w:space="0" w:color="auto"/>
        <w:bottom w:val="none" w:sz="0" w:space="0" w:color="auto"/>
        <w:right w:val="none" w:sz="0" w:space="0" w:color="auto"/>
      </w:divBdr>
      <w:divsChild>
        <w:div w:id="1186333501">
          <w:marLeft w:val="0"/>
          <w:marRight w:val="0"/>
          <w:marTop w:val="0"/>
          <w:marBottom w:val="0"/>
          <w:divBdr>
            <w:top w:val="none" w:sz="0" w:space="0" w:color="auto"/>
            <w:left w:val="none" w:sz="0" w:space="0" w:color="auto"/>
            <w:bottom w:val="none" w:sz="0" w:space="0" w:color="auto"/>
            <w:right w:val="none" w:sz="0" w:space="0" w:color="auto"/>
          </w:divBdr>
        </w:div>
      </w:divsChild>
    </w:div>
    <w:div w:id="1367021342">
      <w:bodyDiv w:val="1"/>
      <w:marLeft w:val="0"/>
      <w:marRight w:val="0"/>
      <w:marTop w:val="0"/>
      <w:marBottom w:val="0"/>
      <w:divBdr>
        <w:top w:val="none" w:sz="0" w:space="0" w:color="auto"/>
        <w:left w:val="none" w:sz="0" w:space="0" w:color="auto"/>
        <w:bottom w:val="none" w:sz="0" w:space="0" w:color="auto"/>
        <w:right w:val="none" w:sz="0" w:space="0" w:color="auto"/>
      </w:divBdr>
    </w:div>
    <w:div w:id="1380282475">
      <w:bodyDiv w:val="1"/>
      <w:marLeft w:val="0"/>
      <w:marRight w:val="0"/>
      <w:marTop w:val="0"/>
      <w:marBottom w:val="0"/>
      <w:divBdr>
        <w:top w:val="none" w:sz="0" w:space="0" w:color="auto"/>
        <w:left w:val="none" w:sz="0" w:space="0" w:color="auto"/>
        <w:bottom w:val="none" w:sz="0" w:space="0" w:color="auto"/>
        <w:right w:val="none" w:sz="0" w:space="0" w:color="auto"/>
      </w:divBdr>
    </w:div>
    <w:div w:id="1415711411">
      <w:marLeft w:val="0"/>
      <w:marRight w:val="0"/>
      <w:marTop w:val="0"/>
      <w:marBottom w:val="0"/>
      <w:divBdr>
        <w:top w:val="none" w:sz="0" w:space="0" w:color="auto"/>
        <w:left w:val="none" w:sz="0" w:space="0" w:color="auto"/>
        <w:bottom w:val="none" w:sz="0" w:space="0" w:color="auto"/>
        <w:right w:val="none" w:sz="0" w:space="0" w:color="auto"/>
      </w:divBdr>
      <w:divsChild>
        <w:div w:id="1553732181">
          <w:marLeft w:val="0"/>
          <w:marRight w:val="0"/>
          <w:marTop w:val="0"/>
          <w:marBottom w:val="0"/>
          <w:divBdr>
            <w:top w:val="none" w:sz="0" w:space="0" w:color="auto"/>
            <w:left w:val="none" w:sz="0" w:space="0" w:color="auto"/>
            <w:bottom w:val="none" w:sz="0" w:space="0" w:color="auto"/>
            <w:right w:val="none" w:sz="0" w:space="0" w:color="auto"/>
          </w:divBdr>
        </w:div>
      </w:divsChild>
    </w:div>
    <w:div w:id="1422917783">
      <w:marLeft w:val="0"/>
      <w:marRight w:val="0"/>
      <w:marTop w:val="0"/>
      <w:marBottom w:val="0"/>
      <w:divBdr>
        <w:top w:val="none" w:sz="0" w:space="0" w:color="auto"/>
        <w:left w:val="none" w:sz="0" w:space="0" w:color="auto"/>
        <w:bottom w:val="none" w:sz="0" w:space="0" w:color="auto"/>
        <w:right w:val="none" w:sz="0" w:space="0" w:color="auto"/>
      </w:divBdr>
      <w:divsChild>
        <w:div w:id="489947492">
          <w:marLeft w:val="0"/>
          <w:marRight w:val="0"/>
          <w:marTop w:val="0"/>
          <w:marBottom w:val="0"/>
          <w:divBdr>
            <w:top w:val="none" w:sz="0" w:space="0" w:color="auto"/>
            <w:left w:val="none" w:sz="0" w:space="0" w:color="auto"/>
            <w:bottom w:val="none" w:sz="0" w:space="0" w:color="auto"/>
            <w:right w:val="none" w:sz="0" w:space="0" w:color="auto"/>
          </w:divBdr>
        </w:div>
      </w:divsChild>
    </w:div>
    <w:div w:id="1446970595">
      <w:marLeft w:val="0"/>
      <w:marRight w:val="0"/>
      <w:marTop w:val="0"/>
      <w:marBottom w:val="0"/>
      <w:divBdr>
        <w:top w:val="none" w:sz="0" w:space="0" w:color="auto"/>
        <w:left w:val="none" w:sz="0" w:space="0" w:color="auto"/>
        <w:bottom w:val="none" w:sz="0" w:space="0" w:color="auto"/>
        <w:right w:val="none" w:sz="0" w:space="0" w:color="auto"/>
      </w:divBdr>
      <w:divsChild>
        <w:div w:id="510026824">
          <w:marLeft w:val="0"/>
          <w:marRight w:val="0"/>
          <w:marTop w:val="0"/>
          <w:marBottom w:val="0"/>
          <w:divBdr>
            <w:top w:val="none" w:sz="0" w:space="0" w:color="auto"/>
            <w:left w:val="none" w:sz="0" w:space="0" w:color="auto"/>
            <w:bottom w:val="none" w:sz="0" w:space="0" w:color="auto"/>
            <w:right w:val="none" w:sz="0" w:space="0" w:color="auto"/>
          </w:divBdr>
        </w:div>
      </w:divsChild>
    </w:div>
    <w:div w:id="1452355717">
      <w:marLeft w:val="0"/>
      <w:marRight w:val="0"/>
      <w:marTop w:val="0"/>
      <w:marBottom w:val="0"/>
      <w:divBdr>
        <w:top w:val="none" w:sz="0" w:space="0" w:color="auto"/>
        <w:left w:val="none" w:sz="0" w:space="0" w:color="auto"/>
        <w:bottom w:val="none" w:sz="0" w:space="0" w:color="auto"/>
        <w:right w:val="none" w:sz="0" w:space="0" w:color="auto"/>
      </w:divBdr>
      <w:divsChild>
        <w:div w:id="1219707314">
          <w:marLeft w:val="0"/>
          <w:marRight w:val="0"/>
          <w:marTop w:val="0"/>
          <w:marBottom w:val="0"/>
          <w:divBdr>
            <w:top w:val="none" w:sz="0" w:space="0" w:color="auto"/>
            <w:left w:val="none" w:sz="0" w:space="0" w:color="auto"/>
            <w:bottom w:val="none" w:sz="0" w:space="0" w:color="auto"/>
            <w:right w:val="none" w:sz="0" w:space="0" w:color="auto"/>
          </w:divBdr>
        </w:div>
      </w:divsChild>
    </w:div>
    <w:div w:id="1461725119">
      <w:marLeft w:val="0"/>
      <w:marRight w:val="0"/>
      <w:marTop w:val="0"/>
      <w:marBottom w:val="0"/>
      <w:divBdr>
        <w:top w:val="none" w:sz="0" w:space="0" w:color="auto"/>
        <w:left w:val="none" w:sz="0" w:space="0" w:color="auto"/>
        <w:bottom w:val="none" w:sz="0" w:space="0" w:color="auto"/>
        <w:right w:val="none" w:sz="0" w:space="0" w:color="auto"/>
      </w:divBdr>
    </w:div>
    <w:div w:id="1520192928">
      <w:marLeft w:val="0"/>
      <w:marRight w:val="0"/>
      <w:marTop w:val="0"/>
      <w:marBottom w:val="0"/>
      <w:divBdr>
        <w:top w:val="none" w:sz="0" w:space="0" w:color="auto"/>
        <w:left w:val="none" w:sz="0" w:space="0" w:color="auto"/>
        <w:bottom w:val="none" w:sz="0" w:space="0" w:color="auto"/>
        <w:right w:val="none" w:sz="0" w:space="0" w:color="auto"/>
      </w:divBdr>
      <w:divsChild>
        <w:div w:id="1124346338">
          <w:marLeft w:val="0"/>
          <w:marRight w:val="0"/>
          <w:marTop w:val="0"/>
          <w:marBottom w:val="0"/>
          <w:divBdr>
            <w:top w:val="none" w:sz="0" w:space="0" w:color="auto"/>
            <w:left w:val="none" w:sz="0" w:space="0" w:color="auto"/>
            <w:bottom w:val="none" w:sz="0" w:space="0" w:color="auto"/>
            <w:right w:val="none" w:sz="0" w:space="0" w:color="auto"/>
          </w:divBdr>
        </w:div>
      </w:divsChild>
    </w:div>
    <w:div w:id="1528330373">
      <w:marLeft w:val="0"/>
      <w:marRight w:val="0"/>
      <w:marTop w:val="0"/>
      <w:marBottom w:val="0"/>
      <w:divBdr>
        <w:top w:val="none" w:sz="0" w:space="0" w:color="auto"/>
        <w:left w:val="none" w:sz="0" w:space="0" w:color="auto"/>
        <w:bottom w:val="none" w:sz="0" w:space="0" w:color="auto"/>
        <w:right w:val="none" w:sz="0" w:space="0" w:color="auto"/>
      </w:divBdr>
      <w:divsChild>
        <w:div w:id="736633227">
          <w:marLeft w:val="0"/>
          <w:marRight w:val="0"/>
          <w:marTop w:val="0"/>
          <w:marBottom w:val="0"/>
          <w:divBdr>
            <w:top w:val="none" w:sz="0" w:space="0" w:color="auto"/>
            <w:left w:val="none" w:sz="0" w:space="0" w:color="auto"/>
            <w:bottom w:val="none" w:sz="0" w:space="0" w:color="auto"/>
            <w:right w:val="none" w:sz="0" w:space="0" w:color="auto"/>
          </w:divBdr>
          <w:divsChild>
            <w:div w:id="1577781433">
              <w:marLeft w:val="0"/>
              <w:marRight w:val="0"/>
              <w:marTop w:val="0"/>
              <w:marBottom w:val="0"/>
              <w:divBdr>
                <w:top w:val="none" w:sz="0" w:space="0" w:color="auto"/>
                <w:left w:val="none" w:sz="0" w:space="0" w:color="auto"/>
                <w:bottom w:val="none" w:sz="0" w:space="0" w:color="auto"/>
                <w:right w:val="none" w:sz="0" w:space="0" w:color="auto"/>
              </w:divBdr>
              <w:divsChild>
                <w:div w:id="209153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534250">
      <w:marLeft w:val="0"/>
      <w:marRight w:val="0"/>
      <w:marTop w:val="0"/>
      <w:marBottom w:val="0"/>
      <w:divBdr>
        <w:top w:val="none" w:sz="0" w:space="0" w:color="auto"/>
        <w:left w:val="none" w:sz="0" w:space="0" w:color="auto"/>
        <w:bottom w:val="none" w:sz="0" w:space="0" w:color="auto"/>
        <w:right w:val="none" w:sz="0" w:space="0" w:color="auto"/>
      </w:divBdr>
      <w:divsChild>
        <w:div w:id="66850749">
          <w:marLeft w:val="0"/>
          <w:marRight w:val="0"/>
          <w:marTop w:val="0"/>
          <w:marBottom w:val="0"/>
          <w:divBdr>
            <w:top w:val="none" w:sz="0" w:space="0" w:color="auto"/>
            <w:left w:val="none" w:sz="0" w:space="0" w:color="auto"/>
            <w:bottom w:val="none" w:sz="0" w:space="0" w:color="auto"/>
            <w:right w:val="none" w:sz="0" w:space="0" w:color="auto"/>
          </w:divBdr>
        </w:div>
      </w:divsChild>
    </w:div>
    <w:div w:id="1546259903">
      <w:marLeft w:val="0"/>
      <w:marRight w:val="0"/>
      <w:marTop w:val="0"/>
      <w:marBottom w:val="0"/>
      <w:divBdr>
        <w:top w:val="none" w:sz="0" w:space="0" w:color="auto"/>
        <w:left w:val="none" w:sz="0" w:space="0" w:color="auto"/>
        <w:bottom w:val="none" w:sz="0" w:space="0" w:color="auto"/>
        <w:right w:val="none" w:sz="0" w:space="0" w:color="auto"/>
      </w:divBdr>
      <w:divsChild>
        <w:div w:id="1679887653">
          <w:marLeft w:val="0"/>
          <w:marRight w:val="0"/>
          <w:marTop w:val="0"/>
          <w:marBottom w:val="0"/>
          <w:divBdr>
            <w:top w:val="none" w:sz="0" w:space="0" w:color="auto"/>
            <w:left w:val="none" w:sz="0" w:space="0" w:color="auto"/>
            <w:bottom w:val="none" w:sz="0" w:space="0" w:color="auto"/>
            <w:right w:val="none" w:sz="0" w:space="0" w:color="auto"/>
          </w:divBdr>
        </w:div>
      </w:divsChild>
    </w:div>
    <w:div w:id="1558400248">
      <w:marLeft w:val="0"/>
      <w:marRight w:val="0"/>
      <w:marTop w:val="0"/>
      <w:marBottom w:val="0"/>
      <w:divBdr>
        <w:top w:val="none" w:sz="0" w:space="0" w:color="auto"/>
        <w:left w:val="none" w:sz="0" w:space="0" w:color="auto"/>
        <w:bottom w:val="none" w:sz="0" w:space="0" w:color="auto"/>
        <w:right w:val="none" w:sz="0" w:space="0" w:color="auto"/>
      </w:divBdr>
      <w:divsChild>
        <w:div w:id="1365058558">
          <w:marLeft w:val="0"/>
          <w:marRight w:val="0"/>
          <w:marTop w:val="0"/>
          <w:marBottom w:val="0"/>
          <w:divBdr>
            <w:top w:val="none" w:sz="0" w:space="0" w:color="auto"/>
            <w:left w:val="none" w:sz="0" w:space="0" w:color="auto"/>
            <w:bottom w:val="none" w:sz="0" w:space="0" w:color="auto"/>
            <w:right w:val="none" w:sz="0" w:space="0" w:color="auto"/>
          </w:divBdr>
        </w:div>
      </w:divsChild>
    </w:div>
    <w:div w:id="1563249237">
      <w:marLeft w:val="0"/>
      <w:marRight w:val="0"/>
      <w:marTop w:val="0"/>
      <w:marBottom w:val="0"/>
      <w:divBdr>
        <w:top w:val="none" w:sz="0" w:space="0" w:color="auto"/>
        <w:left w:val="none" w:sz="0" w:space="0" w:color="auto"/>
        <w:bottom w:val="none" w:sz="0" w:space="0" w:color="auto"/>
        <w:right w:val="none" w:sz="0" w:space="0" w:color="auto"/>
      </w:divBdr>
      <w:divsChild>
        <w:div w:id="1860118043">
          <w:marLeft w:val="0"/>
          <w:marRight w:val="0"/>
          <w:marTop w:val="0"/>
          <w:marBottom w:val="0"/>
          <w:divBdr>
            <w:top w:val="none" w:sz="0" w:space="0" w:color="auto"/>
            <w:left w:val="none" w:sz="0" w:space="0" w:color="auto"/>
            <w:bottom w:val="none" w:sz="0" w:space="0" w:color="auto"/>
            <w:right w:val="none" w:sz="0" w:space="0" w:color="auto"/>
          </w:divBdr>
        </w:div>
      </w:divsChild>
    </w:div>
    <w:div w:id="1565292849">
      <w:marLeft w:val="0"/>
      <w:marRight w:val="0"/>
      <w:marTop w:val="0"/>
      <w:marBottom w:val="0"/>
      <w:divBdr>
        <w:top w:val="none" w:sz="0" w:space="0" w:color="auto"/>
        <w:left w:val="none" w:sz="0" w:space="0" w:color="auto"/>
        <w:bottom w:val="none" w:sz="0" w:space="0" w:color="auto"/>
        <w:right w:val="none" w:sz="0" w:space="0" w:color="auto"/>
      </w:divBdr>
      <w:divsChild>
        <w:div w:id="1953781588">
          <w:marLeft w:val="0"/>
          <w:marRight w:val="0"/>
          <w:marTop w:val="0"/>
          <w:marBottom w:val="0"/>
          <w:divBdr>
            <w:top w:val="none" w:sz="0" w:space="0" w:color="auto"/>
            <w:left w:val="none" w:sz="0" w:space="0" w:color="auto"/>
            <w:bottom w:val="none" w:sz="0" w:space="0" w:color="auto"/>
            <w:right w:val="none" w:sz="0" w:space="0" w:color="auto"/>
          </w:divBdr>
        </w:div>
      </w:divsChild>
    </w:div>
    <w:div w:id="1569536289">
      <w:bodyDiv w:val="1"/>
      <w:marLeft w:val="0"/>
      <w:marRight w:val="0"/>
      <w:marTop w:val="0"/>
      <w:marBottom w:val="0"/>
      <w:divBdr>
        <w:top w:val="none" w:sz="0" w:space="0" w:color="auto"/>
        <w:left w:val="none" w:sz="0" w:space="0" w:color="auto"/>
        <w:bottom w:val="none" w:sz="0" w:space="0" w:color="auto"/>
        <w:right w:val="none" w:sz="0" w:space="0" w:color="auto"/>
      </w:divBdr>
    </w:div>
    <w:div w:id="1600675079">
      <w:bodyDiv w:val="1"/>
      <w:marLeft w:val="0"/>
      <w:marRight w:val="0"/>
      <w:marTop w:val="0"/>
      <w:marBottom w:val="0"/>
      <w:divBdr>
        <w:top w:val="none" w:sz="0" w:space="0" w:color="auto"/>
        <w:left w:val="none" w:sz="0" w:space="0" w:color="auto"/>
        <w:bottom w:val="none" w:sz="0" w:space="0" w:color="auto"/>
        <w:right w:val="none" w:sz="0" w:space="0" w:color="auto"/>
      </w:divBdr>
      <w:divsChild>
        <w:div w:id="151331798">
          <w:marLeft w:val="0"/>
          <w:marRight w:val="0"/>
          <w:marTop w:val="0"/>
          <w:marBottom w:val="0"/>
          <w:divBdr>
            <w:top w:val="none" w:sz="0" w:space="0" w:color="auto"/>
            <w:left w:val="none" w:sz="0" w:space="0" w:color="auto"/>
            <w:bottom w:val="none" w:sz="0" w:space="0" w:color="auto"/>
            <w:right w:val="none" w:sz="0" w:space="0" w:color="auto"/>
          </w:divBdr>
          <w:divsChild>
            <w:div w:id="1011107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426312">
      <w:marLeft w:val="0"/>
      <w:marRight w:val="0"/>
      <w:marTop w:val="0"/>
      <w:marBottom w:val="0"/>
      <w:divBdr>
        <w:top w:val="none" w:sz="0" w:space="0" w:color="auto"/>
        <w:left w:val="none" w:sz="0" w:space="0" w:color="auto"/>
        <w:bottom w:val="none" w:sz="0" w:space="0" w:color="auto"/>
        <w:right w:val="none" w:sz="0" w:space="0" w:color="auto"/>
      </w:divBdr>
      <w:divsChild>
        <w:div w:id="69819074">
          <w:marLeft w:val="0"/>
          <w:marRight w:val="0"/>
          <w:marTop w:val="0"/>
          <w:marBottom w:val="0"/>
          <w:divBdr>
            <w:top w:val="none" w:sz="0" w:space="0" w:color="auto"/>
            <w:left w:val="none" w:sz="0" w:space="0" w:color="auto"/>
            <w:bottom w:val="none" w:sz="0" w:space="0" w:color="auto"/>
            <w:right w:val="none" w:sz="0" w:space="0" w:color="auto"/>
          </w:divBdr>
        </w:div>
      </w:divsChild>
    </w:div>
    <w:div w:id="1615672477">
      <w:marLeft w:val="0"/>
      <w:marRight w:val="0"/>
      <w:marTop w:val="0"/>
      <w:marBottom w:val="0"/>
      <w:divBdr>
        <w:top w:val="none" w:sz="0" w:space="0" w:color="auto"/>
        <w:left w:val="none" w:sz="0" w:space="0" w:color="auto"/>
        <w:bottom w:val="none" w:sz="0" w:space="0" w:color="auto"/>
        <w:right w:val="none" w:sz="0" w:space="0" w:color="auto"/>
      </w:divBdr>
      <w:divsChild>
        <w:div w:id="942147517">
          <w:marLeft w:val="0"/>
          <w:marRight w:val="0"/>
          <w:marTop w:val="0"/>
          <w:marBottom w:val="0"/>
          <w:divBdr>
            <w:top w:val="none" w:sz="0" w:space="0" w:color="auto"/>
            <w:left w:val="none" w:sz="0" w:space="0" w:color="auto"/>
            <w:bottom w:val="none" w:sz="0" w:space="0" w:color="auto"/>
            <w:right w:val="none" w:sz="0" w:space="0" w:color="auto"/>
          </w:divBdr>
        </w:div>
      </w:divsChild>
    </w:div>
    <w:div w:id="1617054374">
      <w:marLeft w:val="0"/>
      <w:marRight w:val="0"/>
      <w:marTop w:val="0"/>
      <w:marBottom w:val="0"/>
      <w:divBdr>
        <w:top w:val="none" w:sz="0" w:space="0" w:color="auto"/>
        <w:left w:val="none" w:sz="0" w:space="0" w:color="auto"/>
        <w:bottom w:val="none" w:sz="0" w:space="0" w:color="auto"/>
        <w:right w:val="none" w:sz="0" w:space="0" w:color="auto"/>
      </w:divBdr>
      <w:divsChild>
        <w:div w:id="1338263626">
          <w:marLeft w:val="0"/>
          <w:marRight w:val="0"/>
          <w:marTop w:val="0"/>
          <w:marBottom w:val="0"/>
          <w:divBdr>
            <w:top w:val="none" w:sz="0" w:space="0" w:color="auto"/>
            <w:left w:val="none" w:sz="0" w:space="0" w:color="auto"/>
            <w:bottom w:val="none" w:sz="0" w:space="0" w:color="auto"/>
            <w:right w:val="none" w:sz="0" w:space="0" w:color="auto"/>
          </w:divBdr>
        </w:div>
      </w:divsChild>
    </w:div>
    <w:div w:id="1638536093">
      <w:marLeft w:val="0"/>
      <w:marRight w:val="0"/>
      <w:marTop w:val="0"/>
      <w:marBottom w:val="0"/>
      <w:divBdr>
        <w:top w:val="none" w:sz="0" w:space="0" w:color="auto"/>
        <w:left w:val="none" w:sz="0" w:space="0" w:color="auto"/>
        <w:bottom w:val="none" w:sz="0" w:space="0" w:color="auto"/>
        <w:right w:val="none" w:sz="0" w:space="0" w:color="auto"/>
      </w:divBdr>
      <w:divsChild>
        <w:div w:id="2105370607">
          <w:marLeft w:val="0"/>
          <w:marRight w:val="0"/>
          <w:marTop w:val="0"/>
          <w:marBottom w:val="0"/>
          <w:divBdr>
            <w:top w:val="none" w:sz="0" w:space="0" w:color="auto"/>
            <w:left w:val="none" w:sz="0" w:space="0" w:color="auto"/>
            <w:bottom w:val="none" w:sz="0" w:space="0" w:color="auto"/>
            <w:right w:val="none" w:sz="0" w:space="0" w:color="auto"/>
          </w:divBdr>
        </w:div>
      </w:divsChild>
    </w:div>
    <w:div w:id="1641879069">
      <w:marLeft w:val="0"/>
      <w:marRight w:val="0"/>
      <w:marTop w:val="0"/>
      <w:marBottom w:val="0"/>
      <w:divBdr>
        <w:top w:val="none" w:sz="0" w:space="0" w:color="auto"/>
        <w:left w:val="none" w:sz="0" w:space="0" w:color="auto"/>
        <w:bottom w:val="none" w:sz="0" w:space="0" w:color="auto"/>
        <w:right w:val="none" w:sz="0" w:space="0" w:color="auto"/>
      </w:divBdr>
      <w:divsChild>
        <w:div w:id="1712726591">
          <w:marLeft w:val="0"/>
          <w:marRight w:val="0"/>
          <w:marTop w:val="0"/>
          <w:marBottom w:val="0"/>
          <w:divBdr>
            <w:top w:val="none" w:sz="0" w:space="0" w:color="auto"/>
            <w:left w:val="none" w:sz="0" w:space="0" w:color="auto"/>
            <w:bottom w:val="none" w:sz="0" w:space="0" w:color="auto"/>
            <w:right w:val="none" w:sz="0" w:space="0" w:color="auto"/>
          </w:divBdr>
        </w:div>
      </w:divsChild>
    </w:div>
    <w:div w:id="1646622854">
      <w:marLeft w:val="0"/>
      <w:marRight w:val="0"/>
      <w:marTop w:val="0"/>
      <w:marBottom w:val="0"/>
      <w:divBdr>
        <w:top w:val="none" w:sz="0" w:space="0" w:color="auto"/>
        <w:left w:val="none" w:sz="0" w:space="0" w:color="auto"/>
        <w:bottom w:val="none" w:sz="0" w:space="0" w:color="auto"/>
        <w:right w:val="none" w:sz="0" w:space="0" w:color="auto"/>
      </w:divBdr>
      <w:divsChild>
        <w:div w:id="176890551">
          <w:marLeft w:val="0"/>
          <w:marRight w:val="0"/>
          <w:marTop w:val="0"/>
          <w:marBottom w:val="0"/>
          <w:divBdr>
            <w:top w:val="none" w:sz="0" w:space="0" w:color="auto"/>
            <w:left w:val="none" w:sz="0" w:space="0" w:color="auto"/>
            <w:bottom w:val="none" w:sz="0" w:space="0" w:color="auto"/>
            <w:right w:val="none" w:sz="0" w:space="0" w:color="auto"/>
          </w:divBdr>
        </w:div>
      </w:divsChild>
    </w:div>
    <w:div w:id="1648363778">
      <w:marLeft w:val="0"/>
      <w:marRight w:val="0"/>
      <w:marTop w:val="0"/>
      <w:marBottom w:val="0"/>
      <w:divBdr>
        <w:top w:val="none" w:sz="0" w:space="0" w:color="auto"/>
        <w:left w:val="none" w:sz="0" w:space="0" w:color="auto"/>
        <w:bottom w:val="none" w:sz="0" w:space="0" w:color="auto"/>
        <w:right w:val="none" w:sz="0" w:space="0" w:color="auto"/>
      </w:divBdr>
      <w:divsChild>
        <w:div w:id="1712799397">
          <w:marLeft w:val="0"/>
          <w:marRight w:val="0"/>
          <w:marTop w:val="0"/>
          <w:marBottom w:val="0"/>
          <w:divBdr>
            <w:top w:val="none" w:sz="0" w:space="0" w:color="auto"/>
            <w:left w:val="none" w:sz="0" w:space="0" w:color="auto"/>
            <w:bottom w:val="none" w:sz="0" w:space="0" w:color="auto"/>
            <w:right w:val="none" w:sz="0" w:space="0" w:color="auto"/>
          </w:divBdr>
        </w:div>
      </w:divsChild>
    </w:div>
    <w:div w:id="1654067422">
      <w:marLeft w:val="0"/>
      <w:marRight w:val="0"/>
      <w:marTop w:val="0"/>
      <w:marBottom w:val="0"/>
      <w:divBdr>
        <w:top w:val="none" w:sz="0" w:space="0" w:color="auto"/>
        <w:left w:val="none" w:sz="0" w:space="0" w:color="auto"/>
        <w:bottom w:val="none" w:sz="0" w:space="0" w:color="auto"/>
        <w:right w:val="none" w:sz="0" w:space="0" w:color="auto"/>
      </w:divBdr>
      <w:divsChild>
        <w:div w:id="1475834830">
          <w:marLeft w:val="0"/>
          <w:marRight w:val="0"/>
          <w:marTop w:val="0"/>
          <w:marBottom w:val="0"/>
          <w:divBdr>
            <w:top w:val="none" w:sz="0" w:space="0" w:color="auto"/>
            <w:left w:val="none" w:sz="0" w:space="0" w:color="auto"/>
            <w:bottom w:val="none" w:sz="0" w:space="0" w:color="auto"/>
            <w:right w:val="none" w:sz="0" w:space="0" w:color="auto"/>
          </w:divBdr>
        </w:div>
      </w:divsChild>
    </w:div>
    <w:div w:id="1654141011">
      <w:marLeft w:val="0"/>
      <w:marRight w:val="0"/>
      <w:marTop w:val="0"/>
      <w:marBottom w:val="0"/>
      <w:divBdr>
        <w:top w:val="none" w:sz="0" w:space="0" w:color="auto"/>
        <w:left w:val="none" w:sz="0" w:space="0" w:color="auto"/>
        <w:bottom w:val="none" w:sz="0" w:space="0" w:color="auto"/>
        <w:right w:val="none" w:sz="0" w:space="0" w:color="auto"/>
      </w:divBdr>
      <w:divsChild>
        <w:div w:id="1264147335">
          <w:marLeft w:val="0"/>
          <w:marRight w:val="0"/>
          <w:marTop w:val="0"/>
          <w:marBottom w:val="0"/>
          <w:divBdr>
            <w:top w:val="none" w:sz="0" w:space="0" w:color="auto"/>
            <w:left w:val="none" w:sz="0" w:space="0" w:color="auto"/>
            <w:bottom w:val="none" w:sz="0" w:space="0" w:color="auto"/>
            <w:right w:val="none" w:sz="0" w:space="0" w:color="auto"/>
          </w:divBdr>
        </w:div>
      </w:divsChild>
    </w:div>
    <w:div w:id="1660579252">
      <w:marLeft w:val="0"/>
      <w:marRight w:val="0"/>
      <w:marTop w:val="0"/>
      <w:marBottom w:val="0"/>
      <w:divBdr>
        <w:top w:val="none" w:sz="0" w:space="0" w:color="auto"/>
        <w:left w:val="none" w:sz="0" w:space="0" w:color="auto"/>
        <w:bottom w:val="none" w:sz="0" w:space="0" w:color="auto"/>
        <w:right w:val="none" w:sz="0" w:space="0" w:color="auto"/>
      </w:divBdr>
      <w:divsChild>
        <w:div w:id="1321810060">
          <w:marLeft w:val="0"/>
          <w:marRight w:val="0"/>
          <w:marTop w:val="0"/>
          <w:marBottom w:val="0"/>
          <w:divBdr>
            <w:top w:val="none" w:sz="0" w:space="0" w:color="auto"/>
            <w:left w:val="none" w:sz="0" w:space="0" w:color="auto"/>
            <w:bottom w:val="none" w:sz="0" w:space="0" w:color="auto"/>
            <w:right w:val="none" w:sz="0" w:space="0" w:color="auto"/>
          </w:divBdr>
        </w:div>
      </w:divsChild>
    </w:div>
    <w:div w:id="1661732693">
      <w:marLeft w:val="0"/>
      <w:marRight w:val="0"/>
      <w:marTop w:val="0"/>
      <w:marBottom w:val="0"/>
      <w:divBdr>
        <w:top w:val="none" w:sz="0" w:space="0" w:color="auto"/>
        <w:left w:val="none" w:sz="0" w:space="0" w:color="auto"/>
        <w:bottom w:val="none" w:sz="0" w:space="0" w:color="auto"/>
        <w:right w:val="none" w:sz="0" w:space="0" w:color="auto"/>
      </w:divBdr>
      <w:divsChild>
        <w:div w:id="2040162093">
          <w:marLeft w:val="0"/>
          <w:marRight w:val="0"/>
          <w:marTop w:val="0"/>
          <w:marBottom w:val="0"/>
          <w:divBdr>
            <w:top w:val="none" w:sz="0" w:space="0" w:color="auto"/>
            <w:left w:val="none" w:sz="0" w:space="0" w:color="auto"/>
            <w:bottom w:val="none" w:sz="0" w:space="0" w:color="auto"/>
            <w:right w:val="none" w:sz="0" w:space="0" w:color="auto"/>
          </w:divBdr>
        </w:div>
      </w:divsChild>
    </w:div>
    <w:div w:id="1683704848">
      <w:marLeft w:val="0"/>
      <w:marRight w:val="0"/>
      <w:marTop w:val="0"/>
      <w:marBottom w:val="0"/>
      <w:divBdr>
        <w:top w:val="none" w:sz="0" w:space="0" w:color="auto"/>
        <w:left w:val="none" w:sz="0" w:space="0" w:color="auto"/>
        <w:bottom w:val="none" w:sz="0" w:space="0" w:color="auto"/>
        <w:right w:val="none" w:sz="0" w:space="0" w:color="auto"/>
      </w:divBdr>
      <w:divsChild>
        <w:div w:id="1077048991">
          <w:marLeft w:val="0"/>
          <w:marRight w:val="0"/>
          <w:marTop w:val="0"/>
          <w:marBottom w:val="0"/>
          <w:divBdr>
            <w:top w:val="none" w:sz="0" w:space="0" w:color="auto"/>
            <w:left w:val="none" w:sz="0" w:space="0" w:color="auto"/>
            <w:bottom w:val="none" w:sz="0" w:space="0" w:color="auto"/>
            <w:right w:val="none" w:sz="0" w:space="0" w:color="auto"/>
          </w:divBdr>
        </w:div>
      </w:divsChild>
    </w:div>
    <w:div w:id="1704474675">
      <w:marLeft w:val="0"/>
      <w:marRight w:val="0"/>
      <w:marTop w:val="0"/>
      <w:marBottom w:val="0"/>
      <w:divBdr>
        <w:top w:val="none" w:sz="0" w:space="0" w:color="auto"/>
        <w:left w:val="none" w:sz="0" w:space="0" w:color="auto"/>
        <w:bottom w:val="none" w:sz="0" w:space="0" w:color="auto"/>
        <w:right w:val="none" w:sz="0" w:space="0" w:color="auto"/>
      </w:divBdr>
      <w:divsChild>
        <w:div w:id="2001811683">
          <w:marLeft w:val="0"/>
          <w:marRight w:val="0"/>
          <w:marTop w:val="0"/>
          <w:marBottom w:val="0"/>
          <w:divBdr>
            <w:top w:val="none" w:sz="0" w:space="0" w:color="auto"/>
            <w:left w:val="none" w:sz="0" w:space="0" w:color="auto"/>
            <w:bottom w:val="none" w:sz="0" w:space="0" w:color="auto"/>
            <w:right w:val="none" w:sz="0" w:space="0" w:color="auto"/>
          </w:divBdr>
        </w:div>
      </w:divsChild>
    </w:div>
    <w:div w:id="1718582847">
      <w:marLeft w:val="0"/>
      <w:marRight w:val="0"/>
      <w:marTop w:val="0"/>
      <w:marBottom w:val="0"/>
      <w:divBdr>
        <w:top w:val="none" w:sz="0" w:space="0" w:color="auto"/>
        <w:left w:val="none" w:sz="0" w:space="0" w:color="auto"/>
        <w:bottom w:val="none" w:sz="0" w:space="0" w:color="auto"/>
        <w:right w:val="none" w:sz="0" w:space="0" w:color="auto"/>
      </w:divBdr>
      <w:divsChild>
        <w:div w:id="582952478">
          <w:marLeft w:val="0"/>
          <w:marRight w:val="0"/>
          <w:marTop w:val="0"/>
          <w:marBottom w:val="0"/>
          <w:divBdr>
            <w:top w:val="none" w:sz="0" w:space="0" w:color="auto"/>
            <w:left w:val="none" w:sz="0" w:space="0" w:color="auto"/>
            <w:bottom w:val="none" w:sz="0" w:space="0" w:color="auto"/>
            <w:right w:val="none" w:sz="0" w:space="0" w:color="auto"/>
          </w:divBdr>
        </w:div>
      </w:divsChild>
    </w:div>
    <w:div w:id="1720663884">
      <w:marLeft w:val="0"/>
      <w:marRight w:val="0"/>
      <w:marTop w:val="0"/>
      <w:marBottom w:val="0"/>
      <w:divBdr>
        <w:top w:val="none" w:sz="0" w:space="0" w:color="auto"/>
        <w:left w:val="none" w:sz="0" w:space="0" w:color="auto"/>
        <w:bottom w:val="none" w:sz="0" w:space="0" w:color="auto"/>
        <w:right w:val="none" w:sz="0" w:space="0" w:color="auto"/>
      </w:divBdr>
      <w:divsChild>
        <w:div w:id="683165593">
          <w:marLeft w:val="0"/>
          <w:marRight w:val="0"/>
          <w:marTop w:val="0"/>
          <w:marBottom w:val="0"/>
          <w:divBdr>
            <w:top w:val="none" w:sz="0" w:space="0" w:color="auto"/>
            <w:left w:val="none" w:sz="0" w:space="0" w:color="auto"/>
            <w:bottom w:val="none" w:sz="0" w:space="0" w:color="auto"/>
            <w:right w:val="none" w:sz="0" w:space="0" w:color="auto"/>
          </w:divBdr>
        </w:div>
      </w:divsChild>
    </w:div>
    <w:div w:id="1734354273">
      <w:marLeft w:val="0"/>
      <w:marRight w:val="0"/>
      <w:marTop w:val="0"/>
      <w:marBottom w:val="0"/>
      <w:divBdr>
        <w:top w:val="none" w:sz="0" w:space="0" w:color="auto"/>
        <w:left w:val="none" w:sz="0" w:space="0" w:color="auto"/>
        <w:bottom w:val="none" w:sz="0" w:space="0" w:color="auto"/>
        <w:right w:val="none" w:sz="0" w:space="0" w:color="auto"/>
      </w:divBdr>
      <w:divsChild>
        <w:div w:id="711198683">
          <w:marLeft w:val="0"/>
          <w:marRight w:val="0"/>
          <w:marTop w:val="0"/>
          <w:marBottom w:val="0"/>
          <w:divBdr>
            <w:top w:val="none" w:sz="0" w:space="0" w:color="auto"/>
            <w:left w:val="none" w:sz="0" w:space="0" w:color="auto"/>
            <w:bottom w:val="none" w:sz="0" w:space="0" w:color="auto"/>
            <w:right w:val="none" w:sz="0" w:space="0" w:color="auto"/>
          </w:divBdr>
        </w:div>
      </w:divsChild>
    </w:div>
    <w:div w:id="1748840071">
      <w:marLeft w:val="0"/>
      <w:marRight w:val="0"/>
      <w:marTop w:val="0"/>
      <w:marBottom w:val="0"/>
      <w:divBdr>
        <w:top w:val="none" w:sz="0" w:space="0" w:color="auto"/>
        <w:left w:val="none" w:sz="0" w:space="0" w:color="auto"/>
        <w:bottom w:val="none" w:sz="0" w:space="0" w:color="auto"/>
        <w:right w:val="none" w:sz="0" w:space="0" w:color="auto"/>
      </w:divBdr>
      <w:divsChild>
        <w:div w:id="880626843">
          <w:marLeft w:val="0"/>
          <w:marRight w:val="0"/>
          <w:marTop w:val="0"/>
          <w:marBottom w:val="0"/>
          <w:divBdr>
            <w:top w:val="none" w:sz="0" w:space="0" w:color="auto"/>
            <w:left w:val="none" w:sz="0" w:space="0" w:color="auto"/>
            <w:bottom w:val="none" w:sz="0" w:space="0" w:color="auto"/>
            <w:right w:val="none" w:sz="0" w:space="0" w:color="auto"/>
          </w:divBdr>
        </w:div>
      </w:divsChild>
    </w:div>
    <w:div w:id="1763993415">
      <w:marLeft w:val="0"/>
      <w:marRight w:val="0"/>
      <w:marTop w:val="0"/>
      <w:marBottom w:val="0"/>
      <w:divBdr>
        <w:top w:val="none" w:sz="0" w:space="0" w:color="auto"/>
        <w:left w:val="none" w:sz="0" w:space="0" w:color="auto"/>
        <w:bottom w:val="none" w:sz="0" w:space="0" w:color="auto"/>
        <w:right w:val="none" w:sz="0" w:space="0" w:color="auto"/>
      </w:divBdr>
      <w:divsChild>
        <w:div w:id="1726565240">
          <w:marLeft w:val="0"/>
          <w:marRight w:val="0"/>
          <w:marTop w:val="0"/>
          <w:marBottom w:val="0"/>
          <w:divBdr>
            <w:top w:val="none" w:sz="0" w:space="0" w:color="auto"/>
            <w:left w:val="none" w:sz="0" w:space="0" w:color="auto"/>
            <w:bottom w:val="none" w:sz="0" w:space="0" w:color="auto"/>
            <w:right w:val="none" w:sz="0" w:space="0" w:color="auto"/>
          </w:divBdr>
        </w:div>
      </w:divsChild>
    </w:div>
    <w:div w:id="1781142774">
      <w:marLeft w:val="0"/>
      <w:marRight w:val="0"/>
      <w:marTop w:val="0"/>
      <w:marBottom w:val="0"/>
      <w:divBdr>
        <w:top w:val="none" w:sz="0" w:space="0" w:color="auto"/>
        <w:left w:val="none" w:sz="0" w:space="0" w:color="auto"/>
        <w:bottom w:val="none" w:sz="0" w:space="0" w:color="auto"/>
        <w:right w:val="none" w:sz="0" w:space="0" w:color="auto"/>
      </w:divBdr>
      <w:divsChild>
        <w:div w:id="322438868">
          <w:marLeft w:val="0"/>
          <w:marRight w:val="0"/>
          <w:marTop w:val="0"/>
          <w:marBottom w:val="0"/>
          <w:divBdr>
            <w:top w:val="none" w:sz="0" w:space="0" w:color="auto"/>
            <w:left w:val="none" w:sz="0" w:space="0" w:color="auto"/>
            <w:bottom w:val="none" w:sz="0" w:space="0" w:color="auto"/>
            <w:right w:val="none" w:sz="0" w:space="0" w:color="auto"/>
          </w:divBdr>
        </w:div>
      </w:divsChild>
    </w:div>
    <w:div w:id="1793397365">
      <w:marLeft w:val="0"/>
      <w:marRight w:val="0"/>
      <w:marTop w:val="0"/>
      <w:marBottom w:val="0"/>
      <w:divBdr>
        <w:top w:val="none" w:sz="0" w:space="0" w:color="auto"/>
        <w:left w:val="none" w:sz="0" w:space="0" w:color="auto"/>
        <w:bottom w:val="none" w:sz="0" w:space="0" w:color="auto"/>
        <w:right w:val="none" w:sz="0" w:space="0" w:color="auto"/>
      </w:divBdr>
      <w:divsChild>
        <w:div w:id="133372185">
          <w:marLeft w:val="0"/>
          <w:marRight w:val="0"/>
          <w:marTop w:val="0"/>
          <w:marBottom w:val="0"/>
          <w:divBdr>
            <w:top w:val="none" w:sz="0" w:space="0" w:color="auto"/>
            <w:left w:val="none" w:sz="0" w:space="0" w:color="auto"/>
            <w:bottom w:val="none" w:sz="0" w:space="0" w:color="auto"/>
            <w:right w:val="none" w:sz="0" w:space="0" w:color="auto"/>
          </w:divBdr>
        </w:div>
      </w:divsChild>
    </w:div>
    <w:div w:id="1794059892">
      <w:marLeft w:val="0"/>
      <w:marRight w:val="0"/>
      <w:marTop w:val="0"/>
      <w:marBottom w:val="0"/>
      <w:divBdr>
        <w:top w:val="none" w:sz="0" w:space="0" w:color="auto"/>
        <w:left w:val="none" w:sz="0" w:space="0" w:color="auto"/>
        <w:bottom w:val="none" w:sz="0" w:space="0" w:color="auto"/>
        <w:right w:val="none" w:sz="0" w:space="0" w:color="auto"/>
      </w:divBdr>
      <w:divsChild>
        <w:div w:id="2096128103">
          <w:marLeft w:val="0"/>
          <w:marRight w:val="0"/>
          <w:marTop w:val="0"/>
          <w:marBottom w:val="0"/>
          <w:divBdr>
            <w:top w:val="none" w:sz="0" w:space="0" w:color="auto"/>
            <w:left w:val="none" w:sz="0" w:space="0" w:color="auto"/>
            <w:bottom w:val="none" w:sz="0" w:space="0" w:color="auto"/>
            <w:right w:val="none" w:sz="0" w:space="0" w:color="auto"/>
          </w:divBdr>
        </w:div>
      </w:divsChild>
    </w:div>
    <w:div w:id="1795126245">
      <w:marLeft w:val="0"/>
      <w:marRight w:val="0"/>
      <w:marTop w:val="0"/>
      <w:marBottom w:val="0"/>
      <w:divBdr>
        <w:top w:val="none" w:sz="0" w:space="0" w:color="auto"/>
        <w:left w:val="none" w:sz="0" w:space="0" w:color="auto"/>
        <w:bottom w:val="none" w:sz="0" w:space="0" w:color="auto"/>
        <w:right w:val="none" w:sz="0" w:space="0" w:color="auto"/>
      </w:divBdr>
      <w:divsChild>
        <w:div w:id="1873377378">
          <w:marLeft w:val="0"/>
          <w:marRight w:val="0"/>
          <w:marTop w:val="0"/>
          <w:marBottom w:val="0"/>
          <w:divBdr>
            <w:top w:val="none" w:sz="0" w:space="0" w:color="auto"/>
            <w:left w:val="none" w:sz="0" w:space="0" w:color="auto"/>
            <w:bottom w:val="none" w:sz="0" w:space="0" w:color="auto"/>
            <w:right w:val="none" w:sz="0" w:space="0" w:color="auto"/>
          </w:divBdr>
        </w:div>
      </w:divsChild>
    </w:div>
    <w:div w:id="1796287049">
      <w:bodyDiv w:val="1"/>
      <w:marLeft w:val="0"/>
      <w:marRight w:val="0"/>
      <w:marTop w:val="0"/>
      <w:marBottom w:val="0"/>
      <w:divBdr>
        <w:top w:val="none" w:sz="0" w:space="0" w:color="auto"/>
        <w:left w:val="none" w:sz="0" w:space="0" w:color="auto"/>
        <w:bottom w:val="none" w:sz="0" w:space="0" w:color="auto"/>
        <w:right w:val="none" w:sz="0" w:space="0" w:color="auto"/>
      </w:divBdr>
      <w:divsChild>
        <w:div w:id="575670839">
          <w:marLeft w:val="0"/>
          <w:marRight w:val="0"/>
          <w:marTop w:val="0"/>
          <w:marBottom w:val="0"/>
          <w:divBdr>
            <w:top w:val="none" w:sz="0" w:space="0" w:color="auto"/>
            <w:left w:val="none" w:sz="0" w:space="0" w:color="auto"/>
            <w:bottom w:val="none" w:sz="0" w:space="0" w:color="auto"/>
            <w:right w:val="none" w:sz="0" w:space="0" w:color="auto"/>
          </w:divBdr>
          <w:divsChild>
            <w:div w:id="1768884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126444">
      <w:marLeft w:val="0"/>
      <w:marRight w:val="0"/>
      <w:marTop w:val="0"/>
      <w:marBottom w:val="0"/>
      <w:divBdr>
        <w:top w:val="none" w:sz="0" w:space="0" w:color="auto"/>
        <w:left w:val="none" w:sz="0" w:space="0" w:color="auto"/>
        <w:bottom w:val="none" w:sz="0" w:space="0" w:color="auto"/>
        <w:right w:val="none" w:sz="0" w:space="0" w:color="auto"/>
      </w:divBdr>
      <w:divsChild>
        <w:div w:id="875586953">
          <w:marLeft w:val="0"/>
          <w:marRight w:val="0"/>
          <w:marTop w:val="0"/>
          <w:marBottom w:val="0"/>
          <w:divBdr>
            <w:top w:val="none" w:sz="0" w:space="0" w:color="auto"/>
            <w:left w:val="none" w:sz="0" w:space="0" w:color="auto"/>
            <w:bottom w:val="none" w:sz="0" w:space="0" w:color="auto"/>
            <w:right w:val="none" w:sz="0" w:space="0" w:color="auto"/>
          </w:divBdr>
        </w:div>
      </w:divsChild>
    </w:div>
    <w:div w:id="1842037721">
      <w:marLeft w:val="0"/>
      <w:marRight w:val="0"/>
      <w:marTop w:val="0"/>
      <w:marBottom w:val="0"/>
      <w:divBdr>
        <w:top w:val="none" w:sz="0" w:space="0" w:color="auto"/>
        <w:left w:val="none" w:sz="0" w:space="0" w:color="auto"/>
        <w:bottom w:val="none" w:sz="0" w:space="0" w:color="auto"/>
        <w:right w:val="none" w:sz="0" w:space="0" w:color="auto"/>
      </w:divBdr>
      <w:divsChild>
        <w:div w:id="176775184">
          <w:marLeft w:val="0"/>
          <w:marRight w:val="0"/>
          <w:marTop w:val="0"/>
          <w:marBottom w:val="0"/>
          <w:divBdr>
            <w:top w:val="none" w:sz="0" w:space="0" w:color="auto"/>
            <w:left w:val="none" w:sz="0" w:space="0" w:color="auto"/>
            <w:bottom w:val="none" w:sz="0" w:space="0" w:color="auto"/>
            <w:right w:val="none" w:sz="0" w:space="0" w:color="auto"/>
          </w:divBdr>
        </w:div>
      </w:divsChild>
    </w:div>
    <w:div w:id="1846558060">
      <w:marLeft w:val="0"/>
      <w:marRight w:val="0"/>
      <w:marTop w:val="0"/>
      <w:marBottom w:val="0"/>
      <w:divBdr>
        <w:top w:val="none" w:sz="0" w:space="0" w:color="auto"/>
        <w:left w:val="none" w:sz="0" w:space="0" w:color="auto"/>
        <w:bottom w:val="none" w:sz="0" w:space="0" w:color="auto"/>
        <w:right w:val="none" w:sz="0" w:space="0" w:color="auto"/>
      </w:divBdr>
      <w:divsChild>
        <w:div w:id="449320714">
          <w:marLeft w:val="0"/>
          <w:marRight w:val="0"/>
          <w:marTop w:val="0"/>
          <w:marBottom w:val="0"/>
          <w:divBdr>
            <w:top w:val="none" w:sz="0" w:space="0" w:color="auto"/>
            <w:left w:val="none" w:sz="0" w:space="0" w:color="auto"/>
            <w:bottom w:val="none" w:sz="0" w:space="0" w:color="auto"/>
            <w:right w:val="none" w:sz="0" w:space="0" w:color="auto"/>
          </w:divBdr>
        </w:div>
      </w:divsChild>
    </w:div>
    <w:div w:id="1851524594">
      <w:marLeft w:val="0"/>
      <w:marRight w:val="0"/>
      <w:marTop w:val="0"/>
      <w:marBottom w:val="0"/>
      <w:divBdr>
        <w:top w:val="none" w:sz="0" w:space="0" w:color="auto"/>
        <w:left w:val="none" w:sz="0" w:space="0" w:color="auto"/>
        <w:bottom w:val="none" w:sz="0" w:space="0" w:color="auto"/>
        <w:right w:val="none" w:sz="0" w:space="0" w:color="auto"/>
      </w:divBdr>
      <w:divsChild>
        <w:div w:id="1445080547">
          <w:marLeft w:val="0"/>
          <w:marRight w:val="0"/>
          <w:marTop w:val="0"/>
          <w:marBottom w:val="0"/>
          <w:divBdr>
            <w:top w:val="none" w:sz="0" w:space="0" w:color="auto"/>
            <w:left w:val="none" w:sz="0" w:space="0" w:color="auto"/>
            <w:bottom w:val="none" w:sz="0" w:space="0" w:color="auto"/>
            <w:right w:val="none" w:sz="0" w:space="0" w:color="auto"/>
          </w:divBdr>
        </w:div>
      </w:divsChild>
    </w:div>
    <w:div w:id="1853838263">
      <w:bodyDiv w:val="1"/>
      <w:marLeft w:val="0"/>
      <w:marRight w:val="0"/>
      <w:marTop w:val="0"/>
      <w:marBottom w:val="0"/>
      <w:divBdr>
        <w:top w:val="none" w:sz="0" w:space="0" w:color="auto"/>
        <w:left w:val="none" w:sz="0" w:space="0" w:color="auto"/>
        <w:bottom w:val="none" w:sz="0" w:space="0" w:color="auto"/>
        <w:right w:val="none" w:sz="0" w:space="0" w:color="auto"/>
      </w:divBdr>
      <w:divsChild>
        <w:div w:id="48766741">
          <w:marLeft w:val="0"/>
          <w:marRight w:val="0"/>
          <w:marTop w:val="0"/>
          <w:marBottom w:val="0"/>
          <w:divBdr>
            <w:top w:val="none" w:sz="0" w:space="0" w:color="auto"/>
            <w:left w:val="none" w:sz="0" w:space="0" w:color="auto"/>
            <w:bottom w:val="none" w:sz="0" w:space="0" w:color="auto"/>
            <w:right w:val="none" w:sz="0" w:space="0" w:color="auto"/>
          </w:divBdr>
          <w:divsChild>
            <w:div w:id="1777478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336217">
      <w:marLeft w:val="0"/>
      <w:marRight w:val="0"/>
      <w:marTop w:val="0"/>
      <w:marBottom w:val="0"/>
      <w:divBdr>
        <w:top w:val="none" w:sz="0" w:space="0" w:color="auto"/>
        <w:left w:val="none" w:sz="0" w:space="0" w:color="auto"/>
        <w:bottom w:val="none" w:sz="0" w:space="0" w:color="auto"/>
        <w:right w:val="none" w:sz="0" w:space="0" w:color="auto"/>
      </w:divBdr>
      <w:divsChild>
        <w:div w:id="972635076">
          <w:marLeft w:val="0"/>
          <w:marRight w:val="0"/>
          <w:marTop w:val="0"/>
          <w:marBottom w:val="0"/>
          <w:divBdr>
            <w:top w:val="none" w:sz="0" w:space="0" w:color="auto"/>
            <w:left w:val="none" w:sz="0" w:space="0" w:color="auto"/>
            <w:bottom w:val="none" w:sz="0" w:space="0" w:color="auto"/>
            <w:right w:val="none" w:sz="0" w:space="0" w:color="auto"/>
          </w:divBdr>
        </w:div>
      </w:divsChild>
    </w:div>
    <w:div w:id="1863206958">
      <w:marLeft w:val="0"/>
      <w:marRight w:val="0"/>
      <w:marTop w:val="0"/>
      <w:marBottom w:val="0"/>
      <w:divBdr>
        <w:top w:val="none" w:sz="0" w:space="0" w:color="auto"/>
        <w:left w:val="none" w:sz="0" w:space="0" w:color="auto"/>
        <w:bottom w:val="none" w:sz="0" w:space="0" w:color="auto"/>
        <w:right w:val="none" w:sz="0" w:space="0" w:color="auto"/>
      </w:divBdr>
      <w:divsChild>
        <w:div w:id="1503665077">
          <w:marLeft w:val="0"/>
          <w:marRight w:val="0"/>
          <w:marTop w:val="0"/>
          <w:marBottom w:val="0"/>
          <w:divBdr>
            <w:top w:val="none" w:sz="0" w:space="0" w:color="auto"/>
            <w:left w:val="none" w:sz="0" w:space="0" w:color="auto"/>
            <w:bottom w:val="none" w:sz="0" w:space="0" w:color="auto"/>
            <w:right w:val="none" w:sz="0" w:space="0" w:color="auto"/>
          </w:divBdr>
        </w:div>
      </w:divsChild>
    </w:div>
    <w:div w:id="1863743055">
      <w:marLeft w:val="0"/>
      <w:marRight w:val="0"/>
      <w:marTop w:val="0"/>
      <w:marBottom w:val="0"/>
      <w:divBdr>
        <w:top w:val="none" w:sz="0" w:space="0" w:color="auto"/>
        <w:left w:val="none" w:sz="0" w:space="0" w:color="auto"/>
        <w:bottom w:val="none" w:sz="0" w:space="0" w:color="auto"/>
        <w:right w:val="none" w:sz="0" w:space="0" w:color="auto"/>
      </w:divBdr>
      <w:divsChild>
        <w:div w:id="898712507">
          <w:marLeft w:val="0"/>
          <w:marRight w:val="0"/>
          <w:marTop w:val="0"/>
          <w:marBottom w:val="0"/>
          <w:divBdr>
            <w:top w:val="none" w:sz="0" w:space="0" w:color="auto"/>
            <w:left w:val="none" w:sz="0" w:space="0" w:color="auto"/>
            <w:bottom w:val="none" w:sz="0" w:space="0" w:color="auto"/>
            <w:right w:val="none" w:sz="0" w:space="0" w:color="auto"/>
          </w:divBdr>
        </w:div>
      </w:divsChild>
    </w:div>
    <w:div w:id="1869487927">
      <w:bodyDiv w:val="1"/>
      <w:marLeft w:val="0"/>
      <w:marRight w:val="0"/>
      <w:marTop w:val="0"/>
      <w:marBottom w:val="0"/>
      <w:divBdr>
        <w:top w:val="none" w:sz="0" w:space="0" w:color="auto"/>
        <w:left w:val="none" w:sz="0" w:space="0" w:color="auto"/>
        <w:bottom w:val="none" w:sz="0" w:space="0" w:color="auto"/>
        <w:right w:val="none" w:sz="0" w:space="0" w:color="auto"/>
      </w:divBdr>
      <w:divsChild>
        <w:div w:id="171376852">
          <w:marLeft w:val="0"/>
          <w:marRight w:val="0"/>
          <w:marTop w:val="0"/>
          <w:marBottom w:val="0"/>
          <w:divBdr>
            <w:top w:val="none" w:sz="0" w:space="0" w:color="auto"/>
            <w:left w:val="none" w:sz="0" w:space="0" w:color="auto"/>
            <w:bottom w:val="none" w:sz="0" w:space="0" w:color="auto"/>
            <w:right w:val="none" w:sz="0" w:space="0" w:color="auto"/>
          </w:divBdr>
        </w:div>
        <w:div w:id="946742221">
          <w:marLeft w:val="0"/>
          <w:marRight w:val="0"/>
          <w:marTop w:val="0"/>
          <w:marBottom w:val="0"/>
          <w:divBdr>
            <w:top w:val="none" w:sz="0" w:space="0" w:color="auto"/>
            <w:left w:val="none" w:sz="0" w:space="0" w:color="auto"/>
            <w:bottom w:val="none" w:sz="0" w:space="0" w:color="auto"/>
            <w:right w:val="none" w:sz="0" w:space="0" w:color="auto"/>
          </w:divBdr>
        </w:div>
        <w:div w:id="1737512382">
          <w:marLeft w:val="0"/>
          <w:marRight w:val="0"/>
          <w:marTop w:val="0"/>
          <w:marBottom w:val="0"/>
          <w:divBdr>
            <w:top w:val="none" w:sz="0" w:space="0" w:color="auto"/>
            <w:left w:val="none" w:sz="0" w:space="0" w:color="auto"/>
            <w:bottom w:val="none" w:sz="0" w:space="0" w:color="auto"/>
            <w:right w:val="none" w:sz="0" w:space="0" w:color="auto"/>
          </w:divBdr>
        </w:div>
        <w:div w:id="1933463380">
          <w:marLeft w:val="0"/>
          <w:marRight w:val="0"/>
          <w:marTop w:val="0"/>
          <w:marBottom w:val="0"/>
          <w:divBdr>
            <w:top w:val="none" w:sz="0" w:space="0" w:color="auto"/>
            <w:left w:val="none" w:sz="0" w:space="0" w:color="auto"/>
            <w:bottom w:val="none" w:sz="0" w:space="0" w:color="auto"/>
            <w:right w:val="none" w:sz="0" w:space="0" w:color="auto"/>
          </w:divBdr>
          <w:divsChild>
            <w:div w:id="1261379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181107">
      <w:marLeft w:val="0"/>
      <w:marRight w:val="0"/>
      <w:marTop w:val="0"/>
      <w:marBottom w:val="0"/>
      <w:divBdr>
        <w:top w:val="none" w:sz="0" w:space="0" w:color="auto"/>
        <w:left w:val="none" w:sz="0" w:space="0" w:color="auto"/>
        <w:bottom w:val="none" w:sz="0" w:space="0" w:color="auto"/>
        <w:right w:val="none" w:sz="0" w:space="0" w:color="auto"/>
      </w:divBdr>
      <w:divsChild>
        <w:div w:id="735007169">
          <w:marLeft w:val="0"/>
          <w:marRight w:val="0"/>
          <w:marTop w:val="0"/>
          <w:marBottom w:val="0"/>
          <w:divBdr>
            <w:top w:val="none" w:sz="0" w:space="0" w:color="auto"/>
            <w:left w:val="none" w:sz="0" w:space="0" w:color="auto"/>
            <w:bottom w:val="none" w:sz="0" w:space="0" w:color="auto"/>
            <w:right w:val="none" w:sz="0" w:space="0" w:color="auto"/>
          </w:divBdr>
        </w:div>
      </w:divsChild>
    </w:div>
    <w:div w:id="1902515331">
      <w:marLeft w:val="0"/>
      <w:marRight w:val="0"/>
      <w:marTop w:val="0"/>
      <w:marBottom w:val="0"/>
      <w:divBdr>
        <w:top w:val="none" w:sz="0" w:space="0" w:color="auto"/>
        <w:left w:val="none" w:sz="0" w:space="0" w:color="auto"/>
        <w:bottom w:val="none" w:sz="0" w:space="0" w:color="auto"/>
        <w:right w:val="none" w:sz="0" w:space="0" w:color="auto"/>
      </w:divBdr>
      <w:divsChild>
        <w:div w:id="1068265403">
          <w:marLeft w:val="0"/>
          <w:marRight w:val="0"/>
          <w:marTop w:val="0"/>
          <w:marBottom w:val="0"/>
          <w:divBdr>
            <w:top w:val="none" w:sz="0" w:space="0" w:color="auto"/>
            <w:left w:val="none" w:sz="0" w:space="0" w:color="auto"/>
            <w:bottom w:val="none" w:sz="0" w:space="0" w:color="auto"/>
            <w:right w:val="none" w:sz="0" w:space="0" w:color="auto"/>
          </w:divBdr>
        </w:div>
      </w:divsChild>
    </w:div>
    <w:div w:id="1904178041">
      <w:marLeft w:val="0"/>
      <w:marRight w:val="0"/>
      <w:marTop w:val="0"/>
      <w:marBottom w:val="0"/>
      <w:divBdr>
        <w:top w:val="none" w:sz="0" w:space="0" w:color="auto"/>
        <w:left w:val="none" w:sz="0" w:space="0" w:color="auto"/>
        <w:bottom w:val="none" w:sz="0" w:space="0" w:color="auto"/>
        <w:right w:val="none" w:sz="0" w:space="0" w:color="auto"/>
      </w:divBdr>
      <w:divsChild>
        <w:div w:id="600141765">
          <w:marLeft w:val="0"/>
          <w:marRight w:val="0"/>
          <w:marTop w:val="0"/>
          <w:marBottom w:val="0"/>
          <w:divBdr>
            <w:top w:val="none" w:sz="0" w:space="0" w:color="auto"/>
            <w:left w:val="none" w:sz="0" w:space="0" w:color="auto"/>
            <w:bottom w:val="none" w:sz="0" w:space="0" w:color="auto"/>
            <w:right w:val="none" w:sz="0" w:space="0" w:color="auto"/>
          </w:divBdr>
        </w:div>
      </w:divsChild>
    </w:div>
    <w:div w:id="1933389552">
      <w:bodyDiv w:val="1"/>
      <w:marLeft w:val="0"/>
      <w:marRight w:val="0"/>
      <w:marTop w:val="0"/>
      <w:marBottom w:val="0"/>
      <w:divBdr>
        <w:top w:val="none" w:sz="0" w:space="0" w:color="auto"/>
        <w:left w:val="none" w:sz="0" w:space="0" w:color="auto"/>
        <w:bottom w:val="none" w:sz="0" w:space="0" w:color="auto"/>
        <w:right w:val="none" w:sz="0" w:space="0" w:color="auto"/>
      </w:divBdr>
      <w:divsChild>
        <w:div w:id="528879163">
          <w:marLeft w:val="0"/>
          <w:marRight w:val="0"/>
          <w:marTop w:val="0"/>
          <w:marBottom w:val="0"/>
          <w:divBdr>
            <w:top w:val="none" w:sz="0" w:space="0" w:color="auto"/>
            <w:left w:val="none" w:sz="0" w:space="0" w:color="auto"/>
            <w:bottom w:val="none" w:sz="0" w:space="0" w:color="auto"/>
            <w:right w:val="none" w:sz="0" w:space="0" w:color="auto"/>
          </w:divBdr>
        </w:div>
        <w:div w:id="597064370">
          <w:marLeft w:val="0"/>
          <w:marRight w:val="0"/>
          <w:marTop w:val="0"/>
          <w:marBottom w:val="0"/>
          <w:divBdr>
            <w:top w:val="none" w:sz="0" w:space="0" w:color="auto"/>
            <w:left w:val="none" w:sz="0" w:space="0" w:color="auto"/>
            <w:bottom w:val="none" w:sz="0" w:space="0" w:color="auto"/>
            <w:right w:val="none" w:sz="0" w:space="0" w:color="auto"/>
          </w:divBdr>
          <w:divsChild>
            <w:div w:id="1084109785">
              <w:marLeft w:val="0"/>
              <w:marRight w:val="0"/>
              <w:marTop w:val="0"/>
              <w:marBottom w:val="0"/>
              <w:divBdr>
                <w:top w:val="none" w:sz="0" w:space="0" w:color="auto"/>
                <w:left w:val="none" w:sz="0" w:space="0" w:color="auto"/>
                <w:bottom w:val="none" w:sz="0" w:space="0" w:color="auto"/>
                <w:right w:val="none" w:sz="0" w:space="0" w:color="auto"/>
              </w:divBdr>
            </w:div>
          </w:divsChild>
        </w:div>
        <w:div w:id="1008869773">
          <w:marLeft w:val="0"/>
          <w:marRight w:val="0"/>
          <w:marTop w:val="0"/>
          <w:marBottom w:val="0"/>
          <w:divBdr>
            <w:top w:val="none" w:sz="0" w:space="0" w:color="auto"/>
            <w:left w:val="none" w:sz="0" w:space="0" w:color="auto"/>
            <w:bottom w:val="none" w:sz="0" w:space="0" w:color="auto"/>
            <w:right w:val="none" w:sz="0" w:space="0" w:color="auto"/>
          </w:divBdr>
        </w:div>
        <w:div w:id="1721394912">
          <w:marLeft w:val="0"/>
          <w:marRight w:val="0"/>
          <w:marTop w:val="0"/>
          <w:marBottom w:val="0"/>
          <w:divBdr>
            <w:top w:val="none" w:sz="0" w:space="0" w:color="auto"/>
            <w:left w:val="none" w:sz="0" w:space="0" w:color="auto"/>
            <w:bottom w:val="none" w:sz="0" w:space="0" w:color="auto"/>
            <w:right w:val="none" w:sz="0" w:space="0" w:color="auto"/>
          </w:divBdr>
        </w:div>
      </w:divsChild>
    </w:div>
    <w:div w:id="1961257458">
      <w:bodyDiv w:val="1"/>
      <w:marLeft w:val="0"/>
      <w:marRight w:val="0"/>
      <w:marTop w:val="0"/>
      <w:marBottom w:val="0"/>
      <w:divBdr>
        <w:top w:val="none" w:sz="0" w:space="0" w:color="auto"/>
        <w:left w:val="none" w:sz="0" w:space="0" w:color="auto"/>
        <w:bottom w:val="none" w:sz="0" w:space="0" w:color="auto"/>
        <w:right w:val="none" w:sz="0" w:space="0" w:color="auto"/>
      </w:divBdr>
      <w:divsChild>
        <w:div w:id="590163247">
          <w:marLeft w:val="0"/>
          <w:marRight w:val="0"/>
          <w:marTop w:val="0"/>
          <w:marBottom w:val="0"/>
          <w:divBdr>
            <w:top w:val="none" w:sz="0" w:space="0" w:color="auto"/>
            <w:left w:val="none" w:sz="0" w:space="0" w:color="auto"/>
            <w:bottom w:val="none" w:sz="0" w:space="0" w:color="auto"/>
            <w:right w:val="none" w:sz="0" w:space="0" w:color="auto"/>
          </w:divBdr>
          <w:divsChild>
            <w:div w:id="1241014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628572">
      <w:marLeft w:val="0"/>
      <w:marRight w:val="0"/>
      <w:marTop w:val="0"/>
      <w:marBottom w:val="0"/>
      <w:divBdr>
        <w:top w:val="none" w:sz="0" w:space="0" w:color="auto"/>
        <w:left w:val="none" w:sz="0" w:space="0" w:color="auto"/>
        <w:bottom w:val="none" w:sz="0" w:space="0" w:color="auto"/>
        <w:right w:val="none" w:sz="0" w:space="0" w:color="auto"/>
      </w:divBdr>
      <w:divsChild>
        <w:div w:id="1398285241">
          <w:marLeft w:val="0"/>
          <w:marRight w:val="0"/>
          <w:marTop w:val="0"/>
          <w:marBottom w:val="0"/>
          <w:divBdr>
            <w:top w:val="none" w:sz="0" w:space="0" w:color="auto"/>
            <w:left w:val="none" w:sz="0" w:space="0" w:color="auto"/>
            <w:bottom w:val="none" w:sz="0" w:space="0" w:color="auto"/>
            <w:right w:val="none" w:sz="0" w:space="0" w:color="auto"/>
          </w:divBdr>
        </w:div>
      </w:divsChild>
    </w:div>
    <w:div w:id="2006393715">
      <w:bodyDiv w:val="1"/>
      <w:marLeft w:val="0"/>
      <w:marRight w:val="0"/>
      <w:marTop w:val="0"/>
      <w:marBottom w:val="0"/>
      <w:divBdr>
        <w:top w:val="none" w:sz="0" w:space="0" w:color="auto"/>
        <w:left w:val="none" w:sz="0" w:space="0" w:color="auto"/>
        <w:bottom w:val="none" w:sz="0" w:space="0" w:color="auto"/>
        <w:right w:val="none" w:sz="0" w:space="0" w:color="auto"/>
      </w:divBdr>
    </w:div>
    <w:div w:id="2017925175">
      <w:marLeft w:val="0"/>
      <w:marRight w:val="0"/>
      <w:marTop w:val="0"/>
      <w:marBottom w:val="0"/>
      <w:divBdr>
        <w:top w:val="none" w:sz="0" w:space="0" w:color="auto"/>
        <w:left w:val="none" w:sz="0" w:space="0" w:color="auto"/>
        <w:bottom w:val="none" w:sz="0" w:space="0" w:color="auto"/>
        <w:right w:val="none" w:sz="0" w:space="0" w:color="auto"/>
      </w:divBdr>
      <w:divsChild>
        <w:div w:id="1718696530">
          <w:marLeft w:val="0"/>
          <w:marRight w:val="0"/>
          <w:marTop w:val="0"/>
          <w:marBottom w:val="0"/>
          <w:divBdr>
            <w:top w:val="none" w:sz="0" w:space="0" w:color="auto"/>
            <w:left w:val="none" w:sz="0" w:space="0" w:color="auto"/>
            <w:bottom w:val="none" w:sz="0" w:space="0" w:color="auto"/>
            <w:right w:val="none" w:sz="0" w:space="0" w:color="auto"/>
          </w:divBdr>
        </w:div>
      </w:divsChild>
    </w:div>
    <w:div w:id="2036610133">
      <w:marLeft w:val="0"/>
      <w:marRight w:val="0"/>
      <w:marTop w:val="0"/>
      <w:marBottom w:val="0"/>
      <w:divBdr>
        <w:top w:val="none" w:sz="0" w:space="0" w:color="auto"/>
        <w:left w:val="none" w:sz="0" w:space="0" w:color="auto"/>
        <w:bottom w:val="none" w:sz="0" w:space="0" w:color="auto"/>
        <w:right w:val="none" w:sz="0" w:space="0" w:color="auto"/>
      </w:divBdr>
      <w:divsChild>
        <w:div w:id="464392600">
          <w:marLeft w:val="0"/>
          <w:marRight w:val="0"/>
          <w:marTop w:val="0"/>
          <w:marBottom w:val="0"/>
          <w:divBdr>
            <w:top w:val="none" w:sz="0" w:space="0" w:color="auto"/>
            <w:left w:val="none" w:sz="0" w:space="0" w:color="auto"/>
            <w:bottom w:val="none" w:sz="0" w:space="0" w:color="auto"/>
            <w:right w:val="none" w:sz="0" w:space="0" w:color="auto"/>
          </w:divBdr>
        </w:div>
      </w:divsChild>
    </w:div>
    <w:div w:id="2040861476">
      <w:marLeft w:val="0"/>
      <w:marRight w:val="0"/>
      <w:marTop w:val="0"/>
      <w:marBottom w:val="0"/>
      <w:divBdr>
        <w:top w:val="none" w:sz="0" w:space="0" w:color="auto"/>
        <w:left w:val="none" w:sz="0" w:space="0" w:color="auto"/>
        <w:bottom w:val="none" w:sz="0" w:space="0" w:color="auto"/>
        <w:right w:val="none" w:sz="0" w:space="0" w:color="auto"/>
      </w:divBdr>
      <w:divsChild>
        <w:div w:id="133528831">
          <w:marLeft w:val="0"/>
          <w:marRight w:val="0"/>
          <w:marTop w:val="0"/>
          <w:marBottom w:val="0"/>
          <w:divBdr>
            <w:top w:val="none" w:sz="0" w:space="0" w:color="auto"/>
            <w:left w:val="none" w:sz="0" w:space="0" w:color="auto"/>
            <w:bottom w:val="none" w:sz="0" w:space="0" w:color="auto"/>
            <w:right w:val="none" w:sz="0" w:space="0" w:color="auto"/>
          </w:divBdr>
        </w:div>
      </w:divsChild>
    </w:div>
    <w:div w:id="2044938379">
      <w:bodyDiv w:val="1"/>
      <w:marLeft w:val="0"/>
      <w:marRight w:val="0"/>
      <w:marTop w:val="0"/>
      <w:marBottom w:val="0"/>
      <w:divBdr>
        <w:top w:val="none" w:sz="0" w:space="0" w:color="auto"/>
        <w:left w:val="none" w:sz="0" w:space="0" w:color="auto"/>
        <w:bottom w:val="none" w:sz="0" w:space="0" w:color="auto"/>
        <w:right w:val="none" w:sz="0" w:space="0" w:color="auto"/>
      </w:divBdr>
    </w:div>
    <w:div w:id="2045784796">
      <w:marLeft w:val="0"/>
      <w:marRight w:val="0"/>
      <w:marTop w:val="0"/>
      <w:marBottom w:val="0"/>
      <w:divBdr>
        <w:top w:val="none" w:sz="0" w:space="0" w:color="auto"/>
        <w:left w:val="none" w:sz="0" w:space="0" w:color="auto"/>
        <w:bottom w:val="none" w:sz="0" w:space="0" w:color="auto"/>
        <w:right w:val="none" w:sz="0" w:space="0" w:color="auto"/>
      </w:divBdr>
      <w:divsChild>
        <w:div w:id="750466385">
          <w:marLeft w:val="0"/>
          <w:marRight w:val="0"/>
          <w:marTop w:val="0"/>
          <w:marBottom w:val="0"/>
          <w:divBdr>
            <w:top w:val="none" w:sz="0" w:space="0" w:color="auto"/>
            <w:left w:val="none" w:sz="0" w:space="0" w:color="auto"/>
            <w:bottom w:val="none" w:sz="0" w:space="0" w:color="auto"/>
            <w:right w:val="none" w:sz="0" w:space="0" w:color="auto"/>
          </w:divBdr>
        </w:div>
      </w:divsChild>
    </w:div>
    <w:div w:id="2048487334">
      <w:bodyDiv w:val="1"/>
      <w:marLeft w:val="0"/>
      <w:marRight w:val="0"/>
      <w:marTop w:val="0"/>
      <w:marBottom w:val="0"/>
      <w:divBdr>
        <w:top w:val="none" w:sz="0" w:space="0" w:color="auto"/>
        <w:left w:val="none" w:sz="0" w:space="0" w:color="auto"/>
        <w:bottom w:val="none" w:sz="0" w:space="0" w:color="auto"/>
        <w:right w:val="none" w:sz="0" w:space="0" w:color="auto"/>
      </w:divBdr>
    </w:div>
    <w:div w:id="2059207505">
      <w:bodyDiv w:val="1"/>
      <w:marLeft w:val="0"/>
      <w:marRight w:val="0"/>
      <w:marTop w:val="0"/>
      <w:marBottom w:val="0"/>
      <w:divBdr>
        <w:top w:val="none" w:sz="0" w:space="0" w:color="auto"/>
        <w:left w:val="none" w:sz="0" w:space="0" w:color="auto"/>
        <w:bottom w:val="none" w:sz="0" w:space="0" w:color="auto"/>
        <w:right w:val="none" w:sz="0" w:space="0" w:color="auto"/>
      </w:divBdr>
      <w:divsChild>
        <w:div w:id="411319277">
          <w:marLeft w:val="0"/>
          <w:marRight w:val="0"/>
          <w:marTop w:val="0"/>
          <w:marBottom w:val="0"/>
          <w:divBdr>
            <w:top w:val="none" w:sz="0" w:space="0" w:color="auto"/>
            <w:left w:val="none" w:sz="0" w:space="0" w:color="auto"/>
            <w:bottom w:val="none" w:sz="0" w:space="0" w:color="auto"/>
            <w:right w:val="none" w:sz="0" w:space="0" w:color="auto"/>
          </w:divBdr>
          <w:divsChild>
            <w:div w:id="1857421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511829">
      <w:marLeft w:val="0"/>
      <w:marRight w:val="0"/>
      <w:marTop w:val="0"/>
      <w:marBottom w:val="0"/>
      <w:divBdr>
        <w:top w:val="none" w:sz="0" w:space="0" w:color="auto"/>
        <w:left w:val="none" w:sz="0" w:space="0" w:color="auto"/>
        <w:bottom w:val="none" w:sz="0" w:space="0" w:color="auto"/>
        <w:right w:val="none" w:sz="0" w:space="0" w:color="auto"/>
      </w:divBdr>
      <w:divsChild>
        <w:div w:id="739136217">
          <w:marLeft w:val="0"/>
          <w:marRight w:val="0"/>
          <w:marTop w:val="0"/>
          <w:marBottom w:val="0"/>
          <w:divBdr>
            <w:top w:val="none" w:sz="0" w:space="0" w:color="auto"/>
            <w:left w:val="none" w:sz="0" w:space="0" w:color="auto"/>
            <w:bottom w:val="none" w:sz="0" w:space="0" w:color="auto"/>
            <w:right w:val="none" w:sz="0" w:space="0" w:color="auto"/>
          </w:divBdr>
        </w:div>
      </w:divsChild>
    </w:div>
    <w:div w:id="2076664707">
      <w:marLeft w:val="0"/>
      <w:marRight w:val="0"/>
      <w:marTop w:val="0"/>
      <w:marBottom w:val="0"/>
      <w:divBdr>
        <w:top w:val="none" w:sz="0" w:space="0" w:color="auto"/>
        <w:left w:val="none" w:sz="0" w:space="0" w:color="auto"/>
        <w:bottom w:val="none" w:sz="0" w:space="0" w:color="auto"/>
        <w:right w:val="none" w:sz="0" w:space="0" w:color="auto"/>
      </w:divBdr>
      <w:divsChild>
        <w:div w:id="726756723">
          <w:marLeft w:val="0"/>
          <w:marRight w:val="0"/>
          <w:marTop w:val="0"/>
          <w:marBottom w:val="0"/>
          <w:divBdr>
            <w:top w:val="none" w:sz="0" w:space="0" w:color="auto"/>
            <w:left w:val="none" w:sz="0" w:space="0" w:color="auto"/>
            <w:bottom w:val="none" w:sz="0" w:space="0" w:color="auto"/>
            <w:right w:val="none" w:sz="0" w:space="0" w:color="auto"/>
          </w:divBdr>
        </w:div>
      </w:divsChild>
    </w:div>
    <w:div w:id="2088113523">
      <w:marLeft w:val="0"/>
      <w:marRight w:val="0"/>
      <w:marTop w:val="0"/>
      <w:marBottom w:val="0"/>
      <w:divBdr>
        <w:top w:val="none" w:sz="0" w:space="0" w:color="auto"/>
        <w:left w:val="none" w:sz="0" w:space="0" w:color="auto"/>
        <w:bottom w:val="none" w:sz="0" w:space="0" w:color="auto"/>
        <w:right w:val="none" w:sz="0" w:space="0" w:color="auto"/>
      </w:divBdr>
      <w:divsChild>
        <w:div w:id="2053309113">
          <w:marLeft w:val="0"/>
          <w:marRight w:val="0"/>
          <w:marTop w:val="0"/>
          <w:marBottom w:val="0"/>
          <w:divBdr>
            <w:top w:val="none" w:sz="0" w:space="0" w:color="auto"/>
            <w:left w:val="none" w:sz="0" w:space="0" w:color="auto"/>
            <w:bottom w:val="none" w:sz="0" w:space="0" w:color="auto"/>
            <w:right w:val="none" w:sz="0" w:space="0" w:color="auto"/>
          </w:divBdr>
        </w:div>
      </w:divsChild>
    </w:div>
    <w:div w:id="2095122317">
      <w:marLeft w:val="0"/>
      <w:marRight w:val="0"/>
      <w:marTop w:val="0"/>
      <w:marBottom w:val="0"/>
      <w:divBdr>
        <w:top w:val="none" w:sz="0" w:space="0" w:color="auto"/>
        <w:left w:val="none" w:sz="0" w:space="0" w:color="auto"/>
        <w:bottom w:val="none" w:sz="0" w:space="0" w:color="auto"/>
        <w:right w:val="none" w:sz="0" w:space="0" w:color="auto"/>
      </w:divBdr>
      <w:divsChild>
        <w:div w:id="54596042">
          <w:marLeft w:val="0"/>
          <w:marRight w:val="0"/>
          <w:marTop w:val="0"/>
          <w:marBottom w:val="0"/>
          <w:divBdr>
            <w:top w:val="none" w:sz="0" w:space="0" w:color="auto"/>
            <w:left w:val="none" w:sz="0" w:space="0" w:color="auto"/>
            <w:bottom w:val="none" w:sz="0" w:space="0" w:color="auto"/>
            <w:right w:val="none" w:sz="0" w:space="0" w:color="auto"/>
          </w:divBdr>
        </w:div>
      </w:divsChild>
    </w:div>
    <w:div w:id="2125273577">
      <w:marLeft w:val="0"/>
      <w:marRight w:val="0"/>
      <w:marTop w:val="0"/>
      <w:marBottom w:val="0"/>
      <w:divBdr>
        <w:top w:val="none" w:sz="0" w:space="0" w:color="auto"/>
        <w:left w:val="none" w:sz="0" w:space="0" w:color="auto"/>
        <w:bottom w:val="none" w:sz="0" w:space="0" w:color="auto"/>
        <w:right w:val="none" w:sz="0" w:space="0" w:color="auto"/>
      </w:divBdr>
      <w:divsChild>
        <w:div w:id="681593821">
          <w:marLeft w:val="0"/>
          <w:marRight w:val="0"/>
          <w:marTop w:val="0"/>
          <w:marBottom w:val="0"/>
          <w:divBdr>
            <w:top w:val="none" w:sz="0" w:space="0" w:color="auto"/>
            <w:left w:val="none" w:sz="0" w:space="0" w:color="auto"/>
            <w:bottom w:val="none" w:sz="0" w:space="0" w:color="auto"/>
            <w:right w:val="none" w:sz="0" w:space="0" w:color="auto"/>
          </w:divBdr>
        </w:div>
      </w:divsChild>
    </w:div>
    <w:div w:id="2132937608">
      <w:marLeft w:val="0"/>
      <w:marRight w:val="0"/>
      <w:marTop w:val="0"/>
      <w:marBottom w:val="0"/>
      <w:divBdr>
        <w:top w:val="none" w:sz="0" w:space="0" w:color="auto"/>
        <w:left w:val="none" w:sz="0" w:space="0" w:color="auto"/>
        <w:bottom w:val="none" w:sz="0" w:space="0" w:color="auto"/>
        <w:right w:val="none" w:sz="0" w:space="0" w:color="auto"/>
      </w:divBdr>
      <w:divsChild>
        <w:div w:id="2043363509">
          <w:marLeft w:val="0"/>
          <w:marRight w:val="0"/>
          <w:marTop w:val="0"/>
          <w:marBottom w:val="0"/>
          <w:divBdr>
            <w:top w:val="none" w:sz="0" w:space="0" w:color="auto"/>
            <w:left w:val="none" w:sz="0" w:space="0" w:color="auto"/>
            <w:bottom w:val="none" w:sz="0" w:space="0" w:color="auto"/>
            <w:right w:val="none" w:sz="0" w:space="0" w:color="auto"/>
          </w:divBdr>
        </w:div>
      </w:divsChild>
    </w:div>
    <w:div w:id="2138719077">
      <w:marLeft w:val="0"/>
      <w:marRight w:val="0"/>
      <w:marTop w:val="0"/>
      <w:marBottom w:val="0"/>
      <w:divBdr>
        <w:top w:val="none" w:sz="0" w:space="0" w:color="auto"/>
        <w:left w:val="none" w:sz="0" w:space="0" w:color="auto"/>
        <w:bottom w:val="none" w:sz="0" w:space="0" w:color="auto"/>
        <w:right w:val="none" w:sz="0" w:space="0" w:color="auto"/>
      </w:divBdr>
      <w:divsChild>
        <w:div w:id="5161178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hart" Target="charts/chart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m10\Documents\multipart-te.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F:\Tennessee\Thesis\F.N%20GRAFICO%20CP.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F:\Tennessee\Thesis\weather%20thesi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F:\Tennessee\Thesis\weather%20thesis.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[F.N GRAFICO CP.xlsx]Sheet4!PivotTable1</c:name>
    <c:fmtId val="-1"/>
  </c:pivotSource>
  <c:chart>
    <c:autoTitleDeleted val="0"/>
    <c:pivotFmts>
      <c:pivotFmt>
        <c:idx val="0"/>
        <c:spPr>
          <a:pattFill prst="pct80">
            <a:fgClr>
              <a:schemeClr val="bg1">
                <a:lumMod val="85000"/>
              </a:schemeClr>
            </a:fgClr>
            <a:bgClr>
              <a:schemeClr val="bg1"/>
            </a:bgClr>
          </a:patt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pattFill prst="wdUpDiag">
            <a:fgClr>
              <a:schemeClr val="bg1"/>
            </a:fgClr>
            <a:bgClr>
              <a:schemeClr val="tx1">
                <a:lumMod val="65000"/>
                <a:lumOff val="35000"/>
              </a:schemeClr>
            </a:bgClr>
          </a:patt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bg1">
              <a:lumMod val="65000"/>
            </a:schemeClr>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tx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pattFill prst="wdUpDiag">
            <a:fgClr>
              <a:schemeClr val="bg1"/>
            </a:fgClr>
            <a:bgClr>
              <a:schemeClr val="tx1">
                <a:lumMod val="65000"/>
                <a:lumOff val="35000"/>
              </a:schemeClr>
            </a:bgClr>
          </a:pattFill>
          <a:ln>
            <a:noFill/>
          </a:ln>
          <a:effectLst/>
        </c:spPr>
      </c:pivotFmt>
      <c:pivotFmt>
        <c:idx val="5"/>
        <c:spPr>
          <a:solidFill>
            <a:schemeClr val="tx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pattFill prst="wdUpDiag">
            <a:fgClr>
              <a:schemeClr val="bg1"/>
            </a:fgClr>
            <a:bgClr>
              <a:schemeClr val="tx1">
                <a:lumMod val="65000"/>
                <a:lumOff val="35000"/>
              </a:schemeClr>
            </a:bgClr>
          </a:patt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bg1">
              <a:lumMod val="65000"/>
            </a:schemeClr>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pattFill prst="pct80">
            <a:fgClr>
              <a:schemeClr val="bg1">
                <a:lumMod val="85000"/>
              </a:schemeClr>
            </a:fgClr>
            <a:bgClr>
              <a:schemeClr val="bg1"/>
            </a:bgClr>
          </a:patt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tx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
        <c:spPr>
          <a:pattFill prst="wdUpDiag">
            <a:fgClr>
              <a:schemeClr val="bg1"/>
            </a:fgClr>
            <a:bgClr>
              <a:schemeClr val="tx1">
                <a:lumMod val="65000"/>
                <a:lumOff val="35000"/>
              </a:schemeClr>
            </a:bgClr>
          </a:patt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bg1">
              <a:lumMod val="65000"/>
            </a:schemeClr>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
        <c:spPr>
          <a:pattFill prst="pct80">
            <a:fgClr>
              <a:schemeClr val="bg1">
                <a:lumMod val="85000"/>
              </a:schemeClr>
            </a:fgClr>
            <a:bgClr>
              <a:schemeClr val="bg1"/>
            </a:bgClr>
          </a:patt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col"/>
        <c:grouping val="stacked"/>
        <c:varyColors val="0"/>
        <c:ser>
          <c:idx val="0"/>
          <c:order val="0"/>
          <c:tx>
            <c:strRef>
              <c:f>Sheet4!$B$3</c:f>
              <c:strCache>
                <c:ptCount val="1"/>
                <c:pt idx="0">
                  <c:v>DM</c:v>
                </c:pt>
              </c:strCache>
            </c:strRef>
          </c:tx>
          <c:spPr>
            <a:solidFill>
              <a:schemeClr val="tx1"/>
            </a:solidFill>
            <a:ln>
              <a:noFill/>
            </a:ln>
            <a:effectLst/>
          </c:spPr>
          <c:invertIfNegative val="0"/>
          <c:cat>
            <c:multiLvlStrRef>
              <c:f>Sheet4!$A$4:$A$28</c:f>
              <c:multiLvlStrCache>
                <c:ptCount val="20"/>
                <c:lvl>
                  <c:pt idx="0">
                    <c:v>NN</c:v>
                  </c:pt>
                  <c:pt idx="1">
                    <c:v>U-33</c:v>
                  </c:pt>
                  <c:pt idx="2">
                    <c:v>A-33</c:v>
                  </c:pt>
                  <c:pt idx="3">
                    <c:v>U-67</c:v>
                  </c:pt>
                  <c:pt idx="4">
                    <c:v>A-67</c:v>
                  </c:pt>
                  <c:pt idx="5">
                    <c:v>NN</c:v>
                  </c:pt>
                  <c:pt idx="6">
                    <c:v>U-33</c:v>
                  </c:pt>
                  <c:pt idx="7">
                    <c:v>A-33</c:v>
                  </c:pt>
                  <c:pt idx="8">
                    <c:v>U-67</c:v>
                  </c:pt>
                  <c:pt idx="9">
                    <c:v>A-67</c:v>
                  </c:pt>
                  <c:pt idx="10">
                    <c:v>NN</c:v>
                  </c:pt>
                  <c:pt idx="11">
                    <c:v>U-33</c:v>
                  </c:pt>
                  <c:pt idx="12">
                    <c:v>A-33</c:v>
                  </c:pt>
                  <c:pt idx="13">
                    <c:v>U-67</c:v>
                  </c:pt>
                  <c:pt idx="14">
                    <c:v>A-67</c:v>
                  </c:pt>
                  <c:pt idx="15">
                    <c:v>NN</c:v>
                  </c:pt>
                  <c:pt idx="16">
                    <c:v>U-33</c:v>
                  </c:pt>
                  <c:pt idx="17">
                    <c:v>A-33</c:v>
                  </c:pt>
                  <c:pt idx="18">
                    <c:v>U-67</c:v>
                  </c:pt>
                  <c:pt idx="19">
                    <c:v>A-67</c:v>
                  </c:pt>
                </c:lvl>
                <c:lvl>
                  <c:pt idx="0">
                    <c:v>DH-44</c:v>
                  </c:pt>
                  <c:pt idx="5">
                    <c:v>C-PGPB</c:v>
                  </c:pt>
                  <c:pt idx="10">
                    <c:v>DH-267</c:v>
                  </c:pt>
                  <c:pt idx="15">
                    <c:v>No-PGPB</c:v>
                  </c:pt>
                </c:lvl>
              </c:multiLvlStrCache>
            </c:multiLvlStrRef>
          </c:cat>
          <c:val>
            <c:numRef>
              <c:f>Sheet4!$B$4:$B$28</c:f>
              <c:numCache>
                <c:formatCode>General</c:formatCode>
                <c:ptCount val="20"/>
                <c:pt idx="0">
                  <c:v>95.5</c:v>
                </c:pt>
                <c:pt idx="1">
                  <c:v>64</c:v>
                </c:pt>
                <c:pt idx="2">
                  <c:v>56</c:v>
                </c:pt>
                <c:pt idx="3">
                  <c:v>108</c:v>
                </c:pt>
                <c:pt idx="4">
                  <c:v>48.332999999999998</c:v>
                </c:pt>
                <c:pt idx="5">
                  <c:v>100.833</c:v>
                </c:pt>
                <c:pt idx="6">
                  <c:v>60.667000000000002</c:v>
                </c:pt>
                <c:pt idx="7">
                  <c:v>80.332999999999998</c:v>
                </c:pt>
                <c:pt idx="8">
                  <c:v>94.5</c:v>
                </c:pt>
                <c:pt idx="9">
                  <c:v>45.332999999999998</c:v>
                </c:pt>
                <c:pt idx="10">
                  <c:v>93.667000000000002</c:v>
                </c:pt>
                <c:pt idx="11">
                  <c:v>79</c:v>
                </c:pt>
                <c:pt idx="12">
                  <c:v>77.5</c:v>
                </c:pt>
                <c:pt idx="13">
                  <c:v>82.832999999999998</c:v>
                </c:pt>
                <c:pt idx="14">
                  <c:v>50</c:v>
                </c:pt>
                <c:pt idx="15">
                  <c:v>146.167</c:v>
                </c:pt>
                <c:pt idx="16">
                  <c:v>73.5</c:v>
                </c:pt>
                <c:pt idx="17">
                  <c:v>95</c:v>
                </c:pt>
                <c:pt idx="18">
                  <c:v>86.5</c:v>
                </c:pt>
                <c:pt idx="19">
                  <c:v>86.5</c:v>
                </c:pt>
              </c:numCache>
            </c:numRef>
          </c:val>
          <c:extLst>
            <c:ext xmlns:c16="http://schemas.microsoft.com/office/drawing/2014/chart" uri="{C3380CC4-5D6E-409C-BE32-E72D297353CC}">
              <c16:uniqueId val="{00000000-8EB0-48B0-866B-94954009D9DF}"/>
            </c:ext>
          </c:extLst>
        </c:ser>
        <c:ser>
          <c:idx val="1"/>
          <c:order val="1"/>
          <c:tx>
            <c:strRef>
              <c:f>Sheet4!$C$3</c:f>
              <c:strCache>
                <c:ptCount val="1"/>
                <c:pt idx="0">
                  <c:v>S</c:v>
                </c:pt>
              </c:strCache>
            </c:strRef>
          </c:tx>
          <c:spPr>
            <a:pattFill prst="wdUpDiag">
              <a:fgClr>
                <a:schemeClr val="bg1"/>
              </a:fgClr>
              <a:bgClr>
                <a:schemeClr val="tx1">
                  <a:lumMod val="65000"/>
                  <a:lumOff val="35000"/>
                </a:schemeClr>
              </a:bgClr>
            </a:pattFill>
            <a:ln>
              <a:noFill/>
            </a:ln>
            <a:effectLst/>
          </c:spPr>
          <c:invertIfNegative val="0"/>
          <c:cat>
            <c:multiLvlStrRef>
              <c:f>Sheet4!$A$4:$A$28</c:f>
              <c:multiLvlStrCache>
                <c:ptCount val="20"/>
                <c:lvl>
                  <c:pt idx="0">
                    <c:v>NN</c:v>
                  </c:pt>
                  <c:pt idx="1">
                    <c:v>U-33</c:v>
                  </c:pt>
                  <c:pt idx="2">
                    <c:v>A-33</c:v>
                  </c:pt>
                  <c:pt idx="3">
                    <c:v>U-67</c:v>
                  </c:pt>
                  <c:pt idx="4">
                    <c:v>A-67</c:v>
                  </c:pt>
                  <c:pt idx="5">
                    <c:v>NN</c:v>
                  </c:pt>
                  <c:pt idx="6">
                    <c:v>U-33</c:v>
                  </c:pt>
                  <c:pt idx="7">
                    <c:v>A-33</c:v>
                  </c:pt>
                  <c:pt idx="8">
                    <c:v>U-67</c:v>
                  </c:pt>
                  <c:pt idx="9">
                    <c:v>A-67</c:v>
                  </c:pt>
                  <c:pt idx="10">
                    <c:v>NN</c:v>
                  </c:pt>
                  <c:pt idx="11">
                    <c:v>U-33</c:v>
                  </c:pt>
                  <c:pt idx="12">
                    <c:v>A-33</c:v>
                  </c:pt>
                  <c:pt idx="13">
                    <c:v>U-67</c:v>
                  </c:pt>
                  <c:pt idx="14">
                    <c:v>A-67</c:v>
                  </c:pt>
                  <c:pt idx="15">
                    <c:v>NN</c:v>
                  </c:pt>
                  <c:pt idx="16">
                    <c:v>U-33</c:v>
                  </c:pt>
                  <c:pt idx="17">
                    <c:v>A-33</c:v>
                  </c:pt>
                  <c:pt idx="18">
                    <c:v>U-67</c:v>
                  </c:pt>
                  <c:pt idx="19">
                    <c:v>A-67</c:v>
                  </c:pt>
                </c:lvl>
                <c:lvl>
                  <c:pt idx="0">
                    <c:v>DH-44</c:v>
                  </c:pt>
                  <c:pt idx="5">
                    <c:v>C-PGPB</c:v>
                  </c:pt>
                  <c:pt idx="10">
                    <c:v>DH-267</c:v>
                  </c:pt>
                  <c:pt idx="15">
                    <c:v>No-PGPB</c:v>
                  </c:pt>
                </c:lvl>
              </c:multiLvlStrCache>
            </c:multiLvlStrRef>
          </c:cat>
          <c:val>
            <c:numRef>
              <c:f>Sheet4!$C$4:$C$28</c:f>
              <c:numCache>
                <c:formatCode>General</c:formatCode>
                <c:ptCount val="20"/>
                <c:pt idx="0">
                  <c:v>258.33300000000003</c:v>
                </c:pt>
                <c:pt idx="1">
                  <c:v>199.667</c:v>
                </c:pt>
                <c:pt idx="2">
                  <c:v>352.83300000000003</c:v>
                </c:pt>
                <c:pt idx="3">
                  <c:v>245.5</c:v>
                </c:pt>
                <c:pt idx="4">
                  <c:v>284.33300000000003</c:v>
                </c:pt>
                <c:pt idx="5">
                  <c:v>309.66699999999997</c:v>
                </c:pt>
                <c:pt idx="6">
                  <c:v>306</c:v>
                </c:pt>
                <c:pt idx="7">
                  <c:v>326.16699999999997</c:v>
                </c:pt>
                <c:pt idx="8">
                  <c:v>341.66699999999997</c:v>
                </c:pt>
                <c:pt idx="9">
                  <c:v>331.66699999999997</c:v>
                </c:pt>
                <c:pt idx="10">
                  <c:v>279.33300000000003</c:v>
                </c:pt>
                <c:pt idx="11">
                  <c:v>289.33300000000003</c:v>
                </c:pt>
                <c:pt idx="12">
                  <c:v>328.33300000000003</c:v>
                </c:pt>
                <c:pt idx="13">
                  <c:v>274.33300000000003</c:v>
                </c:pt>
                <c:pt idx="14">
                  <c:v>310.66699999999997</c:v>
                </c:pt>
                <c:pt idx="15">
                  <c:v>256</c:v>
                </c:pt>
                <c:pt idx="16">
                  <c:v>218.333</c:v>
                </c:pt>
                <c:pt idx="17">
                  <c:v>260.5</c:v>
                </c:pt>
                <c:pt idx="18">
                  <c:v>347</c:v>
                </c:pt>
                <c:pt idx="19">
                  <c:v>358.16699999999997</c:v>
                </c:pt>
              </c:numCache>
            </c:numRef>
          </c:val>
          <c:extLst>
            <c:ext xmlns:c16="http://schemas.microsoft.com/office/drawing/2014/chart" uri="{C3380CC4-5D6E-409C-BE32-E72D297353CC}">
              <c16:uniqueId val="{00000001-8EB0-48B0-866B-94954009D9DF}"/>
            </c:ext>
          </c:extLst>
        </c:ser>
        <c:ser>
          <c:idx val="2"/>
          <c:order val="2"/>
          <c:tx>
            <c:strRef>
              <c:f>Sheet4!$D$3</c:f>
              <c:strCache>
                <c:ptCount val="1"/>
                <c:pt idx="0">
                  <c:v>L</c:v>
                </c:pt>
              </c:strCache>
            </c:strRef>
          </c:tx>
          <c:spPr>
            <a:solidFill>
              <a:schemeClr val="bg1">
                <a:lumMod val="65000"/>
              </a:schemeClr>
            </a:solidFill>
            <a:ln>
              <a:noFill/>
            </a:ln>
            <a:effectLst/>
          </c:spPr>
          <c:invertIfNegative val="0"/>
          <c:cat>
            <c:multiLvlStrRef>
              <c:f>Sheet4!$A$4:$A$28</c:f>
              <c:multiLvlStrCache>
                <c:ptCount val="20"/>
                <c:lvl>
                  <c:pt idx="0">
                    <c:v>NN</c:v>
                  </c:pt>
                  <c:pt idx="1">
                    <c:v>U-33</c:v>
                  </c:pt>
                  <c:pt idx="2">
                    <c:v>A-33</c:v>
                  </c:pt>
                  <c:pt idx="3">
                    <c:v>U-67</c:v>
                  </c:pt>
                  <c:pt idx="4">
                    <c:v>A-67</c:v>
                  </c:pt>
                  <c:pt idx="5">
                    <c:v>NN</c:v>
                  </c:pt>
                  <c:pt idx="6">
                    <c:v>U-33</c:v>
                  </c:pt>
                  <c:pt idx="7">
                    <c:v>A-33</c:v>
                  </c:pt>
                  <c:pt idx="8">
                    <c:v>U-67</c:v>
                  </c:pt>
                  <c:pt idx="9">
                    <c:v>A-67</c:v>
                  </c:pt>
                  <c:pt idx="10">
                    <c:v>NN</c:v>
                  </c:pt>
                  <c:pt idx="11">
                    <c:v>U-33</c:v>
                  </c:pt>
                  <c:pt idx="12">
                    <c:v>A-33</c:v>
                  </c:pt>
                  <c:pt idx="13">
                    <c:v>U-67</c:v>
                  </c:pt>
                  <c:pt idx="14">
                    <c:v>A-67</c:v>
                  </c:pt>
                  <c:pt idx="15">
                    <c:v>NN</c:v>
                  </c:pt>
                  <c:pt idx="16">
                    <c:v>U-33</c:v>
                  </c:pt>
                  <c:pt idx="17">
                    <c:v>A-33</c:v>
                  </c:pt>
                  <c:pt idx="18">
                    <c:v>U-67</c:v>
                  </c:pt>
                  <c:pt idx="19">
                    <c:v>A-67</c:v>
                  </c:pt>
                </c:lvl>
                <c:lvl>
                  <c:pt idx="0">
                    <c:v>DH-44</c:v>
                  </c:pt>
                  <c:pt idx="5">
                    <c:v>C-PGPB</c:v>
                  </c:pt>
                  <c:pt idx="10">
                    <c:v>DH-267</c:v>
                  </c:pt>
                  <c:pt idx="15">
                    <c:v>No-PGPB</c:v>
                  </c:pt>
                </c:lvl>
              </c:multiLvlStrCache>
            </c:multiLvlStrRef>
          </c:cat>
          <c:val>
            <c:numRef>
              <c:f>Sheet4!$D$4:$D$28</c:f>
              <c:numCache>
                <c:formatCode>General</c:formatCode>
                <c:ptCount val="20"/>
                <c:pt idx="0">
                  <c:v>401.33300000000003</c:v>
                </c:pt>
                <c:pt idx="1">
                  <c:v>325.83300000000003</c:v>
                </c:pt>
                <c:pt idx="2">
                  <c:v>372.16699999999997</c:v>
                </c:pt>
                <c:pt idx="3">
                  <c:v>270</c:v>
                </c:pt>
                <c:pt idx="4">
                  <c:v>377.83300000000003</c:v>
                </c:pt>
                <c:pt idx="5">
                  <c:v>425</c:v>
                </c:pt>
                <c:pt idx="6">
                  <c:v>411.66699999999997</c:v>
                </c:pt>
                <c:pt idx="7">
                  <c:v>387.33300000000003</c:v>
                </c:pt>
                <c:pt idx="8">
                  <c:v>391.5</c:v>
                </c:pt>
                <c:pt idx="9">
                  <c:v>412.5</c:v>
                </c:pt>
                <c:pt idx="10">
                  <c:v>479.66699999999997</c:v>
                </c:pt>
                <c:pt idx="11">
                  <c:v>383.33300000000003</c:v>
                </c:pt>
                <c:pt idx="12">
                  <c:v>367.5</c:v>
                </c:pt>
                <c:pt idx="13">
                  <c:v>408.83300000000003</c:v>
                </c:pt>
                <c:pt idx="14">
                  <c:v>459</c:v>
                </c:pt>
                <c:pt idx="15">
                  <c:v>411.66699999999997</c:v>
                </c:pt>
                <c:pt idx="16">
                  <c:v>249.833</c:v>
                </c:pt>
                <c:pt idx="17">
                  <c:v>363.83300000000003</c:v>
                </c:pt>
                <c:pt idx="18">
                  <c:v>409.5</c:v>
                </c:pt>
                <c:pt idx="19">
                  <c:v>386.66699999999997</c:v>
                </c:pt>
              </c:numCache>
            </c:numRef>
          </c:val>
          <c:extLst>
            <c:ext xmlns:c16="http://schemas.microsoft.com/office/drawing/2014/chart" uri="{C3380CC4-5D6E-409C-BE32-E72D297353CC}">
              <c16:uniqueId val="{00000002-8EB0-48B0-866B-94954009D9DF}"/>
            </c:ext>
          </c:extLst>
        </c:ser>
        <c:ser>
          <c:idx val="3"/>
          <c:order val="3"/>
          <c:tx>
            <c:strRef>
              <c:f>Sheet4!$E$3</c:f>
              <c:strCache>
                <c:ptCount val="1"/>
                <c:pt idx="0">
                  <c:v>W</c:v>
                </c:pt>
              </c:strCache>
            </c:strRef>
          </c:tx>
          <c:spPr>
            <a:pattFill prst="pct80">
              <a:fgClr>
                <a:schemeClr val="bg1">
                  <a:lumMod val="85000"/>
                </a:schemeClr>
              </a:fgClr>
              <a:bgClr>
                <a:schemeClr val="bg1"/>
              </a:bgClr>
            </a:pattFill>
            <a:ln>
              <a:noFill/>
            </a:ln>
            <a:effectLst/>
          </c:spPr>
          <c:invertIfNegative val="0"/>
          <c:cat>
            <c:multiLvlStrRef>
              <c:f>Sheet4!$A$4:$A$28</c:f>
              <c:multiLvlStrCache>
                <c:ptCount val="20"/>
                <c:lvl>
                  <c:pt idx="0">
                    <c:v>NN</c:v>
                  </c:pt>
                  <c:pt idx="1">
                    <c:v>U-33</c:v>
                  </c:pt>
                  <c:pt idx="2">
                    <c:v>A-33</c:v>
                  </c:pt>
                  <c:pt idx="3">
                    <c:v>U-67</c:v>
                  </c:pt>
                  <c:pt idx="4">
                    <c:v>A-67</c:v>
                  </c:pt>
                  <c:pt idx="5">
                    <c:v>NN</c:v>
                  </c:pt>
                  <c:pt idx="6">
                    <c:v>U-33</c:v>
                  </c:pt>
                  <c:pt idx="7">
                    <c:v>A-33</c:v>
                  </c:pt>
                  <c:pt idx="8">
                    <c:v>U-67</c:v>
                  </c:pt>
                  <c:pt idx="9">
                    <c:v>A-67</c:v>
                  </c:pt>
                  <c:pt idx="10">
                    <c:v>NN</c:v>
                  </c:pt>
                  <c:pt idx="11">
                    <c:v>U-33</c:v>
                  </c:pt>
                  <c:pt idx="12">
                    <c:v>A-33</c:v>
                  </c:pt>
                  <c:pt idx="13">
                    <c:v>U-67</c:v>
                  </c:pt>
                  <c:pt idx="14">
                    <c:v>A-67</c:v>
                  </c:pt>
                  <c:pt idx="15">
                    <c:v>NN</c:v>
                  </c:pt>
                  <c:pt idx="16">
                    <c:v>U-33</c:v>
                  </c:pt>
                  <c:pt idx="17">
                    <c:v>A-33</c:v>
                  </c:pt>
                  <c:pt idx="18">
                    <c:v>U-67</c:v>
                  </c:pt>
                  <c:pt idx="19">
                    <c:v>A-67</c:v>
                  </c:pt>
                </c:lvl>
                <c:lvl>
                  <c:pt idx="0">
                    <c:v>DH-44</c:v>
                  </c:pt>
                  <c:pt idx="5">
                    <c:v>C-PGPB</c:v>
                  </c:pt>
                  <c:pt idx="10">
                    <c:v>DH-267</c:v>
                  </c:pt>
                  <c:pt idx="15">
                    <c:v>No-PGPB</c:v>
                  </c:pt>
                </c:lvl>
              </c:multiLvlStrCache>
            </c:multiLvlStrRef>
          </c:cat>
          <c:val>
            <c:numRef>
              <c:f>Sheet4!$E$4:$E$28</c:f>
              <c:numCache>
                <c:formatCode>General</c:formatCode>
                <c:ptCount val="20"/>
                <c:pt idx="0">
                  <c:v>244.833</c:v>
                </c:pt>
                <c:pt idx="1">
                  <c:v>410.83300000000003</c:v>
                </c:pt>
                <c:pt idx="2">
                  <c:v>219</c:v>
                </c:pt>
                <c:pt idx="3">
                  <c:v>376.66699999999997</c:v>
                </c:pt>
                <c:pt idx="4">
                  <c:v>289.66699999999997</c:v>
                </c:pt>
                <c:pt idx="5">
                  <c:v>164.5</c:v>
                </c:pt>
                <c:pt idx="6">
                  <c:v>222</c:v>
                </c:pt>
                <c:pt idx="7">
                  <c:v>206</c:v>
                </c:pt>
                <c:pt idx="8">
                  <c:v>172.667</c:v>
                </c:pt>
                <c:pt idx="9">
                  <c:v>210.5</c:v>
                </c:pt>
                <c:pt idx="10">
                  <c:v>147.167</c:v>
                </c:pt>
                <c:pt idx="11">
                  <c:v>248</c:v>
                </c:pt>
                <c:pt idx="12">
                  <c:v>226.833</c:v>
                </c:pt>
                <c:pt idx="13">
                  <c:v>234.167</c:v>
                </c:pt>
                <c:pt idx="14">
                  <c:v>180.333</c:v>
                </c:pt>
                <c:pt idx="15">
                  <c:v>186.167</c:v>
                </c:pt>
                <c:pt idx="16">
                  <c:v>458.16699999999997</c:v>
                </c:pt>
                <c:pt idx="17">
                  <c:v>281.16699999999997</c:v>
                </c:pt>
                <c:pt idx="18">
                  <c:v>157.167</c:v>
                </c:pt>
                <c:pt idx="19">
                  <c:v>168.667</c:v>
                </c:pt>
              </c:numCache>
            </c:numRef>
          </c:val>
          <c:extLst>
            <c:ext xmlns:c16="http://schemas.microsoft.com/office/drawing/2014/chart" uri="{C3380CC4-5D6E-409C-BE32-E72D297353CC}">
              <c16:uniqueId val="{00000003-8EB0-48B0-866B-94954009D9DF}"/>
            </c:ext>
          </c:extLst>
        </c:ser>
        <c:dLbls>
          <c:showLegendKey val="0"/>
          <c:showVal val="0"/>
          <c:showCatName val="0"/>
          <c:showSerName val="0"/>
          <c:showPercent val="0"/>
          <c:showBubbleSize val="0"/>
        </c:dLbls>
        <c:gapWidth val="150"/>
        <c:overlap val="100"/>
        <c:axId val="1082827152"/>
        <c:axId val="1082819952"/>
      </c:barChart>
      <c:catAx>
        <c:axId val="1082827152"/>
        <c:scaling>
          <c:orientation val="minMax"/>
        </c:scaling>
        <c:delete val="0"/>
        <c:axPos val="b"/>
        <c:numFmt formatCode="General" sourceLinked="1"/>
        <c:majorTickMark val="out"/>
        <c:minorTickMark val="none"/>
        <c:tickLblPos val="nextTo"/>
        <c:spPr>
          <a:noFill/>
          <a:ln w="1587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082819952"/>
        <c:crosses val="autoZero"/>
        <c:auto val="1"/>
        <c:lblAlgn val="ctr"/>
        <c:lblOffset val="100"/>
        <c:noMultiLvlLbl val="0"/>
      </c:catAx>
      <c:valAx>
        <c:axId val="1082819952"/>
        <c:scaling>
          <c:orientation val="minMax"/>
          <c:max val="1000"/>
        </c:scaling>
        <c:delete val="0"/>
        <c:axPos val="l"/>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pt-BR" sz="1200" baseline="0">
                    <a:solidFill>
                      <a:schemeClr val="tx1"/>
                    </a:solidFill>
                    <a:latin typeface="Times New Roman" panose="02020603050405020304" pitchFamily="18" charset="0"/>
                    <a:cs typeface="Times New Roman" panose="02020603050405020304" pitchFamily="18" charset="0"/>
                  </a:rPr>
                  <a:t>g kg </a:t>
                </a:r>
                <a:r>
                  <a:rPr lang="pt-BR" sz="1200" baseline="30000">
                    <a:solidFill>
                      <a:schemeClr val="tx1"/>
                    </a:solidFill>
                    <a:latin typeface="Times New Roman" panose="02020603050405020304" pitchFamily="18" charset="0"/>
                    <a:cs typeface="Times New Roman" panose="02020603050405020304" pitchFamily="18" charset="0"/>
                  </a:rPr>
                  <a:t>-1</a:t>
                </a:r>
                <a:endParaRPr lang="pt-BR" sz="1200">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2.0186842110970302E-2"/>
              <c:y val="0.36933824545025884"/>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pt-BR"/>
            </a:p>
          </c:txPr>
        </c:title>
        <c:numFmt formatCode="General" sourceLinked="1"/>
        <c:majorTickMark val="none"/>
        <c:minorTickMark val="none"/>
        <c:tickLblPos val="nextTo"/>
        <c:spPr>
          <a:noFill/>
          <a:ln w="15875">
            <a:solidFill>
              <a:schemeClr val="tx1"/>
            </a:solid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0828271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5875" cap="flat" cmpd="sng" algn="ctr">
      <a:solidFill>
        <a:schemeClr val="bg1"/>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83845264104871"/>
          <c:y val="0.24214946104709884"/>
          <c:w val="0.80077110911193938"/>
          <c:h val="0.48985464654755995"/>
        </c:manualLayout>
      </c:layout>
      <c:lineChart>
        <c:grouping val="standard"/>
        <c:varyColors val="0"/>
        <c:ser>
          <c:idx val="0"/>
          <c:order val="0"/>
          <c:tx>
            <c:strRef>
              <c:f>Planilha1!$K$1</c:f>
              <c:strCache>
                <c:ptCount val="1"/>
                <c:pt idx="0">
                  <c:v>AVG, 30yrs</c:v>
                </c:pt>
              </c:strCache>
            </c:strRef>
          </c:tx>
          <c:spPr>
            <a:ln w="28575" cap="rnd">
              <a:solidFill>
                <a:schemeClr val="tx1"/>
              </a:solidFill>
              <a:round/>
            </a:ln>
            <a:effectLst/>
          </c:spPr>
          <c:marker>
            <c:symbol val="none"/>
          </c:marker>
          <c:cat>
            <c:strRef>
              <c:f>Planilha1!$J$2:$J$13</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Planilha1!$K$2:$K$13</c:f>
              <c:numCache>
                <c:formatCode>0.00</c:formatCode>
                <c:ptCount val="12"/>
                <c:pt idx="0">
                  <c:v>1.3966666666666672</c:v>
                </c:pt>
                <c:pt idx="1">
                  <c:v>3.7310344827586208</c:v>
                </c:pt>
                <c:pt idx="2">
                  <c:v>8.0464285714285726</c:v>
                </c:pt>
                <c:pt idx="3">
                  <c:v>12.510000000000003</c:v>
                </c:pt>
                <c:pt idx="4">
                  <c:v>17.017857142857146</c:v>
                </c:pt>
                <c:pt idx="5">
                  <c:v>20.855172413793102</c:v>
                </c:pt>
                <c:pt idx="6">
                  <c:v>22.845161290322576</c:v>
                </c:pt>
                <c:pt idx="7">
                  <c:v>22.416129032258066</c:v>
                </c:pt>
                <c:pt idx="8">
                  <c:v>19.141935483870967</c:v>
                </c:pt>
                <c:pt idx="9">
                  <c:v>13.306451612903222</c:v>
                </c:pt>
                <c:pt idx="10">
                  <c:v>7.4645161290322584</c:v>
                </c:pt>
                <c:pt idx="11">
                  <c:v>3.5333333333333328</c:v>
                </c:pt>
              </c:numCache>
            </c:numRef>
          </c:val>
          <c:smooth val="0"/>
          <c:extLst>
            <c:ext xmlns:c16="http://schemas.microsoft.com/office/drawing/2014/chart" uri="{C3380CC4-5D6E-409C-BE32-E72D297353CC}">
              <c16:uniqueId val="{00000000-1AFE-4A01-8A1C-336FC6D25268}"/>
            </c:ext>
          </c:extLst>
        </c:ser>
        <c:ser>
          <c:idx val="1"/>
          <c:order val="1"/>
          <c:tx>
            <c:strRef>
              <c:f>Planilha1!$L$1</c:f>
              <c:strCache>
                <c:ptCount val="1"/>
                <c:pt idx="0">
                  <c:v>2023</c:v>
                </c:pt>
              </c:strCache>
            </c:strRef>
          </c:tx>
          <c:spPr>
            <a:ln w="28575" cap="rnd">
              <a:solidFill>
                <a:schemeClr val="bg1">
                  <a:lumMod val="65000"/>
                </a:schemeClr>
              </a:solidFill>
              <a:round/>
            </a:ln>
            <a:effectLst/>
          </c:spPr>
          <c:marker>
            <c:symbol val="none"/>
          </c:marker>
          <c:cat>
            <c:strRef>
              <c:f>Planilha1!$J$2:$J$13</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Planilha1!$L$2:$L$13</c:f>
              <c:numCache>
                <c:formatCode>General</c:formatCode>
                <c:ptCount val="12"/>
                <c:pt idx="0">
                  <c:v>5</c:v>
                </c:pt>
                <c:pt idx="1">
                  <c:v>8.3000000000000007</c:v>
                </c:pt>
                <c:pt idx="2">
                  <c:v>8</c:v>
                </c:pt>
                <c:pt idx="3">
                  <c:v>11.8</c:v>
                </c:pt>
                <c:pt idx="4">
                  <c:v>16.3</c:v>
                </c:pt>
                <c:pt idx="5">
                  <c:v>18.899999999999999</c:v>
                </c:pt>
                <c:pt idx="6">
                  <c:v>22.3</c:v>
                </c:pt>
                <c:pt idx="7">
                  <c:v>21.7</c:v>
                </c:pt>
                <c:pt idx="8">
                  <c:v>18.7</c:v>
                </c:pt>
                <c:pt idx="9">
                  <c:v>13.1</c:v>
                </c:pt>
                <c:pt idx="10">
                  <c:v>8</c:v>
                </c:pt>
                <c:pt idx="11">
                  <c:v>5.2</c:v>
                </c:pt>
              </c:numCache>
            </c:numRef>
          </c:val>
          <c:smooth val="0"/>
          <c:extLst>
            <c:ext xmlns:c16="http://schemas.microsoft.com/office/drawing/2014/chart" uri="{C3380CC4-5D6E-409C-BE32-E72D297353CC}">
              <c16:uniqueId val="{00000001-1AFE-4A01-8A1C-336FC6D25268}"/>
            </c:ext>
          </c:extLst>
        </c:ser>
        <c:ser>
          <c:idx val="2"/>
          <c:order val="2"/>
          <c:tx>
            <c:strRef>
              <c:f>Planilha1!$M$1</c:f>
              <c:strCache>
                <c:ptCount val="1"/>
                <c:pt idx="0">
                  <c:v>2024</c:v>
                </c:pt>
              </c:strCache>
            </c:strRef>
          </c:tx>
          <c:spPr>
            <a:ln w="28575" cap="rnd">
              <a:solidFill>
                <a:schemeClr val="tx1">
                  <a:lumMod val="65000"/>
                  <a:lumOff val="35000"/>
                </a:schemeClr>
              </a:solidFill>
              <a:round/>
            </a:ln>
            <a:effectLst/>
          </c:spPr>
          <c:marker>
            <c:symbol val="none"/>
          </c:marker>
          <c:cat>
            <c:strRef>
              <c:f>Planilha1!$J$2:$J$13</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Planilha1!$M$2:$M$13</c:f>
              <c:numCache>
                <c:formatCode>General</c:formatCode>
                <c:ptCount val="12"/>
                <c:pt idx="0">
                  <c:v>0</c:v>
                </c:pt>
                <c:pt idx="1">
                  <c:v>6.6</c:v>
                </c:pt>
                <c:pt idx="2">
                  <c:v>9.8000000000000007</c:v>
                </c:pt>
                <c:pt idx="3">
                  <c:v>13.8</c:v>
                </c:pt>
                <c:pt idx="4">
                  <c:v>17.8</c:v>
                </c:pt>
                <c:pt idx="5">
                  <c:v>21.5</c:v>
                </c:pt>
                <c:pt idx="6">
                  <c:v>23.5</c:v>
                </c:pt>
                <c:pt idx="7">
                  <c:v>22.1</c:v>
                </c:pt>
                <c:pt idx="8">
                  <c:v>19.7</c:v>
                </c:pt>
                <c:pt idx="9">
                  <c:v>14.2</c:v>
                </c:pt>
                <c:pt idx="10">
                  <c:v>10.5</c:v>
                </c:pt>
                <c:pt idx="11">
                  <c:v>4.3</c:v>
                </c:pt>
              </c:numCache>
            </c:numRef>
          </c:val>
          <c:smooth val="0"/>
          <c:extLst>
            <c:ext xmlns:c16="http://schemas.microsoft.com/office/drawing/2014/chart" uri="{C3380CC4-5D6E-409C-BE32-E72D297353CC}">
              <c16:uniqueId val="{00000002-1AFE-4A01-8A1C-336FC6D25268}"/>
            </c:ext>
          </c:extLst>
        </c:ser>
        <c:dLbls>
          <c:showLegendKey val="0"/>
          <c:showVal val="0"/>
          <c:showCatName val="0"/>
          <c:showSerName val="0"/>
          <c:showPercent val="0"/>
          <c:showBubbleSize val="0"/>
        </c:dLbls>
        <c:smooth val="0"/>
        <c:axId val="543964576"/>
        <c:axId val="543965536"/>
      </c:lineChart>
      <c:catAx>
        <c:axId val="543964576"/>
        <c:scaling>
          <c:orientation val="minMax"/>
        </c:scaling>
        <c:delete val="0"/>
        <c:axPos val="b"/>
        <c:numFmt formatCode="General" sourceLinked="1"/>
        <c:majorTickMark val="out"/>
        <c:minorTickMark val="none"/>
        <c:tickLblPos val="nextTo"/>
        <c:spPr>
          <a:noFill/>
          <a:ln w="1587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43965536"/>
        <c:crosses val="autoZero"/>
        <c:auto val="1"/>
        <c:lblAlgn val="ctr"/>
        <c:lblOffset val="100"/>
        <c:noMultiLvlLbl val="0"/>
      </c:catAx>
      <c:valAx>
        <c:axId val="543965536"/>
        <c:scaling>
          <c:orientation val="minMax"/>
        </c:scaling>
        <c:delete val="0"/>
        <c:axPos val="l"/>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pt-BR"/>
                  <a:t>Temperature </a:t>
                </a:r>
                <a:r>
                  <a:rPr lang="pt-BR" sz="1000" b="0" i="0" u="none" strike="noStrike" kern="1200" baseline="0">
                    <a:solidFill>
                      <a:sysClr val="windowText" lastClr="000000"/>
                    </a:solidFill>
                    <a:latin typeface="Times New Roman" panose="02020603050405020304" pitchFamily="18" charset="0"/>
                    <a:cs typeface="Times New Roman" panose="02020603050405020304" pitchFamily="18" charset="0"/>
                  </a:rPr>
                  <a:t>(ºC)</a:t>
                </a:r>
                <a:endParaRPr lang="pt-BR"/>
              </a:p>
            </c:rich>
          </c:tx>
          <c:layout>
            <c:manualLayout>
              <c:xMode val="edge"/>
              <c:yMode val="edge"/>
              <c:x val="2.8292181069958847E-2"/>
              <c:y val="0.19073189621789083"/>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43964576"/>
        <c:crosses val="autoZero"/>
        <c:crossBetween val="between"/>
      </c:valAx>
      <c:spPr>
        <a:noFill/>
        <a:ln w="25400">
          <a:noFill/>
        </a:ln>
        <a:effectLst/>
      </c:spPr>
    </c:plotArea>
    <c:legend>
      <c:legendPos val="b"/>
      <c:layout>
        <c:manualLayout>
          <c:xMode val="edge"/>
          <c:yMode val="edge"/>
          <c:x val="0.20244860218160804"/>
          <c:y val="0.91699427631786989"/>
          <c:w val="0.55106573958167837"/>
          <c:h val="8.218398375878691E-2"/>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noFill/>
    <a:ln w="9525" cap="flat" cmpd="sng" algn="ctr">
      <a:no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1"/>
          <c:tx>
            <c:strRef>
              <c:f>Planilha1!$R$1</c:f>
              <c:strCache>
                <c:ptCount val="1"/>
                <c:pt idx="0">
                  <c:v>2023</c:v>
                </c:pt>
              </c:strCache>
            </c:strRef>
          </c:tx>
          <c:spPr>
            <a:solidFill>
              <a:schemeClr val="bg1">
                <a:lumMod val="65000"/>
              </a:schemeClr>
            </a:solidFill>
            <a:ln>
              <a:solidFill>
                <a:schemeClr val="bg1">
                  <a:lumMod val="75000"/>
                </a:schemeClr>
              </a:solidFill>
            </a:ln>
            <a:effectLst/>
          </c:spPr>
          <c:invertIfNegative val="0"/>
          <c:cat>
            <c:strRef>
              <c:f>Planilha1!$P$2:$P$13</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Planilha1!$R$2:$R$13</c:f>
              <c:numCache>
                <c:formatCode>General</c:formatCode>
                <c:ptCount val="12"/>
                <c:pt idx="0">
                  <c:v>180.5</c:v>
                </c:pt>
                <c:pt idx="1">
                  <c:v>132.69999999999999</c:v>
                </c:pt>
                <c:pt idx="2">
                  <c:v>172.3</c:v>
                </c:pt>
                <c:pt idx="3">
                  <c:v>62.4</c:v>
                </c:pt>
                <c:pt idx="4">
                  <c:v>115.6</c:v>
                </c:pt>
                <c:pt idx="5">
                  <c:v>231</c:v>
                </c:pt>
                <c:pt idx="6">
                  <c:v>150.1</c:v>
                </c:pt>
                <c:pt idx="7">
                  <c:v>122.6</c:v>
                </c:pt>
                <c:pt idx="8">
                  <c:v>28.3</c:v>
                </c:pt>
                <c:pt idx="9">
                  <c:v>10.9</c:v>
                </c:pt>
                <c:pt idx="10">
                  <c:v>65.5</c:v>
                </c:pt>
                <c:pt idx="11">
                  <c:v>91.4</c:v>
                </c:pt>
              </c:numCache>
            </c:numRef>
          </c:val>
          <c:extLst>
            <c:ext xmlns:c16="http://schemas.microsoft.com/office/drawing/2014/chart" uri="{C3380CC4-5D6E-409C-BE32-E72D297353CC}">
              <c16:uniqueId val="{00000000-5CC6-4E50-84A4-0974A11D4516}"/>
            </c:ext>
          </c:extLst>
        </c:ser>
        <c:ser>
          <c:idx val="2"/>
          <c:order val="2"/>
          <c:tx>
            <c:strRef>
              <c:f>Planilha1!$S$1</c:f>
              <c:strCache>
                <c:ptCount val="1"/>
                <c:pt idx="0">
                  <c:v>2024</c:v>
                </c:pt>
              </c:strCache>
            </c:strRef>
          </c:tx>
          <c:spPr>
            <a:solidFill>
              <a:schemeClr val="tx1">
                <a:lumMod val="65000"/>
                <a:lumOff val="35000"/>
              </a:schemeClr>
            </a:solidFill>
            <a:ln>
              <a:solidFill>
                <a:schemeClr val="tx1">
                  <a:lumMod val="50000"/>
                  <a:lumOff val="50000"/>
                </a:schemeClr>
              </a:solidFill>
            </a:ln>
            <a:effectLst/>
          </c:spPr>
          <c:invertIfNegative val="0"/>
          <c:cat>
            <c:strRef>
              <c:f>Planilha1!$P$2:$P$13</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Planilha1!$S$2:$S$13</c:f>
              <c:numCache>
                <c:formatCode>General</c:formatCode>
                <c:ptCount val="12"/>
                <c:pt idx="0">
                  <c:v>188.5</c:v>
                </c:pt>
                <c:pt idx="1">
                  <c:v>112.3</c:v>
                </c:pt>
                <c:pt idx="2">
                  <c:v>120.3</c:v>
                </c:pt>
                <c:pt idx="3">
                  <c:v>124.1</c:v>
                </c:pt>
                <c:pt idx="4">
                  <c:v>227.3</c:v>
                </c:pt>
                <c:pt idx="5">
                  <c:v>35.5</c:v>
                </c:pt>
                <c:pt idx="6">
                  <c:v>141</c:v>
                </c:pt>
                <c:pt idx="7">
                  <c:v>18.7</c:v>
                </c:pt>
                <c:pt idx="8">
                  <c:v>151.30000000000001</c:v>
                </c:pt>
                <c:pt idx="9">
                  <c:v>10</c:v>
                </c:pt>
                <c:pt idx="10">
                  <c:v>54.9</c:v>
                </c:pt>
                <c:pt idx="11">
                  <c:v>151.1</c:v>
                </c:pt>
              </c:numCache>
            </c:numRef>
          </c:val>
          <c:extLst>
            <c:ext xmlns:c16="http://schemas.microsoft.com/office/drawing/2014/chart" uri="{C3380CC4-5D6E-409C-BE32-E72D297353CC}">
              <c16:uniqueId val="{00000001-5CC6-4E50-84A4-0974A11D4516}"/>
            </c:ext>
          </c:extLst>
        </c:ser>
        <c:dLbls>
          <c:showLegendKey val="0"/>
          <c:showVal val="0"/>
          <c:showCatName val="0"/>
          <c:showSerName val="0"/>
          <c:showPercent val="0"/>
          <c:showBubbleSize val="0"/>
        </c:dLbls>
        <c:gapWidth val="219"/>
        <c:axId val="543998176"/>
        <c:axId val="543998656"/>
      </c:barChart>
      <c:lineChart>
        <c:grouping val="standard"/>
        <c:varyColors val="0"/>
        <c:ser>
          <c:idx val="0"/>
          <c:order val="0"/>
          <c:tx>
            <c:strRef>
              <c:f>Planilha1!$Q$1</c:f>
              <c:strCache>
                <c:ptCount val="1"/>
                <c:pt idx="0">
                  <c:v>AVG, 30yrs</c:v>
                </c:pt>
              </c:strCache>
            </c:strRef>
          </c:tx>
          <c:spPr>
            <a:ln w="28575" cap="rnd">
              <a:solidFill>
                <a:schemeClr val="tx1">
                  <a:lumMod val="95000"/>
                  <a:lumOff val="5000"/>
                </a:schemeClr>
              </a:solidFill>
              <a:round/>
            </a:ln>
            <a:effectLst/>
          </c:spPr>
          <c:marker>
            <c:symbol val="none"/>
          </c:marker>
          <c:cat>
            <c:strRef>
              <c:f>Planilha1!$P$2:$P$13</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Planilha1!$Q$2:$Q$13</c:f>
              <c:numCache>
                <c:formatCode>0.00</c:formatCode>
                <c:ptCount val="12"/>
                <c:pt idx="0">
                  <c:v>139.59333333333331</c:v>
                </c:pt>
                <c:pt idx="1">
                  <c:v>145.40666666666669</c:v>
                </c:pt>
                <c:pt idx="2">
                  <c:v>141.37333333333333</c:v>
                </c:pt>
                <c:pt idx="3">
                  <c:v>142.27333333333337</c:v>
                </c:pt>
                <c:pt idx="4">
                  <c:v>138.17333333333332</c:v>
                </c:pt>
                <c:pt idx="5">
                  <c:v>132.14000000000001</c:v>
                </c:pt>
                <c:pt idx="6">
                  <c:v>143.18064516129036</c:v>
                </c:pt>
                <c:pt idx="7">
                  <c:v>95.861290322580643</c:v>
                </c:pt>
                <c:pt idx="8">
                  <c:v>105.0709677419355</c:v>
                </c:pt>
                <c:pt idx="9">
                  <c:v>88.545161290322596</c:v>
                </c:pt>
                <c:pt idx="10">
                  <c:v>114.05161290322583</c:v>
                </c:pt>
                <c:pt idx="11">
                  <c:v>150.11935483870971</c:v>
                </c:pt>
              </c:numCache>
            </c:numRef>
          </c:val>
          <c:smooth val="0"/>
          <c:extLst>
            <c:ext xmlns:c16="http://schemas.microsoft.com/office/drawing/2014/chart" uri="{C3380CC4-5D6E-409C-BE32-E72D297353CC}">
              <c16:uniqueId val="{00000002-5CC6-4E50-84A4-0974A11D4516}"/>
            </c:ext>
          </c:extLst>
        </c:ser>
        <c:dLbls>
          <c:showLegendKey val="0"/>
          <c:showVal val="0"/>
          <c:showCatName val="0"/>
          <c:showSerName val="0"/>
          <c:showPercent val="0"/>
          <c:showBubbleSize val="0"/>
        </c:dLbls>
        <c:marker val="1"/>
        <c:smooth val="0"/>
        <c:axId val="543998176"/>
        <c:axId val="543998656"/>
      </c:lineChart>
      <c:catAx>
        <c:axId val="543998176"/>
        <c:scaling>
          <c:orientation val="minMax"/>
        </c:scaling>
        <c:delete val="0"/>
        <c:axPos val="b"/>
        <c:numFmt formatCode="General" sourceLinked="1"/>
        <c:majorTickMark val="out"/>
        <c:minorTickMark val="none"/>
        <c:tickLblPos val="nextTo"/>
        <c:spPr>
          <a:noFill/>
          <a:ln w="1587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43998656"/>
        <c:crosses val="autoZero"/>
        <c:auto val="1"/>
        <c:lblAlgn val="ctr"/>
        <c:lblOffset val="100"/>
        <c:noMultiLvlLbl val="0"/>
      </c:catAx>
      <c:valAx>
        <c:axId val="543998656"/>
        <c:scaling>
          <c:orientation val="minMax"/>
        </c:scaling>
        <c:delete val="0"/>
        <c:axPos val="l"/>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pt-BR">
                    <a:latin typeface="Times New Roman" panose="02020603050405020304" pitchFamily="18" charset="0"/>
                    <a:cs typeface="Times New Roman" panose="02020603050405020304" pitchFamily="18" charset="0"/>
                  </a:rPr>
                  <a:t>Precipitation</a:t>
                </a:r>
                <a:r>
                  <a:rPr lang="pt-BR" baseline="0">
                    <a:latin typeface="Times New Roman" panose="02020603050405020304" pitchFamily="18" charset="0"/>
                    <a:cs typeface="Times New Roman" panose="02020603050405020304" pitchFamily="18" charset="0"/>
                  </a:rPr>
                  <a:t> (mm)</a:t>
                </a:r>
                <a:endParaRPr lang="pt-BR">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crossAx val="5439981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1200">
          <a:solidFill>
            <a:sysClr val="windowText" lastClr="000000"/>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3DC0C67-AE31-984F-9390-933EDFBBE024}">
  <we:reference id="f518cb36-c901-4d52-a9e7-4331342e485d" version="1.2.0.0" store="EXCatalog" storeType="EXCatalog"/>
  <we:alternateReferences>
    <we:reference id="WA200001011" version="1.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activity xmlns="12c8a52a-4797-4685-bb97-047ba14c842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AEAE6257F82E249BC7330B73B89D0AE" ma:contentTypeVersion="13" ma:contentTypeDescription="Create a new document." ma:contentTypeScope="" ma:versionID="370654bc174242c10b5dcbf15b6278b2">
  <xsd:schema xmlns:xsd="http://www.w3.org/2001/XMLSchema" xmlns:xs="http://www.w3.org/2001/XMLSchema" xmlns:p="http://schemas.microsoft.com/office/2006/metadata/properties" xmlns:ns3="12c8a52a-4797-4685-bb97-047ba14c8426" xmlns:ns4="6504cdbf-db99-4e33-8322-15299862d907" targetNamespace="http://schemas.microsoft.com/office/2006/metadata/properties" ma:root="true" ma:fieldsID="cf36b4b60f5451b55c819fa1f45b8d9a" ns3:_="" ns4:_="">
    <xsd:import namespace="12c8a52a-4797-4685-bb97-047ba14c8426"/>
    <xsd:import namespace="6504cdbf-db99-4e33-8322-15299862d90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ObjectDetectorVersions" minOccurs="0"/>
                <xsd:element ref="ns3:_activity" minOccurs="0"/>
                <xsd:element ref="ns3:MediaServiceSearchProperties" minOccurs="0"/>
                <xsd:element ref="ns3:MediaServiceSystemTags" minOccurs="0"/>
                <xsd:element ref="ns3:MediaServiceGenerationTime" minOccurs="0"/>
                <xsd:element ref="ns3:MediaServiceEventHashCode" minOccurs="0"/>
                <xsd:element ref="ns3:MediaServiceDateTake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c8a52a-4797-4685-bb97-047ba14c84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_activity" ma:index="14" nillable="true" ma:displayName="_activity" ma:hidden="true" ma:internalName="_activity">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SystemTags" ma:index="16" nillable="true" ma:displayName="MediaServiceSystemTags" ma:hidden="true" ma:internalName="MediaServiceSystemTags" ma:readOnly="true">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504cdbf-db99-4e33-8322-15299862d90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366ECF-5AE0-4E74-A4E2-1389D01FBDD7}">
  <ds:schemaRefs>
    <ds:schemaRef ds:uri="http://schemas.openxmlformats.org/officeDocument/2006/bibliography"/>
  </ds:schemaRefs>
</ds:datastoreItem>
</file>

<file path=customXml/itemProps2.xml><?xml version="1.0" encoding="utf-8"?>
<ds:datastoreItem xmlns:ds="http://schemas.openxmlformats.org/officeDocument/2006/customXml" ds:itemID="{E8A7BFA3-BEA8-4961-A3A3-FFBDF067C14A}">
  <ds:schemaRefs>
    <ds:schemaRef ds:uri="http://schemas.microsoft.com/office/2006/metadata/properties"/>
    <ds:schemaRef ds:uri="http://schemas.microsoft.com/office/infopath/2007/PartnerControls"/>
    <ds:schemaRef ds:uri="12c8a52a-4797-4685-bb97-047ba14c8426"/>
  </ds:schemaRefs>
</ds:datastoreItem>
</file>

<file path=customXml/itemProps3.xml><?xml version="1.0" encoding="utf-8"?>
<ds:datastoreItem xmlns:ds="http://schemas.openxmlformats.org/officeDocument/2006/customXml" ds:itemID="{67D66E15-BDF6-401D-B84A-05F544B718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c8a52a-4797-4685-bb97-047ba14c8426"/>
    <ds:schemaRef ds:uri="6504cdbf-db99-4e33-8322-15299862d9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B05E376-0243-4152-A78A-755D315359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multipart-te</Template>
  <TotalTime>13</TotalTime>
  <Pages>74</Pages>
  <Words>35797</Words>
  <Characters>235193</Characters>
  <Application>Microsoft Office Word</Application>
  <DocSecurity>0</DocSecurity>
  <Lines>3135</Lines>
  <Paragraphs>105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UTK Multipart Thesis Template</vt:lpstr>
      <vt:lpstr>UTK Multipart Thesis Template</vt:lpstr>
    </vt:vector>
  </TitlesOfParts>
  <Company/>
  <LinksUpToDate>false</LinksUpToDate>
  <CharactersWithSpaces>270885</CharactersWithSpaces>
  <SharedDoc>false</SharedDoc>
  <HLinks>
    <vt:vector size="186" baseType="variant">
      <vt:variant>
        <vt:i4>3473510</vt:i4>
      </vt:variant>
      <vt:variant>
        <vt:i4>189</vt:i4>
      </vt:variant>
      <vt:variant>
        <vt:i4>0</vt:i4>
      </vt:variant>
      <vt:variant>
        <vt:i4>5</vt:i4>
      </vt:variant>
      <vt:variant>
        <vt:lpwstr>http://gradschool.utk.edu/ddategraduation.shtml</vt:lpwstr>
      </vt:variant>
      <vt:variant>
        <vt:lpwstr/>
      </vt:variant>
      <vt:variant>
        <vt:i4>1441853</vt:i4>
      </vt:variant>
      <vt:variant>
        <vt:i4>182</vt:i4>
      </vt:variant>
      <vt:variant>
        <vt:i4>0</vt:i4>
      </vt:variant>
      <vt:variant>
        <vt:i4>5</vt:i4>
      </vt:variant>
      <vt:variant>
        <vt:lpwstr/>
      </vt:variant>
      <vt:variant>
        <vt:lpwstr>_Toc414285579</vt:lpwstr>
      </vt:variant>
      <vt:variant>
        <vt:i4>1441853</vt:i4>
      </vt:variant>
      <vt:variant>
        <vt:i4>173</vt:i4>
      </vt:variant>
      <vt:variant>
        <vt:i4>0</vt:i4>
      </vt:variant>
      <vt:variant>
        <vt:i4>5</vt:i4>
      </vt:variant>
      <vt:variant>
        <vt:lpwstr/>
      </vt:variant>
      <vt:variant>
        <vt:lpwstr>_Toc414285578</vt:lpwstr>
      </vt:variant>
      <vt:variant>
        <vt:i4>1441853</vt:i4>
      </vt:variant>
      <vt:variant>
        <vt:i4>167</vt:i4>
      </vt:variant>
      <vt:variant>
        <vt:i4>0</vt:i4>
      </vt:variant>
      <vt:variant>
        <vt:i4>5</vt:i4>
      </vt:variant>
      <vt:variant>
        <vt:lpwstr/>
      </vt:variant>
      <vt:variant>
        <vt:lpwstr>_Toc414285577</vt:lpwstr>
      </vt:variant>
      <vt:variant>
        <vt:i4>1441853</vt:i4>
      </vt:variant>
      <vt:variant>
        <vt:i4>158</vt:i4>
      </vt:variant>
      <vt:variant>
        <vt:i4>0</vt:i4>
      </vt:variant>
      <vt:variant>
        <vt:i4>5</vt:i4>
      </vt:variant>
      <vt:variant>
        <vt:lpwstr/>
      </vt:variant>
      <vt:variant>
        <vt:lpwstr>_Toc414285576</vt:lpwstr>
      </vt:variant>
      <vt:variant>
        <vt:i4>1441853</vt:i4>
      </vt:variant>
      <vt:variant>
        <vt:i4>152</vt:i4>
      </vt:variant>
      <vt:variant>
        <vt:i4>0</vt:i4>
      </vt:variant>
      <vt:variant>
        <vt:i4>5</vt:i4>
      </vt:variant>
      <vt:variant>
        <vt:lpwstr/>
      </vt:variant>
      <vt:variant>
        <vt:lpwstr>_Toc414285575</vt:lpwstr>
      </vt:variant>
      <vt:variant>
        <vt:i4>1441853</vt:i4>
      </vt:variant>
      <vt:variant>
        <vt:i4>146</vt:i4>
      </vt:variant>
      <vt:variant>
        <vt:i4>0</vt:i4>
      </vt:variant>
      <vt:variant>
        <vt:i4>5</vt:i4>
      </vt:variant>
      <vt:variant>
        <vt:lpwstr/>
      </vt:variant>
      <vt:variant>
        <vt:lpwstr>_Toc414285574</vt:lpwstr>
      </vt:variant>
      <vt:variant>
        <vt:i4>1441853</vt:i4>
      </vt:variant>
      <vt:variant>
        <vt:i4>140</vt:i4>
      </vt:variant>
      <vt:variant>
        <vt:i4>0</vt:i4>
      </vt:variant>
      <vt:variant>
        <vt:i4>5</vt:i4>
      </vt:variant>
      <vt:variant>
        <vt:lpwstr/>
      </vt:variant>
      <vt:variant>
        <vt:lpwstr>_Toc414285573</vt:lpwstr>
      </vt:variant>
      <vt:variant>
        <vt:i4>1441853</vt:i4>
      </vt:variant>
      <vt:variant>
        <vt:i4>134</vt:i4>
      </vt:variant>
      <vt:variant>
        <vt:i4>0</vt:i4>
      </vt:variant>
      <vt:variant>
        <vt:i4>5</vt:i4>
      </vt:variant>
      <vt:variant>
        <vt:lpwstr/>
      </vt:variant>
      <vt:variant>
        <vt:lpwstr>_Toc414285572</vt:lpwstr>
      </vt:variant>
      <vt:variant>
        <vt:i4>1441853</vt:i4>
      </vt:variant>
      <vt:variant>
        <vt:i4>128</vt:i4>
      </vt:variant>
      <vt:variant>
        <vt:i4>0</vt:i4>
      </vt:variant>
      <vt:variant>
        <vt:i4>5</vt:i4>
      </vt:variant>
      <vt:variant>
        <vt:lpwstr/>
      </vt:variant>
      <vt:variant>
        <vt:lpwstr>_Toc414285571</vt:lpwstr>
      </vt:variant>
      <vt:variant>
        <vt:i4>1441853</vt:i4>
      </vt:variant>
      <vt:variant>
        <vt:i4>122</vt:i4>
      </vt:variant>
      <vt:variant>
        <vt:i4>0</vt:i4>
      </vt:variant>
      <vt:variant>
        <vt:i4>5</vt:i4>
      </vt:variant>
      <vt:variant>
        <vt:lpwstr/>
      </vt:variant>
      <vt:variant>
        <vt:lpwstr>_Toc414285570</vt:lpwstr>
      </vt:variant>
      <vt:variant>
        <vt:i4>1507389</vt:i4>
      </vt:variant>
      <vt:variant>
        <vt:i4>116</vt:i4>
      </vt:variant>
      <vt:variant>
        <vt:i4>0</vt:i4>
      </vt:variant>
      <vt:variant>
        <vt:i4>5</vt:i4>
      </vt:variant>
      <vt:variant>
        <vt:lpwstr/>
      </vt:variant>
      <vt:variant>
        <vt:lpwstr>_Toc414285569</vt:lpwstr>
      </vt:variant>
      <vt:variant>
        <vt:i4>1507389</vt:i4>
      </vt:variant>
      <vt:variant>
        <vt:i4>110</vt:i4>
      </vt:variant>
      <vt:variant>
        <vt:i4>0</vt:i4>
      </vt:variant>
      <vt:variant>
        <vt:i4>5</vt:i4>
      </vt:variant>
      <vt:variant>
        <vt:lpwstr/>
      </vt:variant>
      <vt:variant>
        <vt:lpwstr>_Toc414285568</vt:lpwstr>
      </vt:variant>
      <vt:variant>
        <vt:i4>1507389</vt:i4>
      </vt:variant>
      <vt:variant>
        <vt:i4>104</vt:i4>
      </vt:variant>
      <vt:variant>
        <vt:i4>0</vt:i4>
      </vt:variant>
      <vt:variant>
        <vt:i4>5</vt:i4>
      </vt:variant>
      <vt:variant>
        <vt:lpwstr/>
      </vt:variant>
      <vt:variant>
        <vt:lpwstr>_Toc414285567</vt:lpwstr>
      </vt:variant>
      <vt:variant>
        <vt:i4>1507389</vt:i4>
      </vt:variant>
      <vt:variant>
        <vt:i4>98</vt:i4>
      </vt:variant>
      <vt:variant>
        <vt:i4>0</vt:i4>
      </vt:variant>
      <vt:variant>
        <vt:i4>5</vt:i4>
      </vt:variant>
      <vt:variant>
        <vt:lpwstr/>
      </vt:variant>
      <vt:variant>
        <vt:lpwstr>_Toc414285566</vt:lpwstr>
      </vt:variant>
      <vt:variant>
        <vt:i4>1507389</vt:i4>
      </vt:variant>
      <vt:variant>
        <vt:i4>92</vt:i4>
      </vt:variant>
      <vt:variant>
        <vt:i4>0</vt:i4>
      </vt:variant>
      <vt:variant>
        <vt:i4>5</vt:i4>
      </vt:variant>
      <vt:variant>
        <vt:lpwstr/>
      </vt:variant>
      <vt:variant>
        <vt:lpwstr>_Toc414285565</vt:lpwstr>
      </vt:variant>
      <vt:variant>
        <vt:i4>1507389</vt:i4>
      </vt:variant>
      <vt:variant>
        <vt:i4>86</vt:i4>
      </vt:variant>
      <vt:variant>
        <vt:i4>0</vt:i4>
      </vt:variant>
      <vt:variant>
        <vt:i4>5</vt:i4>
      </vt:variant>
      <vt:variant>
        <vt:lpwstr/>
      </vt:variant>
      <vt:variant>
        <vt:lpwstr>_Toc414285564</vt:lpwstr>
      </vt:variant>
      <vt:variant>
        <vt:i4>1507389</vt:i4>
      </vt:variant>
      <vt:variant>
        <vt:i4>80</vt:i4>
      </vt:variant>
      <vt:variant>
        <vt:i4>0</vt:i4>
      </vt:variant>
      <vt:variant>
        <vt:i4>5</vt:i4>
      </vt:variant>
      <vt:variant>
        <vt:lpwstr/>
      </vt:variant>
      <vt:variant>
        <vt:lpwstr>_Toc414285563</vt:lpwstr>
      </vt:variant>
      <vt:variant>
        <vt:i4>1507389</vt:i4>
      </vt:variant>
      <vt:variant>
        <vt:i4>74</vt:i4>
      </vt:variant>
      <vt:variant>
        <vt:i4>0</vt:i4>
      </vt:variant>
      <vt:variant>
        <vt:i4>5</vt:i4>
      </vt:variant>
      <vt:variant>
        <vt:lpwstr/>
      </vt:variant>
      <vt:variant>
        <vt:lpwstr>_Toc414285562</vt:lpwstr>
      </vt:variant>
      <vt:variant>
        <vt:i4>1507389</vt:i4>
      </vt:variant>
      <vt:variant>
        <vt:i4>68</vt:i4>
      </vt:variant>
      <vt:variant>
        <vt:i4>0</vt:i4>
      </vt:variant>
      <vt:variant>
        <vt:i4>5</vt:i4>
      </vt:variant>
      <vt:variant>
        <vt:lpwstr/>
      </vt:variant>
      <vt:variant>
        <vt:lpwstr>_Toc414285561</vt:lpwstr>
      </vt:variant>
      <vt:variant>
        <vt:i4>1507389</vt:i4>
      </vt:variant>
      <vt:variant>
        <vt:i4>62</vt:i4>
      </vt:variant>
      <vt:variant>
        <vt:i4>0</vt:i4>
      </vt:variant>
      <vt:variant>
        <vt:i4>5</vt:i4>
      </vt:variant>
      <vt:variant>
        <vt:lpwstr/>
      </vt:variant>
      <vt:variant>
        <vt:lpwstr>_Toc414285560</vt:lpwstr>
      </vt:variant>
      <vt:variant>
        <vt:i4>1310781</vt:i4>
      </vt:variant>
      <vt:variant>
        <vt:i4>56</vt:i4>
      </vt:variant>
      <vt:variant>
        <vt:i4>0</vt:i4>
      </vt:variant>
      <vt:variant>
        <vt:i4>5</vt:i4>
      </vt:variant>
      <vt:variant>
        <vt:lpwstr/>
      </vt:variant>
      <vt:variant>
        <vt:lpwstr>_Toc414285559</vt:lpwstr>
      </vt:variant>
      <vt:variant>
        <vt:i4>1310781</vt:i4>
      </vt:variant>
      <vt:variant>
        <vt:i4>50</vt:i4>
      </vt:variant>
      <vt:variant>
        <vt:i4>0</vt:i4>
      </vt:variant>
      <vt:variant>
        <vt:i4>5</vt:i4>
      </vt:variant>
      <vt:variant>
        <vt:lpwstr/>
      </vt:variant>
      <vt:variant>
        <vt:lpwstr>_Toc414285558</vt:lpwstr>
      </vt:variant>
      <vt:variant>
        <vt:i4>1310781</vt:i4>
      </vt:variant>
      <vt:variant>
        <vt:i4>44</vt:i4>
      </vt:variant>
      <vt:variant>
        <vt:i4>0</vt:i4>
      </vt:variant>
      <vt:variant>
        <vt:i4>5</vt:i4>
      </vt:variant>
      <vt:variant>
        <vt:lpwstr/>
      </vt:variant>
      <vt:variant>
        <vt:lpwstr>_Toc414285557</vt:lpwstr>
      </vt:variant>
      <vt:variant>
        <vt:i4>1310781</vt:i4>
      </vt:variant>
      <vt:variant>
        <vt:i4>38</vt:i4>
      </vt:variant>
      <vt:variant>
        <vt:i4>0</vt:i4>
      </vt:variant>
      <vt:variant>
        <vt:i4>5</vt:i4>
      </vt:variant>
      <vt:variant>
        <vt:lpwstr/>
      </vt:variant>
      <vt:variant>
        <vt:lpwstr>_Toc414285556</vt:lpwstr>
      </vt:variant>
      <vt:variant>
        <vt:i4>1310781</vt:i4>
      </vt:variant>
      <vt:variant>
        <vt:i4>32</vt:i4>
      </vt:variant>
      <vt:variant>
        <vt:i4>0</vt:i4>
      </vt:variant>
      <vt:variant>
        <vt:i4>5</vt:i4>
      </vt:variant>
      <vt:variant>
        <vt:lpwstr/>
      </vt:variant>
      <vt:variant>
        <vt:lpwstr>_Toc414285555</vt:lpwstr>
      </vt:variant>
      <vt:variant>
        <vt:i4>1310781</vt:i4>
      </vt:variant>
      <vt:variant>
        <vt:i4>26</vt:i4>
      </vt:variant>
      <vt:variant>
        <vt:i4>0</vt:i4>
      </vt:variant>
      <vt:variant>
        <vt:i4>5</vt:i4>
      </vt:variant>
      <vt:variant>
        <vt:lpwstr/>
      </vt:variant>
      <vt:variant>
        <vt:lpwstr>_Toc414285554</vt:lpwstr>
      </vt:variant>
      <vt:variant>
        <vt:i4>1310781</vt:i4>
      </vt:variant>
      <vt:variant>
        <vt:i4>20</vt:i4>
      </vt:variant>
      <vt:variant>
        <vt:i4>0</vt:i4>
      </vt:variant>
      <vt:variant>
        <vt:i4>5</vt:i4>
      </vt:variant>
      <vt:variant>
        <vt:lpwstr/>
      </vt:variant>
      <vt:variant>
        <vt:lpwstr>_Toc414285553</vt:lpwstr>
      </vt:variant>
      <vt:variant>
        <vt:i4>1310781</vt:i4>
      </vt:variant>
      <vt:variant>
        <vt:i4>14</vt:i4>
      </vt:variant>
      <vt:variant>
        <vt:i4>0</vt:i4>
      </vt:variant>
      <vt:variant>
        <vt:i4>5</vt:i4>
      </vt:variant>
      <vt:variant>
        <vt:lpwstr/>
      </vt:variant>
      <vt:variant>
        <vt:lpwstr>_Toc414285552</vt:lpwstr>
      </vt:variant>
      <vt:variant>
        <vt:i4>1310781</vt:i4>
      </vt:variant>
      <vt:variant>
        <vt:i4>8</vt:i4>
      </vt:variant>
      <vt:variant>
        <vt:i4>0</vt:i4>
      </vt:variant>
      <vt:variant>
        <vt:i4>5</vt:i4>
      </vt:variant>
      <vt:variant>
        <vt:lpwstr/>
      </vt:variant>
      <vt:variant>
        <vt:lpwstr>_Toc414285551</vt:lpwstr>
      </vt:variant>
      <vt:variant>
        <vt:i4>1310781</vt:i4>
      </vt:variant>
      <vt:variant>
        <vt:i4>2</vt:i4>
      </vt:variant>
      <vt:variant>
        <vt:i4>0</vt:i4>
      </vt:variant>
      <vt:variant>
        <vt:i4>5</vt:i4>
      </vt:variant>
      <vt:variant>
        <vt:lpwstr/>
      </vt:variant>
      <vt:variant>
        <vt:lpwstr>_Toc414285550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UTK Multipart Thesis Template</dc:title>
  <dc:subject/>
  <dc:creator>felipe nassar</dc:creator>
  <cp:keywords/>
  <dc:description/>
  <cp:lastModifiedBy>Sherman, Abby</cp:lastModifiedBy>
  <cp:revision>4</cp:revision>
  <cp:lastPrinted>2025-03-27T19:29:00Z</cp:lastPrinted>
  <dcterms:created xsi:type="dcterms:W3CDTF">2025-04-23T20:20:00Z</dcterms:created>
  <dcterms:modified xsi:type="dcterms:W3CDTF">2025-04-25T14:09:00Z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0x0101002AEAE6257F82E249BC7330B73B89D0AE</vt:lpwstr>
  </property>
  <property fmtid="{D5CDD505-2E9C-101B-9397-08002B2CF9AE}" pid="3" name="GrammarlyDocumentId">
    <vt:lpwstr>8240da76c587d04614526b6b2a44ea8588cd3b1804af25779170c1045c2482d9</vt:lpwstr>
  </property>
  <property fmtid="{D5CDD505-2E9C-101B-9397-08002B2CF9AE}" pid="4" name="ZOTERO_PREF_1">
    <vt:lpwstr>&lt;data data-version="3" zotero-version="7.0.15"&gt;&lt;session id="qcaq58Y8"/&gt;&lt;style id="http://www.zotero.org/styles/apa" locale="en-US" hasBibliography="1" bibliographyStyleHasBeenSet="1"/&gt;&lt;prefs&gt;&lt;pref name="fieldType" value="Field"/&gt;&lt;pref name="automaticJourn</vt:lpwstr>
  </property>
  <property fmtid="{D5CDD505-2E9C-101B-9397-08002B2CF9AE}" pid="5" name="ZOTERO_PREF_2">
    <vt:lpwstr>alAbbreviations" value="true"/&gt;&lt;/prefs&gt;&lt;/data&gt;</vt:lpwstr>
  </property>
</Properties>
</file>