
<file path=[Content_Types].xml><?xml version="1.0" encoding="utf-8"?>
<Types xmlns="http://schemas.openxmlformats.org/package/2006/content-types">
  <Default Extension="emf" ContentType="image/x-emf"/>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875CA4" w14:textId="65852817" w:rsidR="00F95D54" w:rsidRPr="00A01D0E" w:rsidRDefault="00F95D54" w:rsidP="001C0BB7">
      <w:pPr>
        <w:spacing w:line="360" w:lineRule="auto"/>
        <w:jc w:val="center"/>
        <w:rPr>
          <w:b/>
          <w:sz w:val="28"/>
          <w:szCs w:val="28"/>
        </w:rPr>
      </w:pPr>
      <w:r w:rsidRPr="00A01D0E">
        <w:rPr>
          <w:b/>
          <w:sz w:val="28"/>
          <w:szCs w:val="28"/>
        </w:rPr>
        <w:t xml:space="preserve">Regulation, Mechanism of Action, and Function of a Small Toxin Protein in </w:t>
      </w:r>
      <w:r w:rsidR="001C0BB7" w:rsidRPr="00A01D0E">
        <w:rPr>
          <w:b/>
          <w:sz w:val="28"/>
          <w:szCs w:val="28"/>
        </w:rPr>
        <w:t>EHEC</w:t>
      </w:r>
    </w:p>
    <w:p w14:paraId="310186A2" w14:textId="77777777" w:rsidR="00236E6D" w:rsidRPr="00A01D0E" w:rsidRDefault="00236E6D" w:rsidP="001C0BB7">
      <w:pPr>
        <w:spacing w:line="360" w:lineRule="auto"/>
        <w:jc w:val="center"/>
        <w:rPr>
          <w:sz w:val="28"/>
          <w:szCs w:val="28"/>
        </w:rPr>
      </w:pPr>
    </w:p>
    <w:p w14:paraId="2296C8EC" w14:textId="77777777" w:rsidR="00236E6D" w:rsidRPr="00A01D0E" w:rsidRDefault="00236E6D" w:rsidP="001C0BB7">
      <w:pPr>
        <w:spacing w:line="360" w:lineRule="auto"/>
        <w:jc w:val="center"/>
        <w:rPr>
          <w:sz w:val="28"/>
          <w:szCs w:val="28"/>
        </w:rPr>
      </w:pPr>
    </w:p>
    <w:p w14:paraId="0DA6D7EF" w14:textId="77777777" w:rsidR="00236E6D" w:rsidRPr="00A01D0E" w:rsidRDefault="00236E6D" w:rsidP="001C0BB7">
      <w:pPr>
        <w:spacing w:line="360" w:lineRule="auto"/>
        <w:jc w:val="center"/>
        <w:rPr>
          <w:sz w:val="28"/>
          <w:szCs w:val="28"/>
        </w:rPr>
      </w:pPr>
    </w:p>
    <w:p w14:paraId="54B6A944" w14:textId="3B8CD2FF" w:rsidR="00236E6D" w:rsidRDefault="00236E6D" w:rsidP="001C0BB7">
      <w:pPr>
        <w:spacing w:line="360" w:lineRule="auto"/>
        <w:jc w:val="center"/>
        <w:rPr>
          <w:sz w:val="28"/>
          <w:szCs w:val="28"/>
        </w:rPr>
      </w:pPr>
    </w:p>
    <w:p w14:paraId="248754DC" w14:textId="76CF35B0" w:rsidR="00A01D0E" w:rsidRDefault="00A01D0E" w:rsidP="001C0BB7">
      <w:pPr>
        <w:spacing w:line="360" w:lineRule="auto"/>
        <w:jc w:val="center"/>
        <w:rPr>
          <w:sz w:val="28"/>
          <w:szCs w:val="28"/>
        </w:rPr>
      </w:pPr>
    </w:p>
    <w:p w14:paraId="064BA2DE" w14:textId="77777777" w:rsidR="00A01D0E" w:rsidRDefault="00A01D0E" w:rsidP="001C0BB7">
      <w:pPr>
        <w:spacing w:line="360" w:lineRule="auto"/>
        <w:jc w:val="center"/>
        <w:rPr>
          <w:sz w:val="28"/>
          <w:szCs w:val="28"/>
        </w:rPr>
      </w:pPr>
    </w:p>
    <w:p w14:paraId="5672BC09" w14:textId="77777777" w:rsidR="00A01D0E" w:rsidRPr="00A01D0E" w:rsidRDefault="00A01D0E" w:rsidP="001C0BB7">
      <w:pPr>
        <w:spacing w:line="360" w:lineRule="auto"/>
        <w:jc w:val="center"/>
        <w:rPr>
          <w:sz w:val="28"/>
          <w:szCs w:val="28"/>
        </w:rPr>
      </w:pPr>
    </w:p>
    <w:p w14:paraId="25CB151D" w14:textId="77777777" w:rsidR="001C0BB7" w:rsidRPr="00A01D0E" w:rsidRDefault="001C0BB7" w:rsidP="001C0BB7">
      <w:pPr>
        <w:spacing w:line="360" w:lineRule="auto"/>
        <w:jc w:val="center"/>
        <w:rPr>
          <w:sz w:val="28"/>
          <w:szCs w:val="28"/>
        </w:rPr>
      </w:pPr>
    </w:p>
    <w:p w14:paraId="3EFBB5B7" w14:textId="77777777" w:rsidR="00F95D54" w:rsidRPr="00A01D0E" w:rsidRDefault="00F95D54" w:rsidP="001C0BB7">
      <w:pPr>
        <w:spacing w:line="360" w:lineRule="auto"/>
        <w:jc w:val="center"/>
        <w:rPr>
          <w:sz w:val="28"/>
          <w:szCs w:val="28"/>
        </w:rPr>
      </w:pPr>
      <w:r w:rsidRPr="00A01D0E">
        <w:rPr>
          <w:sz w:val="28"/>
          <w:szCs w:val="28"/>
        </w:rPr>
        <w:t xml:space="preserve">A Dissertation Presented for the </w:t>
      </w:r>
    </w:p>
    <w:p w14:paraId="59771661" w14:textId="77777777" w:rsidR="00F95D54" w:rsidRPr="00A01D0E" w:rsidRDefault="00F95D54" w:rsidP="001C0BB7">
      <w:pPr>
        <w:spacing w:line="360" w:lineRule="auto"/>
        <w:jc w:val="center"/>
        <w:rPr>
          <w:sz w:val="28"/>
          <w:szCs w:val="28"/>
        </w:rPr>
      </w:pPr>
      <w:r w:rsidRPr="00A01D0E">
        <w:rPr>
          <w:sz w:val="28"/>
          <w:szCs w:val="28"/>
        </w:rPr>
        <w:t>Doctor of Philosophy</w:t>
      </w:r>
    </w:p>
    <w:p w14:paraId="48A26C77" w14:textId="77777777" w:rsidR="00F95D54" w:rsidRPr="00A01D0E" w:rsidRDefault="00F95D54" w:rsidP="001C0BB7">
      <w:pPr>
        <w:spacing w:line="360" w:lineRule="auto"/>
        <w:jc w:val="center"/>
        <w:rPr>
          <w:sz w:val="28"/>
          <w:szCs w:val="28"/>
        </w:rPr>
      </w:pPr>
      <w:r w:rsidRPr="00A01D0E">
        <w:rPr>
          <w:sz w:val="28"/>
          <w:szCs w:val="28"/>
        </w:rPr>
        <w:t>Degree</w:t>
      </w:r>
    </w:p>
    <w:p w14:paraId="346D91A1" w14:textId="1A27FA48" w:rsidR="00236E6D" w:rsidRPr="00A01D0E" w:rsidRDefault="00F95D54" w:rsidP="001C0BB7">
      <w:pPr>
        <w:spacing w:line="360" w:lineRule="auto"/>
        <w:jc w:val="center"/>
        <w:rPr>
          <w:sz w:val="28"/>
          <w:szCs w:val="28"/>
        </w:rPr>
      </w:pPr>
      <w:r w:rsidRPr="00A01D0E">
        <w:rPr>
          <w:sz w:val="28"/>
          <w:szCs w:val="28"/>
        </w:rPr>
        <w:t>The University of Tennessee, Knoxville</w:t>
      </w:r>
    </w:p>
    <w:p w14:paraId="6A789BC9" w14:textId="77777777" w:rsidR="00236E6D" w:rsidRPr="00A01D0E" w:rsidRDefault="00236E6D" w:rsidP="001C0BB7">
      <w:pPr>
        <w:spacing w:line="360" w:lineRule="auto"/>
        <w:jc w:val="center"/>
        <w:rPr>
          <w:sz w:val="28"/>
          <w:szCs w:val="28"/>
        </w:rPr>
      </w:pPr>
    </w:p>
    <w:p w14:paraId="2FFD671B" w14:textId="77777777" w:rsidR="00236E6D" w:rsidRPr="00A01D0E" w:rsidRDefault="00236E6D" w:rsidP="001C0BB7">
      <w:pPr>
        <w:spacing w:line="360" w:lineRule="auto"/>
        <w:jc w:val="center"/>
        <w:rPr>
          <w:sz w:val="28"/>
          <w:szCs w:val="28"/>
        </w:rPr>
      </w:pPr>
    </w:p>
    <w:p w14:paraId="27693EAB" w14:textId="77777777" w:rsidR="00236E6D" w:rsidRPr="00A01D0E" w:rsidRDefault="00236E6D" w:rsidP="001C0BB7">
      <w:pPr>
        <w:spacing w:line="360" w:lineRule="auto"/>
        <w:jc w:val="center"/>
        <w:rPr>
          <w:sz w:val="28"/>
          <w:szCs w:val="28"/>
        </w:rPr>
      </w:pPr>
    </w:p>
    <w:p w14:paraId="0B95E105" w14:textId="77777777" w:rsidR="00236E6D" w:rsidRPr="00A01D0E" w:rsidRDefault="00236E6D" w:rsidP="001C0BB7">
      <w:pPr>
        <w:spacing w:line="360" w:lineRule="auto"/>
        <w:jc w:val="center"/>
        <w:rPr>
          <w:sz w:val="28"/>
          <w:szCs w:val="28"/>
        </w:rPr>
      </w:pPr>
    </w:p>
    <w:p w14:paraId="0FE62774" w14:textId="30E62501" w:rsidR="00236E6D" w:rsidRPr="00A01D0E" w:rsidRDefault="00236E6D" w:rsidP="001C0BB7">
      <w:pPr>
        <w:spacing w:line="360" w:lineRule="auto"/>
        <w:jc w:val="center"/>
        <w:rPr>
          <w:sz w:val="28"/>
          <w:szCs w:val="28"/>
        </w:rPr>
      </w:pPr>
    </w:p>
    <w:p w14:paraId="08265841" w14:textId="0AA49C09" w:rsidR="001C0BB7" w:rsidRDefault="001C0BB7" w:rsidP="001C0BB7">
      <w:pPr>
        <w:spacing w:line="360" w:lineRule="auto"/>
        <w:jc w:val="center"/>
        <w:rPr>
          <w:sz w:val="28"/>
          <w:szCs w:val="28"/>
        </w:rPr>
      </w:pPr>
    </w:p>
    <w:p w14:paraId="6802B4EC" w14:textId="4AE3AFA7" w:rsidR="00A01D0E" w:rsidRDefault="00A01D0E" w:rsidP="001C0BB7">
      <w:pPr>
        <w:spacing w:line="360" w:lineRule="auto"/>
        <w:jc w:val="center"/>
        <w:rPr>
          <w:sz w:val="28"/>
          <w:szCs w:val="28"/>
        </w:rPr>
      </w:pPr>
    </w:p>
    <w:p w14:paraId="344AFB06" w14:textId="77777777" w:rsidR="00A01D0E" w:rsidRPr="00A01D0E" w:rsidRDefault="00A01D0E" w:rsidP="001C0BB7">
      <w:pPr>
        <w:spacing w:line="360" w:lineRule="auto"/>
        <w:jc w:val="center"/>
        <w:rPr>
          <w:sz w:val="28"/>
          <w:szCs w:val="28"/>
        </w:rPr>
      </w:pPr>
    </w:p>
    <w:p w14:paraId="1FCAA739" w14:textId="77777777" w:rsidR="00236E6D" w:rsidRPr="00A01D0E" w:rsidRDefault="00236E6D" w:rsidP="001C0BB7">
      <w:pPr>
        <w:spacing w:line="360" w:lineRule="auto"/>
        <w:jc w:val="center"/>
        <w:rPr>
          <w:sz w:val="28"/>
          <w:szCs w:val="28"/>
        </w:rPr>
      </w:pPr>
    </w:p>
    <w:p w14:paraId="1447C57A" w14:textId="77777777" w:rsidR="00F95D54" w:rsidRPr="00A01D0E" w:rsidRDefault="00F95D54" w:rsidP="001C0BB7">
      <w:pPr>
        <w:spacing w:line="360" w:lineRule="auto"/>
        <w:jc w:val="center"/>
        <w:rPr>
          <w:sz w:val="28"/>
          <w:szCs w:val="28"/>
        </w:rPr>
      </w:pPr>
      <w:r w:rsidRPr="00A01D0E">
        <w:rPr>
          <w:sz w:val="28"/>
          <w:szCs w:val="28"/>
        </w:rPr>
        <w:t>Bikash Bogati</w:t>
      </w:r>
    </w:p>
    <w:p w14:paraId="5E37691C" w14:textId="2CE4E487" w:rsidR="00236E6D" w:rsidRPr="00A01D0E" w:rsidRDefault="00F95D54" w:rsidP="001C0BB7">
      <w:pPr>
        <w:spacing w:line="360" w:lineRule="auto"/>
        <w:jc w:val="center"/>
        <w:rPr>
          <w:sz w:val="28"/>
          <w:szCs w:val="28"/>
        </w:rPr>
      </w:pPr>
      <w:r w:rsidRPr="00A01D0E">
        <w:rPr>
          <w:sz w:val="28"/>
          <w:szCs w:val="28"/>
        </w:rPr>
        <w:t>December 2021</w:t>
      </w:r>
    </w:p>
    <w:p w14:paraId="57167ACE" w14:textId="77777777" w:rsidR="00236E6D" w:rsidRPr="001C0BB7" w:rsidRDefault="00236E6D" w:rsidP="001C0BB7">
      <w:pPr>
        <w:spacing w:line="360" w:lineRule="auto"/>
        <w:rPr>
          <w:sz w:val="36"/>
          <w:szCs w:val="36"/>
        </w:rPr>
      </w:pPr>
    </w:p>
    <w:p w14:paraId="14721FBC" w14:textId="7F4FAD99" w:rsidR="00236E6D" w:rsidRPr="001C0BB7" w:rsidRDefault="001C0BB7" w:rsidP="00A01D0E">
      <w:pPr>
        <w:spacing w:line="360" w:lineRule="auto"/>
      </w:pPr>
      <w:r>
        <w:br w:type="page"/>
      </w:r>
      <w:r w:rsidR="003D07F7" w:rsidRPr="001C0BB7">
        <w:lastRenderedPageBreak/>
        <w:t>Copyright © 20</w:t>
      </w:r>
      <w:r w:rsidR="00F95D54" w:rsidRPr="001C0BB7">
        <w:t>21</w:t>
      </w:r>
      <w:r w:rsidR="00236E6D" w:rsidRPr="001C0BB7">
        <w:t xml:space="preserve"> by </w:t>
      </w:r>
      <w:r w:rsidR="00F95D54" w:rsidRPr="001C0BB7">
        <w:t>Bikash Bogati</w:t>
      </w:r>
    </w:p>
    <w:p w14:paraId="30AA7A4C" w14:textId="77777777" w:rsidR="0009722C" w:rsidRDefault="00236E6D" w:rsidP="0009722C">
      <w:pPr>
        <w:spacing w:line="360" w:lineRule="auto"/>
      </w:pPr>
      <w:r w:rsidRPr="001C0BB7">
        <w:t>All rights reserved.</w:t>
      </w:r>
    </w:p>
    <w:p w14:paraId="20AFE570" w14:textId="77777777" w:rsidR="0009722C" w:rsidRDefault="0009722C">
      <w:r>
        <w:br w:type="page"/>
      </w:r>
    </w:p>
    <w:p w14:paraId="3388E0F1" w14:textId="1701C871" w:rsidR="00F95D54" w:rsidRPr="0009722C" w:rsidRDefault="00F95D54" w:rsidP="0009722C">
      <w:pPr>
        <w:spacing w:line="360" w:lineRule="auto"/>
        <w:jc w:val="center"/>
      </w:pPr>
      <w:r w:rsidRPr="001C0BB7">
        <w:rPr>
          <w:b/>
          <w:sz w:val="28"/>
          <w:szCs w:val="28"/>
        </w:rPr>
        <w:lastRenderedPageBreak/>
        <w:t>DEDICATION</w:t>
      </w:r>
    </w:p>
    <w:p w14:paraId="16841238" w14:textId="158BEE9F" w:rsidR="00F95D54" w:rsidRPr="001C0BB7" w:rsidRDefault="00F95D54" w:rsidP="001C0BB7">
      <w:pPr>
        <w:spacing w:line="360" w:lineRule="auto"/>
        <w:jc w:val="center"/>
        <w:rPr>
          <w:sz w:val="36"/>
          <w:szCs w:val="36"/>
        </w:rPr>
      </w:pPr>
      <w:r w:rsidRPr="001C0BB7">
        <w:t xml:space="preserve">To Mom, Dad, and my </w:t>
      </w:r>
      <w:r w:rsidR="00701130">
        <w:t>Mentor</w:t>
      </w:r>
      <w:r w:rsidRPr="001C0BB7">
        <w:t>s</w:t>
      </w:r>
    </w:p>
    <w:p w14:paraId="7113D2E9" w14:textId="77777777" w:rsidR="00F95D54" w:rsidRPr="001C0BB7" w:rsidRDefault="00F95D54" w:rsidP="001C0BB7">
      <w:pPr>
        <w:spacing w:line="360" w:lineRule="auto"/>
        <w:rPr>
          <w:b/>
          <w:sz w:val="28"/>
          <w:szCs w:val="28"/>
        </w:rPr>
      </w:pPr>
      <w:r w:rsidRPr="001C0BB7">
        <w:rPr>
          <w:b/>
          <w:sz w:val="28"/>
          <w:szCs w:val="28"/>
        </w:rPr>
        <w:br w:type="page"/>
      </w:r>
    </w:p>
    <w:p w14:paraId="37B93874" w14:textId="7A963FA0" w:rsidR="00CD73A9" w:rsidRPr="001C0BB7" w:rsidRDefault="00CD73A9" w:rsidP="001C0BB7">
      <w:pPr>
        <w:spacing w:line="360" w:lineRule="auto"/>
        <w:jc w:val="center"/>
        <w:rPr>
          <w:b/>
          <w:sz w:val="28"/>
          <w:szCs w:val="28"/>
        </w:rPr>
      </w:pPr>
      <w:r w:rsidRPr="001C0BB7">
        <w:rPr>
          <w:b/>
          <w:sz w:val="28"/>
          <w:szCs w:val="28"/>
        </w:rPr>
        <w:lastRenderedPageBreak/>
        <w:t>ACKNOWLEDGEMENTS</w:t>
      </w:r>
    </w:p>
    <w:p w14:paraId="57B79122" w14:textId="77777777" w:rsidR="00CD73A9" w:rsidRPr="001C0BB7" w:rsidRDefault="00CD73A9" w:rsidP="001C0BB7">
      <w:pPr>
        <w:spacing w:line="360" w:lineRule="auto"/>
        <w:jc w:val="center"/>
      </w:pPr>
    </w:p>
    <w:p w14:paraId="1144208E" w14:textId="49955A18" w:rsidR="001C0BB7" w:rsidRDefault="001C0BB7" w:rsidP="001C0BB7">
      <w:pPr>
        <w:spacing w:line="360" w:lineRule="auto"/>
      </w:pPr>
      <w:r>
        <w:tab/>
        <w:t>During this</w:t>
      </w:r>
      <w:r w:rsidRPr="000A753F">
        <w:t xml:space="preserve"> </w:t>
      </w:r>
      <w:r>
        <w:t xml:space="preserve">incredible </w:t>
      </w:r>
      <w:r w:rsidRPr="000A753F">
        <w:t xml:space="preserve">journey </w:t>
      </w:r>
      <w:r>
        <w:t>over the</w:t>
      </w:r>
      <w:r w:rsidRPr="000A753F">
        <w:t xml:space="preserve"> past six years</w:t>
      </w:r>
      <w:r>
        <w:t xml:space="preserve">, many hands have guided my path, and many hearts have encouraged me to </w:t>
      </w:r>
      <w:r w:rsidR="000725B7">
        <w:t>reach here</w:t>
      </w:r>
      <w:r>
        <w:t xml:space="preserve">. I am so fortunate to have received the opportunity to work with Dr. Elizabeth </w:t>
      </w:r>
      <w:proofErr w:type="spellStart"/>
      <w:r>
        <w:t>Fozo</w:t>
      </w:r>
      <w:proofErr w:type="spellEnd"/>
      <w:r>
        <w:t>, who has been an amazing Ph</w:t>
      </w:r>
      <w:r w:rsidR="00A01D0E">
        <w:t>.</w:t>
      </w:r>
      <w:r>
        <w:t>D</w:t>
      </w:r>
      <w:r w:rsidR="00A01D0E">
        <w:t>.</w:t>
      </w:r>
      <w:r>
        <w:t xml:space="preserve"> advisor. She believed in me, </w:t>
      </w:r>
      <w:r w:rsidR="00211120">
        <w:t>corrected</w:t>
      </w:r>
      <w:r>
        <w:t xml:space="preserve"> my silly mistakes</w:t>
      </w:r>
      <w:r w:rsidR="00211120">
        <w:t xml:space="preserve"> with a smile</w:t>
      </w:r>
      <w:r>
        <w:t>, trained me to become a better scientist each day, and ensured that I maintained a good work life balance. Thank you so much for all your guidance and support. If I were to start this journey again, I’d once more work with you.</w:t>
      </w:r>
    </w:p>
    <w:p w14:paraId="7DA19A16" w14:textId="25779852" w:rsidR="001C0BB7" w:rsidRDefault="001C0BB7" w:rsidP="001C0BB7">
      <w:pPr>
        <w:spacing w:line="360" w:lineRule="auto"/>
      </w:pPr>
      <w:r>
        <w:tab/>
        <w:t xml:space="preserve">To my committee, Dr. Reynolds, Dr. Wilhelm, and Dr. </w:t>
      </w:r>
      <w:proofErr w:type="spellStart"/>
      <w:r>
        <w:t>Barrerra</w:t>
      </w:r>
      <w:proofErr w:type="spellEnd"/>
      <w:r>
        <w:t>, thank you so much for helping me learn, grow, and contemplate the aspects of research that I had overlooked. Over these years, your questions have made me realize how little I know and how much more there is to learn. I promise that I will continue to keep learning.</w:t>
      </w:r>
    </w:p>
    <w:p w14:paraId="3BA1282B" w14:textId="28034C46" w:rsidR="001C0BB7" w:rsidRDefault="00211120" w:rsidP="001C0BB7">
      <w:pPr>
        <w:spacing w:line="360" w:lineRule="auto"/>
      </w:pPr>
      <w:r>
        <w:tab/>
      </w:r>
      <w:r w:rsidR="001C0BB7">
        <w:t xml:space="preserve">I’d like to thank Elizabeth McPherson for helping me become a better teacher, and for always being there to support me. I also extend </w:t>
      </w:r>
      <w:r>
        <w:t>my</w:t>
      </w:r>
      <w:r w:rsidR="001C0BB7">
        <w:t xml:space="preserve"> thank</w:t>
      </w:r>
      <w:r>
        <w:t>s</w:t>
      </w:r>
      <w:r w:rsidR="001C0BB7">
        <w:t xml:space="preserve"> to Sarah Kaufman </w:t>
      </w:r>
      <w:r>
        <w:t>for her help and training</w:t>
      </w:r>
      <w:r w:rsidR="001C0BB7">
        <w:t>.</w:t>
      </w:r>
    </w:p>
    <w:p w14:paraId="308EBBEF" w14:textId="3A557A86" w:rsidR="001C0BB7" w:rsidRDefault="001C0BB7" w:rsidP="001C0BB7">
      <w:pPr>
        <w:spacing w:line="360" w:lineRule="auto"/>
      </w:pPr>
      <w:r>
        <w:tab/>
        <w:t>Heartful thanks goes out to Rachelle Allen who always welcomed me with a big smile and a warm hug (and ensured that all my paperwork were taken care of so that I was not deported).</w:t>
      </w:r>
    </w:p>
    <w:p w14:paraId="38C2D0DB" w14:textId="13F8591A" w:rsidR="001C0BB7" w:rsidRDefault="001C0BB7" w:rsidP="001C0BB7">
      <w:pPr>
        <w:spacing w:line="360" w:lineRule="auto"/>
      </w:pPr>
      <w:r>
        <w:tab/>
        <w:t xml:space="preserve">To my research group, it is so much easier to work in the lab when your lab mates are your friends. Thank you, Rachel Johnston, Andy Wagner, and Selene Shore, for all the support, care, and wonderful discussions, in science and beyond. To </w:t>
      </w:r>
      <w:r w:rsidR="00211120">
        <w:t>the</w:t>
      </w:r>
      <w:r>
        <w:t xml:space="preserve"> previous lab members, John Harp and Jia Wen, thank you for your guidance </w:t>
      </w:r>
      <w:r w:rsidR="00CB3F12">
        <w:t xml:space="preserve">during and </w:t>
      </w:r>
      <w:r>
        <w:t>even after leaving UT.</w:t>
      </w:r>
      <w:r w:rsidR="00CB3F12">
        <w:t xml:space="preserve"> </w:t>
      </w:r>
      <w:r>
        <w:t>To Jonelle Basso and Tian Chen, thank you so much for believing in me more than I believed in myself.</w:t>
      </w:r>
    </w:p>
    <w:p w14:paraId="24D32D50" w14:textId="6AC7AB20" w:rsidR="001C0BB7" w:rsidRDefault="001C0BB7" w:rsidP="001C0BB7">
      <w:pPr>
        <w:spacing w:line="360" w:lineRule="auto"/>
      </w:pPr>
      <w:r>
        <w:tab/>
        <w:t>Finally, I’d like to thank my family, friends, and teachers for all their support and encouragement throughout these years.</w:t>
      </w:r>
    </w:p>
    <w:p w14:paraId="38479AC5" w14:textId="663D41A1" w:rsidR="00236E6D" w:rsidRPr="001C0BB7" w:rsidRDefault="00F95D54" w:rsidP="001C0BB7">
      <w:pPr>
        <w:jc w:val="center"/>
      </w:pPr>
      <w:r w:rsidRPr="001C0BB7">
        <w:br w:type="page"/>
      </w:r>
      <w:r w:rsidR="00236E6D" w:rsidRPr="001C0BB7">
        <w:rPr>
          <w:b/>
          <w:bCs/>
          <w:sz w:val="28"/>
          <w:szCs w:val="28"/>
        </w:rPr>
        <w:lastRenderedPageBreak/>
        <w:t>ABSTRACT</w:t>
      </w:r>
    </w:p>
    <w:p w14:paraId="2E09541B" w14:textId="77777777" w:rsidR="00236E6D" w:rsidRPr="001C0BB7" w:rsidRDefault="00236E6D" w:rsidP="001C0BB7">
      <w:pPr>
        <w:spacing w:line="360" w:lineRule="auto"/>
      </w:pPr>
    </w:p>
    <w:p w14:paraId="77DBBAF7" w14:textId="59EF2BB7" w:rsidR="00BD41AD" w:rsidRPr="00BD41AD" w:rsidRDefault="00BD41AD" w:rsidP="00BD41AD">
      <w:pPr>
        <w:spacing w:line="360" w:lineRule="auto"/>
        <w:ind w:firstLine="720"/>
      </w:pPr>
      <w:r w:rsidRPr="00BD41AD">
        <w:t xml:space="preserve">The </w:t>
      </w:r>
      <w:proofErr w:type="spellStart"/>
      <w:r w:rsidRPr="00BD41AD">
        <w:rPr>
          <w:i/>
          <w:iCs/>
        </w:rPr>
        <w:t>zor-orz</w:t>
      </w:r>
      <w:proofErr w:type="spellEnd"/>
      <w:r w:rsidRPr="00BD41AD">
        <w:t xml:space="preserve"> locus identified in the chromosome of </w:t>
      </w:r>
      <w:r w:rsidRPr="00BD41AD">
        <w:rPr>
          <w:i/>
          <w:iCs/>
        </w:rPr>
        <w:t>Escherichia coli</w:t>
      </w:r>
      <w:r w:rsidRPr="00BD41AD">
        <w:t xml:space="preserve"> O157:H7 EDL933 strain is a type I toxin-antitoxin system that consists of two homologous gene pairs </w:t>
      </w:r>
      <w:proofErr w:type="spellStart"/>
      <w:r w:rsidRPr="00BD41AD">
        <w:rPr>
          <w:i/>
          <w:iCs/>
        </w:rPr>
        <w:t>zorO-orzO</w:t>
      </w:r>
      <w:proofErr w:type="spellEnd"/>
      <w:r w:rsidRPr="00BD41AD">
        <w:t xml:space="preserve"> and </w:t>
      </w:r>
      <w:proofErr w:type="spellStart"/>
      <w:r w:rsidRPr="00BD41AD">
        <w:rPr>
          <w:i/>
          <w:iCs/>
        </w:rPr>
        <w:t>zorP-orzP</w:t>
      </w:r>
      <w:proofErr w:type="spellEnd"/>
      <w:r w:rsidRPr="00BD41AD">
        <w:t xml:space="preserve">. The </w:t>
      </w:r>
      <w:proofErr w:type="spellStart"/>
      <w:r w:rsidRPr="00BD41AD">
        <w:rPr>
          <w:i/>
          <w:iCs/>
        </w:rPr>
        <w:t>zor</w:t>
      </w:r>
      <w:proofErr w:type="spellEnd"/>
      <w:r w:rsidRPr="00BD41AD">
        <w:t xml:space="preserve"> genes encode for a small toxin protein and the </w:t>
      </w:r>
      <w:proofErr w:type="spellStart"/>
      <w:r w:rsidRPr="00BD41AD">
        <w:rPr>
          <w:i/>
          <w:iCs/>
        </w:rPr>
        <w:t>orz</w:t>
      </w:r>
      <w:proofErr w:type="spellEnd"/>
      <w:r w:rsidRPr="00BD41AD">
        <w:t xml:space="preserve"> genes encode for small RNA. Overproduction of </w:t>
      </w:r>
      <w:proofErr w:type="spellStart"/>
      <w:r w:rsidRPr="00BD41AD">
        <w:t>ZorO</w:t>
      </w:r>
      <w:proofErr w:type="spellEnd"/>
      <w:r w:rsidRPr="00BD41AD">
        <w:t xml:space="preserve">, therefore, results in cell growth stasis whereas co-expression of </w:t>
      </w:r>
      <w:proofErr w:type="spellStart"/>
      <w:r w:rsidRPr="00BD41AD">
        <w:rPr>
          <w:i/>
          <w:iCs/>
        </w:rPr>
        <w:t>orzO</w:t>
      </w:r>
      <w:proofErr w:type="spellEnd"/>
      <w:r w:rsidRPr="00BD41AD">
        <w:t xml:space="preserve"> rescues the cell growth. We showed that in addition to growth inhibition, </w:t>
      </w:r>
      <w:proofErr w:type="spellStart"/>
      <w:r w:rsidRPr="00BD41AD">
        <w:t>ZorO</w:t>
      </w:r>
      <w:proofErr w:type="spellEnd"/>
      <w:r w:rsidRPr="00BD41AD">
        <w:t xml:space="preserve"> overproduction results in membrane depolarization and ATP depletion but does not impact the gross morphology of </w:t>
      </w:r>
      <w:r w:rsidRPr="00BD41AD">
        <w:rPr>
          <w:i/>
          <w:iCs/>
        </w:rPr>
        <w:t>E. coli</w:t>
      </w:r>
      <w:r w:rsidRPr="00BD41AD">
        <w:t xml:space="preserve"> cells. The </w:t>
      </w:r>
      <w:r w:rsidRPr="00BD41AD">
        <w:rPr>
          <w:i/>
          <w:iCs/>
        </w:rPr>
        <w:t>in vivo</w:t>
      </w:r>
      <w:r w:rsidRPr="00BD41AD">
        <w:t xml:space="preserve"> translation and subsequent impacts of </w:t>
      </w:r>
      <w:proofErr w:type="spellStart"/>
      <w:r w:rsidRPr="00BD41AD">
        <w:t>ZorO</w:t>
      </w:r>
      <w:proofErr w:type="spellEnd"/>
      <w:r w:rsidRPr="00BD41AD">
        <w:t xml:space="preserve"> is significantly increased if the 5’ untranslated region (UTR) of </w:t>
      </w:r>
      <w:proofErr w:type="spellStart"/>
      <w:r w:rsidRPr="00BD41AD">
        <w:rPr>
          <w:i/>
          <w:iCs/>
        </w:rPr>
        <w:t>zorO</w:t>
      </w:r>
      <w:proofErr w:type="spellEnd"/>
      <w:r w:rsidRPr="00BD41AD">
        <w:t xml:space="preserve"> mRNA is processed.</w:t>
      </w:r>
    </w:p>
    <w:p w14:paraId="43A096AF" w14:textId="2B6D8A96" w:rsidR="00BD41AD" w:rsidRPr="00BD41AD" w:rsidRDefault="00BD41AD" w:rsidP="00BD41AD">
      <w:pPr>
        <w:spacing w:line="360" w:lineRule="auto"/>
        <w:ind w:firstLine="720"/>
      </w:pPr>
      <w:r w:rsidRPr="00BD41AD">
        <w:t xml:space="preserve">We showed that the use of a medium copy plasmid vector cloned with the </w:t>
      </w:r>
      <w:proofErr w:type="spellStart"/>
      <w:r w:rsidRPr="00BD41AD">
        <w:rPr>
          <w:i/>
          <w:iCs/>
        </w:rPr>
        <w:t>zor-orz</w:t>
      </w:r>
      <w:proofErr w:type="spellEnd"/>
      <w:r w:rsidRPr="00BD41AD">
        <w:rPr>
          <w:i/>
          <w:iCs/>
        </w:rPr>
        <w:t xml:space="preserve"> </w:t>
      </w:r>
      <w:r w:rsidRPr="00BD41AD">
        <w:t xml:space="preserve">locus or the </w:t>
      </w:r>
      <w:proofErr w:type="spellStart"/>
      <w:r w:rsidRPr="00BD41AD">
        <w:rPr>
          <w:i/>
          <w:iCs/>
        </w:rPr>
        <w:t>zorO-orzO</w:t>
      </w:r>
      <w:proofErr w:type="spellEnd"/>
      <w:r w:rsidRPr="00BD41AD">
        <w:t xml:space="preserve"> gene pair significantly improve the growth of </w:t>
      </w:r>
      <w:r w:rsidRPr="00BD41AD">
        <w:rPr>
          <w:i/>
          <w:iCs/>
        </w:rPr>
        <w:t>E. coli</w:t>
      </w:r>
      <w:r w:rsidRPr="00BD41AD">
        <w:t xml:space="preserve"> in presence of </w:t>
      </w:r>
      <w:r w:rsidR="003351E7">
        <w:t xml:space="preserve">several </w:t>
      </w:r>
      <w:r w:rsidRPr="00BD41AD">
        <w:t xml:space="preserve">aminoglycoside antibiotics. An increase in minimum inhibitory concentration for gentamycin and kanamycin was also observed. The transcription profile of the EDL933 cells with </w:t>
      </w:r>
      <w:proofErr w:type="spellStart"/>
      <w:r w:rsidRPr="00BD41AD">
        <w:t>pBR-</w:t>
      </w:r>
      <w:r w:rsidRPr="00BD41AD">
        <w:rPr>
          <w:i/>
          <w:iCs/>
        </w:rPr>
        <w:t>zor-orz</w:t>
      </w:r>
      <w:proofErr w:type="spellEnd"/>
      <w:r w:rsidRPr="00BD41AD">
        <w:t xml:space="preserve"> plasmids after kanamycin treatment showed upregulation of nitrogen metabolism and anerobic respiration genes whereas the flagella associated genes were downregulated.</w:t>
      </w:r>
    </w:p>
    <w:p w14:paraId="1A10D472" w14:textId="1252E80E" w:rsidR="00F95D54" w:rsidRPr="001C0BB7" w:rsidRDefault="00BD41AD" w:rsidP="003351E7">
      <w:pPr>
        <w:spacing w:line="360" w:lineRule="auto"/>
        <w:ind w:firstLine="720"/>
      </w:pPr>
      <w:r w:rsidRPr="00BD41AD">
        <w:t xml:space="preserve">We mutated the charged residues within the </w:t>
      </w:r>
      <w:proofErr w:type="spellStart"/>
      <w:r w:rsidRPr="00BD41AD">
        <w:t>ZorO</w:t>
      </w:r>
      <w:proofErr w:type="spellEnd"/>
      <w:r w:rsidRPr="00BD41AD">
        <w:t xml:space="preserve"> sequence to study their role in </w:t>
      </w:r>
      <w:proofErr w:type="spellStart"/>
      <w:r w:rsidRPr="00BD41AD">
        <w:t>ZorO</w:t>
      </w:r>
      <w:proofErr w:type="spellEnd"/>
      <w:r w:rsidRPr="00BD41AD">
        <w:t xml:space="preserve"> induced toxicity and found five of the six charged residues were able to rescue cells from </w:t>
      </w:r>
      <w:proofErr w:type="spellStart"/>
      <w:r w:rsidRPr="00BD41AD">
        <w:t>ZorO</w:t>
      </w:r>
      <w:proofErr w:type="spellEnd"/>
      <w:r w:rsidRPr="00BD41AD">
        <w:t xml:space="preserve"> toxicity. Using one of the non-toxic mutants of </w:t>
      </w:r>
      <w:proofErr w:type="spellStart"/>
      <w:r w:rsidRPr="00BD41AD">
        <w:t>ZorO</w:t>
      </w:r>
      <w:proofErr w:type="spellEnd"/>
      <w:r w:rsidRPr="00BD41AD">
        <w:t xml:space="preserve"> (arginine at 23</w:t>
      </w:r>
      <w:r w:rsidRPr="00BD41AD">
        <w:rPr>
          <w:vertAlign w:val="superscript"/>
        </w:rPr>
        <w:t>rd</w:t>
      </w:r>
      <w:r w:rsidRPr="00BD41AD">
        <w:t xml:space="preserve"> position replaced by leucine), we tested its impact on cell growth in presence of kanamycin. Unexpectedly, this non-toxic mutant was also able to improve the cell growth, indicating that toxic effect observed during </w:t>
      </w:r>
      <w:proofErr w:type="spellStart"/>
      <w:r w:rsidRPr="00BD41AD">
        <w:t>ZorO</w:t>
      </w:r>
      <w:proofErr w:type="spellEnd"/>
      <w:r w:rsidRPr="00BD41AD">
        <w:t xml:space="preserve"> overproduction </w:t>
      </w:r>
      <w:r w:rsidR="003351E7">
        <w:t>are unrelated</w:t>
      </w:r>
      <w:r w:rsidRPr="00BD41AD">
        <w:t xml:space="preserve"> to protection against kanamycin. Ongoing works in the lab challenges the hypothesis that </w:t>
      </w:r>
      <w:proofErr w:type="spellStart"/>
      <w:r w:rsidRPr="00BD41AD">
        <w:rPr>
          <w:i/>
          <w:iCs/>
        </w:rPr>
        <w:t>zorO-orzO</w:t>
      </w:r>
      <w:proofErr w:type="spellEnd"/>
      <w:r w:rsidRPr="00BD41AD">
        <w:t xml:space="preserve"> mediated improved cell growth is due to translated </w:t>
      </w:r>
      <w:proofErr w:type="spellStart"/>
      <w:r w:rsidRPr="00BD41AD">
        <w:t>ZorO</w:t>
      </w:r>
      <w:proofErr w:type="spellEnd"/>
      <w:r w:rsidRPr="00BD41AD">
        <w:t xml:space="preserve"> protein. Additional works on this can change our perspective on how type I toxin-antitoxin system works and appreciate their complex nature</w:t>
      </w:r>
      <w:r w:rsidR="008A4E30" w:rsidRPr="001C0BB7">
        <w:t xml:space="preserve">. </w:t>
      </w:r>
    </w:p>
    <w:p w14:paraId="6CF4CF56" w14:textId="77777777" w:rsidR="00CC2A24" w:rsidRPr="001C0BB7" w:rsidRDefault="00CC2A24" w:rsidP="00CC2A24">
      <w:pPr>
        <w:pStyle w:val="Title"/>
        <w:spacing w:line="360" w:lineRule="auto"/>
      </w:pPr>
      <w:bookmarkStart w:id="0" w:name="_Toc420995913"/>
      <w:bookmarkStart w:id="1" w:name="_Toc422997500"/>
      <w:bookmarkStart w:id="2" w:name="_Toc427156485"/>
      <w:bookmarkStart w:id="3" w:name="_Toc428278490"/>
      <w:r w:rsidRPr="001C0BB7">
        <w:lastRenderedPageBreak/>
        <w:t>TABLE OF CONTENTS</w:t>
      </w:r>
    </w:p>
    <w:p w14:paraId="06C313D3" w14:textId="77777777" w:rsidR="00CC2A24" w:rsidRPr="001C0BB7" w:rsidRDefault="00CC2A24" w:rsidP="00CC2A24">
      <w:pPr>
        <w:pStyle w:val="Title"/>
        <w:spacing w:line="360" w:lineRule="auto"/>
      </w:pPr>
    </w:p>
    <w:p w14:paraId="04DC499E" w14:textId="77777777" w:rsidR="00CC2A24" w:rsidRPr="001C0BB7" w:rsidRDefault="00CC2A24" w:rsidP="00CC2A24">
      <w:pPr>
        <w:pStyle w:val="TOC2"/>
        <w:tabs>
          <w:tab w:val="right" w:leader="dot" w:pos="8630"/>
        </w:tabs>
        <w:spacing w:line="360" w:lineRule="auto"/>
        <w:rPr>
          <w:rFonts w:eastAsiaTheme="minorEastAsia"/>
          <w:noProof/>
          <w:sz w:val="22"/>
          <w:szCs w:val="22"/>
        </w:rPr>
      </w:pPr>
      <w:r w:rsidRPr="001C0BB7">
        <w:t xml:space="preserve">CHAPTER I </w:t>
      </w:r>
      <w:hyperlink w:anchor="_Toc428279006" w:history="1">
        <w:r>
          <w:rPr>
            <w:rStyle w:val="Hyperlink"/>
            <w:noProof/>
          </w:rPr>
          <w:t>Introduction</w:t>
        </w:r>
        <w:r w:rsidRPr="001C0BB7">
          <w:rPr>
            <w:noProof/>
            <w:webHidden/>
          </w:rPr>
          <w:tab/>
        </w:r>
      </w:hyperlink>
      <w:r>
        <w:rPr>
          <w:noProof/>
        </w:rPr>
        <w:t>1</w:t>
      </w:r>
      <w:r w:rsidRPr="001C0BB7">
        <w:fldChar w:fldCharType="begin"/>
      </w:r>
      <w:r w:rsidRPr="001C0BB7">
        <w:instrText xml:space="preserve"> TOC \o "1-3" \h \z \u </w:instrText>
      </w:r>
      <w:r w:rsidRPr="001C0BB7">
        <w:fldChar w:fldCharType="separate"/>
      </w:r>
    </w:p>
    <w:p w14:paraId="1200DC36" w14:textId="77777777" w:rsidR="00CC2A24" w:rsidRPr="001C0BB7" w:rsidRDefault="00CC2A24" w:rsidP="00CC2A24">
      <w:pPr>
        <w:pStyle w:val="TOC2"/>
        <w:tabs>
          <w:tab w:val="right" w:leader="dot" w:pos="8630"/>
        </w:tabs>
        <w:spacing w:line="360" w:lineRule="auto"/>
        <w:rPr>
          <w:rFonts w:eastAsiaTheme="minorEastAsia"/>
          <w:noProof/>
          <w:sz w:val="22"/>
          <w:szCs w:val="22"/>
        </w:rPr>
      </w:pPr>
      <w:hyperlink w:anchor="_Toc428279006" w:history="1">
        <w:r w:rsidRPr="001C0BB7">
          <w:rPr>
            <w:rStyle w:val="Hyperlink"/>
            <w:noProof/>
          </w:rPr>
          <w:t>Publication note</w:t>
        </w:r>
        <w:r w:rsidRPr="001C0BB7">
          <w:rPr>
            <w:noProof/>
            <w:webHidden/>
          </w:rPr>
          <w:tab/>
          <w:t>2</w:t>
        </w:r>
      </w:hyperlink>
    </w:p>
    <w:p w14:paraId="460CC4BB" w14:textId="77777777" w:rsidR="00CC2A24" w:rsidRDefault="00AA5A4D" w:rsidP="00CC2A24">
      <w:pPr>
        <w:pStyle w:val="TOC2"/>
        <w:tabs>
          <w:tab w:val="right" w:leader="dot" w:pos="8630"/>
        </w:tabs>
        <w:spacing w:line="360" w:lineRule="auto"/>
        <w:rPr>
          <w:noProof/>
        </w:rPr>
      </w:pPr>
      <w:hyperlink w:anchor="_Toc428279007" w:history="1">
        <w:r w:rsidR="00CC2A24" w:rsidRPr="001C0BB7">
          <w:rPr>
            <w:rStyle w:val="Hyperlink"/>
            <w:noProof/>
          </w:rPr>
          <w:t>Toxin-antitoxin systems</w:t>
        </w:r>
        <w:r w:rsidR="00CC2A24" w:rsidRPr="001C0BB7">
          <w:rPr>
            <w:noProof/>
            <w:webHidden/>
          </w:rPr>
          <w:tab/>
          <w:t>3</w:t>
        </w:r>
      </w:hyperlink>
    </w:p>
    <w:p w14:paraId="72E40DDA" w14:textId="511B6D1E" w:rsidR="00CC2A24" w:rsidRPr="001C0BB7" w:rsidRDefault="00CC2A24" w:rsidP="00CC2A24">
      <w:pPr>
        <w:pStyle w:val="TOC2"/>
        <w:tabs>
          <w:tab w:val="right" w:leader="dot" w:pos="8630"/>
        </w:tabs>
        <w:spacing w:line="360" w:lineRule="auto"/>
        <w:rPr>
          <w:rFonts w:eastAsiaTheme="minorEastAsia"/>
          <w:noProof/>
          <w:sz w:val="22"/>
          <w:szCs w:val="22"/>
        </w:rPr>
      </w:pPr>
      <w:r>
        <w:t xml:space="preserve">Type I </w:t>
      </w:r>
      <w:hyperlink w:anchor="_Toc428279007" w:history="1">
        <w:r>
          <w:rPr>
            <w:rStyle w:val="Hyperlink"/>
            <w:noProof/>
          </w:rPr>
          <w:t>t</w:t>
        </w:r>
        <w:r w:rsidRPr="001C0BB7">
          <w:rPr>
            <w:rStyle w:val="Hyperlink"/>
            <w:noProof/>
          </w:rPr>
          <w:t>oxin-antitoxin systems</w:t>
        </w:r>
        <w:r w:rsidRPr="001C0BB7">
          <w:rPr>
            <w:noProof/>
            <w:webHidden/>
          </w:rPr>
          <w:tab/>
        </w:r>
      </w:hyperlink>
      <w:r w:rsidR="00FE2931">
        <w:rPr>
          <w:noProof/>
        </w:rPr>
        <w:t>4</w:t>
      </w:r>
    </w:p>
    <w:p w14:paraId="31F44ED2" w14:textId="7F6B0113" w:rsidR="00CC2A24" w:rsidRPr="001C0BB7" w:rsidRDefault="00AA5A4D" w:rsidP="00CC2A24">
      <w:pPr>
        <w:pStyle w:val="TOC3"/>
        <w:tabs>
          <w:tab w:val="right" w:leader="dot" w:pos="8630"/>
        </w:tabs>
        <w:spacing w:line="360" w:lineRule="auto"/>
        <w:ind w:left="240"/>
        <w:rPr>
          <w:rFonts w:eastAsiaTheme="minorEastAsia"/>
          <w:noProof/>
          <w:sz w:val="22"/>
          <w:szCs w:val="22"/>
        </w:rPr>
      </w:pPr>
      <w:hyperlink w:anchor="_Toc428279009" w:history="1">
        <w:r w:rsidR="00CC2A24" w:rsidRPr="001C0BB7">
          <w:t xml:space="preserve">Toxicity mediated by small proteins of type I </w:t>
        </w:r>
        <w:r w:rsidR="00CC2A24">
          <w:t>toxin-antitoxin system</w:t>
        </w:r>
        <w:r w:rsidR="00CC2A24" w:rsidRPr="00CF62CA">
          <w:rPr>
            <w:noProof/>
            <w:webHidden/>
          </w:rPr>
          <w:tab/>
        </w:r>
      </w:hyperlink>
      <w:r w:rsidR="00FE2931">
        <w:rPr>
          <w:noProof/>
        </w:rPr>
        <w:t>9</w:t>
      </w:r>
    </w:p>
    <w:p w14:paraId="0480940D" w14:textId="5CF2E1A3" w:rsidR="00CC2A24" w:rsidRDefault="00CC2A24" w:rsidP="00CC2A24">
      <w:pPr>
        <w:pStyle w:val="TOC2"/>
        <w:tabs>
          <w:tab w:val="right" w:leader="dot" w:pos="8630"/>
        </w:tabs>
        <w:spacing w:line="360" w:lineRule="auto"/>
        <w:rPr>
          <w:noProof/>
        </w:rPr>
      </w:pPr>
      <w:r w:rsidRPr="001C0BB7">
        <w:t>Regulation of translation of type I toxin proteins</w:t>
      </w:r>
      <w:r w:rsidRPr="00CF62CA">
        <w:rPr>
          <w:webHidden/>
        </w:rPr>
        <w:tab/>
      </w:r>
      <w:r w:rsidR="00FE2931">
        <w:rPr>
          <w:webHidden/>
        </w:rPr>
        <w:t>15</w:t>
      </w:r>
    </w:p>
    <w:p w14:paraId="53BC6E52" w14:textId="1DA2E816" w:rsidR="00CC2A24" w:rsidRPr="001C0BB7" w:rsidRDefault="00CC2A24" w:rsidP="00CC2A24">
      <w:pPr>
        <w:pStyle w:val="TOC2"/>
        <w:tabs>
          <w:tab w:val="right" w:leader="dot" w:pos="8630"/>
        </w:tabs>
        <w:spacing w:line="360" w:lineRule="auto"/>
        <w:rPr>
          <w:rFonts w:eastAsiaTheme="minorEastAsia"/>
          <w:noProof/>
          <w:sz w:val="22"/>
          <w:szCs w:val="22"/>
        </w:rPr>
      </w:pPr>
      <w:r>
        <w:t>Function and global impacts of type I toxin-antitoxin systems</w:t>
      </w:r>
      <w:r w:rsidRPr="00CF62CA">
        <w:rPr>
          <w:webHidden/>
        </w:rPr>
        <w:tab/>
      </w:r>
      <w:r w:rsidR="00FE2931">
        <w:rPr>
          <w:webHidden/>
        </w:rPr>
        <w:t>21</w:t>
      </w:r>
    </w:p>
    <w:p w14:paraId="7EE11115" w14:textId="70347B06" w:rsidR="00CC2A24" w:rsidRPr="001C0BB7" w:rsidRDefault="00CC2A24" w:rsidP="00CC2A24">
      <w:pPr>
        <w:pStyle w:val="TOC2"/>
        <w:tabs>
          <w:tab w:val="right" w:leader="dot" w:pos="8630"/>
        </w:tabs>
        <w:spacing w:line="360" w:lineRule="auto"/>
        <w:rPr>
          <w:rFonts w:eastAsiaTheme="minorEastAsia"/>
          <w:noProof/>
          <w:sz w:val="22"/>
          <w:szCs w:val="22"/>
        </w:rPr>
      </w:pPr>
      <w:r>
        <w:t>Conclusions</w:t>
      </w:r>
      <w:r w:rsidRPr="00CF62CA">
        <w:rPr>
          <w:webHidden/>
        </w:rPr>
        <w:tab/>
      </w:r>
      <w:r w:rsidR="00FE2931">
        <w:rPr>
          <w:webHidden/>
        </w:rPr>
        <w:t>25</w:t>
      </w:r>
    </w:p>
    <w:p w14:paraId="1B5955E8" w14:textId="6F2DB840" w:rsidR="00CC2A24" w:rsidRPr="004634EC" w:rsidRDefault="00CC2A24" w:rsidP="00CC2A24">
      <w:pPr>
        <w:pStyle w:val="TOC2"/>
        <w:tabs>
          <w:tab w:val="right" w:leader="dot" w:pos="8630"/>
        </w:tabs>
        <w:spacing w:line="360" w:lineRule="auto"/>
        <w:rPr>
          <w:rFonts w:eastAsiaTheme="minorEastAsia"/>
          <w:noProof/>
          <w:sz w:val="22"/>
          <w:szCs w:val="22"/>
        </w:rPr>
      </w:pPr>
      <w:r w:rsidRPr="001C0BB7">
        <w:t>Re</w:t>
      </w:r>
      <w:r>
        <w:t>ferences</w:t>
      </w:r>
      <w:r w:rsidRPr="00CF62CA">
        <w:rPr>
          <w:webHidden/>
        </w:rPr>
        <w:tab/>
      </w:r>
      <w:r w:rsidR="00FE2931">
        <w:rPr>
          <w:webHidden/>
        </w:rPr>
        <w:t>27</w:t>
      </w:r>
    </w:p>
    <w:p w14:paraId="4D4161BF" w14:textId="3F52FB99" w:rsidR="00CC2A24" w:rsidRDefault="00AA5A4D" w:rsidP="00CC2A24">
      <w:pPr>
        <w:pStyle w:val="TOC1"/>
        <w:tabs>
          <w:tab w:val="right" w:leader="dot" w:pos="8630"/>
        </w:tabs>
        <w:spacing w:line="360" w:lineRule="auto"/>
        <w:rPr>
          <w:noProof/>
        </w:rPr>
      </w:pPr>
      <w:hyperlink w:anchor="_Toc428279011" w:history="1">
        <w:r w:rsidR="00CC2A24" w:rsidRPr="001C0BB7">
          <w:rPr>
            <w:rStyle w:val="Hyperlink"/>
            <w:noProof/>
          </w:rPr>
          <w:t>CHAPTER II</w:t>
        </w:r>
        <w:r w:rsidR="00CC2A24" w:rsidRPr="00CF62CA">
          <w:rPr>
            <w:noProof/>
            <w:webHidden/>
          </w:rPr>
          <w:tab/>
        </w:r>
      </w:hyperlink>
      <w:r w:rsidR="00FE2931">
        <w:rPr>
          <w:noProof/>
        </w:rPr>
        <w:t>38</w:t>
      </w:r>
    </w:p>
    <w:p w14:paraId="604FCCA1" w14:textId="72875A77" w:rsidR="00CC2A24" w:rsidRPr="001C0BB7" w:rsidRDefault="00AA5A4D" w:rsidP="00CC2A24">
      <w:pPr>
        <w:pStyle w:val="TOC2"/>
        <w:tabs>
          <w:tab w:val="right" w:leader="dot" w:pos="8630"/>
        </w:tabs>
        <w:spacing w:line="360" w:lineRule="auto"/>
        <w:rPr>
          <w:rFonts w:eastAsiaTheme="minorEastAsia"/>
          <w:noProof/>
          <w:sz w:val="22"/>
          <w:szCs w:val="22"/>
        </w:rPr>
      </w:pPr>
      <w:hyperlink w:anchor="_Toc428279012" w:history="1">
        <w:r w:rsidR="00CC2A24">
          <w:rPr>
            <w:rStyle w:val="Hyperlink"/>
            <w:noProof/>
          </w:rPr>
          <w:t>Publication note</w:t>
        </w:r>
        <w:r w:rsidR="00CC2A24" w:rsidRPr="005A514D">
          <w:rPr>
            <w:noProof/>
            <w:webHidden/>
          </w:rPr>
          <w:tab/>
        </w:r>
      </w:hyperlink>
      <w:r w:rsidR="00FE2931">
        <w:rPr>
          <w:noProof/>
        </w:rPr>
        <w:t>39</w:t>
      </w:r>
    </w:p>
    <w:p w14:paraId="706A1A12" w14:textId="5923AA4C" w:rsidR="00CC2A24" w:rsidRPr="001C0BB7" w:rsidRDefault="00AA5A4D" w:rsidP="00CC2A24">
      <w:pPr>
        <w:pStyle w:val="TOC2"/>
        <w:tabs>
          <w:tab w:val="right" w:leader="dot" w:pos="8630"/>
        </w:tabs>
        <w:spacing w:line="360" w:lineRule="auto"/>
        <w:rPr>
          <w:rFonts w:eastAsiaTheme="minorEastAsia"/>
          <w:noProof/>
          <w:sz w:val="22"/>
          <w:szCs w:val="22"/>
        </w:rPr>
      </w:pPr>
      <w:hyperlink w:anchor="_Toc428279012" w:history="1">
        <w:r w:rsidR="00CC2A24" w:rsidRPr="001C0BB7">
          <w:rPr>
            <w:rStyle w:val="Hyperlink"/>
            <w:noProof/>
          </w:rPr>
          <w:t>Abstract</w:t>
        </w:r>
        <w:r w:rsidR="00CC2A24" w:rsidRPr="005A514D">
          <w:rPr>
            <w:noProof/>
            <w:webHidden/>
          </w:rPr>
          <w:tab/>
        </w:r>
      </w:hyperlink>
      <w:r w:rsidR="00FE2931">
        <w:rPr>
          <w:noProof/>
        </w:rPr>
        <w:t>40</w:t>
      </w:r>
    </w:p>
    <w:p w14:paraId="31771FB9" w14:textId="63247E2B" w:rsidR="00CC2A24" w:rsidRDefault="00AA5A4D" w:rsidP="00CC2A24">
      <w:pPr>
        <w:pStyle w:val="TOC2"/>
        <w:tabs>
          <w:tab w:val="right" w:leader="dot" w:pos="8630"/>
        </w:tabs>
        <w:spacing w:line="360" w:lineRule="auto"/>
        <w:rPr>
          <w:noProof/>
        </w:rPr>
      </w:pPr>
      <w:hyperlink w:anchor="_Toc428279013" w:history="1">
        <w:r w:rsidR="00CC2A24" w:rsidRPr="001C0BB7">
          <w:rPr>
            <w:rStyle w:val="Hyperlink"/>
            <w:noProof/>
          </w:rPr>
          <w:t xml:space="preserve">Introduction </w:t>
        </w:r>
        <w:r w:rsidR="00CC2A24" w:rsidRPr="005A514D">
          <w:rPr>
            <w:noProof/>
            <w:webHidden/>
          </w:rPr>
          <w:tab/>
        </w:r>
      </w:hyperlink>
      <w:r w:rsidR="00FE2931">
        <w:rPr>
          <w:noProof/>
        </w:rPr>
        <w:t>41</w:t>
      </w:r>
    </w:p>
    <w:p w14:paraId="4208C75C" w14:textId="5143A07B" w:rsidR="00CC2A24" w:rsidRPr="001C0BB7" w:rsidRDefault="00AA5A4D" w:rsidP="00CC2A24">
      <w:pPr>
        <w:pStyle w:val="TOC2"/>
        <w:tabs>
          <w:tab w:val="right" w:leader="dot" w:pos="8630"/>
        </w:tabs>
        <w:spacing w:line="360" w:lineRule="auto"/>
        <w:rPr>
          <w:rFonts w:eastAsiaTheme="minorEastAsia"/>
          <w:noProof/>
          <w:sz w:val="22"/>
          <w:szCs w:val="22"/>
        </w:rPr>
      </w:pPr>
      <w:hyperlink w:anchor="_Toc428279012" w:history="1">
        <w:r w:rsidR="00CC2A24">
          <w:rPr>
            <w:rStyle w:val="Hyperlink"/>
            <w:noProof/>
          </w:rPr>
          <w:t>Materials and Methods</w:t>
        </w:r>
        <w:r w:rsidR="00CC2A24" w:rsidRPr="005A514D">
          <w:rPr>
            <w:noProof/>
            <w:webHidden/>
          </w:rPr>
          <w:tab/>
        </w:r>
      </w:hyperlink>
      <w:r w:rsidR="00FE2931">
        <w:rPr>
          <w:noProof/>
        </w:rPr>
        <w:t>42</w:t>
      </w:r>
    </w:p>
    <w:p w14:paraId="65D4F561" w14:textId="322995AF" w:rsidR="00CC2A24" w:rsidRPr="001C0BB7" w:rsidRDefault="00AA5A4D" w:rsidP="00CC2A24">
      <w:pPr>
        <w:pStyle w:val="TOC2"/>
        <w:tabs>
          <w:tab w:val="right" w:leader="dot" w:pos="8630"/>
        </w:tabs>
        <w:spacing w:line="360" w:lineRule="auto"/>
        <w:rPr>
          <w:rFonts w:eastAsiaTheme="minorEastAsia"/>
          <w:noProof/>
          <w:sz w:val="22"/>
          <w:szCs w:val="22"/>
        </w:rPr>
      </w:pPr>
      <w:hyperlink w:anchor="_Toc428279013" w:history="1">
        <w:r w:rsidR="00CC2A24" w:rsidRPr="001C0BB7">
          <w:rPr>
            <w:rStyle w:val="Hyperlink"/>
            <w:noProof/>
          </w:rPr>
          <w:t xml:space="preserve">Results </w:t>
        </w:r>
        <w:r w:rsidR="00CC2A24" w:rsidRPr="005A514D">
          <w:rPr>
            <w:noProof/>
            <w:webHidden/>
          </w:rPr>
          <w:tab/>
        </w:r>
      </w:hyperlink>
      <w:r w:rsidR="00FE2931">
        <w:rPr>
          <w:noProof/>
        </w:rPr>
        <w:t>52</w:t>
      </w:r>
    </w:p>
    <w:p w14:paraId="35D665BA" w14:textId="5471134D" w:rsidR="00CC2A24" w:rsidRPr="001C0BB7" w:rsidRDefault="00AA5A4D" w:rsidP="00CC2A24">
      <w:pPr>
        <w:pStyle w:val="TOC2"/>
        <w:tabs>
          <w:tab w:val="right" w:leader="dot" w:pos="8630"/>
        </w:tabs>
        <w:spacing w:line="360" w:lineRule="auto"/>
        <w:rPr>
          <w:rFonts w:eastAsiaTheme="minorEastAsia"/>
          <w:noProof/>
          <w:sz w:val="22"/>
          <w:szCs w:val="22"/>
        </w:rPr>
      </w:pPr>
      <w:hyperlink w:anchor="_Toc428279013" w:history="1">
        <w:r w:rsidR="00CC2A24" w:rsidRPr="001C0BB7">
          <w:rPr>
            <w:rStyle w:val="Hyperlink"/>
            <w:noProof/>
          </w:rPr>
          <w:t xml:space="preserve">Discussion </w:t>
        </w:r>
        <w:r w:rsidR="00CC2A24" w:rsidRPr="005A514D">
          <w:rPr>
            <w:noProof/>
            <w:webHidden/>
          </w:rPr>
          <w:tab/>
        </w:r>
      </w:hyperlink>
      <w:r w:rsidR="00FE2931">
        <w:rPr>
          <w:noProof/>
        </w:rPr>
        <w:t>80</w:t>
      </w:r>
    </w:p>
    <w:p w14:paraId="7D096217" w14:textId="63B6DEB1" w:rsidR="00CC2A24" w:rsidRPr="001C0BB7" w:rsidRDefault="00AA5A4D" w:rsidP="00CC2A24">
      <w:pPr>
        <w:pStyle w:val="TOC2"/>
        <w:tabs>
          <w:tab w:val="right" w:leader="dot" w:pos="8630"/>
        </w:tabs>
        <w:spacing w:line="360" w:lineRule="auto"/>
        <w:rPr>
          <w:rFonts w:eastAsiaTheme="minorEastAsia"/>
          <w:noProof/>
          <w:sz w:val="22"/>
          <w:szCs w:val="22"/>
        </w:rPr>
      </w:pPr>
      <w:hyperlink w:anchor="_Toc428279017" w:history="1">
        <w:r w:rsidR="00CC2A24" w:rsidRPr="001C0BB7">
          <w:rPr>
            <w:rStyle w:val="Hyperlink"/>
            <w:noProof/>
          </w:rPr>
          <w:t>References</w:t>
        </w:r>
        <w:r w:rsidR="00CC2A24" w:rsidRPr="005A514D">
          <w:rPr>
            <w:noProof/>
            <w:webHidden/>
          </w:rPr>
          <w:tab/>
        </w:r>
      </w:hyperlink>
      <w:r w:rsidR="00170273">
        <w:rPr>
          <w:noProof/>
        </w:rPr>
        <w:t>86</w:t>
      </w:r>
    </w:p>
    <w:p w14:paraId="6C04FE2B" w14:textId="798A151F" w:rsidR="00CC2A24" w:rsidRDefault="00AA5A4D" w:rsidP="00CC2A24">
      <w:pPr>
        <w:pStyle w:val="TOC1"/>
        <w:tabs>
          <w:tab w:val="right" w:leader="dot" w:pos="8630"/>
        </w:tabs>
        <w:spacing w:line="360" w:lineRule="auto"/>
        <w:rPr>
          <w:noProof/>
        </w:rPr>
      </w:pPr>
      <w:hyperlink w:anchor="_Toc428279011" w:history="1">
        <w:r w:rsidR="00CC2A24" w:rsidRPr="001C0BB7">
          <w:rPr>
            <w:rStyle w:val="Hyperlink"/>
            <w:noProof/>
          </w:rPr>
          <w:t>CHAPTER III</w:t>
        </w:r>
        <w:r w:rsidR="00CC2A24" w:rsidRPr="005A514D">
          <w:rPr>
            <w:noProof/>
            <w:webHidden/>
          </w:rPr>
          <w:tab/>
        </w:r>
        <w:r w:rsidR="00170273">
          <w:rPr>
            <w:noProof/>
            <w:webHidden/>
          </w:rPr>
          <w:t>9</w:t>
        </w:r>
        <w:r w:rsidR="00CC2A24" w:rsidRPr="005A514D">
          <w:rPr>
            <w:noProof/>
            <w:webHidden/>
          </w:rPr>
          <w:t>3</w:t>
        </w:r>
      </w:hyperlink>
    </w:p>
    <w:p w14:paraId="1697B488" w14:textId="5DFBE299" w:rsidR="00CC2A24" w:rsidRPr="001C0BB7" w:rsidRDefault="00AA5A4D" w:rsidP="00CC2A24">
      <w:pPr>
        <w:pStyle w:val="TOC2"/>
        <w:tabs>
          <w:tab w:val="right" w:leader="dot" w:pos="8630"/>
        </w:tabs>
        <w:spacing w:line="360" w:lineRule="auto"/>
        <w:rPr>
          <w:rFonts w:eastAsiaTheme="minorEastAsia"/>
          <w:noProof/>
          <w:sz w:val="22"/>
          <w:szCs w:val="22"/>
        </w:rPr>
      </w:pPr>
      <w:hyperlink w:anchor="_Toc428279012" w:history="1">
        <w:r w:rsidR="00CC2A24">
          <w:rPr>
            <w:rStyle w:val="Hyperlink"/>
            <w:noProof/>
          </w:rPr>
          <w:t>Publication note</w:t>
        </w:r>
        <w:r w:rsidR="00CC2A24" w:rsidRPr="005A514D">
          <w:rPr>
            <w:noProof/>
            <w:webHidden/>
          </w:rPr>
          <w:tab/>
        </w:r>
      </w:hyperlink>
      <w:r w:rsidR="00170273">
        <w:rPr>
          <w:noProof/>
        </w:rPr>
        <w:t>94</w:t>
      </w:r>
    </w:p>
    <w:p w14:paraId="54F57117" w14:textId="4576AF64" w:rsidR="00CC2A24" w:rsidRPr="001C0BB7" w:rsidRDefault="00AA5A4D" w:rsidP="00CC2A24">
      <w:pPr>
        <w:pStyle w:val="TOC2"/>
        <w:tabs>
          <w:tab w:val="right" w:leader="dot" w:pos="8630"/>
        </w:tabs>
        <w:spacing w:line="360" w:lineRule="auto"/>
        <w:rPr>
          <w:rFonts w:eastAsiaTheme="minorEastAsia"/>
          <w:noProof/>
          <w:sz w:val="22"/>
          <w:szCs w:val="22"/>
        </w:rPr>
      </w:pPr>
      <w:hyperlink w:anchor="_Toc428279012" w:history="1">
        <w:r w:rsidR="00CC2A24" w:rsidRPr="001C0BB7">
          <w:rPr>
            <w:rStyle w:val="Hyperlink"/>
            <w:noProof/>
          </w:rPr>
          <w:t>Abstract</w:t>
        </w:r>
        <w:r w:rsidR="00CC2A24" w:rsidRPr="005A514D">
          <w:rPr>
            <w:noProof/>
            <w:webHidden/>
          </w:rPr>
          <w:tab/>
        </w:r>
      </w:hyperlink>
      <w:r w:rsidR="00170273">
        <w:rPr>
          <w:noProof/>
        </w:rPr>
        <w:t>95</w:t>
      </w:r>
    </w:p>
    <w:p w14:paraId="67005539" w14:textId="753368CA" w:rsidR="00CC2A24" w:rsidRDefault="00AA5A4D" w:rsidP="00CC2A24">
      <w:pPr>
        <w:pStyle w:val="TOC2"/>
        <w:tabs>
          <w:tab w:val="right" w:leader="dot" w:pos="8630"/>
        </w:tabs>
        <w:spacing w:line="360" w:lineRule="auto"/>
        <w:rPr>
          <w:noProof/>
        </w:rPr>
      </w:pPr>
      <w:hyperlink w:anchor="_Toc428279013" w:history="1">
        <w:r w:rsidR="00CC2A24" w:rsidRPr="001C0BB7">
          <w:rPr>
            <w:rStyle w:val="Hyperlink"/>
            <w:noProof/>
          </w:rPr>
          <w:t xml:space="preserve">Introduction </w:t>
        </w:r>
        <w:r w:rsidR="00CC2A24" w:rsidRPr="00347267">
          <w:rPr>
            <w:noProof/>
            <w:webHidden/>
          </w:rPr>
          <w:tab/>
        </w:r>
        <w:r w:rsidR="00170273">
          <w:rPr>
            <w:noProof/>
            <w:webHidden/>
          </w:rPr>
          <w:t>9</w:t>
        </w:r>
        <w:r w:rsidR="00CC2A24" w:rsidRPr="00347267">
          <w:rPr>
            <w:noProof/>
            <w:webHidden/>
          </w:rPr>
          <w:t>6</w:t>
        </w:r>
      </w:hyperlink>
    </w:p>
    <w:p w14:paraId="12D24BB1" w14:textId="6C4E304B" w:rsidR="00CC2A24" w:rsidRPr="001C0BB7" w:rsidRDefault="00AA5A4D" w:rsidP="00CC2A24">
      <w:pPr>
        <w:pStyle w:val="TOC2"/>
        <w:tabs>
          <w:tab w:val="right" w:leader="dot" w:pos="8630"/>
        </w:tabs>
        <w:spacing w:line="360" w:lineRule="auto"/>
        <w:rPr>
          <w:rFonts w:eastAsiaTheme="minorEastAsia"/>
          <w:noProof/>
          <w:sz w:val="22"/>
          <w:szCs w:val="22"/>
        </w:rPr>
      </w:pPr>
      <w:hyperlink w:anchor="_Toc428279012" w:history="1">
        <w:r w:rsidR="00CC2A24">
          <w:rPr>
            <w:rStyle w:val="Hyperlink"/>
            <w:noProof/>
          </w:rPr>
          <w:t>Materials and Methods</w:t>
        </w:r>
        <w:r w:rsidR="00CC2A24" w:rsidRPr="00347267">
          <w:rPr>
            <w:noProof/>
            <w:webHidden/>
          </w:rPr>
          <w:tab/>
        </w:r>
        <w:r w:rsidR="00170273">
          <w:rPr>
            <w:noProof/>
            <w:webHidden/>
          </w:rPr>
          <w:t>98</w:t>
        </w:r>
      </w:hyperlink>
    </w:p>
    <w:p w14:paraId="28AE92EE" w14:textId="1AA73D9D" w:rsidR="00CC2A24" w:rsidRPr="001C0BB7" w:rsidRDefault="00AA5A4D" w:rsidP="00CC2A24">
      <w:pPr>
        <w:pStyle w:val="TOC2"/>
        <w:tabs>
          <w:tab w:val="right" w:leader="dot" w:pos="8630"/>
        </w:tabs>
        <w:spacing w:line="360" w:lineRule="auto"/>
        <w:rPr>
          <w:rFonts w:eastAsiaTheme="minorEastAsia"/>
          <w:noProof/>
          <w:sz w:val="22"/>
          <w:szCs w:val="22"/>
        </w:rPr>
      </w:pPr>
      <w:hyperlink w:anchor="_Toc428279013" w:history="1">
        <w:r w:rsidR="00CC2A24" w:rsidRPr="001C0BB7">
          <w:rPr>
            <w:rStyle w:val="Hyperlink"/>
            <w:noProof/>
          </w:rPr>
          <w:t xml:space="preserve">Results </w:t>
        </w:r>
        <w:r w:rsidR="00CC2A24" w:rsidRPr="00347267">
          <w:rPr>
            <w:noProof/>
            <w:webHidden/>
          </w:rPr>
          <w:tab/>
        </w:r>
      </w:hyperlink>
      <w:r w:rsidR="00170273">
        <w:rPr>
          <w:noProof/>
        </w:rPr>
        <w:t>102</w:t>
      </w:r>
    </w:p>
    <w:p w14:paraId="4C476ED4" w14:textId="4F919834" w:rsidR="00CC2A24" w:rsidRPr="001C0BB7" w:rsidRDefault="00AA5A4D" w:rsidP="00CC2A24">
      <w:pPr>
        <w:pStyle w:val="TOC2"/>
        <w:tabs>
          <w:tab w:val="right" w:leader="dot" w:pos="8630"/>
        </w:tabs>
        <w:spacing w:line="360" w:lineRule="auto"/>
        <w:rPr>
          <w:rFonts w:eastAsiaTheme="minorEastAsia"/>
          <w:noProof/>
          <w:sz w:val="22"/>
          <w:szCs w:val="22"/>
        </w:rPr>
      </w:pPr>
      <w:hyperlink w:anchor="_Toc428279013" w:history="1">
        <w:r w:rsidR="00CC2A24" w:rsidRPr="001C0BB7">
          <w:rPr>
            <w:rStyle w:val="Hyperlink"/>
            <w:noProof/>
          </w:rPr>
          <w:t xml:space="preserve">Discussion </w:t>
        </w:r>
        <w:r w:rsidR="00CC2A24" w:rsidRPr="00347267">
          <w:rPr>
            <w:noProof/>
            <w:webHidden/>
          </w:rPr>
          <w:tab/>
        </w:r>
      </w:hyperlink>
      <w:r w:rsidR="00170273">
        <w:rPr>
          <w:noProof/>
        </w:rPr>
        <w:t>112</w:t>
      </w:r>
    </w:p>
    <w:p w14:paraId="6B73A7F6" w14:textId="3077DA76" w:rsidR="00CC2A24" w:rsidRPr="001C0BB7" w:rsidRDefault="00AA5A4D" w:rsidP="00CC2A24">
      <w:pPr>
        <w:pStyle w:val="TOC2"/>
        <w:tabs>
          <w:tab w:val="right" w:leader="dot" w:pos="8630"/>
        </w:tabs>
        <w:spacing w:line="360" w:lineRule="auto"/>
        <w:rPr>
          <w:rFonts w:eastAsiaTheme="minorEastAsia"/>
          <w:noProof/>
          <w:sz w:val="22"/>
          <w:szCs w:val="22"/>
        </w:rPr>
      </w:pPr>
      <w:hyperlink w:anchor="_Toc428279017" w:history="1">
        <w:r w:rsidR="00CC2A24" w:rsidRPr="001C0BB7">
          <w:rPr>
            <w:rStyle w:val="Hyperlink"/>
            <w:noProof/>
          </w:rPr>
          <w:t>References</w:t>
        </w:r>
        <w:r w:rsidR="00CC2A24" w:rsidRPr="005A514D">
          <w:rPr>
            <w:noProof/>
            <w:webHidden/>
          </w:rPr>
          <w:tab/>
        </w:r>
      </w:hyperlink>
      <w:r w:rsidR="00170273">
        <w:rPr>
          <w:noProof/>
        </w:rPr>
        <w:t>119</w:t>
      </w:r>
    </w:p>
    <w:p w14:paraId="4EFF6640" w14:textId="4B56329C" w:rsidR="00CC2A24" w:rsidRDefault="00AA5A4D" w:rsidP="00CC2A24">
      <w:pPr>
        <w:pStyle w:val="TOC1"/>
        <w:tabs>
          <w:tab w:val="right" w:leader="dot" w:pos="8630"/>
        </w:tabs>
        <w:spacing w:line="360" w:lineRule="auto"/>
        <w:rPr>
          <w:noProof/>
        </w:rPr>
      </w:pPr>
      <w:hyperlink w:anchor="_Toc428279011" w:history="1">
        <w:r w:rsidR="00CC2A24" w:rsidRPr="001C0BB7">
          <w:rPr>
            <w:rStyle w:val="Hyperlink"/>
            <w:noProof/>
          </w:rPr>
          <w:t>CHAPTER IV</w:t>
        </w:r>
        <w:r w:rsidR="00CC2A24" w:rsidRPr="005A514D">
          <w:rPr>
            <w:noProof/>
            <w:webHidden/>
          </w:rPr>
          <w:tab/>
        </w:r>
        <w:r w:rsidR="00170273">
          <w:rPr>
            <w:noProof/>
            <w:webHidden/>
          </w:rPr>
          <w:t>122</w:t>
        </w:r>
      </w:hyperlink>
    </w:p>
    <w:p w14:paraId="37029605" w14:textId="6F199BC2" w:rsidR="00CC2A24" w:rsidRPr="001C0BB7" w:rsidRDefault="00AA5A4D" w:rsidP="00CC2A24">
      <w:pPr>
        <w:pStyle w:val="TOC2"/>
        <w:tabs>
          <w:tab w:val="right" w:leader="dot" w:pos="8630"/>
        </w:tabs>
        <w:spacing w:line="360" w:lineRule="auto"/>
        <w:rPr>
          <w:rFonts w:eastAsiaTheme="minorEastAsia"/>
          <w:noProof/>
          <w:sz w:val="22"/>
          <w:szCs w:val="22"/>
        </w:rPr>
      </w:pPr>
      <w:hyperlink w:anchor="_Toc428279012" w:history="1">
        <w:r w:rsidR="00CC2A24">
          <w:rPr>
            <w:rStyle w:val="Hyperlink"/>
            <w:noProof/>
          </w:rPr>
          <w:t>Publication note</w:t>
        </w:r>
        <w:r w:rsidR="00CC2A24" w:rsidRPr="005A514D">
          <w:rPr>
            <w:noProof/>
            <w:webHidden/>
          </w:rPr>
          <w:tab/>
        </w:r>
        <w:r w:rsidR="00170273">
          <w:rPr>
            <w:noProof/>
            <w:webHidden/>
          </w:rPr>
          <w:t>12</w:t>
        </w:r>
        <w:r w:rsidR="00CC2A24" w:rsidRPr="005A514D">
          <w:rPr>
            <w:noProof/>
            <w:webHidden/>
          </w:rPr>
          <w:t>3</w:t>
        </w:r>
      </w:hyperlink>
    </w:p>
    <w:p w14:paraId="7941FF73" w14:textId="2EC20796" w:rsidR="00CC2A24" w:rsidRPr="001C0BB7" w:rsidRDefault="00AA5A4D" w:rsidP="00CC2A24">
      <w:pPr>
        <w:pStyle w:val="TOC2"/>
        <w:tabs>
          <w:tab w:val="right" w:leader="dot" w:pos="8630"/>
        </w:tabs>
        <w:spacing w:line="360" w:lineRule="auto"/>
        <w:rPr>
          <w:rFonts w:eastAsiaTheme="minorEastAsia"/>
          <w:noProof/>
          <w:sz w:val="22"/>
          <w:szCs w:val="22"/>
        </w:rPr>
      </w:pPr>
      <w:hyperlink w:anchor="_Toc428279012" w:history="1">
        <w:r w:rsidR="00CC2A24" w:rsidRPr="001C0BB7">
          <w:rPr>
            <w:rStyle w:val="Hyperlink"/>
            <w:noProof/>
          </w:rPr>
          <w:t>Abstract</w:t>
        </w:r>
        <w:r w:rsidR="00CC2A24" w:rsidRPr="005A514D">
          <w:rPr>
            <w:noProof/>
            <w:webHidden/>
          </w:rPr>
          <w:tab/>
        </w:r>
        <w:r w:rsidR="00170273">
          <w:rPr>
            <w:noProof/>
            <w:webHidden/>
          </w:rPr>
          <w:t>124</w:t>
        </w:r>
      </w:hyperlink>
    </w:p>
    <w:p w14:paraId="73F1E379" w14:textId="5C62554A" w:rsidR="00CC2A24" w:rsidRDefault="00AA5A4D" w:rsidP="00CC2A24">
      <w:pPr>
        <w:pStyle w:val="TOC2"/>
        <w:tabs>
          <w:tab w:val="right" w:leader="dot" w:pos="8630"/>
        </w:tabs>
        <w:spacing w:line="360" w:lineRule="auto"/>
        <w:rPr>
          <w:noProof/>
        </w:rPr>
      </w:pPr>
      <w:hyperlink w:anchor="_Toc428279013" w:history="1">
        <w:r w:rsidR="00CC2A24" w:rsidRPr="001C0BB7">
          <w:rPr>
            <w:rStyle w:val="Hyperlink"/>
            <w:noProof/>
          </w:rPr>
          <w:t xml:space="preserve">Introduction </w:t>
        </w:r>
        <w:r w:rsidR="00CC2A24" w:rsidRPr="005A514D">
          <w:rPr>
            <w:noProof/>
            <w:webHidden/>
          </w:rPr>
          <w:tab/>
        </w:r>
        <w:r w:rsidR="00170273">
          <w:rPr>
            <w:noProof/>
            <w:webHidden/>
          </w:rPr>
          <w:t>125</w:t>
        </w:r>
      </w:hyperlink>
    </w:p>
    <w:p w14:paraId="21B08D2C" w14:textId="15E09DF4" w:rsidR="00CC2A24" w:rsidRPr="001C0BB7" w:rsidRDefault="00AA5A4D" w:rsidP="00CC2A24">
      <w:pPr>
        <w:pStyle w:val="TOC2"/>
        <w:tabs>
          <w:tab w:val="right" w:leader="dot" w:pos="8630"/>
        </w:tabs>
        <w:spacing w:line="360" w:lineRule="auto"/>
        <w:rPr>
          <w:rFonts w:eastAsiaTheme="minorEastAsia"/>
          <w:noProof/>
          <w:sz w:val="22"/>
          <w:szCs w:val="22"/>
        </w:rPr>
      </w:pPr>
      <w:hyperlink w:anchor="_Toc428279012" w:history="1">
        <w:r w:rsidR="00CC2A24">
          <w:rPr>
            <w:rStyle w:val="Hyperlink"/>
            <w:noProof/>
          </w:rPr>
          <w:t>Materials and Methods</w:t>
        </w:r>
        <w:r w:rsidR="00CC2A24" w:rsidRPr="005A514D">
          <w:rPr>
            <w:noProof/>
            <w:webHidden/>
          </w:rPr>
          <w:tab/>
        </w:r>
        <w:r w:rsidR="00170273">
          <w:rPr>
            <w:noProof/>
            <w:webHidden/>
          </w:rPr>
          <w:t>127</w:t>
        </w:r>
      </w:hyperlink>
    </w:p>
    <w:p w14:paraId="0D24A056" w14:textId="6224CB4F" w:rsidR="00CC2A24" w:rsidRPr="001C0BB7" w:rsidRDefault="00AA5A4D" w:rsidP="00CC2A24">
      <w:pPr>
        <w:pStyle w:val="TOC2"/>
        <w:tabs>
          <w:tab w:val="right" w:leader="dot" w:pos="8630"/>
        </w:tabs>
        <w:spacing w:line="360" w:lineRule="auto"/>
        <w:rPr>
          <w:rFonts w:eastAsiaTheme="minorEastAsia"/>
          <w:noProof/>
          <w:sz w:val="22"/>
          <w:szCs w:val="22"/>
        </w:rPr>
      </w:pPr>
      <w:hyperlink w:anchor="_Toc428279013" w:history="1">
        <w:r w:rsidR="00CC2A24" w:rsidRPr="001C0BB7">
          <w:rPr>
            <w:rStyle w:val="Hyperlink"/>
            <w:noProof/>
          </w:rPr>
          <w:t xml:space="preserve">Results </w:t>
        </w:r>
        <w:r w:rsidR="00CC2A24" w:rsidRPr="005A514D">
          <w:rPr>
            <w:noProof/>
            <w:webHidden/>
          </w:rPr>
          <w:tab/>
        </w:r>
        <w:r w:rsidR="00170273">
          <w:rPr>
            <w:noProof/>
            <w:webHidden/>
          </w:rPr>
          <w:t>1</w:t>
        </w:r>
        <w:r w:rsidR="00CC2A24" w:rsidRPr="005A514D">
          <w:rPr>
            <w:noProof/>
            <w:webHidden/>
          </w:rPr>
          <w:t>3</w:t>
        </w:r>
      </w:hyperlink>
      <w:r w:rsidR="00170273">
        <w:rPr>
          <w:noProof/>
        </w:rPr>
        <w:t>4</w:t>
      </w:r>
    </w:p>
    <w:p w14:paraId="5127C46E" w14:textId="39354C39" w:rsidR="00CC2A24" w:rsidRPr="001C0BB7" w:rsidRDefault="00AA5A4D" w:rsidP="00CC2A24">
      <w:pPr>
        <w:pStyle w:val="TOC2"/>
        <w:tabs>
          <w:tab w:val="right" w:leader="dot" w:pos="8630"/>
        </w:tabs>
        <w:spacing w:line="360" w:lineRule="auto"/>
        <w:rPr>
          <w:rFonts w:eastAsiaTheme="minorEastAsia"/>
          <w:noProof/>
          <w:sz w:val="22"/>
          <w:szCs w:val="22"/>
        </w:rPr>
      </w:pPr>
      <w:hyperlink w:anchor="_Toc428279013" w:history="1">
        <w:r w:rsidR="00CC2A24" w:rsidRPr="001C0BB7">
          <w:rPr>
            <w:rStyle w:val="Hyperlink"/>
            <w:noProof/>
          </w:rPr>
          <w:t xml:space="preserve">Discussion </w:t>
        </w:r>
        <w:r w:rsidR="00CC2A24" w:rsidRPr="005A514D">
          <w:rPr>
            <w:noProof/>
            <w:webHidden/>
          </w:rPr>
          <w:tab/>
        </w:r>
      </w:hyperlink>
      <w:r w:rsidR="00F456D1">
        <w:rPr>
          <w:noProof/>
        </w:rPr>
        <w:t>148</w:t>
      </w:r>
    </w:p>
    <w:p w14:paraId="7DA78AD8" w14:textId="300001CA" w:rsidR="00CC2A24" w:rsidRPr="001C0BB7" w:rsidRDefault="00AA5A4D" w:rsidP="00CC2A24">
      <w:pPr>
        <w:pStyle w:val="TOC2"/>
        <w:tabs>
          <w:tab w:val="right" w:leader="dot" w:pos="8630"/>
        </w:tabs>
        <w:spacing w:line="360" w:lineRule="auto"/>
        <w:rPr>
          <w:rFonts w:eastAsiaTheme="minorEastAsia"/>
          <w:noProof/>
          <w:sz w:val="22"/>
          <w:szCs w:val="22"/>
        </w:rPr>
      </w:pPr>
      <w:hyperlink w:anchor="_Toc428279017" w:history="1">
        <w:r w:rsidR="00CC2A24" w:rsidRPr="001C0BB7">
          <w:rPr>
            <w:rStyle w:val="Hyperlink"/>
            <w:noProof/>
          </w:rPr>
          <w:t>References</w:t>
        </w:r>
        <w:r w:rsidR="00CC2A24" w:rsidRPr="005A514D">
          <w:rPr>
            <w:noProof/>
            <w:webHidden/>
          </w:rPr>
          <w:tab/>
        </w:r>
      </w:hyperlink>
      <w:r w:rsidR="00F456D1">
        <w:rPr>
          <w:noProof/>
        </w:rPr>
        <w:t>156</w:t>
      </w:r>
    </w:p>
    <w:p w14:paraId="1F868D56" w14:textId="1F8EDF9C" w:rsidR="00CC2A24" w:rsidRPr="001C0BB7" w:rsidRDefault="00CC2A24" w:rsidP="00CC2A24">
      <w:pPr>
        <w:pStyle w:val="TOC1"/>
        <w:tabs>
          <w:tab w:val="right" w:leader="dot" w:pos="8630"/>
        </w:tabs>
        <w:spacing w:line="360" w:lineRule="auto"/>
        <w:rPr>
          <w:rFonts w:eastAsiaTheme="minorEastAsia"/>
          <w:noProof/>
          <w:sz w:val="22"/>
          <w:szCs w:val="22"/>
        </w:rPr>
      </w:pPr>
      <w:r w:rsidRPr="001C0BB7">
        <w:t xml:space="preserve">CHAPTER V </w:t>
      </w:r>
      <w:hyperlink w:anchor="_Toc428279030" w:history="1">
        <w:r w:rsidRPr="001C0BB7">
          <w:rPr>
            <w:rStyle w:val="Hyperlink"/>
            <w:noProof/>
          </w:rPr>
          <w:t>C</w:t>
        </w:r>
        <w:r>
          <w:rPr>
            <w:rStyle w:val="Hyperlink"/>
            <w:noProof/>
          </w:rPr>
          <w:t>onclusions and future direction</w:t>
        </w:r>
        <w:r w:rsidRPr="005A514D">
          <w:rPr>
            <w:noProof/>
            <w:webHidden/>
          </w:rPr>
          <w:tab/>
        </w:r>
        <w:r w:rsidR="00F456D1">
          <w:rPr>
            <w:noProof/>
            <w:webHidden/>
          </w:rPr>
          <w:t>159</w:t>
        </w:r>
      </w:hyperlink>
    </w:p>
    <w:p w14:paraId="07E8E24E" w14:textId="61F6C3EA" w:rsidR="00CC2A24" w:rsidRPr="001C0BB7" w:rsidRDefault="00AA5A4D" w:rsidP="00CC2A24">
      <w:pPr>
        <w:pStyle w:val="TOC1"/>
        <w:tabs>
          <w:tab w:val="right" w:leader="dot" w:pos="8630"/>
        </w:tabs>
        <w:spacing w:line="360" w:lineRule="auto"/>
        <w:rPr>
          <w:rFonts w:eastAsiaTheme="minorEastAsia"/>
          <w:noProof/>
          <w:sz w:val="22"/>
          <w:szCs w:val="22"/>
        </w:rPr>
      </w:pPr>
      <w:hyperlink w:anchor="_Toc428279032" w:history="1">
        <w:r w:rsidR="00CC2A24" w:rsidRPr="001C0BB7">
          <w:rPr>
            <w:rStyle w:val="Hyperlink"/>
            <w:noProof/>
          </w:rPr>
          <w:t>VITA</w:t>
        </w:r>
        <w:r w:rsidR="00CC2A24" w:rsidRPr="005A514D">
          <w:rPr>
            <w:noProof/>
            <w:webHidden/>
          </w:rPr>
          <w:tab/>
        </w:r>
      </w:hyperlink>
      <w:r w:rsidR="00F456D1">
        <w:rPr>
          <w:noProof/>
        </w:rPr>
        <w:t>170</w:t>
      </w:r>
    </w:p>
    <w:p w14:paraId="0C3E7772" w14:textId="77777777" w:rsidR="00CC2A24" w:rsidRPr="001C0BB7" w:rsidRDefault="00CC2A24" w:rsidP="00CC2A24">
      <w:pPr>
        <w:spacing w:line="360" w:lineRule="auto"/>
      </w:pPr>
      <w:r w:rsidRPr="001C0BB7">
        <w:rPr>
          <w:b/>
          <w:bCs/>
          <w:noProof/>
        </w:rPr>
        <w:fldChar w:fldCharType="end"/>
      </w:r>
    </w:p>
    <w:p w14:paraId="5379113A" w14:textId="77777777" w:rsidR="00CC2A24" w:rsidRPr="001C0BB7" w:rsidRDefault="00CC2A24" w:rsidP="00CC2A24">
      <w:pPr>
        <w:pStyle w:val="Title"/>
        <w:spacing w:line="360" w:lineRule="auto"/>
        <w:jc w:val="left"/>
      </w:pPr>
      <w:r w:rsidRPr="001C0BB7">
        <w:br w:type="page"/>
      </w:r>
    </w:p>
    <w:p w14:paraId="6696BC7A" w14:textId="77777777" w:rsidR="00CC2A24" w:rsidRPr="000D72D9" w:rsidRDefault="00CC2A24" w:rsidP="00CC2A24">
      <w:pPr>
        <w:numPr>
          <w:ilvl w:val="12"/>
          <w:numId w:val="0"/>
        </w:numPr>
        <w:spacing w:line="360" w:lineRule="auto"/>
        <w:jc w:val="center"/>
      </w:pPr>
      <w:r w:rsidRPr="000D72D9">
        <w:rPr>
          <w:b/>
          <w:bCs/>
          <w:sz w:val="28"/>
          <w:szCs w:val="28"/>
        </w:rPr>
        <w:lastRenderedPageBreak/>
        <w:t>LIST OF TABLES</w:t>
      </w:r>
    </w:p>
    <w:p w14:paraId="3FC98F6E" w14:textId="77777777" w:rsidR="00CC2A24" w:rsidRPr="000D72D9" w:rsidRDefault="00CC2A24" w:rsidP="00CC2A24">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360" w:lineRule="auto"/>
        <w:ind w:left="8280" w:hanging="8280"/>
      </w:pPr>
    </w:p>
    <w:p w14:paraId="32903326" w14:textId="58583FCA" w:rsidR="00CC2A24" w:rsidRPr="000D72D9" w:rsidRDefault="00CC2A24" w:rsidP="00607A2B">
      <w:pPr>
        <w:tabs>
          <w:tab w:val="right" w:leader="dot" w:pos="8630"/>
        </w:tabs>
        <w:spacing w:line="360" w:lineRule="auto"/>
        <w:rPr>
          <w:rFonts w:ascii="Calibri" w:hAnsi="Calibri" w:cs="Times New Roman"/>
          <w:noProof/>
          <w:sz w:val="22"/>
          <w:szCs w:val="22"/>
        </w:rPr>
      </w:pPr>
      <w:r w:rsidRPr="000D72D9">
        <w:fldChar w:fldCharType="begin"/>
      </w:r>
      <w:r w:rsidRPr="000D72D9">
        <w:instrText xml:space="preserve"> TOC \h \z \c "Table" </w:instrText>
      </w:r>
      <w:r w:rsidRPr="000D72D9">
        <w:fldChar w:fldCharType="separate"/>
      </w:r>
      <w:hyperlink w:anchor="_Toc414285577" w:history="1">
        <w:r w:rsidRPr="000D72D9">
          <w:rPr>
            <w:noProof/>
          </w:rPr>
          <w:t>Table 1.1</w:t>
        </w:r>
        <w:r w:rsidR="00D25092">
          <w:rPr>
            <w:noProof/>
          </w:rPr>
          <w:t>.</w:t>
        </w:r>
        <w:r w:rsidRPr="000D72D9">
          <w:rPr>
            <w:noProof/>
          </w:rPr>
          <w:t xml:space="preserve"> Types of toxin-antitoxin systems and the interaction between toxin and antitoxin.</w:t>
        </w:r>
        <w:r w:rsidRPr="000D72D9">
          <w:rPr>
            <w:noProof/>
            <w:webHidden/>
          </w:rPr>
          <w:tab/>
        </w:r>
      </w:hyperlink>
      <w:r w:rsidR="00FE2931">
        <w:rPr>
          <w:noProof/>
        </w:rPr>
        <w:t>5</w:t>
      </w:r>
    </w:p>
    <w:p w14:paraId="6106F785" w14:textId="4C93FB67" w:rsidR="00CC2A24" w:rsidRPr="000D72D9" w:rsidRDefault="00AA5A4D" w:rsidP="00CC2A24">
      <w:pPr>
        <w:tabs>
          <w:tab w:val="right" w:leader="dot" w:pos="8630"/>
        </w:tabs>
        <w:spacing w:line="360" w:lineRule="auto"/>
        <w:ind w:left="480" w:hanging="480"/>
        <w:rPr>
          <w:noProof/>
        </w:rPr>
      </w:pPr>
      <w:hyperlink w:anchor="_Toc414285578" w:history="1">
        <w:r w:rsidR="00CC2A24" w:rsidRPr="000D72D9">
          <w:rPr>
            <w:noProof/>
          </w:rPr>
          <w:t>Table 1.2</w:t>
        </w:r>
        <w:r w:rsidR="00D25092">
          <w:rPr>
            <w:noProof/>
          </w:rPr>
          <w:t>.</w:t>
        </w:r>
        <w:r w:rsidR="00CC2A24" w:rsidRPr="000D72D9">
          <w:rPr>
            <w:noProof/>
          </w:rPr>
          <w:t xml:space="preserve"> Genetic organization of type I toxin-antitoxin systems</w:t>
        </w:r>
        <w:r w:rsidR="00CC2A24" w:rsidRPr="005A514D">
          <w:rPr>
            <w:noProof/>
            <w:webHidden/>
          </w:rPr>
          <w:tab/>
        </w:r>
      </w:hyperlink>
      <w:r w:rsidR="00FE2931">
        <w:rPr>
          <w:noProof/>
        </w:rPr>
        <w:t>8</w:t>
      </w:r>
    </w:p>
    <w:p w14:paraId="6352846D" w14:textId="64208225" w:rsidR="00CC2A24" w:rsidRPr="000D72D9" w:rsidRDefault="00AA5A4D" w:rsidP="00CC2A24">
      <w:pPr>
        <w:tabs>
          <w:tab w:val="right" w:leader="dot" w:pos="8630"/>
        </w:tabs>
        <w:spacing w:line="360" w:lineRule="auto"/>
        <w:ind w:left="480" w:hanging="480"/>
        <w:rPr>
          <w:noProof/>
        </w:rPr>
      </w:pPr>
      <w:hyperlink w:anchor="_Toc414285577" w:history="1">
        <w:r w:rsidR="00CC2A24" w:rsidRPr="000D72D9">
          <w:rPr>
            <w:noProof/>
          </w:rPr>
          <w:t>Table 2.1</w:t>
        </w:r>
        <w:r w:rsidR="00D25092">
          <w:rPr>
            <w:noProof/>
          </w:rPr>
          <w:t>.</w:t>
        </w:r>
        <w:r w:rsidR="00CC2A24" w:rsidRPr="000D72D9">
          <w:rPr>
            <w:noProof/>
          </w:rPr>
          <w:t xml:space="preserve"> Bacterial strains and plasmids used in this study.</w:t>
        </w:r>
        <w:r w:rsidR="00CC2A24" w:rsidRPr="000D72D9">
          <w:rPr>
            <w:noProof/>
            <w:webHidden/>
          </w:rPr>
          <w:tab/>
          <w:t>4</w:t>
        </w:r>
      </w:hyperlink>
      <w:r w:rsidR="00FE2931">
        <w:rPr>
          <w:noProof/>
        </w:rPr>
        <w:t>3</w:t>
      </w:r>
    </w:p>
    <w:p w14:paraId="6FAF4501" w14:textId="4E2DBC94" w:rsidR="00CC2A24" w:rsidRPr="000D72D9" w:rsidRDefault="00AA5A4D" w:rsidP="00CC2A24">
      <w:pPr>
        <w:tabs>
          <w:tab w:val="right" w:leader="dot" w:pos="8630"/>
        </w:tabs>
        <w:spacing w:line="360" w:lineRule="auto"/>
        <w:ind w:left="480" w:hanging="480"/>
        <w:rPr>
          <w:rFonts w:ascii="Calibri" w:hAnsi="Calibri" w:cs="Times New Roman"/>
          <w:noProof/>
          <w:sz w:val="22"/>
          <w:szCs w:val="22"/>
        </w:rPr>
      </w:pPr>
      <w:hyperlink w:anchor="_Toc414285577" w:history="1">
        <w:r w:rsidR="00CC2A24" w:rsidRPr="000D72D9">
          <w:rPr>
            <w:noProof/>
          </w:rPr>
          <w:t>Table 2.2</w:t>
        </w:r>
        <w:r w:rsidR="00D25092">
          <w:rPr>
            <w:noProof/>
          </w:rPr>
          <w:t>.</w:t>
        </w:r>
        <w:r w:rsidR="00CC2A24" w:rsidRPr="000D72D9">
          <w:rPr>
            <w:noProof/>
          </w:rPr>
          <w:t xml:space="preserve"> Oligonucleotides used in this study.</w:t>
        </w:r>
        <w:r w:rsidR="00CC2A24" w:rsidRPr="000D72D9">
          <w:rPr>
            <w:noProof/>
            <w:webHidden/>
          </w:rPr>
          <w:tab/>
          <w:t>4</w:t>
        </w:r>
      </w:hyperlink>
      <w:r w:rsidR="00FE2931">
        <w:rPr>
          <w:noProof/>
        </w:rPr>
        <w:t>4</w:t>
      </w:r>
    </w:p>
    <w:p w14:paraId="31F7176C" w14:textId="4BA84C43" w:rsidR="00CC2A24" w:rsidRPr="000D72D9" w:rsidRDefault="00AA5A4D" w:rsidP="00CC2A24">
      <w:pPr>
        <w:tabs>
          <w:tab w:val="right" w:leader="dot" w:pos="8630"/>
        </w:tabs>
        <w:spacing w:line="360" w:lineRule="auto"/>
        <w:ind w:left="480" w:hanging="480"/>
        <w:rPr>
          <w:rFonts w:ascii="Calibri" w:hAnsi="Calibri" w:cs="Times New Roman"/>
          <w:noProof/>
          <w:sz w:val="22"/>
          <w:szCs w:val="22"/>
        </w:rPr>
      </w:pPr>
      <w:hyperlink w:anchor="_Toc414285577" w:history="1">
        <w:r w:rsidR="00CC2A24" w:rsidRPr="000D72D9">
          <w:rPr>
            <w:noProof/>
          </w:rPr>
          <w:t>Table 2.3</w:t>
        </w:r>
        <w:r w:rsidR="00D25092">
          <w:rPr>
            <w:noProof/>
          </w:rPr>
          <w:t>.</w:t>
        </w:r>
        <w:r w:rsidR="00CC2A24" w:rsidRPr="000D72D9">
          <w:rPr>
            <w:noProof/>
          </w:rPr>
          <w:t xml:space="preserve"> Median minimum inhibitory concentration for </w:t>
        </w:r>
        <w:r w:rsidR="00CC2A24" w:rsidRPr="000D72D9">
          <w:rPr>
            <w:i/>
            <w:iCs/>
            <w:noProof/>
          </w:rPr>
          <w:t>E. coli</w:t>
        </w:r>
        <w:r w:rsidR="00CC2A24" w:rsidRPr="000D72D9">
          <w:rPr>
            <w:noProof/>
          </w:rPr>
          <w:t xml:space="preserve"> cells harboring pBR322 or pBR-</w:t>
        </w:r>
        <w:r w:rsidR="00CC2A24" w:rsidRPr="000D72D9">
          <w:rPr>
            <w:i/>
            <w:iCs/>
            <w:noProof/>
          </w:rPr>
          <w:t>zor-orz</w:t>
        </w:r>
        <w:r w:rsidR="00CC2A24" w:rsidRPr="000D72D9">
          <w:rPr>
            <w:noProof/>
          </w:rPr>
          <w:t xml:space="preserve"> plasmids grown in Mueller Hinton</w:t>
        </w:r>
        <w:r w:rsidR="00CC2A24" w:rsidRPr="000D72D9">
          <w:rPr>
            <w:noProof/>
            <w:webHidden/>
          </w:rPr>
          <w:tab/>
        </w:r>
      </w:hyperlink>
      <w:r w:rsidR="00FE2931">
        <w:rPr>
          <w:noProof/>
        </w:rPr>
        <w:t>70</w:t>
      </w:r>
    </w:p>
    <w:p w14:paraId="6F4A5EFA" w14:textId="782F5947" w:rsidR="00CC2A24" w:rsidRDefault="00AA5A4D" w:rsidP="00CC2A24">
      <w:pPr>
        <w:pStyle w:val="TableofFigures"/>
        <w:tabs>
          <w:tab w:val="right" w:leader="dot" w:pos="8630"/>
        </w:tabs>
        <w:spacing w:line="360" w:lineRule="auto"/>
        <w:rPr>
          <w:noProof/>
        </w:rPr>
      </w:pPr>
      <w:hyperlink w:anchor="_Toc414285577" w:history="1">
        <w:r w:rsidR="00CC2A24" w:rsidRPr="000B6154">
          <w:rPr>
            <w:rStyle w:val="Hyperlink"/>
            <w:noProof/>
          </w:rPr>
          <w:t xml:space="preserve">Table </w:t>
        </w:r>
        <w:r w:rsidR="00CC2A24">
          <w:rPr>
            <w:rStyle w:val="Hyperlink"/>
            <w:noProof/>
          </w:rPr>
          <w:t>3.1. Total sequencing reads, read qulity, and mapping</w:t>
        </w:r>
        <w:r w:rsidR="00CC2A24">
          <w:rPr>
            <w:noProof/>
            <w:webHidden/>
          </w:rPr>
          <w:tab/>
        </w:r>
      </w:hyperlink>
      <w:r w:rsidR="00170273">
        <w:rPr>
          <w:noProof/>
        </w:rPr>
        <w:t>106</w:t>
      </w:r>
    </w:p>
    <w:p w14:paraId="132A875F" w14:textId="6C6AC578" w:rsidR="00CC2A24" w:rsidRPr="00A62E64" w:rsidRDefault="00AA5A4D" w:rsidP="00CC2A24">
      <w:pPr>
        <w:pStyle w:val="TableofFigures"/>
        <w:tabs>
          <w:tab w:val="right" w:leader="dot" w:pos="8630"/>
        </w:tabs>
        <w:spacing w:line="360" w:lineRule="auto"/>
        <w:rPr>
          <w:noProof/>
        </w:rPr>
      </w:pPr>
      <w:hyperlink w:anchor="_Toc414285577" w:history="1">
        <w:r w:rsidR="00CC2A24" w:rsidRPr="000B6154">
          <w:rPr>
            <w:rStyle w:val="Hyperlink"/>
            <w:noProof/>
          </w:rPr>
          <w:t xml:space="preserve">Table </w:t>
        </w:r>
        <w:r w:rsidR="00CC2A24">
          <w:rPr>
            <w:rStyle w:val="Hyperlink"/>
            <w:noProof/>
          </w:rPr>
          <w:t>3.2. Description of significantly upregulated genes</w:t>
        </w:r>
        <w:r w:rsidR="00CC2A24">
          <w:rPr>
            <w:noProof/>
            <w:webHidden/>
          </w:rPr>
          <w:tab/>
        </w:r>
      </w:hyperlink>
      <w:r w:rsidR="00170273">
        <w:rPr>
          <w:noProof/>
        </w:rPr>
        <w:t>110</w:t>
      </w:r>
    </w:p>
    <w:p w14:paraId="61980660" w14:textId="12827FA8" w:rsidR="00CC2A24" w:rsidRDefault="00AA5A4D" w:rsidP="00CC2A24">
      <w:pPr>
        <w:pStyle w:val="TableofFigures"/>
        <w:tabs>
          <w:tab w:val="right" w:leader="dot" w:pos="8630"/>
        </w:tabs>
        <w:spacing w:line="360" w:lineRule="auto"/>
        <w:rPr>
          <w:noProof/>
        </w:rPr>
      </w:pPr>
      <w:hyperlink w:anchor="_Toc414285577" w:history="1">
        <w:r w:rsidR="00CC2A24" w:rsidRPr="000B6154">
          <w:rPr>
            <w:rStyle w:val="Hyperlink"/>
            <w:noProof/>
          </w:rPr>
          <w:t xml:space="preserve">Table </w:t>
        </w:r>
        <w:r w:rsidR="00CC2A24">
          <w:rPr>
            <w:rStyle w:val="Hyperlink"/>
            <w:noProof/>
          </w:rPr>
          <w:t>4.1</w:t>
        </w:r>
        <w:r w:rsidR="00D25092">
          <w:rPr>
            <w:rStyle w:val="Hyperlink"/>
            <w:noProof/>
          </w:rPr>
          <w:t>.</w:t>
        </w:r>
        <w:r w:rsidR="00CC2A24">
          <w:rPr>
            <w:rStyle w:val="Hyperlink"/>
            <w:noProof/>
          </w:rPr>
          <w:t xml:space="preserve"> Bacterial strains and plasmids used in this study</w:t>
        </w:r>
        <w:r w:rsidR="00CC2A24">
          <w:rPr>
            <w:noProof/>
            <w:webHidden/>
          </w:rPr>
          <w:tab/>
        </w:r>
      </w:hyperlink>
      <w:r w:rsidR="00170273">
        <w:rPr>
          <w:noProof/>
        </w:rPr>
        <w:t>129</w:t>
      </w:r>
    </w:p>
    <w:p w14:paraId="203979ED" w14:textId="3368174A" w:rsidR="00CC2A24" w:rsidRDefault="00AA5A4D" w:rsidP="00CC2A24">
      <w:pPr>
        <w:pStyle w:val="TableofFigures"/>
        <w:tabs>
          <w:tab w:val="right" w:leader="dot" w:pos="8630"/>
        </w:tabs>
        <w:spacing w:line="360" w:lineRule="auto"/>
        <w:rPr>
          <w:noProof/>
        </w:rPr>
      </w:pPr>
      <w:hyperlink w:anchor="_Toc414285577" w:history="1">
        <w:r w:rsidR="00CC2A24" w:rsidRPr="000B6154">
          <w:rPr>
            <w:rStyle w:val="Hyperlink"/>
            <w:noProof/>
          </w:rPr>
          <w:t xml:space="preserve">Table </w:t>
        </w:r>
        <w:r w:rsidR="00CC2A24">
          <w:rPr>
            <w:rStyle w:val="Hyperlink"/>
            <w:noProof/>
          </w:rPr>
          <w:t>4.2</w:t>
        </w:r>
        <w:r w:rsidR="00D25092">
          <w:rPr>
            <w:rStyle w:val="Hyperlink"/>
            <w:noProof/>
          </w:rPr>
          <w:t>.</w:t>
        </w:r>
        <w:r w:rsidR="00CC2A24">
          <w:rPr>
            <w:rStyle w:val="Hyperlink"/>
            <w:noProof/>
          </w:rPr>
          <w:t xml:space="preserve"> Oligonucleotides used in this study</w:t>
        </w:r>
        <w:r w:rsidR="00CC2A24">
          <w:rPr>
            <w:noProof/>
            <w:webHidden/>
          </w:rPr>
          <w:tab/>
        </w:r>
        <w:r w:rsidR="00170273">
          <w:rPr>
            <w:noProof/>
            <w:webHidden/>
          </w:rPr>
          <w:t>131</w:t>
        </w:r>
      </w:hyperlink>
    </w:p>
    <w:p w14:paraId="580745E6" w14:textId="05970B64" w:rsidR="00CC2A24" w:rsidRPr="000D72D9" w:rsidRDefault="00AA5A4D" w:rsidP="00CC2A24">
      <w:pPr>
        <w:pStyle w:val="TableofFigures"/>
        <w:tabs>
          <w:tab w:val="right" w:leader="dot" w:pos="8630"/>
        </w:tabs>
        <w:spacing w:line="360" w:lineRule="auto"/>
        <w:rPr>
          <w:noProof/>
        </w:rPr>
      </w:pPr>
      <w:hyperlink w:anchor="_Toc414285577" w:history="1">
        <w:r w:rsidR="00CC2A24" w:rsidRPr="000B6154">
          <w:rPr>
            <w:rStyle w:val="Hyperlink"/>
            <w:noProof/>
          </w:rPr>
          <w:t xml:space="preserve">Table </w:t>
        </w:r>
        <w:r w:rsidR="00CC2A24">
          <w:rPr>
            <w:rStyle w:val="Hyperlink"/>
            <w:noProof/>
          </w:rPr>
          <w:t>4.3. Point mutants of the charged amino acid residues of ZorO and their respective GRAVY index</w:t>
        </w:r>
        <w:r w:rsidR="00CC2A24">
          <w:rPr>
            <w:noProof/>
            <w:webHidden/>
          </w:rPr>
          <w:tab/>
        </w:r>
      </w:hyperlink>
      <w:r w:rsidR="00170273">
        <w:rPr>
          <w:noProof/>
        </w:rPr>
        <w:t>136</w:t>
      </w:r>
    </w:p>
    <w:p w14:paraId="2A11695D" w14:textId="77777777" w:rsidR="00CC2A24" w:rsidRPr="000D72D9" w:rsidRDefault="00CC2A24" w:rsidP="00CC2A24">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360" w:lineRule="auto"/>
        <w:ind w:left="8280" w:hanging="8280"/>
      </w:pPr>
      <w:r w:rsidRPr="000D72D9">
        <w:fldChar w:fldCharType="end"/>
      </w:r>
    </w:p>
    <w:p w14:paraId="7903E255" w14:textId="77777777" w:rsidR="00CC2A24" w:rsidRPr="000D72D9" w:rsidRDefault="00CC2A24" w:rsidP="00CC2A24">
      <w:pPr>
        <w:spacing w:line="360" w:lineRule="auto"/>
        <w:jc w:val="center"/>
        <w:rPr>
          <w:b/>
        </w:rPr>
      </w:pPr>
      <w:r w:rsidRPr="000D72D9">
        <w:br w:type="page"/>
      </w:r>
      <w:r w:rsidRPr="000D72D9">
        <w:rPr>
          <w:b/>
          <w:sz w:val="28"/>
        </w:rPr>
        <w:lastRenderedPageBreak/>
        <w:t>LIST OF FIGURES</w:t>
      </w:r>
    </w:p>
    <w:p w14:paraId="250ED702" w14:textId="77777777" w:rsidR="00CC2A24" w:rsidRPr="000D72D9" w:rsidRDefault="00CC2A24" w:rsidP="00CC2A24">
      <w:pPr>
        <w:spacing w:line="360" w:lineRule="auto"/>
        <w:jc w:val="center"/>
        <w:rPr>
          <w:b/>
        </w:rPr>
      </w:pPr>
    </w:p>
    <w:p w14:paraId="455B3294" w14:textId="4B1B1082" w:rsidR="00CC2A24" w:rsidRPr="000D72D9" w:rsidRDefault="00CC2A24" w:rsidP="00607A2B">
      <w:pPr>
        <w:tabs>
          <w:tab w:val="right" w:leader="dot" w:pos="8630"/>
        </w:tabs>
        <w:spacing w:line="360" w:lineRule="auto"/>
        <w:rPr>
          <w:noProof/>
        </w:rPr>
      </w:pPr>
      <w:r w:rsidRPr="000D72D9">
        <w:fldChar w:fldCharType="begin"/>
      </w:r>
      <w:r w:rsidRPr="000D72D9">
        <w:instrText xml:space="preserve"> TOC \h \z \c "Figure" </w:instrText>
      </w:r>
      <w:r w:rsidRPr="000D72D9">
        <w:fldChar w:fldCharType="separate"/>
      </w:r>
      <w:hyperlink w:anchor="_Toc414285579" w:history="1">
        <w:r w:rsidRPr="000D72D9">
          <w:rPr>
            <w:noProof/>
          </w:rPr>
          <w:t>Figure 1.1. Schematic showing the effects of type I toxin-antitoxin system</w:t>
        </w:r>
        <w:r w:rsidRPr="000D72D9">
          <w:rPr>
            <w:noProof/>
            <w:webHidden/>
          </w:rPr>
          <w:tab/>
        </w:r>
      </w:hyperlink>
      <w:r w:rsidR="00FE2931">
        <w:rPr>
          <w:noProof/>
        </w:rPr>
        <w:t>11</w:t>
      </w:r>
    </w:p>
    <w:p w14:paraId="56B04336" w14:textId="026EFEB9" w:rsidR="00CC2A24" w:rsidRPr="000D72D9" w:rsidRDefault="00AA5A4D" w:rsidP="00CC2A24">
      <w:pPr>
        <w:tabs>
          <w:tab w:val="right" w:leader="dot" w:pos="8630"/>
        </w:tabs>
        <w:spacing w:line="360" w:lineRule="auto"/>
        <w:ind w:left="480" w:hanging="480"/>
        <w:rPr>
          <w:noProof/>
        </w:rPr>
      </w:pPr>
      <w:hyperlink w:anchor="_Toc414285579" w:history="1">
        <w:r w:rsidR="00CC2A24" w:rsidRPr="000D72D9">
          <w:rPr>
            <w:noProof/>
          </w:rPr>
          <w:t xml:space="preserve">Figure 2.1. The ZorO peptide is needed for toxicity and there is a processing of the 5’ untranslated region of </w:t>
        </w:r>
        <w:r w:rsidR="00CC2A24" w:rsidRPr="000D72D9">
          <w:rPr>
            <w:i/>
            <w:iCs/>
            <w:noProof/>
          </w:rPr>
          <w:t>zorO</w:t>
        </w:r>
        <w:r w:rsidR="00CC2A24" w:rsidRPr="000D72D9">
          <w:rPr>
            <w:noProof/>
          </w:rPr>
          <w:t xml:space="preserve"> mRNA</w:t>
        </w:r>
        <w:r w:rsidR="00CC2A24" w:rsidRPr="000D72D9">
          <w:rPr>
            <w:noProof/>
            <w:webHidden/>
          </w:rPr>
          <w:tab/>
          <w:t>5</w:t>
        </w:r>
      </w:hyperlink>
      <w:r w:rsidR="00FE2931">
        <w:rPr>
          <w:noProof/>
        </w:rPr>
        <w:t>4</w:t>
      </w:r>
    </w:p>
    <w:p w14:paraId="430F5A97" w14:textId="5589C39F" w:rsidR="00CC2A24" w:rsidRPr="000D72D9" w:rsidRDefault="00AA5A4D" w:rsidP="00CC2A24">
      <w:pPr>
        <w:tabs>
          <w:tab w:val="right" w:leader="dot" w:pos="8630"/>
        </w:tabs>
        <w:spacing w:line="360" w:lineRule="auto"/>
        <w:ind w:left="480" w:hanging="480"/>
        <w:rPr>
          <w:rFonts w:ascii="Calibri" w:hAnsi="Calibri" w:cs="Times New Roman"/>
          <w:noProof/>
          <w:sz w:val="22"/>
          <w:szCs w:val="22"/>
        </w:rPr>
      </w:pPr>
      <w:hyperlink w:anchor="_Toc414285579" w:history="1">
        <w:r w:rsidR="00CC2A24" w:rsidRPr="000D72D9">
          <w:rPr>
            <w:noProof/>
          </w:rPr>
          <w:t xml:space="preserve">Figure 2.2. The 5’ UTR vaariant of </w:t>
        </w:r>
        <w:r w:rsidR="00CC2A24" w:rsidRPr="000D72D9">
          <w:rPr>
            <w:i/>
            <w:iCs/>
            <w:noProof/>
          </w:rPr>
          <w:t>zorO</w:t>
        </w:r>
        <w:r w:rsidR="00CC2A24" w:rsidRPr="000D72D9">
          <w:rPr>
            <w:noProof/>
          </w:rPr>
          <w:t xml:space="preserve"> gene and its effect on growth, survival and translation</w:t>
        </w:r>
        <w:r w:rsidR="00CC2A24" w:rsidRPr="000D72D9">
          <w:rPr>
            <w:noProof/>
            <w:webHidden/>
          </w:rPr>
          <w:tab/>
          <w:t>5</w:t>
        </w:r>
      </w:hyperlink>
      <w:r w:rsidR="00FE2931">
        <w:rPr>
          <w:noProof/>
        </w:rPr>
        <w:t>5</w:t>
      </w:r>
    </w:p>
    <w:p w14:paraId="3F1322E1" w14:textId="43826269" w:rsidR="00CC2A24" w:rsidRPr="000D72D9" w:rsidRDefault="00AA5A4D" w:rsidP="00CC2A24">
      <w:pPr>
        <w:tabs>
          <w:tab w:val="right" w:leader="dot" w:pos="8630"/>
        </w:tabs>
        <w:spacing w:line="360" w:lineRule="auto"/>
        <w:ind w:left="480" w:hanging="480"/>
        <w:rPr>
          <w:rFonts w:ascii="Calibri" w:hAnsi="Calibri" w:cs="Times New Roman"/>
          <w:noProof/>
          <w:sz w:val="22"/>
          <w:szCs w:val="22"/>
        </w:rPr>
      </w:pPr>
      <w:hyperlink w:anchor="_Toc414285579" w:history="1">
        <w:r w:rsidR="00CC2A24" w:rsidRPr="000D72D9">
          <w:rPr>
            <w:noProof/>
          </w:rPr>
          <w:t>Figure 2.3. The 5’ UTR controls translation</w:t>
        </w:r>
        <w:r w:rsidR="00CC2A24" w:rsidRPr="000D72D9">
          <w:rPr>
            <w:noProof/>
            <w:webHidden/>
          </w:rPr>
          <w:tab/>
          <w:t>5</w:t>
        </w:r>
      </w:hyperlink>
      <w:r w:rsidR="00FE2931">
        <w:rPr>
          <w:noProof/>
        </w:rPr>
        <w:t>7</w:t>
      </w:r>
    </w:p>
    <w:p w14:paraId="5C2DEB47" w14:textId="633409EF" w:rsidR="00CC2A24" w:rsidRPr="000D72D9" w:rsidRDefault="00AA5A4D" w:rsidP="00CC2A24">
      <w:pPr>
        <w:tabs>
          <w:tab w:val="right" w:leader="dot" w:pos="8630"/>
        </w:tabs>
        <w:spacing w:line="360" w:lineRule="auto"/>
        <w:ind w:left="480" w:hanging="480"/>
        <w:rPr>
          <w:rFonts w:ascii="Calibri" w:hAnsi="Calibri" w:cs="Times New Roman"/>
          <w:noProof/>
          <w:sz w:val="22"/>
          <w:szCs w:val="22"/>
        </w:rPr>
      </w:pPr>
      <w:hyperlink w:anchor="_Toc414285579" w:history="1">
        <w:r w:rsidR="00CC2A24" w:rsidRPr="000D72D9">
          <w:rPr>
            <w:noProof/>
          </w:rPr>
          <w:t>Figure 2.4. Synthetic ZorO peptide can insert across a lipid bilayer</w:t>
        </w:r>
        <w:r w:rsidR="00CC2A24" w:rsidRPr="000D72D9">
          <w:rPr>
            <w:noProof/>
            <w:webHidden/>
          </w:rPr>
          <w:tab/>
        </w:r>
      </w:hyperlink>
      <w:r w:rsidR="00FE2931">
        <w:rPr>
          <w:noProof/>
        </w:rPr>
        <w:t>60</w:t>
      </w:r>
    </w:p>
    <w:p w14:paraId="68A7DEF4" w14:textId="2B7F0F06" w:rsidR="00CC2A24" w:rsidRPr="000D72D9" w:rsidRDefault="00AA5A4D" w:rsidP="00CC2A24">
      <w:pPr>
        <w:tabs>
          <w:tab w:val="right" w:leader="dot" w:pos="8630"/>
        </w:tabs>
        <w:spacing w:line="360" w:lineRule="auto"/>
        <w:ind w:left="480" w:hanging="480"/>
        <w:rPr>
          <w:noProof/>
        </w:rPr>
      </w:pPr>
      <w:hyperlink w:anchor="_Toc414285579" w:history="1">
        <w:r w:rsidR="00CC2A24" w:rsidRPr="000D72D9">
          <w:rPr>
            <w:noProof/>
          </w:rPr>
          <w:t xml:space="preserve">Figure 2.5. Truncation and modification of the 5’ UTR results in cellular toxicity similar to that induced by </w:t>
        </w:r>
        <w:r w:rsidR="00CC2A24" w:rsidRPr="000D72D9">
          <w:rPr>
            <w:color w:val="000000"/>
            <w:spacing w:val="-4"/>
            <w:kern w:val="1"/>
          </w:rPr>
          <w:t>Δ28-</w:t>
        </w:r>
        <w:r w:rsidR="00CC2A24" w:rsidRPr="000D72D9">
          <w:rPr>
            <w:i/>
            <w:iCs/>
            <w:color w:val="000000"/>
            <w:spacing w:val="-4"/>
            <w:kern w:val="1"/>
          </w:rPr>
          <w:t>zorO</w:t>
        </w:r>
        <w:r w:rsidR="00CC2A24" w:rsidRPr="000D72D9">
          <w:rPr>
            <w:noProof/>
          </w:rPr>
          <w:t>.</w:t>
        </w:r>
        <w:r w:rsidR="00CC2A24" w:rsidRPr="005A514D">
          <w:rPr>
            <w:webHidden/>
          </w:rPr>
          <w:t xml:space="preserve"> </w:t>
        </w:r>
        <w:r w:rsidR="00CC2A24" w:rsidRPr="005A514D">
          <w:rPr>
            <w:noProof/>
            <w:webHidden/>
          </w:rPr>
          <w:tab/>
        </w:r>
      </w:hyperlink>
      <w:r w:rsidR="00FE2931">
        <w:rPr>
          <w:noProof/>
        </w:rPr>
        <w:t>62</w:t>
      </w:r>
    </w:p>
    <w:p w14:paraId="0B212085" w14:textId="346F541E" w:rsidR="00CC2A24" w:rsidRPr="000D72D9" w:rsidRDefault="00AA5A4D" w:rsidP="00CC2A24">
      <w:pPr>
        <w:tabs>
          <w:tab w:val="right" w:leader="dot" w:pos="8630"/>
        </w:tabs>
        <w:spacing w:line="360" w:lineRule="auto"/>
        <w:ind w:left="480" w:hanging="480"/>
        <w:rPr>
          <w:rFonts w:ascii="Calibri" w:hAnsi="Calibri" w:cs="Times New Roman"/>
          <w:noProof/>
          <w:sz w:val="22"/>
          <w:szCs w:val="22"/>
        </w:rPr>
      </w:pPr>
      <w:hyperlink w:anchor="_Toc414285579" w:history="1">
        <w:r w:rsidR="00CC2A24" w:rsidRPr="000D72D9">
          <w:rPr>
            <w:noProof/>
          </w:rPr>
          <w:t>Figure 2.6. ZorO overproduction leads to membrane depolarization and ATP depletionSynthetic ZorO peptide can insert across a lipid bilayer</w:t>
        </w:r>
        <w:r w:rsidR="00CC2A24" w:rsidRPr="000D72D9">
          <w:rPr>
            <w:noProof/>
            <w:webHidden/>
          </w:rPr>
          <w:tab/>
        </w:r>
      </w:hyperlink>
      <w:r w:rsidR="00FE2931">
        <w:rPr>
          <w:noProof/>
        </w:rPr>
        <w:t>63</w:t>
      </w:r>
    </w:p>
    <w:p w14:paraId="10E934AF" w14:textId="73D0A246" w:rsidR="00CC2A24" w:rsidRPr="000D72D9" w:rsidRDefault="00AA5A4D" w:rsidP="00CC2A24">
      <w:pPr>
        <w:tabs>
          <w:tab w:val="right" w:leader="dot" w:pos="8630"/>
        </w:tabs>
        <w:spacing w:line="360" w:lineRule="auto"/>
        <w:ind w:left="480" w:hanging="480"/>
        <w:rPr>
          <w:noProof/>
        </w:rPr>
      </w:pPr>
      <w:hyperlink w:anchor="_Toc414285579" w:history="1">
        <w:r w:rsidR="00CC2A24" w:rsidRPr="000D72D9">
          <w:rPr>
            <w:noProof/>
          </w:rPr>
          <w:t>Figure 2.7. ZorO does not forms large pores.</w:t>
        </w:r>
        <w:r w:rsidR="00CC2A24" w:rsidRPr="000D72D9">
          <w:rPr>
            <w:noProof/>
            <w:webHidden/>
          </w:rPr>
          <w:tab/>
        </w:r>
      </w:hyperlink>
      <w:r w:rsidR="00FE2931">
        <w:rPr>
          <w:noProof/>
        </w:rPr>
        <w:t>65</w:t>
      </w:r>
    </w:p>
    <w:p w14:paraId="5D96D10C" w14:textId="12610F14" w:rsidR="00CC2A24" w:rsidRPr="000D72D9" w:rsidRDefault="00AA5A4D" w:rsidP="00CC2A24">
      <w:pPr>
        <w:tabs>
          <w:tab w:val="right" w:leader="dot" w:pos="8630"/>
        </w:tabs>
        <w:spacing w:line="360" w:lineRule="auto"/>
        <w:ind w:left="480" w:hanging="480"/>
        <w:rPr>
          <w:rFonts w:ascii="Calibri" w:hAnsi="Calibri" w:cs="Times New Roman"/>
          <w:noProof/>
          <w:sz w:val="22"/>
          <w:szCs w:val="22"/>
        </w:rPr>
      </w:pPr>
      <w:hyperlink w:anchor="_Toc414285579" w:history="1">
        <w:r w:rsidR="00CC2A24" w:rsidRPr="000D72D9">
          <w:rPr>
            <w:noProof/>
          </w:rPr>
          <w:t>Figure 2.8. ZorO overproduction does not lead to gross alterations of cellular morphology</w:t>
        </w:r>
        <w:r w:rsidR="00CC2A24" w:rsidRPr="000D72D9">
          <w:rPr>
            <w:noProof/>
            <w:webHidden/>
          </w:rPr>
          <w:tab/>
        </w:r>
      </w:hyperlink>
      <w:r w:rsidR="00FE2931">
        <w:rPr>
          <w:noProof/>
        </w:rPr>
        <w:t>67</w:t>
      </w:r>
    </w:p>
    <w:p w14:paraId="7DDEB164" w14:textId="04929B65" w:rsidR="00CC2A24" w:rsidRPr="000D72D9" w:rsidRDefault="00AA5A4D" w:rsidP="00CC2A24">
      <w:pPr>
        <w:tabs>
          <w:tab w:val="right" w:leader="dot" w:pos="8630"/>
        </w:tabs>
        <w:spacing w:line="360" w:lineRule="auto"/>
        <w:ind w:left="480" w:hanging="480"/>
        <w:rPr>
          <w:rFonts w:ascii="Calibri" w:hAnsi="Calibri" w:cs="Times New Roman"/>
          <w:noProof/>
          <w:sz w:val="22"/>
          <w:szCs w:val="22"/>
        </w:rPr>
      </w:pPr>
      <w:hyperlink w:anchor="_Toc414285579" w:history="1">
        <w:r w:rsidR="00CC2A24" w:rsidRPr="000D72D9">
          <w:rPr>
            <w:noProof/>
          </w:rPr>
          <w:t xml:space="preserve">Figure 2.9. Role of </w:t>
        </w:r>
        <w:r w:rsidR="00CC2A24" w:rsidRPr="000D72D9">
          <w:rPr>
            <w:i/>
            <w:iCs/>
            <w:noProof/>
          </w:rPr>
          <w:t>zor-orz</w:t>
        </w:r>
        <w:r w:rsidR="00CC2A24" w:rsidRPr="000D72D9">
          <w:rPr>
            <w:noProof/>
          </w:rPr>
          <w:t xml:space="preserve"> locus in anitbiotic susceptibility.</w:t>
        </w:r>
        <w:r w:rsidR="00CC2A24" w:rsidRPr="000D72D9">
          <w:rPr>
            <w:noProof/>
            <w:webHidden/>
          </w:rPr>
          <w:tab/>
        </w:r>
      </w:hyperlink>
      <w:r w:rsidR="00FE2931">
        <w:rPr>
          <w:noProof/>
        </w:rPr>
        <w:t>69</w:t>
      </w:r>
    </w:p>
    <w:p w14:paraId="63484914" w14:textId="48CC148C" w:rsidR="00CC2A24" w:rsidRPr="000D72D9" w:rsidRDefault="00AA5A4D" w:rsidP="00CC2A24">
      <w:pPr>
        <w:tabs>
          <w:tab w:val="right" w:leader="dot" w:pos="8630"/>
        </w:tabs>
        <w:spacing w:line="360" w:lineRule="auto"/>
        <w:ind w:left="480" w:hanging="480"/>
        <w:rPr>
          <w:rFonts w:ascii="Calibri" w:hAnsi="Calibri" w:cs="Times New Roman"/>
          <w:noProof/>
          <w:sz w:val="22"/>
          <w:szCs w:val="22"/>
        </w:rPr>
      </w:pPr>
      <w:hyperlink w:anchor="_Toc414285579" w:history="1">
        <w:r w:rsidR="00CC2A24" w:rsidRPr="000D72D9">
          <w:rPr>
            <w:noProof/>
          </w:rPr>
          <w:t xml:space="preserve">Figure 2.10. Multiple copies of the </w:t>
        </w:r>
        <w:r w:rsidR="00CC2A24" w:rsidRPr="000D72D9">
          <w:rPr>
            <w:i/>
            <w:iCs/>
            <w:noProof/>
          </w:rPr>
          <w:t>zor-orz</w:t>
        </w:r>
        <w:r w:rsidR="00CC2A24" w:rsidRPr="000D72D9">
          <w:rPr>
            <w:noProof/>
          </w:rPr>
          <w:t xml:space="preserve"> locus allows for growth in the presence of kanamycin in MG1655</w:t>
        </w:r>
        <w:r w:rsidR="00CC2A24" w:rsidRPr="000D72D9">
          <w:rPr>
            <w:noProof/>
            <w:webHidden/>
          </w:rPr>
          <w:tab/>
        </w:r>
      </w:hyperlink>
      <w:r w:rsidR="00FE2931">
        <w:rPr>
          <w:noProof/>
        </w:rPr>
        <w:t>71</w:t>
      </w:r>
    </w:p>
    <w:p w14:paraId="672878ED" w14:textId="63B503D0" w:rsidR="00CC2A24" w:rsidRPr="000D72D9" w:rsidRDefault="00AA5A4D" w:rsidP="00CC2A24">
      <w:pPr>
        <w:tabs>
          <w:tab w:val="right" w:leader="dot" w:pos="8630"/>
        </w:tabs>
        <w:spacing w:line="360" w:lineRule="auto"/>
        <w:ind w:left="480" w:hanging="480"/>
        <w:rPr>
          <w:rFonts w:ascii="Calibri" w:hAnsi="Calibri" w:cs="Times New Roman"/>
          <w:noProof/>
          <w:sz w:val="22"/>
          <w:szCs w:val="22"/>
        </w:rPr>
      </w:pPr>
      <w:hyperlink w:anchor="_Toc414285579" w:history="1">
        <w:r w:rsidR="00CC2A24" w:rsidRPr="000D72D9">
          <w:rPr>
            <w:noProof/>
          </w:rPr>
          <w:t xml:space="preserve">Figure 2.11. The </w:t>
        </w:r>
        <w:r w:rsidR="00CC2A24" w:rsidRPr="000D72D9">
          <w:rPr>
            <w:i/>
            <w:iCs/>
            <w:noProof/>
          </w:rPr>
          <w:t>zor-orz</w:t>
        </w:r>
        <w:r w:rsidR="00CC2A24" w:rsidRPr="000D72D9">
          <w:rPr>
            <w:noProof/>
          </w:rPr>
          <w:t xml:space="preserve"> locus does not improve growth against ciprofloxacin or chloramphenicol.</w:t>
        </w:r>
        <w:r w:rsidR="00CC2A24" w:rsidRPr="000D72D9">
          <w:rPr>
            <w:noProof/>
            <w:webHidden/>
          </w:rPr>
          <w:tab/>
        </w:r>
      </w:hyperlink>
      <w:r w:rsidR="00FE2931">
        <w:rPr>
          <w:noProof/>
        </w:rPr>
        <w:t>73</w:t>
      </w:r>
    </w:p>
    <w:p w14:paraId="16B4152F" w14:textId="31FE1119" w:rsidR="00CC2A24" w:rsidRPr="000D72D9" w:rsidRDefault="00AA5A4D" w:rsidP="00CC2A24">
      <w:pPr>
        <w:tabs>
          <w:tab w:val="right" w:leader="dot" w:pos="8630"/>
        </w:tabs>
        <w:spacing w:line="360" w:lineRule="auto"/>
        <w:ind w:left="480" w:hanging="480"/>
        <w:rPr>
          <w:rFonts w:ascii="Calibri" w:hAnsi="Calibri" w:cs="Times New Roman"/>
          <w:noProof/>
          <w:sz w:val="22"/>
          <w:szCs w:val="22"/>
        </w:rPr>
      </w:pPr>
      <w:hyperlink w:anchor="_Toc414285579" w:history="1">
        <w:r w:rsidR="00CC2A24" w:rsidRPr="000D72D9">
          <w:rPr>
            <w:noProof/>
          </w:rPr>
          <w:t xml:space="preserve">Figure 2.12. Multiple copies of the </w:t>
        </w:r>
        <w:r w:rsidR="00CC2A24" w:rsidRPr="000D72D9">
          <w:rPr>
            <w:i/>
            <w:iCs/>
            <w:noProof/>
          </w:rPr>
          <w:t>zor-orz</w:t>
        </w:r>
        <w:r w:rsidR="00CC2A24" w:rsidRPr="000D72D9">
          <w:rPr>
            <w:noProof/>
          </w:rPr>
          <w:t xml:space="preserve"> locus allows for growth in the presence of kanamycin in EDL933</w:t>
        </w:r>
        <w:r w:rsidR="00CC2A24" w:rsidRPr="000D72D9">
          <w:rPr>
            <w:noProof/>
            <w:webHidden/>
          </w:rPr>
          <w:tab/>
        </w:r>
      </w:hyperlink>
      <w:r w:rsidR="00FE2931">
        <w:rPr>
          <w:noProof/>
        </w:rPr>
        <w:t>74</w:t>
      </w:r>
    </w:p>
    <w:p w14:paraId="159D73EF" w14:textId="471CD474" w:rsidR="00CC2A24" w:rsidRPr="000D72D9" w:rsidRDefault="00AA5A4D" w:rsidP="00CC2A24">
      <w:pPr>
        <w:tabs>
          <w:tab w:val="right" w:leader="dot" w:pos="8630"/>
        </w:tabs>
        <w:spacing w:line="360" w:lineRule="auto"/>
        <w:ind w:left="480" w:hanging="480"/>
        <w:rPr>
          <w:rFonts w:ascii="Calibri" w:hAnsi="Calibri" w:cs="Times New Roman"/>
          <w:noProof/>
          <w:sz w:val="22"/>
          <w:szCs w:val="22"/>
        </w:rPr>
      </w:pPr>
      <w:hyperlink w:anchor="_Toc414285579" w:history="1">
        <w:r w:rsidR="00CC2A24" w:rsidRPr="000D72D9">
          <w:rPr>
            <w:noProof/>
          </w:rPr>
          <w:t>Figure 2.13. Impact of kanamycin spike during mid-log growth phase on ATP, membrane depolarization and growth</w:t>
        </w:r>
        <w:r w:rsidR="00CC2A24" w:rsidRPr="000D72D9">
          <w:rPr>
            <w:noProof/>
            <w:webHidden/>
          </w:rPr>
          <w:tab/>
        </w:r>
      </w:hyperlink>
      <w:r w:rsidR="00FE2931">
        <w:rPr>
          <w:noProof/>
        </w:rPr>
        <w:t>77</w:t>
      </w:r>
    </w:p>
    <w:p w14:paraId="547552B8" w14:textId="7BFDCDD2" w:rsidR="00CC2A24" w:rsidRPr="000D72D9" w:rsidRDefault="00AA5A4D" w:rsidP="00CC2A24">
      <w:pPr>
        <w:tabs>
          <w:tab w:val="right" w:leader="dot" w:pos="8630"/>
        </w:tabs>
        <w:spacing w:line="360" w:lineRule="auto"/>
        <w:ind w:left="480" w:hanging="480"/>
        <w:rPr>
          <w:noProof/>
        </w:rPr>
      </w:pPr>
      <w:hyperlink w:anchor="_Toc414285579" w:history="1">
        <w:r w:rsidR="00CC2A24" w:rsidRPr="000D72D9">
          <w:rPr>
            <w:noProof/>
          </w:rPr>
          <w:t>Figure 2.14. A single chromosomal copy of processed 5’UTR-</w:t>
        </w:r>
        <w:r w:rsidR="00CC2A24" w:rsidRPr="000D72D9">
          <w:rPr>
            <w:i/>
            <w:iCs/>
            <w:noProof/>
          </w:rPr>
          <w:t>zorO</w:t>
        </w:r>
        <w:r w:rsidR="00CC2A24" w:rsidRPr="000D72D9">
          <w:rPr>
            <w:noProof/>
          </w:rPr>
          <w:t xml:space="preserve"> does not improve growth in the presence of aminoglycosides</w:t>
        </w:r>
        <w:r w:rsidR="00CC2A24" w:rsidRPr="000D72D9">
          <w:rPr>
            <w:noProof/>
            <w:webHidden/>
          </w:rPr>
          <w:tab/>
        </w:r>
      </w:hyperlink>
      <w:r w:rsidR="00FE2931">
        <w:rPr>
          <w:noProof/>
        </w:rPr>
        <w:t>78</w:t>
      </w:r>
    </w:p>
    <w:p w14:paraId="33F32DD8" w14:textId="0C7A5F1E" w:rsidR="00CC2A24" w:rsidRPr="000D72D9" w:rsidRDefault="00AA5A4D" w:rsidP="00CC2A24">
      <w:pPr>
        <w:tabs>
          <w:tab w:val="right" w:leader="dot" w:pos="8630"/>
        </w:tabs>
        <w:spacing w:line="360" w:lineRule="auto"/>
        <w:ind w:left="480" w:hanging="480"/>
        <w:rPr>
          <w:noProof/>
        </w:rPr>
      </w:pPr>
      <w:hyperlink w:anchor="_Toc414285579" w:history="1">
        <w:r w:rsidR="00CC2A24" w:rsidRPr="000D72D9">
          <w:rPr>
            <w:noProof/>
          </w:rPr>
          <w:t>Figure 3.1. Schematic of the workflow for the RNA seqeunce read alignment and analysis</w:t>
        </w:r>
        <w:r w:rsidR="00CC2A24" w:rsidRPr="000D72D9">
          <w:rPr>
            <w:noProof/>
            <w:webHidden/>
          </w:rPr>
          <w:tab/>
          <w:t>1</w:t>
        </w:r>
      </w:hyperlink>
      <w:r w:rsidR="00170273">
        <w:rPr>
          <w:noProof/>
        </w:rPr>
        <w:t>01</w:t>
      </w:r>
    </w:p>
    <w:p w14:paraId="13327882" w14:textId="77777777" w:rsidR="00CC2A24" w:rsidRPr="000D72D9" w:rsidRDefault="00CC2A24" w:rsidP="00CC2A24">
      <w:pPr>
        <w:tabs>
          <w:tab w:val="right" w:leader="dot" w:pos="8630"/>
        </w:tabs>
        <w:spacing w:line="360" w:lineRule="auto"/>
        <w:ind w:left="480" w:hanging="480"/>
        <w:rPr>
          <w:noProof/>
        </w:rPr>
      </w:pPr>
    </w:p>
    <w:p w14:paraId="1245E02E" w14:textId="27D40C71" w:rsidR="00CC2A24" w:rsidRPr="000D72D9" w:rsidRDefault="00AA5A4D" w:rsidP="00CC2A24">
      <w:pPr>
        <w:tabs>
          <w:tab w:val="right" w:leader="dot" w:pos="8630"/>
        </w:tabs>
        <w:spacing w:line="360" w:lineRule="auto"/>
        <w:ind w:left="480" w:hanging="480"/>
        <w:rPr>
          <w:noProof/>
        </w:rPr>
      </w:pPr>
      <w:hyperlink w:anchor="_Toc414285579" w:history="1">
        <w:r w:rsidR="00CC2A24" w:rsidRPr="000D72D9">
          <w:rPr>
            <w:noProof/>
          </w:rPr>
          <w:t>Figure 3.2. Growth curve of the EDL933 strains</w:t>
        </w:r>
        <w:r w:rsidR="00CC2A24" w:rsidRPr="000D72D9">
          <w:rPr>
            <w:noProof/>
            <w:webHidden/>
          </w:rPr>
          <w:tab/>
          <w:t>1</w:t>
        </w:r>
      </w:hyperlink>
      <w:r w:rsidR="00170273">
        <w:rPr>
          <w:noProof/>
        </w:rPr>
        <w:t>03</w:t>
      </w:r>
    </w:p>
    <w:p w14:paraId="1DB60D18" w14:textId="767AB875" w:rsidR="00CC2A24" w:rsidRPr="000D72D9" w:rsidRDefault="00AA5A4D" w:rsidP="00CC2A24">
      <w:pPr>
        <w:tabs>
          <w:tab w:val="right" w:leader="dot" w:pos="8630"/>
        </w:tabs>
        <w:spacing w:line="360" w:lineRule="auto"/>
        <w:ind w:left="480" w:hanging="480"/>
        <w:rPr>
          <w:noProof/>
        </w:rPr>
      </w:pPr>
      <w:hyperlink w:anchor="_Toc414285579" w:history="1">
        <w:r w:rsidR="00CC2A24" w:rsidRPr="000D72D9">
          <w:rPr>
            <w:noProof/>
          </w:rPr>
          <w:t>Figure 3.3. Growth curve of EDL933 strain after kanamycin spike</w:t>
        </w:r>
        <w:r w:rsidR="00CC2A24" w:rsidRPr="000D72D9">
          <w:rPr>
            <w:noProof/>
            <w:webHidden/>
          </w:rPr>
          <w:tab/>
          <w:t>1</w:t>
        </w:r>
      </w:hyperlink>
      <w:r w:rsidR="00170273">
        <w:rPr>
          <w:noProof/>
        </w:rPr>
        <w:t>05</w:t>
      </w:r>
    </w:p>
    <w:p w14:paraId="6C211706" w14:textId="01C0C774" w:rsidR="00CC2A24" w:rsidRPr="000D72D9" w:rsidRDefault="00AA5A4D" w:rsidP="00CC2A24">
      <w:pPr>
        <w:tabs>
          <w:tab w:val="right" w:leader="dot" w:pos="8630"/>
        </w:tabs>
        <w:spacing w:line="360" w:lineRule="auto"/>
        <w:ind w:left="480" w:hanging="480"/>
        <w:rPr>
          <w:rFonts w:ascii="Calibri" w:hAnsi="Calibri" w:cs="Times New Roman"/>
          <w:noProof/>
          <w:sz w:val="22"/>
          <w:szCs w:val="22"/>
        </w:rPr>
      </w:pPr>
      <w:hyperlink w:anchor="_Toc414285579" w:history="1">
        <w:r w:rsidR="00CC2A24" w:rsidRPr="000D72D9">
          <w:rPr>
            <w:noProof/>
          </w:rPr>
          <w:t>Figure 3.4. Principle component analysis plot of the transcriptome and expression level of reference genes</w:t>
        </w:r>
        <w:r w:rsidR="00CC2A24" w:rsidRPr="000D72D9">
          <w:rPr>
            <w:noProof/>
            <w:webHidden/>
          </w:rPr>
          <w:tab/>
          <w:t>1</w:t>
        </w:r>
      </w:hyperlink>
      <w:r w:rsidR="00170273">
        <w:rPr>
          <w:noProof/>
        </w:rPr>
        <w:t>08</w:t>
      </w:r>
    </w:p>
    <w:p w14:paraId="4C7D420E" w14:textId="714DBEDA" w:rsidR="00CC2A24" w:rsidRPr="000D72D9" w:rsidRDefault="00AA5A4D" w:rsidP="00CC2A24">
      <w:pPr>
        <w:tabs>
          <w:tab w:val="right" w:leader="dot" w:pos="8630"/>
        </w:tabs>
        <w:spacing w:line="360" w:lineRule="auto"/>
        <w:ind w:left="480" w:hanging="480"/>
        <w:rPr>
          <w:noProof/>
        </w:rPr>
      </w:pPr>
      <w:hyperlink w:anchor="_Toc414285579" w:history="1">
        <w:r w:rsidR="00CC2A24" w:rsidRPr="000D72D9">
          <w:rPr>
            <w:noProof/>
          </w:rPr>
          <w:t>Figure 3.5. Differentially expressed genes represented as a scatter plot</w:t>
        </w:r>
        <w:r w:rsidR="00CC2A24" w:rsidRPr="000D72D9">
          <w:rPr>
            <w:noProof/>
            <w:webHidden/>
          </w:rPr>
          <w:tab/>
          <w:t>1</w:t>
        </w:r>
      </w:hyperlink>
      <w:r w:rsidR="00170273">
        <w:rPr>
          <w:noProof/>
        </w:rPr>
        <w:t>09</w:t>
      </w:r>
    </w:p>
    <w:p w14:paraId="7C5BFD1B" w14:textId="522BCE42" w:rsidR="00CC2A24" w:rsidRPr="000D72D9" w:rsidRDefault="00AA5A4D" w:rsidP="00CC2A24">
      <w:pPr>
        <w:tabs>
          <w:tab w:val="right" w:leader="dot" w:pos="8630"/>
        </w:tabs>
        <w:spacing w:line="360" w:lineRule="auto"/>
        <w:ind w:left="480" w:hanging="480"/>
        <w:rPr>
          <w:rFonts w:ascii="Calibri" w:hAnsi="Calibri" w:cs="Times New Roman"/>
          <w:noProof/>
          <w:sz w:val="22"/>
          <w:szCs w:val="22"/>
        </w:rPr>
      </w:pPr>
      <w:hyperlink w:anchor="_Toc414285579" w:history="1">
        <w:r w:rsidR="00CC2A24" w:rsidRPr="000D72D9">
          <w:rPr>
            <w:noProof/>
          </w:rPr>
          <w:t>Figure 3.6. Network analysis of upregulated genes</w:t>
        </w:r>
        <w:r w:rsidR="00CC2A24" w:rsidRPr="000D72D9">
          <w:rPr>
            <w:noProof/>
            <w:webHidden/>
          </w:rPr>
          <w:tab/>
          <w:t>1</w:t>
        </w:r>
      </w:hyperlink>
      <w:r w:rsidR="00170273">
        <w:rPr>
          <w:noProof/>
        </w:rPr>
        <w:t>13</w:t>
      </w:r>
    </w:p>
    <w:p w14:paraId="7009F5D5" w14:textId="4F9C6E3D" w:rsidR="00CC2A24" w:rsidRPr="000D72D9" w:rsidRDefault="00AA5A4D" w:rsidP="00CC2A24">
      <w:pPr>
        <w:tabs>
          <w:tab w:val="right" w:leader="dot" w:pos="8630"/>
        </w:tabs>
        <w:spacing w:line="360" w:lineRule="auto"/>
        <w:ind w:left="480" w:hanging="480"/>
        <w:rPr>
          <w:rFonts w:ascii="Calibri" w:hAnsi="Calibri" w:cs="Times New Roman"/>
          <w:noProof/>
          <w:sz w:val="22"/>
          <w:szCs w:val="22"/>
        </w:rPr>
      </w:pPr>
      <w:hyperlink w:anchor="_Toc414285579" w:history="1">
        <w:r w:rsidR="00CC2A24" w:rsidRPr="000D72D9">
          <w:rPr>
            <w:noProof/>
          </w:rPr>
          <w:t>Figure 3.7. Network analysis of downregulated genes</w:t>
        </w:r>
        <w:r w:rsidR="00CC2A24" w:rsidRPr="000D72D9">
          <w:rPr>
            <w:noProof/>
            <w:webHidden/>
          </w:rPr>
          <w:tab/>
          <w:t>1</w:t>
        </w:r>
      </w:hyperlink>
      <w:r w:rsidR="00170273">
        <w:rPr>
          <w:noProof/>
        </w:rPr>
        <w:t>14</w:t>
      </w:r>
    </w:p>
    <w:p w14:paraId="4928E47D" w14:textId="7D215D9B" w:rsidR="00CC2A24" w:rsidRPr="000D72D9" w:rsidRDefault="00AA5A4D" w:rsidP="00CC2A24">
      <w:pPr>
        <w:tabs>
          <w:tab w:val="right" w:leader="dot" w:pos="8630"/>
        </w:tabs>
        <w:spacing w:line="360" w:lineRule="auto"/>
        <w:ind w:left="480" w:hanging="480"/>
        <w:rPr>
          <w:rFonts w:ascii="Calibri" w:hAnsi="Calibri" w:cs="Times New Roman"/>
          <w:noProof/>
          <w:sz w:val="22"/>
          <w:szCs w:val="22"/>
        </w:rPr>
      </w:pPr>
      <w:hyperlink w:anchor="_Toc414285579" w:history="1">
        <w:r w:rsidR="00CC2A24" w:rsidRPr="000D72D9">
          <w:rPr>
            <w:noProof/>
          </w:rPr>
          <w:t>Figure 3.8. Genes that are significantly downregulated</w:t>
        </w:r>
        <w:r w:rsidR="00CC2A24" w:rsidRPr="000D72D9">
          <w:rPr>
            <w:noProof/>
            <w:webHidden/>
          </w:rPr>
          <w:tab/>
          <w:t>1</w:t>
        </w:r>
        <w:r w:rsidR="00170273">
          <w:rPr>
            <w:noProof/>
            <w:webHidden/>
          </w:rPr>
          <w:t>15</w:t>
        </w:r>
      </w:hyperlink>
    </w:p>
    <w:p w14:paraId="40D26FD8" w14:textId="7BA793EA" w:rsidR="00CC2A24" w:rsidRPr="000D72D9" w:rsidRDefault="00AA5A4D" w:rsidP="00CC2A24">
      <w:pPr>
        <w:tabs>
          <w:tab w:val="right" w:leader="dot" w:pos="8630"/>
        </w:tabs>
        <w:spacing w:line="360" w:lineRule="auto"/>
        <w:ind w:left="480" w:hanging="480"/>
        <w:rPr>
          <w:rFonts w:ascii="Calibri" w:hAnsi="Calibri" w:cs="Times New Roman"/>
          <w:noProof/>
          <w:sz w:val="22"/>
          <w:szCs w:val="22"/>
        </w:rPr>
      </w:pPr>
      <w:hyperlink w:anchor="_Toc414285579" w:history="1">
        <w:r w:rsidR="00CC2A24" w:rsidRPr="000D72D9">
          <w:rPr>
            <w:noProof/>
          </w:rPr>
          <w:t xml:space="preserve">Figure 3.9. Motility of </w:t>
        </w:r>
        <w:r w:rsidR="00CC2A24" w:rsidRPr="000D72D9">
          <w:rPr>
            <w:i/>
            <w:iCs/>
            <w:noProof/>
          </w:rPr>
          <w:t>E. coli</w:t>
        </w:r>
        <w:r w:rsidR="00CC2A24" w:rsidRPr="000D72D9">
          <w:rPr>
            <w:noProof/>
          </w:rPr>
          <w:t xml:space="preserve"> MG1655 with pBR or pBR-</w:t>
        </w:r>
        <w:r w:rsidR="00CC2A24" w:rsidRPr="000D72D9">
          <w:rPr>
            <w:i/>
            <w:iCs/>
            <w:noProof/>
          </w:rPr>
          <w:t>zor-orz</w:t>
        </w:r>
        <w:r w:rsidR="00CC2A24" w:rsidRPr="000D72D9">
          <w:rPr>
            <w:noProof/>
            <w:webHidden/>
          </w:rPr>
          <w:tab/>
          <w:t>1</w:t>
        </w:r>
      </w:hyperlink>
      <w:r w:rsidR="00170273">
        <w:rPr>
          <w:noProof/>
        </w:rPr>
        <w:t>16</w:t>
      </w:r>
    </w:p>
    <w:p w14:paraId="6419828A" w14:textId="12A11975" w:rsidR="00CC2A24" w:rsidRPr="000D72D9" w:rsidRDefault="00AA5A4D" w:rsidP="00CC2A24">
      <w:pPr>
        <w:tabs>
          <w:tab w:val="right" w:leader="dot" w:pos="8630"/>
        </w:tabs>
        <w:spacing w:line="360" w:lineRule="auto"/>
        <w:ind w:left="480" w:hanging="480"/>
        <w:rPr>
          <w:rFonts w:ascii="Calibri" w:hAnsi="Calibri" w:cs="Times New Roman"/>
          <w:noProof/>
          <w:sz w:val="22"/>
          <w:szCs w:val="22"/>
        </w:rPr>
      </w:pPr>
      <w:hyperlink w:anchor="_Toc414285579" w:history="1">
        <w:r w:rsidR="00CC2A24" w:rsidRPr="000D72D9">
          <w:rPr>
            <w:noProof/>
          </w:rPr>
          <w:t>Figure 4.1. Structure and hydropathy prediction of ZorO protein.</w:t>
        </w:r>
        <w:r w:rsidR="00CC2A24" w:rsidRPr="000D72D9">
          <w:rPr>
            <w:noProof/>
            <w:webHidden/>
          </w:rPr>
          <w:tab/>
        </w:r>
      </w:hyperlink>
      <w:r w:rsidR="00170273">
        <w:rPr>
          <w:noProof/>
        </w:rPr>
        <w:t>135</w:t>
      </w:r>
    </w:p>
    <w:p w14:paraId="41B1D681" w14:textId="6DD77059" w:rsidR="00CC2A24" w:rsidRPr="000D72D9" w:rsidRDefault="00AA5A4D" w:rsidP="00CC2A24">
      <w:pPr>
        <w:tabs>
          <w:tab w:val="right" w:leader="dot" w:pos="8630"/>
        </w:tabs>
        <w:spacing w:line="360" w:lineRule="auto"/>
        <w:ind w:left="480" w:hanging="480"/>
        <w:rPr>
          <w:noProof/>
        </w:rPr>
      </w:pPr>
      <w:hyperlink w:anchor="_Toc414285579" w:history="1">
        <w:r w:rsidR="00CC2A24" w:rsidRPr="000D72D9">
          <w:rPr>
            <w:noProof/>
          </w:rPr>
          <w:t>Figure 4.2. Role of charged amino acid residues in ZorO mediated growth inhibition</w:t>
        </w:r>
        <w:r w:rsidR="00CC2A24" w:rsidRPr="005A514D">
          <w:rPr>
            <w:noProof/>
            <w:webHidden/>
          </w:rPr>
          <w:tab/>
        </w:r>
        <w:r w:rsidR="00170273">
          <w:rPr>
            <w:noProof/>
            <w:webHidden/>
          </w:rPr>
          <w:t>138</w:t>
        </w:r>
      </w:hyperlink>
    </w:p>
    <w:p w14:paraId="5E7EDBB1" w14:textId="386A4639" w:rsidR="00CC2A24" w:rsidRPr="000D72D9" w:rsidRDefault="00AA5A4D" w:rsidP="00CC2A24">
      <w:pPr>
        <w:tabs>
          <w:tab w:val="right" w:leader="dot" w:pos="8630"/>
        </w:tabs>
        <w:spacing w:line="360" w:lineRule="auto"/>
        <w:ind w:left="480" w:hanging="480"/>
        <w:rPr>
          <w:noProof/>
        </w:rPr>
      </w:pPr>
      <w:hyperlink w:anchor="_Toc414285579" w:history="1">
        <w:r w:rsidR="00CC2A24" w:rsidRPr="000D72D9">
          <w:rPr>
            <w:noProof/>
          </w:rPr>
          <w:t>Figure 4.3. Western blot analysis of ZorO mutants</w:t>
        </w:r>
        <w:r w:rsidR="00CC2A24" w:rsidRPr="000D72D9">
          <w:rPr>
            <w:noProof/>
            <w:webHidden/>
          </w:rPr>
          <w:tab/>
          <w:t>1</w:t>
        </w:r>
        <w:r w:rsidR="00170273">
          <w:rPr>
            <w:noProof/>
            <w:webHidden/>
          </w:rPr>
          <w:t>4</w:t>
        </w:r>
        <w:r w:rsidR="00CC2A24" w:rsidRPr="000D72D9">
          <w:rPr>
            <w:noProof/>
            <w:webHidden/>
          </w:rPr>
          <w:t>0</w:t>
        </w:r>
      </w:hyperlink>
    </w:p>
    <w:p w14:paraId="43BF046B" w14:textId="395E6279" w:rsidR="00CC2A24" w:rsidRPr="000D72D9" w:rsidRDefault="00AA5A4D" w:rsidP="00CC2A24">
      <w:pPr>
        <w:tabs>
          <w:tab w:val="right" w:leader="dot" w:pos="8630"/>
        </w:tabs>
        <w:spacing w:line="360" w:lineRule="auto"/>
        <w:ind w:left="480" w:hanging="480"/>
        <w:rPr>
          <w:noProof/>
        </w:rPr>
      </w:pPr>
      <w:hyperlink w:anchor="_Toc414285579" w:history="1">
        <w:r w:rsidR="00CC2A24" w:rsidRPr="000D72D9">
          <w:rPr>
            <w:noProof/>
          </w:rPr>
          <w:t>Figure 4.4. Role of charged amino acid residues in ZorO mediated membrane depolarization and ATP depletion</w:t>
        </w:r>
        <w:r w:rsidR="00CC2A24" w:rsidRPr="000D72D9">
          <w:rPr>
            <w:noProof/>
            <w:webHidden/>
          </w:rPr>
          <w:tab/>
          <w:t>1</w:t>
        </w:r>
        <w:r w:rsidR="00170273">
          <w:rPr>
            <w:noProof/>
            <w:webHidden/>
          </w:rPr>
          <w:t>41</w:t>
        </w:r>
      </w:hyperlink>
    </w:p>
    <w:p w14:paraId="12196506" w14:textId="0D728909" w:rsidR="00CC2A24" w:rsidRPr="000D72D9" w:rsidRDefault="00AA5A4D" w:rsidP="00CC2A24">
      <w:pPr>
        <w:tabs>
          <w:tab w:val="right" w:leader="dot" w:pos="8630"/>
        </w:tabs>
        <w:spacing w:line="360" w:lineRule="auto"/>
        <w:ind w:left="480" w:hanging="480"/>
        <w:rPr>
          <w:noProof/>
        </w:rPr>
      </w:pPr>
      <w:hyperlink w:anchor="_Toc414285579" w:history="1">
        <w:r w:rsidR="00CC2A24" w:rsidRPr="000D72D9">
          <w:rPr>
            <w:noProof/>
          </w:rPr>
          <w:t xml:space="preserve">Figure 4.5. The </w:t>
        </w:r>
        <w:r w:rsidR="00CC2A24" w:rsidRPr="000D72D9">
          <w:rPr>
            <w:i/>
            <w:iCs/>
            <w:noProof/>
          </w:rPr>
          <w:t>zorO-orzO</w:t>
        </w:r>
        <w:r w:rsidR="00CC2A24" w:rsidRPr="000D72D9">
          <w:rPr>
            <w:noProof/>
          </w:rPr>
          <w:t xml:space="preserve"> gene pair is sufficient to improve the growth of </w:t>
        </w:r>
        <w:r w:rsidR="00CC2A24" w:rsidRPr="000D72D9">
          <w:rPr>
            <w:i/>
            <w:iCs/>
            <w:noProof/>
          </w:rPr>
          <w:t>E. coli</w:t>
        </w:r>
        <w:r w:rsidR="00CC2A24" w:rsidRPr="000D72D9">
          <w:rPr>
            <w:noProof/>
          </w:rPr>
          <w:t xml:space="preserve"> in the presence of several aminoglycoside antibiotics</w:t>
        </w:r>
        <w:r w:rsidR="00170273" w:rsidRPr="00170273">
          <w:rPr>
            <w:noProof/>
            <w:webHidden/>
          </w:rPr>
          <w:tab/>
          <w:t>14</w:t>
        </w:r>
      </w:hyperlink>
      <w:r w:rsidR="00170273">
        <w:rPr>
          <w:noProof/>
        </w:rPr>
        <w:t>3</w:t>
      </w:r>
    </w:p>
    <w:p w14:paraId="73455D16" w14:textId="0E47818B" w:rsidR="00CC2A24" w:rsidRPr="000D72D9" w:rsidRDefault="00AA5A4D" w:rsidP="00CC2A24">
      <w:pPr>
        <w:tabs>
          <w:tab w:val="right" w:leader="dot" w:pos="8630"/>
        </w:tabs>
        <w:spacing w:line="360" w:lineRule="auto"/>
        <w:ind w:left="480" w:hanging="480"/>
        <w:rPr>
          <w:noProof/>
        </w:rPr>
      </w:pPr>
      <w:hyperlink w:anchor="_Toc414285579" w:history="1">
        <w:r w:rsidR="00CC2A24" w:rsidRPr="000D72D9">
          <w:rPr>
            <w:noProof/>
          </w:rPr>
          <w:t xml:space="preserve">Figure 4.6. Growth curve of the </w:t>
        </w:r>
        <w:r w:rsidR="00CC2A24" w:rsidRPr="000D72D9">
          <w:rPr>
            <w:i/>
            <w:iCs/>
            <w:noProof/>
          </w:rPr>
          <w:t>E. coli</w:t>
        </w:r>
        <w:r w:rsidR="00CC2A24" w:rsidRPr="000D72D9">
          <w:rPr>
            <w:noProof/>
          </w:rPr>
          <w:t xml:space="preserve"> UTK007 cells with different pBR plasmids in LB and LB with kanamycin</w:t>
        </w:r>
        <w:r w:rsidR="00CC2A24" w:rsidRPr="000D72D9">
          <w:rPr>
            <w:noProof/>
            <w:webHidden/>
          </w:rPr>
          <w:tab/>
          <w:t>1</w:t>
        </w:r>
      </w:hyperlink>
      <w:r w:rsidR="00F456D1">
        <w:rPr>
          <w:noProof/>
        </w:rPr>
        <w:t>46</w:t>
      </w:r>
    </w:p>
    <w:p w14:paraId="471100E4" w14:textId="4D950B15" w:rsidR="00CC2A24" w:rsidRPr="000D72D9" w:rsidRDefault="00AA5A4D" w:rsidP="00CC2A24">
      <w:pPr>
        <w:tabs>
          <w:tab w:val="right" w:leader="dot" w:pos="8630"/>
        </w:tabs>
        <w:spacing w:line="360" w:lineRule="auto"/>
        <w:ind w:left="480" w:hanging="480"/>
        <w:rPr>
          <w:noProof/>
        </w:rPr>
      </w:pPr>
      <w:hyperlink w:anchor="_Toc414285579" w:history="1">
        <w:r w:rsidR="00CC2A24" w:rsidRPr="000D72D9">
          <w:rPr>
            <w:noProof/>
          </w:rPr>
          <w:t xml:space="preserve">Figure 4.7. Growth curve of the </w:t>
        </w:r>
        <w:r w:rsidR="00CC2A24" w:rsidRPr="000D72D9">
          <w:rPr>
            <w:i/>
            <w:iCs/>
            <w:noProof/>
          </w:rPr>
          <w:t xml:space="preserve">E. coli </w:t>
        </w:r>
        <w:r w:rsidR="00CC2A24" w:rsidRPr="000D72D9">
          <w:rPr>
            <w:noProof/>
          </w:rPr>
          <w:t>UTK007 cells with different pBR plasmids in LB and LB with kanamycin</w:t>
        </w:r>
        <w:r w:rsidR="00CC2A24" w:rsidRPr="000D72D9">
          <w:rPr>
            <w:noProof/>
            <w:webHidden/>
          </w:rPr>
          <w:tab/>
          <w:t>1</w:t>
        </w:r>
      </w:hyperlink>
      <w:r w:rsidR="00F456D1">
        <w:rPr>
          <w:noProof/>
        </w:rPr>
        <w:t>47</w:t>
      </w:r>
    </w:p>
    <w:p w14:paraId="725BF3E1" w14:textId="5D8820E7" w:rsidR="00CC2A24" w:rsidRPr="000D72D9" w:rsidRDefault="00AA5A4D" w:rsidP="00CC2A24">
      <w:pPr>
        <w:tabs>
          <w:tab w:val="right" w:leader="dot" w:pos="8630"/>
        </w:tabs>
        <w:spacing w:line="360" w:lineRule="auto"/>
        <w:ind w:left="480" w:hanging="480"/>
        <w:rPr>
          <w:noProof/>
        </w:rPr>
      </w:pPr>
      <w:hyperlink w:anchor="_Toc414285579" w:history="1">
        <w:r w:rsidR="00CC2A24" w:rsidRPr="000D72D9">
          <w:rPr>
            <w:noProof/>
          </w:rPr>
          <w:t>Figure 4.8. Dot blot analyses for the detection of ZorO</w:t>
        </w:r>
        <w:r w:rsidR="00CC2A24" w:rsidRPr="000D72D9">
          <w:rPr>
            <w:noProof/>
            <w:webHidden/>
          </w:rPr>
          <w:tab/>
        </w:r>
      </w:hyperlink>
      <w:r w:rsidR="00F456D1">
        <w:rPr>
          <w:noProof/>
        </w:rPr>
        <w:t>149</w:t>
      </w:r>
    </w:p>
    <w:p w14:paraId="4CA802C3" w14:textId="616709B9" w:rsidR="00CC2A24" w:rsidRPr="000D72D9" w:rsidRDefault="00AA5A4D" w:rsidP="00CC2A24">
      <w:pPr>
        <w:tabs>
          <w:tab w:val="right" w:leader="dot" w:pos="8630"/>
        </w:tabs>
        <w:spacing w:line="360" w:lineRule="auto"/>
        <w:ind w:left="480" w:hanging="480"/>
        <w:rPr>
          <w:noProof/>
        </w:rPr>
      </w:pPr>
      <w:hyperlink w:anchor="_Toc414285579" w:history="1">
        <w:r w:rsidR="00CC2A24" w:rsidRPr="000D72D9">
          <w:rPr>
            <w:noProof/>
          </w:rPr>
          <w:t xml:space="preserve">Figure 4.9. Growth curve of the </w:t>
        </w:r>
        <w:r w:rsidR="00CC2A24" w:rsidRPr="000D72D9">
          <w:rPr>
            <w:i/>
            <w:iCs/>
            <w:noProof/>
          </w:rPr>
          <w:t>E. coli</w:t>
        </w:r>
        <w:r w:rsidR="00CC2A24" w:rsidRPr="000D72D9">
          <w:rPr>
            <w:noProof/>
          </w:rPr>
          <w:t xml:space="preserve"> MG1655 cells with different </w:t>
        </w:r>
        <w:r w:rsidR="00CC2A24" w:rsidRPr="000D72D9">
          <w:rPr>
            <w:i/>
            <w:iCs/>
            <w:noProof/>
          </w:rPr>
          <w:t xml:space="preserve">zorO-orzO </w:t>
        </w:r>
        <w:r w:rsidR="00CC2A24" w:rsidRPr="000D72D9">
          <w:rPr>
            <w:noProof/>
          </w:rPr>
          <w:t>gene pair variants in the chromosome</w:t>
        </w:r>
        <w:r w:rsidR="00CC2A24" w:rsidRPr="000D72D9">
          <w:rPr>
            <w:noProof/>
            <w:webHidden/>
          </w:rPr>
          <w:tab/>
          <w:t>1</w:t>
        </w:r>
      </w:hyperlink>
      <w:r w:rsidR="00F456D1">
        <w:rPr>
          <w:noProof/>
        </w:rPr>
        <w:t>50</w:t>
      </w:r>
    </w:p>
    <w:p w14:paraId="647ECEC6" w14:textId="63DFA9CE" w:rsidR="00CC2A24" w:rsidRPr="000D72D9" w:rsidRDefault="00AA5A4D" w:rsidP="00CC2A24">
      <w:pPr>
        <w:tabs>
          <w:tab w:val="right" w:leader="dot" w:pos="8630"/>
        </w:tabs>
        <w:spacing w:line="360" w:lineRule="auto"/>
        <w:ind w:left="480" w:hanging="480"/>
        <w:rPr>
          <w:noProof/>
        </w:rPr>
      </w:pPr>
      <w:hyperlink w:anchor="_Toc414285579" w:history="1">
        <w:r w:rsidR="00CC2A24" w:rsidRPr="000D72D9">
          <w:rPr>
            <w:noProof/>
          </w:rPr>
          <w:t xml:space="preserve">Figure 4.10. Growth curve of the </w:t>
        </w:r>
        <w:r w:rsidR="00CC2A24" w:rsidRPr="000D72D9">
          <w:rPr>
            <w:i/>
            <w:iCs/>
            <w:noProof/>
          </w:rPr>
          <w:t>E. coli</w:t>
        </w:r>
        <w:r w:rsidR="00CC2A24" w:rsidRPr="000D72D9">
          <w:rPr>
            <w:noProof/>
          </w:rPr>
          <w:t xml:space="preserve"> UTK007 cells after OrzO overexpression</w:t>
        </w:r>
        <w:r w:rsidR="00CC2A24" w:rsidRPr="000D72D9">
          <w:rPr>
            <w:noProof/>
            <w:webHidden/>
          </w:rPr>
          <w:tab/>
          <w:t>1</w:t>
        </w:r>
      </w:hyperlink>
      <w:r w:rsidR="00F456D1">
        <w:rPr>
          <w:noProof/>
        </w:rPr>
        <w:t>51</w:t>
      </w:r>
    </w:p>
    <w:p w14:paraId="6FCF7D42" w14:textId="77777777" w:rsidR="00CC2A24" w:rsidRPr="000D72D9" w:rsidRDefault="00CC2A24" w:rsidP="00CC2A24">
      <w:pPr>
        <w:autoSpaceDE w:val="0"/>
        <w:autoSpaceDN w:val="0"/>
        <w:adjustRightInd w:val="0"/>
        <w:spacing w:line="360" w:lineRule="auto"/>
        <w:jc w:val="center"/>
        <w:rPr>
          <w:b/>
          <w:bCs/>
          <w:sz w:val="28"/>
          <w:szCs w:val="28"/>
        </w:rPr>
        <w:sectPr w:rsidR="00CC2A24" w:rsidRPr="000D72D9" w:rsidSect="001D4908">
          <w:footerReference w:type="default" r:id="rId8"/>
          <w:pgSz w:w="12240" w:h="15840" w:code="1"/>
          <w:pgMar w:top="1440" w:right="1800" w:bottom="1872" w:left="1800" w:header="720" w:footer="1440" w:gutter="0"/>
          <w:pgNumType w:fmt="lowerRoman" w:start="1"/>
          <w:cols w:space="720"/>
          <w:noEndnote/>
          <w:titlePg/>
        </w:sectPr>
      </w:pPr>
      <w:r w:rsidRPr="000D72D9">
        <w:rPr>
          <w:b/>
          <w:bCs/>
          <w:sz w:val="28"/>
          <w:szCs w:val="28"/>
        </w:rPr>
        <w:fldChar w:fldCharType="end"/>
      </w:r>
    </w:p>
    <w:p w14:paraId="06054C6F" w14:textId="77777777" w:rsidR="00CC2A24" w:rsidRDefault="00CC2A24" w:rsidP="00CC2A24"/>
    <w:p w14:paraId="6198BB4B" w14:textId="77777777" w:rsidR="003E0D31" w:rsidRPr="003E0D31" w:rsidRDefault="003E0D31" w:rsidP="003E0D31">
      <w:pPr>
        <w:spacing w:line="360" w:lineRule="auto"/>
        <w:jc w:val="center"/>
        <w:rPr>
          <w:rFonts w:eastAsia="Calibri"/>
          <w:b/>
          <w:bCs/>
          <w:sz w:val="28"/>
          <w:szCs w:val="28"/>
          <w:lang w:bidi="ne-NP"/>
        </w:rPr>
      </w:pPr>
      <w:r w:rsidRPr="003E0D31">
        <w:rPr>
          <w:rFonts w:eastAsia="Calibri"/>
          <w:b/>
          <w:bCs/>
          <w:sz w:val="28"/>
          <w:szCs w:val="28"/>
          <w:lang w:bidi="ne-NP"/>
        </w:rPr>
        <w:t>CHAPTER I</w:t>
      </w:r>
    </w:p>
    <w:p w14:paraId="3B5620FC" w14:textId="77777777" w:rsidR="003E0D31" w:rsidRPr="003E0D31" w:rsidRDefault="003E0D31" w:rsidP="003E0D31">
      <w:pPr>
        <w:spacing w:line="360" w:lineRule="auto"/>
        <w:jc w:val="center"/>
        <w:rPr>
          <w:rFonts w:eastAsia="Calibri"/>
          <w:b/>
          <w:bCs/>
          <w:szCs w:val="21"/>
          <w:lang w:bidi="ne-NP"/>
        </w:rPr>
      </w:pPr>
    </w:p>
    <w:p w14:paraId="723C3D3C" w14:textId="77777777" w:rsidR="003E0D31" w:rsidRPr="003E0D31" w:rsidRDefault="003E0D31" w:rsidP="003E0D31">
      <w:pPr>
        <w:spacing w:line="360" w:lineRule="auto"/>
        <w:jc w:val="center"/>
        <w:rPr>
          <w:rFonts w:eastAsia="Calibri"/>
          <w:b/>
          <w:bCs/>
          <w:szCs w:val="21"/>
          <w:lang w:bidi="ne-NP"/>
        </w:rPr>
      </w:pPr>
      <w:r w:rsidRPr="003E0D31">
        <w:rPr>
          <w:rFonts w:eastAsia="Calibri"/>
          <w:b/>
          <w:bCs/>
          <w:szCs w:val="21"/>
          <w:lang w:bidi="ne-NP"/>
        </w:rPr>
        <w:t>Introduction</w:t>
      </w:r>
    </w:p>
    <w:p w14:paraId="0C0610E6" w14:textId="77777777" w:rsidR="003E0D31" w:rsidRPr="003E0D31" w:rsidRDefault="003E0D31" w:rsidP="003E0D31">
      <w:pPr>
        <w:spacing w:line="360" w:lineRule="auto"/>
        <w:jc w:val="center"/>
        <w:rPr>
          <w:rFonts w:eastAsia="Calibri"/>
          <w:b/>
          <w:bCs/>
          <w:szCs w:val="21"/>
          <w:lang w:bidi="ne-NP"/>
        </w:rPr>
      </w:pPr>
    </w:p>
    <w:p w14:paraId="5FC302D2" w14:textId="77777777" w:rsidR="003E0D31" w:rsidRPr="003E0D31" w:rsidRDefault="003E0D31" w:rsidP="003E0D31">
      <w:pPr>
        <w:spacing w:line="360" w:lineRule="auto"/>
        <w:rPr>
          <w:rFonts w:eastAsia="Calibri"/>
          <w:b/>
          <w:bCs/>
          <w:szCs w:val="21"/>
          <w:lang w:bidi="ne-NP"/>
        </w:rPr>
      </w:pPr>
      <w:r w:rsidRPr="003E0D31">
        <w:rPr>
          <w:rFonts w:eastAsia="Calibri"/>
          <w:b/>
          <w:bCs/>
          <w:szCs w:val="21"/>
          <w:lang w:bidi="ne-NP"/>
        </w:rPr>
        <w:br w:type="page"/>
      </w:r>
    </w:p>
    <w:p w14:paraId="57502621" w14:textId="77777777" w:rsidR="003E0D31" w:rsidRPr="003E0D31" w:rsidRDefault="003E0D31" w:rsidP="00607A2B">
      <w:pPr>
        <w:spacing w:line="360" w:lineRule="auto"/>
        <w:rPr>
          <w:rFonts w:eastAsia="Calibri"/>
          <w:b/>
          <w:bCs/>
          <w:szCs w:val="21"/>
          <w:lang w:bidi="ne-NP"/>
        </w:rPr>
      </w:pPr>
      <w:r w:rsidRPr="003E0D31">
        <w:rPr>
          <w:rFonts w:eastAsia="Calibri"/>
          <w:b/>
          <w:bCs/>
          <w:szCs w:val="21"/>
          <w:lang w:bidi="ne-NP"/>
        </w:rPr>
        <w:lastRenderedPageBreak/>
        <w:t>Publication note</w:t>
      </w:r>
    </w:p>
    <w:p w14:paraId="38D392C9" w14:textId="77777777" w:rsidR="003E0D31" w:rsidRPr="003E0D31" w:rsidRDefault="003E0D31" w:rsidP="00607A2B">
      <w:pPr>
        <w:spacing w:line="360" w:lineRule="auto"/>
        <w:rPr>
          <w:rFonts w:eastAsia="Calibri"/>
          <w:szCs w:val="21"/>
          <w:lang w:bidi="ne-NP"/>
        </w:rPr>
      </w:pPr>
      <w:r w:rsidRPr="003E0D31">
        <w:rPr>
          <w:rFonts w:eastAsia="Calibri"/>
          <w:szCs w:val="21"/>
          <w:lang w:bidi="ne-NP"/>
        </w:rPr>
        <w:t>My contribution to this chapter is literature review and writing.</w:t>
      </w:r>
      <w:r w:rsidRPr="003E0D31">
        <w:rPr>
          <w:rFonts w:eastAsia="Calibri"/>
          <w:szCs w:val="21"/>
          <w:lang w:bidi="ne-NP"/>
        </w:rPr>
        <w:br w:type="page"/>
      </w:r>
    </w:p>
    <w:p w14:paraId="336677A4" w14:textId="77777777" w:rsidR="00705347" w:rsidRDefault="003E0D31" w:rsidP="00705347">
      <w:pPr>
        <w:numPr>
          <w:ilvl w:val="0"/>
          <w:numId w:val="8"/>
        </w:numPr>
        <w:spacing w:line="360" w:lineRule="auto"/>
        <w:ind w:left="284" w:hanging="284"/>
        <w:contextualSpacing/>
        <w:rPr>
          <w:rFonts w:eastAsia="Calibri"/>
          <w:b/>
          <w:bCs/>
          <w:szCs w:val="21"/>
          <w:lang w:bidi="ne-NP"/>
        </w:rPr>
      </w:pPr>
      <w:r w:rsidRPr="003E0D31">
        <w:rPr>
          <w:rFonts w:eastAsia="Calibri"/>
          <w:b/>
          <w:bCs/>
          <w:szCs w:val="21"/>
          <w:lang w:bidi="ne-NP"/>
        </w:rPr>
        <w:lastRenderedPageBreak/>
        <w:t>Toxin-antitoxin systems</w:t>
      </w:r>
    </w:p>
    <w:p w14:paraId="3013DD9F" w14:textId="77777777" w:rsidR="00705347" w:rsidRDefault="00705347" w:rsidP="00705347">
      <w:pPr>
        <w:spacing w:line="360" w:lineRule="auto"/>
        <w:contextualSpacing/>
        <w:rPr>
          <w:rFonts w:eastAsia="Calibri"/>
          <w:szCs w:val="21"/>
          <w:lang w:bidi="ne-NP"/>
        </w:rPr>
      </w:pPr>
      <w:r>
        <w:rPr>
          <w:rFonts w:eastAsia="Calibri"/>
          <w:b/>
          <w:bCs/>
          <w:szCs w:val="21"/>
          <w:lang w:bidi="ne-NP"/>
        </w:rPr>
        <w:tab/>
      </w:r>
      <w:r w:rsidR="003E0D31" w:rsidRPr="003E0D31">
        <w:rPr>
          <w:rFonts w:eastAsia="Calibri"/>
          <w:szCs w:val="21"/>
          <w:lang w:bidi="ne-NP"/>
        </w:rPr>
        <w:t xml:space="preserve">Toxin-antitoxin (TA) systems are gene pairs encoded in the chromosome and plasmids of the bacterial and archaeal genome </w:t>
      </w:r>
      <w:r w:rsidR="003E0D31" w:rsidRPr="003E0D31">
        <w:rPr>
          <w:rFonts w:eastAsia="Calibri"/>
          <w:noProof/>
          <w:szCs w:val="21"/>
          <w:lang w:bidi="ne-NP"/>
        </w:rPr>
        <w:t>(1,2)</w:t>
      </w:r>
      <w:r w:rsidR="003E0D31" w:rsidRPr="003E0D31">
        <w:rPr>
          <w:rFonts w:eastAsia="Calibri"/>
          <w:szCs w:val="21"/>
          <w:lang w:bidi="ne-NP"/>
        </w:rPr>
        <w:t xml:space="preserve">. It </w:t>
      </w:r>
      <w:r w:rsidR="003E0D31" w:rsidRPr="00705347">
        <w:rPr>
          <w:rFonts w:eastAsia="Calibri"/>
          <w:szCs w:val="21"/>
          <w:lang w:bidi="ne-NP"/>
        </w:rPr>
        <w:t>consists</w:t>
      </w:r>
      <w:r w:rsidR="003E0D31" w:rsidRPr="003E0D31">
        <w:rPr>
          <w:rFonts w:eastAsia="Calibri"/>
          <w:szCs w:val="21"/>
          <w:lang w:bidi="ne-NP"/>
        </w:rPr>
        <w:t xml:space="preserve"> of a stable toxin, which characteristically targets an essential cellular function such as translation, DNA metabolism, energy production or membrane homeostasis, and an antitoxin, which counteracts the activity of its cognate toxin (3–5). These gene pairs were first identified in plasmids and serve in plasmid maintenance </w:t>
      </w:r>
      <w:r w:rsidR="003E0D31" w:rsidRPr="003E0D31">
        <w:rPr>
          <w:rFonts w:eastAsia="Calibri"/>
          <w:noProof/>
          <w:szCs w:val="21"/>
          <w:lang w:bidi="ne-NP"/>
        </w:rPr>
        <w:t>(6)</w:t>
      </w:r>
      <w:r w:rsidR="003E0D31" w:rsidRPr="003E0D31">
        <w:rPr>
          <w:rFonts w:eastAsia="Calibri"/>
          <w:szCs w:val="21"/>
          <w:lang w:bidi="ne-NP"/>
        </w:rPr>
        <w:t xml:space="preserve">. This function is often conferred by the difference in stability of the toxin and antitoxin as plasmid loss rapidly decreases cellular antitoxin levels and no new antitoxin can be produced, enabling the stable toxin to kill plasmid-free segregants (6,7). The discovery of TA systems in prokaryotic chromosomes and accessory genomes increased as novel bioinformatics approaches allowed for their identification through exhaustive homology searches in sequence databases (8–11). Additionally, some TA systems have been discovered serendipitously </w:t>
      </w:r>
      <w:r w:rsidR="003E0D31" w:rsidRPr="003E0D31">
        <w:rPr>
          <w:rFonts w:eastAsia="Calibri"/>
          <w:noProof/>
          <w:szCs w:val="21"/>
          <w:lang w:bidi="ne-NP"/>
        </w:rPr>
        <w:t>(12)</w:t>
      </w:r>
      <w:r w:rsidR="003E0D31" w:rsidRPr="003E0D31">
        <w:rPr>
          <w:rFonts w:eastAsia="Calibri"/>
          <w:szCs w:val="21"/>
          <w:lang w:bidi="ne-NP"/>
        </w:rPr>
        <w:t xml:space="preserve">, while others have been unveiled through the search for small, untranslated transcripts </w:t>
      </w:r>
      <w:r w:rsidR="003E0D31" w:rsidRPr="003E0D31">
        <w:rPr>
          <w:rFonts w:eastAsia="Calibri"/>
          <w:noProof/>
          <w:szCs w:val="21"/>
          <w:lang w:bidi="ne-NP"/>
        </w:rPr>
        <w:t>(13)</w:t>
      </w:r>
      <w:r w:rsidR="003E0D31" w:rsidRPr="003E0D31">
        <w:rPr>
          <w:rFonts w:eastAsia="Calibri"/>
          <w:szCs w:val="21"/>
          <w:lang w:bidi="ne-NP"/>
        </w:rPr>
        <w:t>. However, the function of these gene pairs in bacterial chromosomes is not well understood (8,14). Co-expression of antitoxins prevent self-intoxication upon overproduction of the toxins. The antitoxins are often dispensable for chromosomally-encoded systems in a strain where the toxin gene has been deleted (15). Furthermore, deletion of the entire TA locus seldom produces a measurable phenotype, thus making their study challenging (16). Despite these drawbacks, the contribution of TA systems in bacterial fitness during a specific growth environment is increasingly being appreciated.</w:t>
      </w:r>
    </w:p>
    <w:p w14:paraId="1C160C55" w14:textId="77777777" w:rsidR="00705347" w:rsidRDefault="00705347" w:rsidP="00705347">
      <w:pPr>
        <w:spacing w:line="360" w:lineRule="auto"/>
        <w:contextualSpacing/>
        <w:rPr>
          <w:rFonts w:eastAsia="Calibri"/>
          <w:b/>
          <w:bCs/>
          <w:szCs w:val="21"/>
          <w:lang w:bidi="ne-NP"/>
        </w:rPr>
      </w:pPr>
      <w:r>
        <w:rPr>
          <w:rFonts w:eastAsia="Calibri"/>
          <w:szCs w:val="21"/>
          <w:lang w:bidi="ne-NP"/>
        </w:rPr>
        <w:tab/>
      </w:r>
      <w:r w:rsidR="003E0D31" w:rsidRPr="003E0D31">
        <w:rPr>
          <w:rFonts w:eastAsia="Calibri"/>
          <w:szCs w:val="21"/>
          <w:lang w:bidi="ne-NP"/>
        </w:rPr>
        <w:t xml:space="preserve">Previous and ongoing studies over the last twenty years have gathered evidence linking TA systems to the formation of persister cells, biofilms, and contributors to virulence </w:t>
      </w:r>
      <w:r w:rsidR="003E0D31" w:rsidRPr="003E0D31">
        <w:rPr>
          <w:rFonts w:eastAsia="Calibri"/>
          <w:noProof/>
          <w:szCs w:val="21"/>
          <w:lang w:bidi="ne-NP"/>
        </w:rPr>
        <w:t>(17–21)</w:t>
      </w:r>
      <w:r w:rsidR="003E0D31" w:rsidRPr="003E0D31">
        <w:rPr>
          <w:rFonts w:eastAsia="Calibri"/>
          <w:szCs w:val="21"/>
          <w:lang w:bidi="ne-NP"/>
        </w:rPr>
        <w:t xml:space="preserve">. Persister cells are a sub-population of bacterial cultures that can survive lethal doses of antibiotics and can later restore the population when the antibiotic pressure is removed. Persister cells were first described in 1944 of Staphylococcal infections treated with penicillin (22,23). Unlike genetically acquired antibiotic resistance, bacterial persistence is a transient phenotypic switch and is increasingly recognized as a cause of antibiotic treatment failure (24). Clinical examples of chronic and recurrent infections due to persister cell formation include urinary tract </w:t>
      </w:r>
      <w:r w:rsidR="003E0D31" w:rsidRPr="003E0D31">
        <w:rPr>
          <w:rFonts w:eastAsia="Calibri"/>
          <w:szCs w:val="21"/>
          <w:lang w:bidi="ne-NP"/>
        </w:rPr>
        <w:lastRenderedPageBreak/>
        <w:t xml:space="preserve">infections with </w:t>
      </w:r>
      <w:proofErr w:type="spellStart"/>
      <w:r w:rsidR="003E0D31" w:rsidRPr="003E0D31">
        <w:rPr>
          <w:rFonts w:eastAsia="Calibri"/>
          <w:szCs w:val="21"/>
          <w:lang w:bidi="ne-NP"/>
        </w:rPr>
        <w:t>uropathogenic</w:t>
      </w:r>
      <w:proofErr w:type="spellEnd"/>
      <w:r w:rsidR="003E0D31" w:rsidRPr="003E0D31">
        <w:rPr>
          <w:rFonts w:eastAsia="Calibri"/>
          <w:szCs w:val="21"/>
          <w:lang w:bidi="ne-NP"/>
        </w:rPr>
        <w:t xml:space="preserve"> strains of </w:t>
      </w:r>
      <w:r w:rsidR="003E0D31" w:rsidRPr="003E0D31">
        <w:rPr>
          <w:rFonts w:eastAsia="Calibri"/>
          <w:i/>
          <w:szCs w:val="21"/>
          <w:lang w:bidi="ne-NP"/>
        </w:rPr>
        <w:t>Escherichia coli</w:t>
      </w:r>
      <w:r w:rsidR="003E0D31" w:rsidRPr="003E0D31">
        <w:rPr>
          <w:rFonts w:eastAsia="Calibri"/>
          <w:szCs w:val="21"/>
          <w:lang w:bidi="ne-NP"/>
        </w:rPr>
        <w:t xml:space="preserve">; recalcitrant infections with </w:t>
      </w:r>
      <w:r w:rsidR="003E0D31" w:rsidRPr="003E0D31">
        <w:rPr>
          <w:rFonts w:eastAsia="Calibri"/>
          <w:i/>
          <w:szCs w:val="21"/>
          <w:lang w:bidi="ne-NP"/>
        </w:rPr>
        <w:t>Mycobacterium tuberculosis</w:t>
      </w:r>
      <w:r w:rsidR="003E0D31" w:rsidRPr="003E0D31">
        <w:rPr>
          <w:rFonts w:eastAsia="Calibri"/>
          <w:szCs w:val="21"/>
          <w:lang w:bidi="ne-NP"/>
        </w:rPr>
        <w:t xml:space="preserve">; or opportunistic infections of implanted devices and open wounds with </w:t>
      </w:r>
      <w:r w:rsidR="003E0D31" w:rsidRPr="003E0D31">
        <w:rPr>
          <w:rFonts w:eastAsia="Calibri"/>
          <w:i/>
          <w:szCs w:val="21"/>
          <w:lang w:bidi="ne-NP"/>
        </w:rPr>
        <w:t>Pseudomonas aeruginosa</w:t>
      </w:r>
      <w:r w:rsidR="003E0D31" w:rsidRPr="003E0D31">
        <w:rPr>
          <w:rFonts w:eastAsia="Calibri"/>
          <w:szCs w:val="21"/>
          <w:lang w:bidi="ne-NP"/>
        </w:rPr>
        <w:t xml:space="preserve"> and </w:t>
      </w:r>
      <w:r w:rsidR="003E0D31" w:rsidRPr="003E0D31">
        <w:rPr>
          <w:rFonts w:eastAsia="Calibri"/>
          <w:i/>
          <w:szCs w:val="21"/>
          <w:lang w:bidi="ne-NP"/>
        </w:rPr>
        <w:t>Staphylococcus aureus</w:t>
      </w:r>
      <w:r w:rsidR="003E0D31" w:rsidRPr="003E0D31">
        <w:rPr>
          <w:rFonts w:eastAsia="Calibri"/>
          <w:szCs w:val="21"/>
          <w:lang w:bidi="ne-NP"/>
        </w:rPr>
        <w:t xml:space="preserve"> (18,24). The implication of TA systems in the formation of persister cells, together with the revelation of association between growth inhibition by TA systems and induction of persister phenotypes has become of great interest (3,4,25).</w:t>
      </w:r>
    </w:p>
    <w:p w14:paraId="3D6A1C17" w14:textId="6EEA7ED6" w:rsidR="003E0D31" w:rsidRPr="003E0D31" w:rsidRDefault="00705347" w:rsidP="00705347">
      <w:pPr>
        <w:spacing w:line="360" w:lineRule="auto"/>
        <w:contextualSpacing/>
        <w:rPr>
          <w:rFonts w:eastAsia="Calibri"/>
          <w:b/>
          <w:bCs/>
          <w:szCs w:val="21"/>
          <w:lang w:bidi="ne-NP"/>
        </w:rPr>
      </w:pPr>
      <w:r>
        <w:rPr>
          <w:rFonts w:eastAsia="Calibri"/>
          <w:b/>
          <w:bCs/>
          <w:szCs w:val="21"/>
          <w:lang w:bidi="ne-NP"/>
        </w:rPr>
        <w:tab/>
      </w:r>
      <w:r w:rsidR="003E0D31" w:rsidRPr="003E0D31">
        <w:rPr>
          <w:rFonts w:eastAsia="Calibri"/>
          <w:szCs w:val="21"/>
          <w:lang w:bidi="ne-NP"/>
        </w:rPr>
        <w:t xml:space="preserve">Based on the nature of the antitoxin, and the neutralization mechanisms impressed on its cognate toxin, TA systems are primarily classified into six types (26,27) (Table 1.1). The toxin components in all TA systems are proteins whereas the antitoxins are small RNAs (sRNAs, type I and type III) or proteins (type II, IV, V and VI). The sRNA antitoxin of a type I system neutralizes toxin-encoding mRNA via complementarity base pairing. In a type III system, the antitoxin sRNA directly interacts with the toxin protein and neutralizes it. The protein antitoxins in type II systems function by directly binding to their toxin protein whereas those categorized as type IV function indirectly (without interacting with the toxin protein) by reversing the effect of the toxin on its targets. The antitoxins in type V systems act as ribonucleases, cleaving the toxin mRNA, while those of type VI systems act as proteolytic adapters, enhancing degradation of the toxin. Recently, two other TA systems have been proposed, a type VII system where the antitoxin (protein) chemically modifies the toxin protein </w:t>
      </w:r>
      <w:r w:rsidR="003E0D31" w:rsidRPr="003E0D31">
        <w:rPr>
          <w:rFonts w:eastAsia="Calibri"/>
          <w:noProof/>
          <w:szCs w:val="21"/>
          <w:lang w:bidi="ne-NP"/>
        </w:rPr>
        <w:t>(28)</w:t>
      </w:r>
      <w:r w:rsidR="003E0D31" w:rsidRPr="003E0D31">
        <w:rPr>
          <w:rFonts w:eastAsia="Calibri"/>
          <w:szCs w:val="21"/>
          <w:lang w:bidi="ne-NP"/>
        </w:rPr>
        <w:t xml:space="preserve"> and a type VIII where the toxin is a sRNA, and is neutralized by anti-sense binding by the antitoxin </w:t>
      </w:r>
      <w:r w:rsidR="003E0D31" w:rsidRPr="003E0D31">
        <w:rPr>
          <w:rFonts w:eastAsia="Calibri"/>
          <w:noProof/>
          <w:szCs w:val="21"/>
          <w:lang w:bidi="ne-NP"/>
        </w:rPr>
        <w:t>(29)</w:t>
      </w:r>
      <w:r w:rsidR="003E0D31" w:rsidRPr="003E0D31">
        <w:rPr>
          <w:rFonts w:eastAsia="Calibri"/>
          <w:szCs w:val="21"/>
          <w:lang w:bidi="ne-NP"/>
        </w:rPr>
        <w:t xml:space="preserve">. Another </w:t>
      </w:r>
      <w:r w:rsidR="00D25092">
        <w:rPr>
          <w:rFonts w:eastAsia="Calibri"/>
          <w:szCs w:val="21"/>
          <w:lang w:bidi="ne-NP"/>
        </w:rPr>
        <w:t>example resembling type VIII</w:t>
      </w:r>
      <w:r w:rsidR="003E0D31" w:rsidRPr="003E0D31">
        <w:rPr>
          <w:rFonts w:eastAsia="Calibri"/>
          <w:szCs w:val="21"/>
          <w:lang w:bidi="ne-NP"/>
        </w:rPr>
        <w:t xml:space="preserve"> TA system has also recently been reported </w:t>
      </w:r>
      <w:r w:rsidR="00D25092">
        <w:rPr>
          <w:rFonts w:eastAsia="Calibri"/>
          <w:szCs w:val="21"/>
          <w:lang w:bidi="ne-NP"/>
        </w:rPr>
        <w:t>where</w:t>
      </w:r>
      <w:r w:rsidR="003E0D31" w:rsidRPr="003E0D31">
        <w:rPr>
          <w:rFonts w:eastAsia="Calibri"/>
          <w:szCs w:val="21"/>
          <w:lang w:bidi="ne-NP"/>
        </w:rPr>
        <w:t xml:space="preserve"> </w:t>
      </w:r>
      <w:proofErr w:type="spellStart"/>
      <w:r w:rsidR="003E0D31" w:rsidRPr="003E0D31">
        <w:rPr>
          <w:rFonts w:eastAsia="Calibri"/>
          <w:i/>
          <w:iCs/>
          <w:szCs w:val="21"/>
          <w:lang w:bidi="ne-NP"/>
        </w:rPr>
        <w:t>creT</w:t>
      </w:r>
      <w:proofErr w:type="spellEnd"/>
      <w:r w:rsidR="003E0D31" w:rsidRPr="003E0D31">
        <w:rPr>
          <w:rFonts w:eastAsia="Calibri"/>
          <w:szCs w:val="21"/>
          <w:lang w:bidi="ne-NP"/>
        </w:rPr>
        <w:t xml:space="preserve"> mRNA sequesters </w:t>
      </w:r>
      <w:proofErr w:type="spellStart"/>
      <w:r w:rsidR="003E0D31" w:rsidRPr="003E0D31">
        <w:rPr>
          <w:rFonts w:eastAsia="Calibri"/>
          <w:szCs w:val="21"/>
          <w:lang w:bidi="ne-NP"/>
        </w:rPr>
        <w:t>tRNA</w:t>
      </w:r>
      <w:r w:rsidR="003E0D31" w:rsidRPr="003E0D31">
        <w:rPr>
          <w:rFonts w:eastAsia="Calibri"/>
          <w:szCs w:val="21"/>
          <w:vertAlign w:val="superscript"/>
          <w:lang w:bidi="ne-NP"/>
        </w:rPr>
        <w:t>UCU</w:t>
      </w:r>
      <w:proofErr w:type="spellEnd"/>
      <w:r w:rsidR="003E0D31" w:rsidRPr="003E0D31">
        <w:rPr>
          <w:rFonts w:eastAsia="Calibri"/>
          <w:szCs w:val="21"/>
          <w:lang w:bidi="ne-NP"/>
        </w:rPr>
        <w:t xml:space="preserve">, halting protein translation; this toxicity is prevented by the antitoxin sRNA </w:t>
      </w:r>
      <w:proofErr w:type="spellStart"/>
      <w:r w:rsidR="003E0D31" w:rsidRPr="003E0D31">
        <w:rPr>
          <w:rFonts w:eastAsia="Calibri"/>
          <w:szCs w:val="21"/>
          <w:lang w:bidi="ne-NP"/>
        </w:rPr>
        <w:t>CreA</w:t>
      </w:r>
      <w:proofErr w:type="spellEnd"/>
      <w:r w:rsidR="003E0D31" w:rsidRPr="003E0D31">
        <w:rPr>
          <w:rFonts w:eastAsia="Calibri"/>
          <w:szCs w:val="21"/>
          <w:lang w:bidi="ne-NP"/>
        </w:rPr>
        <w:t xml:space="preserve"> through base pairing to the toxin mRNA </w:t>
      </w:r>
      <w:r w:rsidR="003E0D31" w:rsidRPr="003E0D31">
        <w:rPr>
          <w:rFonts w:eastAsia="Calibri"/>
          <w:noProof/>
          <w:szCs w:val="21"/>
          <w:lang w:bidi="ne-NP"/>
        </w:rPr>
        <w:t>(30)</w:t>
      </w:r>
      <w:r w:rsidR="003E0D31" w:rsidRPr="003E0D31">
        <w:rPr>
          <w:rFonts w:eastAsia="Calibri"/>
          <w:szCs w:val="21"/>
          <w:lang w:bidi="ne-NP"/>
        </w:rPr>
        <w:t>.</w:t>
      </w:r>
    </w:p>
    <w:p w14:paraId="2AC47D11" w14:textId="77777777" w:rsidR="003E0D31" w:rsidRPr="003E0D31" w:rsidRDefault="003E0D31" w:rsidP="003E0D31">
      <w:pPr>
        <w:spacing w:line="360" w:lineRule="auto"/>
        <w:ind w:left="720" w:firstLine="720"/>
        <w:rPr>
          <w:rFonts w:eastAsia="Calibri"/>
          <w:szCs w:val="21"/>
          <w:lang w:bidi="ne-NP"/>
        </w:rPr>
      </w:pPr>
    </w:p>
    <w:p w14:paraId="4EFEBF6E" w14:textId="77777777" w:rsidR="003E0D31" w:rsidRPr="003E0D31" w:rsidRDefault="003E0D31" w:rsidP="00705347">
      <w:pPr>
        <w:numPr>
          <w:ilvl w:val="0"/>
          <w:numId w:val="8"/>
        </w:numPr>
        <w:spacing w:line="360" w:lineRule="auto"/>
        <w:ind w:left="284" w:hanging="284"/>
        <w:contextualSpacing/>
        <w:rPr>
          <w:rFonts w:eastAsia="Calibri"/>
          <w:b/>
          <w:bCs/>
          <w:szCs w:val="21"/>
          <w:lang w:bidi="ne-NP"/>
        </w:rPr>
      </w:pPr>
      <w:r w:rsidRPr="003E0D31">
        <w:rPr>
          <w:rFonts w:eastAsia="Calibri"/>
          <w:b/>
          <w:bCs/>
          <w:szCs w:val="21"/>
          <w:lang w:bidi="ne-NP"/>
        </w:rPr>
        <w:t>Type I toxin-antitoxin system</w:t>
      </w:r>
    </w:p>
    <w:p w14:paraId="1E02B907" w14:textId="627A0536" w:rsidR="003E0D31" w:rsidRPr="003E0D31" w:rsidRDefault="003E0D31" w:rsidP="00705347">
      <w:pPr>
        <w:spacing w:line="360" w:lineRule="auto"/>
        <w:ind w:firstLine="720"/>
        <w:rPr>
          <w:rFonts w:eastAsia="Calibri"/>
          <w:szCs w:val="21"/>
          <w:lang w:bidi="ne-NP"/>
        </w:rPr>
      </w:pPr>
      <w:r w:rsidRPr="003E0D31">
        <w:rPr>
          <w:rFonts w:eastAsia="Calibri"/>
          <w:szCs w:val="21"/>
          <w:lang w:bidi="ne-NP"/>
        </w:rPr>
        <w:t xml:space="preserve">In a type I TA system, the antitoxin is a sRNA with sequence complementarity to the cognate toxin mRNA. Upon base pairing, there is inhibition of translation and/or </w:t>
      </w:r>
    </w:p>
    <w:p w14:paraId="152D3C81" w14:textId="784BDE76" w:rsidR="003E0D31" w:rsidRPr="003E0D31" w:rsidRDefault="003E0D31" w:rsidP="00701130">
      <w:pPr>
        <w:spacing w:line="360" w:lineRule="auto"/>
        <w:ind w:left="284"/>
        <w:rPr>
          <w:rFonts w:eastAsia="Calibri"/>
          <w:sz w:val="22"/>
          <w:szCs w:val="22"/>
          <w:lang w:bidi="ne-NP"/>
        </w:rPr>
      </w:pPr>
    </w:p>
    <w:tbl>
      <w:tblPr>
        <w:tblStyle w:val="TableGrid1"/>
        <w:tblpPr w:leftFromText="180" w:rightFromText="180" w:vertAnchor="page" w:horzAnchor="margin" w:tblpY="3335"/>
        <w:tblW w:w="84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939"/>
        <w:gridCol w:w="1178"/>
        <w:gridCol w:w="3277"/>
        <w:gridCol w:w="2244"/>
      </w:tblGrid>
      <w:tr w:rsidR="003E0D31" w:rsidRPr="003E0D31" w14:paraId="7509A6BE" w14:textId="77777777" w:rsidTr="00862E05">
        <w:trPr>
          <w:trHeight w:val="762"/>
        </w:trPr>
        <w:tc>
          <w:tcPr>
            <w:tcW w:w="838" w:type="dxa"/>
            <w:vAlign w:val="center"/>
          </w:tcPr>
          <w:p w14:paraId="0376F037" w14:textId="77777777" w:rsidR="003E0D31" w:rsidRPr="003E0D31" w:rsidRDefault="003E0D31" w:rsidP="003E0D31">
            <w:pPr>
              <w:contextualSpacing/>
              <w:jc w:val="center"/>
              <w:rPr>
                <w:rFonts w:ascii="Calibri" w:hAnsi="Calibri"/>
                <w:b/>
                <w:bCs/>
                <w:sz w:val="22"/>
                <w:szCs w:val="22"/>
              </w:rPr>
            </w:pPr>
          </w:p>
        </w:tc>
        <w:tc>
          <w:tcPr>
            <w:tcW w:w="939" w:type="dxa"/>
            <w:vAlign w:val="center"/>
          </w:tcPr>
          <w:p w14:paraId="04EA2F2C" w14:textId="77777777" w:rsidR="003E0D31" w:rsidRPr="003E0D31" w:rsidRDefault="003E0D31" w:rsidP="003E0D31">
            <w:pPr>
              <w:contextualSpacing/>
              <w:rPr>
                <w:rFonts w:ascii="Calibri" w:hAnsi="Calibri"/>
                <w:sz w:val="22"/>
                <w:szCs w:val="22"/>
              </w:rPr>
            </w:pPr>
          </w:p>
        </w:tc>
        <w:tc>
          <w:tcPr>
            <w:tcW w:w="1178" w:type="dxa"/>
            <w:vAlign w:val="center"/>
          </w:tcPr>
          <w:p w14:paraId="27205F83" w14:textId="77777777" w:rsidR="003E0D31" w:rsidRPr="003E0D31" w:rsidRDefault="003E0D31" w:rsidP="003E0D31">
            <w:pPr>
              <w:contextualSpacing/>
              <w:rPr>
                <w:rFonts w:ascii="Calibri" w:hAnsi="Calibri"/>
                <w:sz w:val="22"/>
                <w:szCs w:val="22"/>
              </w:rPr>
            </w:pPr>
          </w:p>
        </w:tc>
        <w:tc>
          <w:tcPr>
            <w:tcW w:w="3277" w:type="dxa"/>
            <w:vAlign w:val="center"/>
          </w:tcPr>
          <w:p w14:paraId="1FFCE4BB" w14:textId="77777777" w:rsidR="003E0D31" w:rsidRPr="003E0D31" w:rsidRDefault="003E0D31" w:rsidP="003E0D31">
            <w:pPr>
              <w:contextualSpacing/>
              <w:rPr>
                <w:rFonts w:ascii="Calibri" w:hAnsi="Calibri"/>
                <w:sz w:val="22"/>
                <w:szCs w:val="22"/>
              </w:rPr>
            </w:pPr>
          </w:p>
        </w:tc>
        <w:tc>
          <w:tcPr>
            <w:tcW w:w="2244" w:type="dxa"/>
            <w:vAlign w:val="center"/>
          </w:tcPr>
          <w:p w14:paraId="43DF9FFE" w14:textId="77777777" w:rsidR="003E0D31" w:rsidRPr="003E0D31" w:rsidRDefault="003E0D31" w:rsidP="003E0D31">
            <w:pPr>
              <w:contextualSpacing/>
              <w:rPr>
                <w:rFonts w:ascii="Calibri" w:hAnsi="Calibri"/>
                <w:sz w:val="22"/>
                <w:szCs w:val="22"/>
              </w:rPr>
            </w:pPr>
          </w:p>
        </w:tc>
      </w:tr>
    </w:tbl>
    <w:tbl>
      <w:tblPr>
        <w:tblStyle w:val="TableGrid1"/>
        <w:tblpPr w:leftFromText="180" w:rightFromText="180" w:vertAnchor="text" w:horzAnchor="margin" w:tblpXSpec="center" w:tblpY="579"/>
        <w:tblW w:w="84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939"/>
        <w:gridCol w:w="1178"/>
        <w:gridCol w:w="3277"/>
        <w:gridCol w:w="2244"/>
      </w:tblGrid>
      <w:tr w:rsidR="003E0D31" w:rsidRPr="003E0D31" w14:paraId="2B3A8A52" w14:textId="77777777" w:rsidTr="00862E05">
        <w:trPr>
          <w:trHeight w:val="381"/>
        </w:trPr>
        <w:tc>
          <w:tcPr>
            <w:tcW w:w="838" w:type="dxa"/>
            <w:tcBorders>
              <w:top w:val="single" w:sz="4" w:space="0" w:color="auto"/>
              <w:bottom w:val="single" w:sz="4" w:space="0" w:color="auto"/>
            </w:tcBorders>
            <w:vAlign w:val="center"/>
          </w:tcPr>
          <w:p w14:paraId="0E4EAE34" w14:textId="77777777" w:rsidR="003E0D31" w:rsidRPr="003E0D31" w:rsidRDefault="003E0D31" w:rsidP="00705347">
            <w:pPr>
              <w:contextualSpacing/>
              <w:jc w:val="center"/>
              <w:rPr>
                <w:rFonts w:ascii="Calibri" w:hAnsi="Calibri"/>
                <w:b/>
                <w:bCs/>
                <w:sz w:val="22"/>
                <w:szCs w:val="22"/>
              </w:rPr>
            </w:pPr>
            <w:r w:rsidRPr="003E0D31">
              <w:rPr>
                <w:rFonts w:ascii="Calibri" w:hAnsi="Calibri"/>
                <w:b/>
                <w:bCs/>
                <w:sz w:val="22"/>
                <w:szCs w:val="22"/>
              </w:rPr>
              <w:t>Type</w:t>
            </w:r>
          </w:p>
        </w:tc>
        <w:tc>
          <w:tcPr>
            <w:tcW w:w="939" w:type="dxa"/>
            <w:tcBorders>
              <w:top w:val="single" w:sz="4" w:space="0" w:color="auto"/>
              <w:bottom w:val="single" w:sz="4" w:space="0" w:color="auto"/>
            </w:tcBorders>
            <w:vAlign w:val="center"/>
          </w:tcPr>
          <w:p w14:paraId="7B7DB902" w14:textId="77777777" w:rsidR="003E0D31" w:rsidRPr="003E0D31" w:rsidRDefault="003E0D31" w:rsidP="00705347">
            <w:pPr>
              <w:contextualSpacing/>
              <w:jc w:val="center"/>
              <w:rPr>
                <w:rFonts w:ascii="Calibri" w:hAnsi="Calibri"/>
                <w:b/>
                <w:bCs/>
                <w:sz w:val="22"/>
                <w:szCs w:val="22"/>
              </w:rPr>
            </w:pPr>
            <w:r w:rsidRPr="003E0D31">
              <w:rPr>
                <w:rFonts w:ascii="Calibri" w:hAnsi="Calibri"/>
                <w:b/>
                <w:bCs/>
                <w:sz w:val="22"/>
                <w:szCs w:val="22"/>
              </w:rPr>
              <w:t>Toxin</w:t>
            </w:r>
          </w:p>
        </w:tc>
        <w:tc>
          <w:tcPr>
            <w:tcW w:w="1178" w:type="dxa"/>
            <w:tcBorders>
              <w:top w:val="single" w:sz="4" w:space="0" w:color="auto"/>
              <w:bottom w:val="single" w:sz="4" w:space="0" w:color="auto"/>
            </w:tcBorders>
            <w:vAlign w:val="center"/>
          </w:tcPr>
          <w:p w14:paraId="212F83CE" w14:textId="77777777" w:rsidR="003E0D31" w:rsidRPr="003E0D31" w:rsidRDefault="003E0D31" w:rsidP="00705347">
            <w:pPr>
              <w:contextualSpacing/>
              <w:jc w:val="center"/>
              <w:rPr>
                <w:rFonts w:ascii="Calibri" w:hAnsi="Calibri"/>
                <w:b/>
                <w:bCs/>
                <w:sz w:val="22"/>
                <w:szCs w:val="22"/>
              </w:rPr>
            </w:pPr>
            <w:r w:rsidRPr="003E0D31">
              <w:rPr>
                <w:rFonts w:ascii="Calibri" w:hAnsi="Calibri"/>
                <w:b/>
                <w:bCs/>
                <w:sz w:val="22"/>
                <w:szCs w:val="22"/>
              </w:rPr>
              <w:t>Antitoxin</w:t>
            </w:r>
          </w:p>
        </w:tc>
        <w:tc>
          <w:tcPr>
            <w:tcW w:w="3277" w:type="dxa"/>
            <w:tcBorders>
              <w:top w:val="single" w:sz="4" w:space="0" w:color="auto"/>
              <w:bottom w:val="single" w:sz="4" w:space="0" w:color="auto"/>
            </w:tcBorders>
            <w:vAlign w:val="center"/>
          </w:tcPr>
          <w:p w14:paraId="36E035E7" w14:textId="77777777" w:rsidR="003E0D31" w:rsidRPr="003E0D31" w:rsidRDefault="003E0D31" w:rsidP="00705347">
            <w:pPr>
              <w:contextualSpacing/>
              <w:jc w:val="center"/>
              <w:rPr>
                <w:rFonts w:ascii="Calibri" w:hAnsi="Calibri"/>
                <w:b/>
                <w:bCs/>
                <w:sz w:val="22"/>
                <w:szCs w:val="22"/>
              </w:rPr>
            </w:pPr>
            <w:r w:rsidRPr="003E0D31">
              <w:rPr>
                <w:rFonts w:ascii="Calibri" w:hAnsi="Calibri"/>
                <w:b/>
                <w:bCs/>
                <w:sz w:val="22"/>
                <w:szCs w:val="22"/>
              </w:rPr>
              <w:t>Interaction</w:t>
            </w:r>
          </w:p>
        </w:tc>
        <w:tc>
          <w:tcPr>
            <w:tcW w:w="2244" w:type="dxa"/>
            <w:tcBorders>
              <w:top w:val="single" w:sz="4" w:space="0" w:color="auto"/>
              <w:bottom w:val="single" w:sz="4" w:space="0" w:color="auto"/>
            </w:tcBorders>
            <w:vAlign w:val="center"/>
          </w:tcPr>
          <w:p w14:paraId="52809E02" w14:textId="77777777" w:rsidR="003E0D31" w:rsidRPr="003E0D31" w:rsidRDefault="003E0D31" w:rsidP="00705347">
            <w:pPr>
              <w:contextualSpacing/>
              <w:jc w:val="center"/>
              <w:rPr>
                <w:rFonts w:ascii="Calibri" w:hAnsi="Calibri"/>
                <w:b/>
                <w:bCs/>
                <w:sz w:val="22"/>
                <w:szCs w:val="22"/>
              </w:rPr>
            </w:pPr>
            <w:r w:rsidRPr="003E0D31">
              <w:rPr>
                <w:rFonts w:ascii="Calibri" w:hAnsi="Calibri"/>
                <w:b/>
                <w:bCs/>
                <w:sz w:val="22"/>
                <w:szCs w:val="22"/>
              </w:rPr>
              <w:t>Founding member</w:t>
            </w:r>
          </w:p>
        </w:tc>
      </w:tr>
      <w:tr w:rsidR="003E0D31" w:rsidRPr="003E0D31" w14:paraId="20F35DFA" w14:textId="77777777" w:rsidTr="00862E05">
        <w:trPr>
          <w:trHeight w:val="762"/>
        </w:trPr>
        <w:tc>
          <w:tcPr>
            <w:tcW w:w="838" w:type="dxa"/>
            <w:tcBorders>
              <w:top w:val="single" w:sz="4" w:space="0" w:color="auto"/>
            </w:tcBorders>
            <w:vAlign w:val="center"/>
          </w:tcPr>
          <w:p w14:paraId="7FD92C39" w14:textId="77777777" w:rsidR="003E0D31" w:rsidRPr="003E0D31" w:rsidRDefault="003E0D31" w:rsidP="00705347">
            <w:pPr>
              <w:contextualSpacing/>
              <w:jc w:val="center"/>
              <w:rPr>
                <w:rFonts w:ascii="Calibri" w:hAnsi="Calibri"/>
                <w:b/>
                <w:bCs/>
                <w:sz w:val="22"/>
                <w:szCs w:val="22"/>
              </w:rPr>
            </w:pPr>
            <w:r w:rsidRPr="003E0D31">
              <w:rPr>
                <w:rFonts w:ascii="Calibri" w:hAnsi="Calibri"/>
                <w:b/>
                <w:bCs/>
                <w:sz w:val="22"/>
                <w:szCs w:val="22"/>
              </w:rPr>
              <w:t>I</w:t>
            </w:r>
          </w:p>
        </w:tc>
        <w:tc>
          <w:tcPr>
            <w:tcW w:w="939" w:type="dxa"/>
            <w:tcBorders>
              <w:top w:val="single" w:sz="4" w:space="0" w:color="auto"/>
            </w:tcBorders>
            <w:vAlign w:val="center"/>
          </w:tcPr>
          <w:p w14:paraId="49828F00" w14:textId="77777777" w:rsidR="003E0D31" w:rsidRPr="003E0D31" w:rsidRDefault="003E0D31" w:rsidP="00705347">
            <w:pPr>
              <w:contextualSpacing/>
              <w:rPr>
                <w:rFonts w:ascii="Calibri" w:hAnsi="Calibri"/>
                <w:sz w:val="22"/>
                <w:szCs w:val="22"/>
              </w:rPr>
            </w:pPr>
            <w:r w:rsidRPr="003E0D31">
              <w:rPr>
                <w:rFonts w:ascii="Calibri" w:hAnsi="Calibri"/>
                <w:sz w:val="22"/>
                <w:szCs w:val="22"/>
              </w:rPr>
              <w:t>Protein</w:t>
            </w:r>
          </w:p>
        </w:tc>
        <w:tc>
          <w:tcPr>
            <w:tcW w:w="1178" w:type="dxa"/>
            <w:tcBorders>
              <w:top w:val="single" w:sz="4" w:space="0" w:color="auto"/>
            </w:tcBorders>
            <w:vAlign w:val="center"/>
          </w:tcPr>
          <w:p w14:paraId="30B4DC6D" w14:textId="77777777" w:rsidR="003E0D31" w:rsidRPr="003E0D31" w:rsidRDefault="003E0D31" w:rsidP="00705347">
            <w:pPr>
              <w:contextualSpacing/>
              <w:rPr>
                <w:rFonts w:ascii="Calibri" w:hAnsi="Calibri"/>
                <w:sz w:val="22"/>
                <w:szCs w:val="22"/>
              </w:rPr>
            </w:pPr>
            <w:r w:rsidRPr="003E0D31">
              <w:rPr>
                <w:rFonts w:ascii="Calibri" w:hAnsi="Calibri"/>
                <w:sz w:val="22"/>
                <w:szCs w:val="22"/>
              </w:rPr>
              <w:t>RNA</w:t>
            </w:r>
          </w:p>
        </w:tc>
        <w:tc>
          <w:tcPr>
            <w:tcW w:w="3277" w:type="dxa"/>
            <w:tcBorders>
              <w:top w:val="single" w:sz="4" w:space="0" w:color="auto"/>
            </w:tcBorders>
            <w:vAlign w:val="center"/>
          </w:tcPr>
          <w:p w14:paraId="25790AE1" w14:textId="77777777" w:rsidR="003E0D31" w:rsidRPr="003E0D31" w:rsidRDefault="003E0D31" w:rsidP="00705347">
            <w:pPr>
              <w:contextualSpacing/>
              <w:rPr>
                <w:rFonts w:ascii="Calibri" w:hAnsi="Calibri"/>
                <w:sz w:val="22"/>
                <w:szCs w:val="22"/>
              </w:rPr>
            </w:pPr>
            <w:r w:rsidRPr="003E0D31">
              <w:rPr>
                <w:rFonts w:ascii="Calibri" w:hAnsi="Calibri"/>
                <w:sz w:val="22"/>
                <w:szCs w:val="22"/>
              </w:rPr>
              <w:t>Toxin mRNA neutralized by antitoxin RNA</w:t>
            </w:r>
          </w:p>
        </w:tc>
        <w:tc>
          <w:tcPr>
            <w:tcW w:w="2244" w:type="dxa"/>
            <w:tcBorders>
              <w:top w:val="single" w:sz="4" w:space="0" w:color="auto"/>
            </w:tcBorders>
            <w:vAlign w:val="center"/>
          </w:tcPr>
          <w:p w14:paraId="2FA325F1" w14:textId="77777777" w:rsidR="003E0D31" w:rsidRPr="003E0D31" w:rsidRDefault="003E0D31" w:rsidP="00705347">
            <w:pPr>
              <w:contextualSpacing/>
              <w:rPr>
                <w:rFonts w:ascii="Calibri" w:hAnsi="Calibri"/>
                <w:sz w:val="22"/>
                <w:szCs w:val="22"/>
              </w:rPr>
            </w:pPr>
            <w:proofErr w:type="spellStart"/>
            <w:r w:rsidRPr="003E0D31">
              <w:rPr>
                <w:rFonts w:ascii="Calibri" w:hAnsi="Calibri"/>
                <w:sz w:val="22"/>
                <w:szCs w:val="22"/>
              </w:rPr>
              <w:t>Hok</w:t>
            </w:r>
            <w:proofErr w:type="spellEnd"/>
            <w:r w:rsidRPr="003E0D31">
              <w:rPr>
                <w:rFonts w:ascii="Calibri" w:hAnsi="Calibri"/>
                <w:sz w:val="22"/>
                <w:szCs w:val="22"/>
              </w:rPr>
              <w:t>/</w:t>
            </w:r>
            <w:proofErr w:type="spellStart"/>
            <w:r w:rsidRPr="003E0D31">
              <w:rPr>
                <w:rFonts w:ascii="Calibri" w:hAnsi="Calibri"/>
                <w:sz w:val="22"/>
                <w:szCs w:val="22"/>
              </w:rPr>
              <w:t>Sok</w:t>
            </w:r>
            <w:proofErr w:type="spellEnd"/>
            <w:r w:rsidRPr="003E0D31">
              <w:rPr>
                <w:rFonts w:ascii="Calibri" w:hAnsi="Calibri"/>
                <w:noProof/>
                <w:sz w:val="22"/>
                <w:szCs w:val="22"/>
              </w:rPr>
              <w:t>(33)</w:t>
            </w:r>
          </w:p>
        </w:tc>
      </w:tr>
      <w:tr w:rsidR="003E0D31" w:rsidRPr="003E0D31" w14:paraId="4019249E" w14:textId="77777777" w:rsidTr="00862E05">
        <w:trPr>
          <w:trHeight w:val="762"/>
        </w:trPr>
        <w:tc>
          <w:tcPr>
            <w:tcW w:w="838" w:type="dxa"/>
            <w:vAlign w:val="center"/>
          </w:tcPr>
          <w:p w14:paraId="336907FA" w14:textId="77777777" w:rsidR="003E0D31" w:rsidRPr="003E0D31" w:rsidRDefault="003E0D31" w:rsidP="00705347">
            <w:pPr>
              <w:contextualSpacing/>
              <w:jc w:val="center"/>
              <w:rPr>
                <w:rFonts w:ascii="Calibri" w:hAnsi="Calibri"/>
                <w:b/>
                <w:bCs/>
                <w:sz w:val="22"/>
                <w:szCs w:val="22"/>
              </w:rPr>
            </w:pPr>
            <w:r w:rsidRPr="003E0D31">
              <w:rPr>
                <w:rFonts w:ascii="Calibri" w:hAnsi="Calibri"/>
                <w:b/>
                <w:bCs/>
                <w:sz w:val="22"/>
                <w:szCs w:val="22"/>
              </w:rPr>
              <w:t>II</w:t>
            </w:r>
          </w:p>
        </w:tc>
        <w:tc>
          <w:tcPr>
            <w:tcW w:w="939" w:type="dxa"/>
            <w:vAlign w:val="center"/>
          </w:tcPr>
          <w:p w14:paraId="5F63D896" w14:textId="77777777" w:rsidR="003E0D31" w:rsidRPr="003E0D31" w:rsidRDefault="003E0D31" w:rsidP="00705347">
            <w:pPr>
              <w:contextualSpacing/>
              <w:rPr>
                <w:rFonts w:ascii="Calibri" w:hAnsi="Calibri"/>
                <w:sz w:val="22"/>
                <w:szCs w:val="22"/>
              </w:rPr>
            </w:pPr>
            <w:r w:rsidRPr="003E0D31">
              <w:rPr>
                <w:rFonts w:ascii="Calibri" w:hAnsi="Calibri"/>
                <w:sz w:val="22"/>
                <w:szCs w:val="22"/>
              </w:rPr>
              <w:t>Protein</w:t>
            </w:r>
          </w:p>
        </w:tc>
        <w:tc>
          <w:tcPr>
            <w:tcW w:w="1178" w:type="dxa"/>
            <w:vAlign w:val="center"/>
          </w:tcPr>
          <w:p w14:paraId="1478D95F" w14:textId="77777777" w:rsidR="003E0D31" w:rsidRPr="003E0D31" w:rsidRDefault="003E0D31" w:rsidP="00705347">
            <w:pPr>
              <w:contextualSpacing/>
              <w:rPr>
                <w:rFonts w:ascii="Calibri" w:hAnsi="Calibri"/>
                <w:sz w:val="22"/>
                <w:szCs w:val="22"/>
              </w:rPr>
            </w:pPr>
            <w:r w:rsidRPr="003E0D31">
              <w:rPr>
                <w:rFonts w:ascii="Calibri" w:hAnsi="Calibri"/>
                <w:sz w:val="22"/>
                <w:szCs w:val="22"/>
              </w:rPr>
              <w:t>Protein</w:t>
            </w:r>
          </w:p>
        </w:tc>
        <w:tc>
          <w:tcPr>
            <w:tcW w:w="3277" w:type="dxa"/>
            <w:vAlign w:val="center"/>
          </w:tcPr>
          <w:p w14:paraId="7B37D40B" w14:textId="77777777" w:rsidR="003E0D31" w:rsidRPr="003E0D31" w:rsidRDefault="003E0D31" w:rsidP="00705347">
            <w:pPr>
              <w:contextualSpacing/>
              <w:rPr>
                <w:rFonts w:ascii="Calibri" w:hAnsi="Calibri"/>
                <w:sz w:val="22"/>
                <w:szCs w:val="22"/>
              </w:rPr>
            </w:pPr>
            <w:r w:rsidRPr="003E0D31">
              <w:rPr>
                <w:rFonts w:ascii="Calibri" w:hAnsi="Calibri"/>
                <w:sz w:val="22"/>
                <w:szCs w:val="22"/>
              </w:rPr>
              <w:t>Toxin protein neutralized by antitoxin protein binding</w:t>
            </w:r>
          </w:p>
        </w:tc>
        <w:tc>
          <w:tcPr>
            <w:tcW w:w="2244" w:type="dxa"/>
            <w:vAlign w:val="center"/>
          </w:tcPr>
          <w:p w14:paraId="27CEB597" w14:textId="77777777" w:rsidR="003E0D31" w:rsidRPr="003E0D31" w:rsidRDefault="003E0D31" w:rsidP="00705347">
            <w:pPr>
              <w:contextualSpacing/>
              <w:rPr>
                <w:rFonts w:ascii="Calibri" w:hAnsi="Calibri"/>
                <w:sz w:val="22"/>
                <w:szCs w:val="22"/>
              </w:rPr>
            </w:pPr>
            <w:proofErr w:type="spellStart"/>
            <w:r w:rsidRPr="003E0D31">
              <w:rPr>
                <w:rFonts w:ascii="Calibri" w:hAnsi="Calibri"/>
                <w:sz w:val="22"/>
                <w:szCs w:val="22"/>
              </w:rPr>
              <w:t>CcdB</w:t>
            </w:r>
            <w:proofErr w:type="spellEnd"/>
            <w:r w:rsidRPr="003E0D31">
              <w:rPr>
                <w:rFonts w:ascii="Calibri" w:hAnsi="Calibri"/>
                <w:sz w:val="22"/>
                <w:szCs w:val="22"/>
              </w:rPr>
              <w:t>/</w:t>
            </w:r>
            <w:proofErr w:type="spellStart"/>
            <w:r w:rsidRPr="003E0D31">
              <w:rPr>
                <w:rFonts w:ascii="Calibri" w:hAnsi="Calibri"/>
                <w:sz w:val="22"/>
                <w:szCs w:val="22"/>
              </w:rPr>
              <w:t>CcdA</w:t>
            </w:r>
            <w:proofErr w:type="spellEnd"/>
            <w:r w:rsidRPr="003E0D31">
              <w:rPr>
                <w:rFonts w:ascii="Calibri" w:hAnsi="Calibri"/>
                <w:sz w:val="22"/>
                <w:szCs w:val="22"/>
              </w:rPr>
              <w:t xml:space="preserve">* </w:t>
            </w:r>
            <w:r w:rsidRPr="003E0D31">
              <w:rPr>
                <w:rFonts w:ascii="Calibri" w:hAnsi="Calibri"/>
                <w:noProof/>
                <w:sz w:val="22"/>
                <w:szCs w:val="22"/>
              </w:rPr>
              <w:t>(6)</w:t>
            </w:r>
          </w:p>
        </w:tc>
      </w:tr>
      <w:tr w:rsidR="003E0D31" w:rsidRPr="003E0D31" w14:paraId="354D4D0E" w14:textId="77777777" w:rsidTr="00862E05">
        <w:trPr>
          <w:trHeight w:val="762"/>
        </w:trPr>
        <w:tc>
          <w:tcPr>
            <w:tcW w:w="838" w:type="dxa"/>
            <w:vAlign w:val="center"/>
          </w:tcPr>
          <w:p w14:paraId="1F9E952C" w14:textId="77777777" w:rsidR="003E0D31" w:rsidRPr="003E0D31" w:rsidRDefault="003E0D31" w:rsidP="00705347">
            <w:pPr>
              <w:contextualSpacing/>
              <w:jc w:val="center"/>
              <w:rPr>
                <w:rFonts w:ascii="Calibri" w:hAnsi="Calibri"/>
                <w:b/>
                <w:bCs/>
                <w:sz w:val="22"/>
                <w:szCs w:val="22"/>
              </w:rPr>
            </w:pPr>
            <w:r w:rsidRPr="003E0D31">
              <w:rPr>
                <w:rFonts w:ascii="Calibri" w:hAnsi="Calibri"/>
                <w:b/>
                <w:bCs/>
                <w:sz w:val="22"/>
                <w:szCs w:val="22"/>
              </w:rPr>
              <w:t>III</w:t>
            </w:r>
          </w:p>
        </w:tc>
        <w:tc>
          <w:tcPr>
            <w:tcW w:w="939" w:type="dxa"/>
            <w:vAlign w:val="center"/>
          </w:tcPr>
          <w:p w14:paraId="21CD6F4F" w14:textId="77777777" w:rsidR="003E0D31" w:rsidRPr="003E0D31" w:rsidRDefault="003E0D31" w:rsidP="00705347">
            <w:pPr>
              <w:contextualSpacing/>
              <w:rPr>
                <w:rFonts w:ascii="Calibri" w:hAnsi="Calibri"/>
                <w:sz w:val="22"/>
                <w:szCs w:val="22"/>
              </w:rPr>
            </w:pPr>
            <w:r w:rsidRPr="003E0D31">
              <w:rPr>
                <w:rFonts w:ascii="Calibri" w:hAnsi="Calibri"/>
                <w:sz w:val="22"/>
                <w:szCs w:val="22"/>
              </w:rPr>
              <w:t>Protein</w:t>
            </w:r>
          </w:p>
        </w:tc>
        <w:tc>
          <w:tcPr>
            <w:tcW w:w="1178" w:type="dxa"/>
            <w:vAlign w:val="center"/>
          </w:tcPr>
          <w:p w14:paraId="6133F79F" w14:textId="77777777" w:rsidR="003E0D31" w:rsidRPr="003E0D31" w:rsidRDefault="003E0D31" w:rsidP="00705347">
            <w:pPr>
              <w:contextualSpacing/>
              <w:rPr>
                <w:rFonts w:ascii="Calibri" w:hAnsi="Calibri"/>
                <w:sz w:val="22"/>
                <w:szCs w:val="22"/>
              </w:rPr>
            </w:pPr>
            <w:r w:rsidRPr="003E0D31">
              <w:rPr>
                <w:rFonts w:ascii="Calibri" w:hAnsi="Calibri"/>
                <w:sz w:val="22"/>
                <w:szCs w:val="22"/>
              </w:rPr>
              <w:t>RNA</w:t>
            </w:r>
          </w:p>
        </w:tc>
        <w:tc>
          <w:tcPr>
            <w:tcW w:w="3277" w:type="dxa"/>
            <w:vAlign w:val="center"/>
          </w:tcPr>
          <w:p w14:paraId="21AF8B5F" w14:textId="77777777" w:rsidR="003E0D31" w:rsidRPr="003E0D31" w:rsidRDefault="003E0D31" w:rsidP="00705347">
            <w:pPr>
              <w:contextualSpacing/>
              <w:rPr>
                <w:rFonts w:ascii="Calibri" w:hAnsi="Calibri"/>
                <w:sz w:val="22"/>
                <w:szCs w:val="22"/>
              </w:rPr>
            </w:pPr>
            <w:r w:rsidRPr="003E0D31">
              <w:rPr>
                <w:rFonts w:ascii="Calibri" w:hAnsi="Calibri"/>
                <w:sz w:val="22"/>
                <w:szCs w:val="22"/>
              </w:rPr>
              <w:t>Toxin protein neutralized by antitoxin RNA binding</w:t>
            </w:r>
          </w:p>
        </w:tc>
        <w:tc>
          <w:tcPr>
            <w:tcW w:w="2244" w:type="dxa"/>
            <w:vAlign w:val="center"/>
          </w:tcPr>
          <w:p w14:paraId="6682719C" w14:textId="77777777" w:rsidR="003E0D31" w:rsidRPr="003E0D31" w:rsidRDefault="003E0D31" w:rsidP="00705347">
            <w:pPr>
              <w:contextualSpacing/>
              <w:rPr>
                <w:rFonts w:ascii="Calibri" w:hAnsi="Calibri"/>
                <w:sz w:val="22"/>
                <w:szCs w:val="22"/>
              </w:rPr>
            </w:pPr>
            <w:proofErr w:type="spellStart"/>
            <w:r w:rsidRPr="003E0D31">
              <w:rPr>
                <w:rFonts w:ascii="Calibri" w:hAnsi="Calibri"/>
                <w:sz w:val="22"/>
                <w:szCs w:val="22"/>
              </w:rPr>
              <w:t>ToxI</w:t>
            </w:r>
            <w:proofErr w:type="spellEnd"/>
            <w:r w:rsidRPr="003E0D31">
              <w:rPr>
                <w:rFonts w:ascii="Calibri" w:hAnsi="Calibri"/>
                <w:sz w:val="22"/>
                <w:szCs w:val="22"/>
              </w:rPr>
              <w:t>/</w:t>
            </w:r>
            <w:proofErr w:type="spellStart"/>
            <w:r w:rsidRPr="003E0D31">
              <w:rPr>
                <w:rFonts w:ascii="Calibri" w:hAnsi="Calibri"/>
                <w:sz w:val="22"/>
                <w:szCs w:val="22"/>
              </w:rPr>
              <w:t>ToxN</w:t>
            </w:r>
            <w:proofErr w:type="spellEnd"/>
            <w:r w:rsidRPr="003E0D31">
              <w:rPr>
                <w:rFonts w:ascii="Calibri" w:hAnsi="Calibri"/>
                <w:noProof/>
                <w:sz w:val="22"/>
                <w:szCs w:val="22"/>
              </w:rPr>
              <w:t>(34)</w:t>
            </w:r>
          </w:p>
        </w:tc>
      </w:tr>
      <w:tr w:rsidR="003E0D31" w:rsidRPr="003E0D31" w14:paraId="4CD44FAC" w14:textId="77777777" w:rsidTr="00862E05">
        <w:trPr>
          <w:trHeight w:val="1134"/>
        </w:trPr>
        <w:tc>
          <w:tcPr>
            <w:tcW w:w="838" w:type="dxa"/>
            <w:vAlign w:val="center"/>
          </w:tcPr>
          <w:p w14:paraId="7191F4B0" w14:textId="77777777" w:rsidR="003E0D31" w:rsidRPr="003E0D31" w:rsidRDefault="003E0D31" w:rsidP="00705347">
            <w:pPr>
              <w:contextualSpacing/>
              <w:jc w:val="center"/>
              <w:rPr>
                <w:rFonts w:ascii="Calibri" w:hAnsi="Calibri"/>
                <w:b/>
                <w:bCs/>
                <w:sz w:val="22"/>
                <w:szCs w:val="22"/>
              </w:rPr>
            </w:pPr>
            <w:r w:rsidRPr="003E0D31">
              <w:rPr>
                <w:rFonts w:ascii="Calibri" w:hAnsi="Calibri"/>
                <w:b/>
                <w:bCs/>
                <w:sz w:val="22"/>
                <w:szCs w:val="22"/>
              </w:rPr>
              <w:t>IV</w:t>
            </w:r>
          </w:p>
        </w:tc>
        <w:tc>
          <w:tcPr>
            <w:tcW w:w="939" w:type="dxa"/>
            <w:vAlign w:val="center"/>
          </w:tcPr>
          <w:p w14:paraId="076505A4" w14:textId="77777777" w:rsidR="003E0D31" w:rsidRPr="003E0D31" w:rsidRDefault="003E0D31" w:rsidP="00705347">
            <w:pPr>
              <w:contextualSpacing/>
              <w:rPr>
                <w:rFonts w:ascii="Calibri" w:hAnsi="Calibri"/>
                <w:sz w:val="22"/>
                <w:szCs w:val="22"/>
              </w:rPr>
            </w:pPr>
            <w:r w:rsidRPr="003E0D31">
              <w:rPr>
                <w:rFonts w:ascii="Calibri" w:hAnsi="Calibri"/>
                <w:sz w:val="22"/>
                <w:szCs w:val="22"/>
              </w:rPr>
              <w:t>Protein</w:t>
            </w:r>
          </w:p>
        </w:tc>
        <w:tc>
          <w:tcPr>
            <w:tcW w:w="1178" w:type="dxa"/>
            <w:vAlign w:val="center"/>
          </w:tcPr>
          <w:p w14:paraId="4996283D" w14:textId="77777777" w:rsidR="003E0D31" w:rsidRPr="003E0D31" w:rsidRDefault="003E0D31" w:rsidP="00705347">
            <w:pPr>
              <w:contextualSpacing/>
              <w:rPr>
                <w:rFonts w:ascii="Calibri" w:hAnsi="Calibri"/>
                <w:sz w:val="22"/>
                <w:szCs w:val="22"/>
              </w:rPr>
            </w:pPr>
            <w:r w:rsidRPr="003E0D31">
              <w:rPr>
                <w:rFonts w:ascii="Calibri" w:hAnsi="Calibri"/>
                <w:sz w:val="22"/>
                <w:szCs w:val="22"/>
              </w:rPr>
              <w:t>Protein</w:t>
            </w:r>
          </w:p>
        </w:tc>
        <w:tc>
          <w:tcPr>
            <w:tcW w:w="3277" w:type="dxa"/>
            <w:vAlign w:val="center"/>
          </w:tcPr>
          <w:p w14:paraId="209286D3" w14:textId="77777777" w:rsidR="003E0D31" w:rsidRPr="003E0D31" w:rsidRDefault="003E0D31" w:rsidP="00705347">
            <w:pPr>
              <w:contextualSpacing/>
              <w:rPr>
                <w:rFonts w:ascii="Calibri" w:hAnsi="Calibri"/>
                <w:sz w:val="22"/>
                <w:szCs w:val="22"/>
              </w:rPr>
            </w:pPr>
            <w:r w:rsidRPr="003E0D31">
              <w:rPr>
                <w:rFonts w:ascii="Calibri" w:hAnsi="Calibri"/>
                <w:sz w:val="22"/>
                <w:szCs w:val="22"/>
              </w:rPr>
              <w:t>Indirect; antitoxin interferes the toxin’s interaction with the target</w:t>
            </w:r>
          </w:p>
        </w:tc>
        <w:tc>
          <w:tcPr>
            <w:tcW w:w="2244" w:type="dxa"/>
            <w:vAlign w:val="center"/>
          </w:tcPr>
          <w:p w14:paraId="304B1E40" w14:textId="77777777" w:rsidR="003E0D31" w:rsidRPr="003E0D31" w:rsidRDefault="003E0D31" w:rsidP="00705347">
            <w:pPr>
              <w:contextualSpacing/>
              <w:rPr>
                <w:rFonts w:ascii="Calibri" w:hAnsi="Calibri"/>
                <w:sz w:val="22"/>
                <w:szCs w:val="22"/>
              </w:rPr>
            </w:pPr>
            <w:proofErr w:type="spellStart"/>
            <w:r w:rsidRPr="003E0D31">
              <w:rPr>
                <w:rFonts w:ascii="Calibri" w:hAnsi="Calibri"/>
                <w:sz w:val="22"/>
                <w:szCs w:val="22"/>
              </w:rPr>
              <w:t>YeeU</w:t>
            </w:r>
            <w:proofErr w:type="spellEnd"/>
            <w:r w:rsidRPr="003E0D31">
              <w:rPr>
                <w:rFonts w:ascii="Calibri" w:hAnsi="Calibri"/>
                <w:sz w:val="22"/>
                <w:szCs w:val="22"/>
              </w:rPr>
              <w:t>/</w:t>
            </w:r>
            <w:proofErr w:type="spellStart"/>
            <w:r w:rsidRPr="003E0D31">
              <w:rPr>
                <w:rFonts w:ascii="Calibri" w:hAnsi="Calibri"/>
                <w:sz w:val="22"/>
                <w:szCs w:val="22"/>
              </w:rPr>
              <w:t>YeeV</w:t>
            </w:r>
            <w:proofErr w:type="spellEnd"/>
            <w:r w:rsidRPr="003E0D31">
              <w:rPr>
                <w:rFonts w:ascii="Calibri" w:hAnsi="Calibri"/>
                <w:sz w:val="22"/>
                <w:szCs w:val="22"/>
              </w:rPr>
              <w:t xml:space="preserve"> (</w:t>
            </w:r>
            <w:proofErr w:type="spellStart"/>
            <w:r w:rsidRPr="003E0D31">
              <w:rPr>
                <w:rFonts w:ascii="Calibri" w:hAnsi="Calibri"/>
                <w:sz w:val="22"/>
                <w:szCs w:val="22"/>
              </w:rPr>
              <w:t>CbeA</w:t>
            </w:r>
            <w:proofErr w:type="spellEnd"/>
            <w:r w:rsidRPr="003E0D31">
              <w:rPr>
                <w:rFonts w:ascii="Calibri" w:hAnsi="Calibri"/>
                <w:sz w:val="22"/>
                <w:szCs w:val="22"/>
              </w:rPr>
              <w:t>/</w:t>
            </w:r>
            <w:proofErr w:type="spellStart"/>
            <w:r w:rsidRPr="003E0D31">
              <w:rPr>
                <w:rFonts w:ascii="Calibri" w:hAnsi="Calibri"/>
                <w:sz w:val="22"/>
                <w:szCs w:val="22"/>
              </w:rPr>
              <w:t>CbtA</w:t>
            </w:r>
            <w:proofErr w:type="spellEnd"/>
            <w:r w:rsidRPr="003E0D31">
              <w:rPr>
                <w:rFonts w:ascii="Calibri" w:hAnsi="Calibri"/>
                <w:sz w:val="22"/>
                <w:szCs w:val="22"/>
              </w:rPr>
              <w:t>)</w:t>
            </w:r>
            <w:r w:rsidRPr="003E0D31">
              <w:rPr>
                <w:rFonts w:ascii="Calibri" w:hAnsi="Calibri"/>
                <w:noProof/>
                <w:sz w:val="22"/>
                <w:szCs w:val="22"/>
              </w:rPr>
              <w:t>(35)</w:t>
            </w:r>
          </w:p>
        </w:tc>
      </w:tr>
      <w:tr w:rsidR="003E0D31" w:rsidRPr="003E0D31" w14:paraId="2D3EEA34" w14:textId="77777777" w:rsidTr="00862E05">
        <w:trPr>
          <w:trHeight w:val="762"/>
        </w:trPr>
        <w:tc>
          <w:tcPr>
            <w:tcW w:w="838" w:type="dxa"/>
            <w:vAlign w:val="center"/>
          </w:tcPr>
          <w:p w14:paraId="08014BD6" w14:textId="77777777" w:rsidR="003E0D31" w:rsidRPr="003E0D31" w:rsidRDefault="003E0D31" w:rsidP="00705347">
            <w:pPr>
              <w:contextualSpacing/>
              <w:jc w:val="center"/>
              <w:rPr>
                <w:rFonts w:ascii="Calibri" w:hAnsi="Calibri"/>
                <w:b/>
                <w:bCs/>
                <w:sz w:val="22"/>
                <w:szCs w:val="22"/>
              </w:rPr>
            </w:pPr>
            <w:r w:rsidRPr="003E0D31">
              <w:rPr>
                <w:rFonts w:ascii="Calibri" w:hAnsi="Calibri"/>
                <w:b/>
                <w:bCs/>
                <w:sz w:val="22"/>
                <w:szCs w:val="22"/>
              </w:rPr>
              <w:t>V</w:t>
            </w:r>
          </w:p>
        </w:tc>
        <w:tc>
          <w:tcPr>
            <w:tcW w:w="939" w:type="dxa"/>
            <w:vAlign w:val="center"/>
          </w:tcPr>
          <w:p w14:paraId="34C6F5C2" w14:textId="77777777" w:rsidR="003E0D31" w:rsidRPr="003E0D31" w:rsidRDefault="003E0D31" w:rsidP="00705347">
            <w:pPr>
              <w:contextualSpacing/>
              <w:rPr>
                <w:rFonts w:ascii="Calibri" w:hAnsi="Calibri"/>
                <w:sz w:val="22"/>
                <w:szCs w:val="22"/>
              </w:rPr>
            </w:pPr>
            <w:r w:rsidRPr="003E0D31">
              <w:rPr>
                <w:rFonts w:ascii="Calibri" w:hAnsi="Calibri"/>
                <w:sz w:val="22"/>
                <w:szCs w:val="22"/>
              </w:rPr>
              <w:t>Protein</w:t>
            </w:r>
          </w:p>
        </w:tc>
        <w:tc>
          <w:tcPr>
            <w:tcW w:w="1178" w:type="dxa"/>
            <w:vAlign w:val="center"/>
          </w:tcPr>
          <w:p w14:paraId="4FCEE2FA" w14:textId="77777777" w:rsidR="003E0D31" w:rsidRPr="003E0D31" w:rsidRDefault="003E0D31" w:rsidP="00705347">
            <w:pPr>
              <w:contextualSpacing/>
              <w:rPr>
                <w:rFonts w:ascii="Calibri" w:hAnsi="Calibri"/>
                <w:sz w:val="22"/>
                <w:szCs w:val="22"/>
              </w:rPr>
            </w:pPr>
            <w:r w:rsidRPr="003E0D31">
              <w:rPr>
                <w:rFonts w:ascii="Calibri" w:hAnsi="Calibri"/>
                <w:sz w:val="22"/>
                <w:szCs w:val="22"/>
              </w:rPr>
              <w:t>Enzyme</w:t>
            </w:r>
          </w:p>
        </w:tc>
        <w:tc>
          <w:tcPr>
            <w:tcW w:w="3277" w:type="dxa"/>
            <w:vAlign w:val="center"/>
          </w:tcPr>
          <w:p w14:paraId="4EE65FF2" w14:textId="77777777" w:rsidR="003E0D31" w:rsidRPr="003E0D31" w:rsidRDefault="003E0D31" w:rsidP="00705347">
            <w:pPr>
              <w:contextualSpacing/>
              <w:rPr>
                <w:rFonts w:ascii="Calibri" w:hAnsi="Calibri"/>
                <w:sz w:val="22"/>
                <w:szCs w:val="22"/>
              </w:rPr>
            </w:pPr>
            <w:r w:rsidRPr="003E0D31">
              <w:rPr>
                <w:rFonts w:ascii="Calibri" w:hAnsi="Calibri"/>
                <w:sz w:val="22"/>
                <w:szCs w:val="22"/>
              </w:rPr>
              <w:t>Toxin mRNA neutralized by an RNase antitoxin</w:t>
            </w:r>
          </w:p>
        </w:tc>
        <w:tc>
          <w:tcPr>
            <w:tcW w:w="2244" w:type="dxa"/>
            <w:vAlign w:val="center"/>
          </w:tcPr>
          <w:p w14:paraId="76FB998F" w14:textId="77777777" w:rsidR="003E0D31" w:rsidRPr="003E0D31" w:rsidRDefault="003E0D31" w:rsidP="00705347">
            <w:pPr>
              <w:contextualSpacing/>
              <w:rPr>
                <w:rFonts w:ascii="Calibri" w:hAnsi="Calibri"/>
                <w:sz w:val="22"/>
                <w:szCs w:val="22"/>
              </w:rPr>
            </w:pPr>
            <w:proofErr w:type="spellStart"/>
            <w:r w:rsidRPr="003E0D31">
              <w:rPr>
                <w:rFonts w:ascii="Calibri" w:hAnsi="Calibri"/>
                <w:sz w:val="22"/>
                <w:szCs w:val="22"/>
              </w:rPr>
              <w:t>GhoT</w:t>
            </w:r>
            <w:proofErr w:type="spellEnd"/>
            <w:r w:rsidRPr="003E0D31">
              <w:rPr>
                <w:rFonts w:ascii="Calibri" w:hAnsi="Calibri"/>
                <w:sz w:val="22"/>
                <w:szCs w:val="22"/>
              </w:rPr>
              <w:t>/</w:t>
            </w:r>
            <w:proofErr w:type="spellStart"/>
            <w:r w:rsidRPr="003E0D31">
              <w:rPr>
                <w:rFonts w:ascii="Calibri" w:hAnsi="Calibri"/>
                <w:sz w:val="22"/>
                <w:szCs w:val="22"/>
              </w:rPr>
              <w:t>GhoS</w:t>
            </w:r>
            <w:proofErr w:type="spellEnd"/>
            <w:r w:rsidRPr="003E0D31">
              <w:rPr>
                <w:rFonts w:ascii="Calibri" w:hAnsi="Calibri"/>
                <w:noProof/>
                <w:sz w:val="22"/>
                <w:szCs w:val="22"/>
              </w:rPr>
              <w:t>(36)</w:t>
            </w:r>
          </w:p>
        </w:tc>
      </w:tr>
      <w:tr w:rsidR="003E0D31" w:rsidRPr="003E0D31" w14:paraId="779B9981" w14:textId="77777777" w:rsidTr="00862E05">
        <w:trPr>
          <w:trHeight w:val="1144"/>
        </w:trPr>
        <w:tc>
          <w:tcPr>
            <w:tcW w:w="838" w:type="dxa"/>
            <w:vAlign w:val="center"/>
          </w:tcPr>
          <w:p w14:paraId="61AB8C0E" w14:textId="77777777" w:rsidR="003E0D31" w:rsidRPr="003E0D31" w:rsidRDefault="003E0D31" w:rsidP="00705347">
            <w:pPr>
              <w:contextualSpacing/>
              <w:jc w:val="center"/>
              <w:rPr>
                <w:rFonts w:ascii="Calibri" w:hAnsi="Calibri"/>
                <w:b/>
                <w:bCs/>
                <w:sz w:val="22"/>
                <w:szCs w:val="22"/>
              </w:rPr>
            </w:pPr>
            <w:r w:rsidRPr="003E0D31">
              <w:rPr>
                <w:rFonts w:ascii="Calibri" w:hAnsi="Calibri"/>
                <w:b/>
                <w:bCs/>
                <w:sz w:val="22"/>
                <w:szCs w:val="22"/>
              </w:rPr>
              <w:t>VI</w:t>
            </w:r>
          </w:p>
        </w:tc>
        <w:tc>
          <w:tcPr>
            <w:tcW w:w="939" w:type="dxa"/>
            <w:vAlign w:val="center"/>
          </w:tcPr>
          <w:p w14:paraId="0D28D3A6" w14:textId="77777777" w:rsidR="003E0D31" w:rsidRPr="003E0D31" w:rsidRDefault="003E0D31" w:rsidP="00705347">
            <w:pPr>
              <w:contextualSpacing/>
              <w:rPr>
                <w:rFonts w:ascii="Calibri" w:hAnsi="Calibri"/>
                <w:sz w:val="22"/>
                <w:szCs w:val="22"/>
              </w:rPr>
            </w:pPr>
            <w:r w:rsidRPr="003E0D31">
              <w:rPr>
                <w:rFonts w:ascii="Calibri" w:hAnsi="Calibri"/>
                <w:sz w:val="22"/>
                <w:szCs w:val="22"/>
              </w:rPr>
              <w:t>Protein</w:t>
            </w:r>
          </w:p>
        </w:tc>
        <w:tc>
          <w:tcPr>
            <w:tcW w:w="1178" w:type="dxa"/>
            <w:vAlign w:val="center"/>
          </w:tcPr>
          <w:p w14:paraId="724C439F" w14:textId="77777777" w:rsidR="003E0D31" w:rsidRPr="003E0D31" w:rsidRDefault="003E0D31" w:rsidP="00705347">
            <w:pPr>
              <w:contextualSpacing/>
              <w:rPr>
                <w:rFonts w:ascii="Calibri" w:hAnsi="Calibri"/>
                <w:sz w:val="22"/>
                <w:szCs w:val="22"/>
              </w:rPr>
            </w:pPr>
            <w:r w:rsidRPr="003E0D31">
              <w:rPr>
                <w:rFonts w:ascii="Calibri" w:hAnsi="Calibri"/>
                <w:sz w:val="22"/>
                <w:szCs w:val="22"/>
              </w:rPr>
              <w:t>Protein</w:t>
            </w:r>
          </w:p>
        </w:tc>
        <w:tc>
          <w:tcPr>
            <w:tcW w:w="3277" w:type="dxa"/>
            <w:vAlign w:val="center"/>
          </w:tcPr>
          <w:p w14:paraId="72CB0D11" w14:textId="77777777" w:rsidR="003E0D31" w:rsidRPr="003E0D31" w:rsidRDefault="003E0D31" w:rsidP="00705347">
            <w:pPr>
              <w:contextualSpacing/>
              <w:rPr>
                <w:rFonts w:ascii="Calibri" w:hAnsi="Calibri"/>
                <w:sz w:val="22"/>
                <w:szCs w:val="22"/>
              </w:rPr>
            </w:pPr>
            <w:r w:rsidRPr="003E0D31">
              <w:rPr>
                <w:rFonts w:ascii="Calibri" w:hAnsi="Calibri"/>
                <w:sz w:val="22"/>
                <w:szCs w:val="22"/>
              </w:rPr>
              <w:t>Toxin protein binding to antitoxin protein triggering toxin degradation by proteases</w:t>
            </w:r>
          </w:p>
        </w:tc>
        <w:tc>
          <w:tcPr>
            <w:tcW w:w="2244" w:type="dxa"/>
            <w:vAlign w:val="center"/>
          </w:tcPr>
          <w:p w14:paraId="72C12B00" w14:textId="77777777" w:rsidR="003E0D31" w:rsidRPr="003E0D31" w:rsidRDefault="003E0D31" w:rsidP="00705347">
            <w:pPr>
              <w:contextualSpacing/>
              <w:rPr>
                <w:rFonts w:ascii="Calibri" w:hAnsi="Calibri"/>
                <w:sz w:val="22"/>
                <w:szCs w:val="22"/>
              </w:rPr>
            </w:pPr>
            <w:proofErr w:type="spellStart"/>
            <w:r w:rsidRPr="003E0D31">
              <w:rPr>
                <w:rFonts w:ascii="Calibri" w:hAnsi="Calibri"/>
                <w:sz w:val="22"/>
                <w:szCs w:val="22"/>
              </w:rPr>
              <w:t>SocB</w:t>
            </w:r>
            <w:proofErr w:type="spellEnd"/>
            <w:r w:rsidRPr="003E0D31">
              <w:rPr>
                <w:rFonts w:ascii="Calibri" w:hAnsi="Calibri"/>
                <w:sz w:val="22"/>
                <w:szCs w:val="22"/>
              </w:rPr>
              <w:t>/</w:t>
            </w:r>
            <w:proofErr w:type="spellStart"/>
            <w:r w:rsidRPr="003E0D31">
              <w:rPr>
                <w:rFonts w:ascii="Calibri" w:hAnsi="Calibri"/>
                <w:sz w:val="22"/>
                <w:szCs w:val="22"/>
              </w:rPr>
              <w:t>SocA</w:t>
            </w:r>
            <w:proofErr w:type="spellEnd"/>
            <w:r w:rsidRPr="003E0D31">
              <w:rPr>
                <w:rFonts w:ascii="Calibri" w:hAnsi="Calibri"/>
                <w:noProof/>
                <w:sz w:val="22"/>
                <w:szCs w:val="22"/>
              </w:rPr>
              <w:t>(5)</w:t>
            </w:r>
          </w:p>
        </w:tc>
      </w:tr>
      <w:tr w:rsidR="003E0D31" w:rsidRPr="003E0D31" w14:paraId="3641E2DC" w14:textId="77777777" w:rsidTr="00862E05">
        <w:trPr>
          <w:trHeight w:val="1144"/>
        </w:trPr>
        <w:tc>
          <w:tcPr>
            <w:tcW w:w="838" w:type="dxa"/>
            <w:vAlign w:val="center"/>
          </w:tcPr>
          <w:p w14:paraId="275CE978" w14:textId="77777777" w:rsidR="003E0D31" w:rsidRPr="003E0D31" w:rsidRDefault="003E0D31" w:rsidP="00705347">
            <w:pPr>
              <w:contextualSpacing/>
              <w:jc w:val="center"/>
              <w:rPr>
                <w:rFonts w:ascii="Calibri" w:hAnsi="Calibri"/>
                <w:b/>
                <w:bCs/>
                <w:sz w:val="22"/>
                <w:szCs w:val="22"/>
              </w:rPr>
            </w:pPr>
            <w:r w:rsidRPr="003E0D31">
              <w:rPr>
                <w:rFonts w:ascii="Calibri" w:hAnsi="Calibri"/>
                <w:b/>
                <w:bCs/>
                <w:sz w:val="22"/>
                <w:szCs w:val="22"/>
              </w:rPr>
              <w:t>VII</w:t>
            </w:r>
          </w:p>
        </w:tc>
        <w:tc>
          <w:tcPr>
            <w:tcW w:w="939" w:type="dxa"/>
            <w:vAlign w:val="center"/>
          </w:tcPr>
          <w:p w14:paraId="327560F5" w14:textId="77777777" w:rsidR="003E0D31" w:rsidRPr="003E0D31" w:rsidRDefault="003E0D31" w:rsidP="00705347">
            <w:pPr>
              <w:contextualSpacing/>
              <w:rPr>
                <w:rFonts w:ascii="Calibri" w:hAnsi="Calibri"/>
                <w:sz w:val="22"/>
                <w:szCs w:val="22"/>
              </w:rPr>
            </w:pPr>
            <w:r w:rsidRPr="003E0D31">
              <w:rPr>
                <w:rFonts w:ascii="Calibri" w:hAnsi="Calibri"/>
                <w:sz w:val="22"/>
                <w:szCs w:val="22"/>
              </w:rPr>
              <w:t>Protein</w:t>
            </w:r>
          </w:p>
        </w:tc>
        <w:tc>
          <w:tcPr>
            <w:tcW w:w="1178" w:type="dxa"/>
            <w:vAlign w:val="center"/>
          </w:tcPr>
          <w:p w14:paraId="5C1571F7" w14:textId="77777777" w:rsidR="003E0D31" w:rsidRPr="003E0D31" w:rsidRDefault="003E0D31" w:rsidP="00705347">
            <w:pPr>
              <w:contextualSpacing/>
              <w:rPr>
                <w:rFonts w:ascii="Calibri" w:hAnsi="Calibri"/>
                <w:sz w:val="22"/>
                <w:szCs w:val="22"/>
              </w:rPr>
            </w:pPr>
            <w:r w:rsidRPr="003E0D31">
              <w:rPr>
                <w:rFonts w:ascii="Calibri" w:hAnsi="Calibri"/>
                <w:sz w:val="22"/>
                <w:szCs w:val="22"/>
              </w:rPr>
              <w:t>Enzyme</w:t>
            </w:r>
          </w:p>
        </w:tc>
        <w:tc>
          <w:tcPr>
            <w:tcW w:w="3277" w:type="dxa"/>
            <w:vAlign w:val="center"/>
          </w:tcPr>
          <w:p w14:paraId="3DC1FE33" w14:textId="77777777" w:rsidR="003E0D31" w:rsidRPr="003E0D31" w:rsidRDefault="003E0D31" w:rsidP="00705347">
            <w:pPr>
              <w:contextualSpacing/>
              <w:rPr>
                <w:rFonts w:ascii="Calibri" w:hAnsi="Calibri"/>
                <w:sz w:val="22"/>
                <w:szCs w:val="22"/>
              </w:rPr>
            </w:pPr>
            <w:r w:rsidRPr="003E0D31">
              <w:rPr>
                <w:rFonts w:ascii="Calibri" w:hAnsi="Calibri"/>
                <w:sz w:val="22"/>
                <w:szCs w:val="22"/>
              </w:rPr>
              <w:t>Toxin protein is chemically modified by enzymatic activity of antitoxin</w:t>
            </w:r>
          </w:p>
        </w:tc>
        <w:tc>
          <w:tcPr>
            <w:tcW w:w="2244" w:type="dxa"/>
            <w:vAlign w:val="center"/>
          </w:tcPr>
          <w:p w14:paraId="5641D2D4" w14:textId="77777777" w:rsidR="003E0D31" w:rsidRPr="003E0D31" w:rsidRDefault="003E0D31" w:rsidP="00705347">
            <w:pPr>
              <w:contextualSpacing/>
              <w:rPr>
                <w:rFonts w:ascii="Calibri" w:hAnsi="Calibri"/>
                <w:sz w:val="22"/>
                <w:szCs w:val="22"/>
              </w:rPr>
            </w:pPr>
            <w:proofErr w:type="spellStart"/>
            <w:r w:rsidRPr="003E0D31">
              <w:rPr>
                <w:rFonts w:ascii="Calibri" w:hAnsi="Calibri"/>
                <w:sz w:val="22"/>
                <w:szCs w:val="22"/>
              </w:rPr>
              <w:t>Hha</w:t>
            </w:r>
            <w:proofErr w:type="spellEnd"/>
            <w:r w:rsidRPr="003E0D31">
              <w:rPr>
                <w:rFonts w:ascii="Calibri" w:hAnsi="Calibri"/>
                <w:sz w:val="22"/>
                <w:szCs w:val="22"/>
              </w:rPr>
              <w:t>/</w:t>
            </w:r>
            <w:proofErr w:type="spellStart"/>
            <w:r w:rsidRPr="003E0D31">
              <w:rPr>
                <w:rFonts w:ascii="Calibri" w:hAnsi="Calibri"/>
                <w:sz w:val="22"/>
                <w:szCs w:val="22"/>
              </w:rPr>
              <w:t>TomB</w:t>
            </w:r>
            <w:proofErr w:type="spellEnd"/>
            <w:r w:rsidRPr="003E0D31">
              <w:rPr>
                <w:rFonts w:ascii="Calibri" w:hAnsi="Calibri"/>
                <w:sz w:val="22"/>
                <w:szCs w:val="22"/>
              </w:rPr>
              <w:t xml:space="preserve"> </w:t>
            </w:r>
            <w:r w:rsidRPr="003E0D31">
              <w:rPr>
                <w:rFonts w:ascii="Calibri" w:hAnsi="Calibri"/>
                <w:noProof/>
                <w:sz w:val="22"/>
                <w:szCs w:val="22"/>
              </w:rPr>
              <w:t>(37)</w:t>
            </w:r>
          </w:p>
        </w:tc>
      </w:tr>
      <w:tr w:rsidR="003E0D31" w:rsidRPr="003E0D31" w14:paraId="0CBFA96E" w14:textId="77777777" w:rsidTr="00862E05">
        <w:trPr>
          <w:trHeight w:val="762"/>
        </w:trPr>
        <w:tc>
          <w:tcPr>
            <w:tcW w:w="838" w:type="dxa"/>
            <w:tcBorders>
              <w:bottom w:val="single" w:sz="4" w:space="0" w:color="auto"/>
            </w:tcBorders>
            <w:vAlign w:val="center"/>
          </w:tcPr>
          <w:p w14:paraId="18A8F594" w14:textId="77777777" w:rsidR="003E0D31" w:rsidRPr="003E0D31" w:rsidRDefault="003E0D31" w:rsidP="00705347">
            <w:pPr>
              <w:contextualSpacing/>
              <w:jc w:val="center"/>
              <w:rPr>
                <w:rFonts w:ascii="Calibri" w:hAnsi="Calibri"/>
                <w:b/>
                <w:bCs/>
                <w:sz w:val="22"/>
                <w:szCs w:val="22"/>
              </w:rPr>
            </w:pPr>
            <w:r w:rsidRPr="003E0D31">
              <w:rPr>
                <w:rFonts w:ascii="Calibri" w:hAnsi="Calibri"/>
                <w:b/>
                <w:bCs/>
                <w:sz w:val="22"/>
                <w:szCs w:val="22"/>
              </w:rPr>
              <w:t>VIII</w:t>
            </w:r>
          </w:p>
        </w:tc>
        <w:tc>
          <w:tcPr>
            <w:tcW w:w="939" w:type="dxa"/>
            <w:tcBorders>
              <w:bottom w:val="single" w:sz="4" w:space="0" w:color="auto"/>
            </w:tcBorders>
            <w:vAlign w:val="center"/>
          </w:tcPr>
          <w:p w14:paraId="24E1F892" w14:textId="77777777" w:rsidR="003E0D31" w:rsidRPr="003E0D31" w:rsidRDefault="003E0D31" w:rsidP="00705347">
            <w:pPr>
              <w:contextualSpacing/>
              <w:rPr>
                <w:rFonts w:ascii="Calibri" w:hAnsi="Calibri"/>
                <w:sz w:val="22"/>
                <w:szCs w:val="22"/>
              </w:rPr>
            </w:pPr>
            <w:r w:rsidRPr="003E0D31">
              <w:rPr>
                <w:rFonts w:ascii="Calibri" w:hAnsi="Calibri"/>
                <w:sz w:val="22"/>
                <w:szCs w:val="22"/>
              </w:rPr>
              <w:t>RNA</w:t>
            </w:r>
          </w:p>
        </w:tc>
        <w:tc>
          <w:tcPr>
            <w:tcW w:w="1178" w:type="dxa"/>
            <w:tcBorders>
              <w:bottom w:val="single" w:sz="4" w:space="0" w:color="auto"/>
            </w:tcBorders>
            <w:vAlign w:val="center"/>
          </w:tcPr>
          <w:p w14:paraId="0C09CFA9" w14:textId="77777777" w:rsidR="003E0D31" w:rsidRPr="003E0D31" w:rsidRDefault="003E0D31" w:rsidP="00705347">
            <w:pPr>
              <w:contextualSpacing/>
              <w:rPr>
                <w:rFonts w:ascii="Calibri" w:hAnsi="Calibri"/>
                <w:sz w:val="22"/>
                <w:szCs w:val="22"/>
              </w:rPr>
            </w:pPr>
            <w:r w:rsidRPr="003E0D31">
              <w:rPr>
                <w:rFonts w:ascii="Calibri" w:hAnsi="Calibri"/>
                <w:sz w:val="22"/>
                <w:szCs w:val="22"/>
              </w:rPr>
              <w:t>RNA</w:t>
            </w:r>
          </w:p>
        </w:tc>
        <w:tc>
          <w:tcPr>
            <w:tcW w:w="3277" w:type="dxa"/>
            <w:tcBorders>
              <w:bottom w:val="single" w:sz="4" w:space="0" w:color="auto"/>
            </w:tcBorders>
            <w:vAlign w:val="center"/>
          </w:tcPr>
          <w:p w14:paraId="6F7038F8" w14:textId="77777777" w:rsidR="003E0D31" w:rsidRPr="003E0D31" w:rsidRDefault="003E0D31" w:rsidP="00705347">
            <w:pPr>
              <w:contextualSpacing/>
              <w:rPr>
                <w:rFonts w:ascii="Calibri" w:hAnsi="Calibri"/>
                <w:sz w:val="22"/>
                <w:szCs w:val="22"/>
              </w:rPr>
            </w:pPr>
            <w:r w:rsidRPr="003E0D31">
              <w:rPr>
                <w:rFonts w:ascii="Calibri" w:hAnsi="Calibri"/>
                <w:sz w:val="22"/>
                <w:szCs w:val="22"/>
              </w:rPr>
              <w:t>Toxin RNA neutralized by antitoxin RNA</w:t>
            </w:r>
          </w:p>
        </w:tc>
        <w:tc>
          <w:tcPr>
            <w:tcW w:w="2244" w:type="dxa"/>
            <w:tcBorders>
              <w:bottom w:val="single" w:sz="4" w:space="0" w:color="auto"/>
            </w:tcBorders>
            <w:vAlign w:val="center"/>
          </w:tcPr>
          <w:p w14:paraId="3F46733C" w14:textId="77777777" w:rsidR="003E0D31" w:rsidRPr="003E0D31" w:rsidRDefault="003E0D31" w:rsidP="00705347">
            <w:pPr>
              <w:contextualSpacing/>
              <w:rPr>
                <w:rFonts w:ascii="Calibri" w:hAnsi="Calibri"/>
                <w:sz w:val="22"/>
                <w:szCs w:val="22"/>
              </w:rPr>
            </w:pPr>
            <w:proofErr w:type="spellStart"/>
            <w:r w:rsidRPr="003E0D31">
              <w:rPr>
                <w:rFonts w:ascii="Calibri" w:hAnsi="Calibri"/>
                <w:sz w:val="22"/>
                <w:szCs w:val="22"/>
              </w:rPr>
              <w:t>SdsR</w:t>
            </w:r>
            <w:proofErr w:type="spellEnd"/>
            <w:r w:rsidRPr="003E0D31">
              <w:rPr>
                <w:rFonts w:ascii="Calibri" w:hAnsi="Calibri"/>
                <w:sz w:val="22"/>
                <w:szCs w:val="22"/>
              </w:rPr>
              <w:t>/</w:t>
            </w:r>
            <w:proofErr w:type="spellStart"/>
            <w:r w:rsidRPr="003E0D31">
              <w:rPr>
                <w:rFonts w:ascii="Calibri" w:hAnsi="Calibri"/>
                <w:sz w:val="22"/>
                <w:szCs w:val="22"/>
              </w:rPr>
              <w:t>RyeA</w:t>
            </w:r>
            <w:proofErr w:type="spellEnd"/>
            <w:r w:rsidRPr="003E0D31">
              <w:rPr>
                <w:rFonts w:ascii="Calibri" w:hAnsi="Calibri"/>
                <w:sz w:val="22"/>
                <w:szCs w:val="22"/>
              </w:rPr>
              <w:t xml:space="preserve"> </w:t>
            </w:r>
            <w:r w:rsidRPr="003E0D31">
              <w:rPr>
                <w:rFonts w:ascii="Calibri" w:hAnsi="Calibri"/>
                <w:noProof/>
                <w:sz w:val="22"/>
                <w:szCs w:val="22"/>
              </w:rPr>
              <w:t>(29)</w:t>
            </w:r>
          </w:p>
        </w:tc>
      </w:tr>
      <w:tr w:rsidR="003E0D31" w:rsidRPr="003E0D31" w14:paraId="629F021C" w14:textId="77777777" w:rsidTr="00862E05">
        <w:trPr>
          <w:trHeight w:val="762"/>
        </w:trPr>
        <w:tc>
          <w:tcPr>
            <w:tcW w:w="8476" w:type="dxa"/>
            <w:gridSpan w:val="5"/>
            <w:tcBorders>
              <w:top w:val="single" w:sz="4" w:space="0" w:color="auto"/>
            </w:tcBorders>
            <w:vAlign w:val="center"/>
          </w:tcPr>
          <w:p w14:paraId="2FD39244" w14:textId="77777777" w:rsidR="003E0D31" w:rsidRPr="003E0D31" w:rsidRDefault="003E0D31" w:rsidP="00705347">
            <w:pPr>
              <w:rPr>
                <w:rFonts w:ascii="Calibri" w:hAnsi="Calibri"/>
                <w:sz w:val="22"/>
                <w:szCs w:val="22"/>
              </w:rPr>
            </w:pPr>
            <w:r w:rsidRPr="003E0D31">
              <w:rPr>
                <w:rFonts w:ascii="Calibri" w:hAnsi="Calibri"/>
                <w:sz w:val="22"/>
                <w:szCs w:val="22"/>
              </w:rPr>
              <w:t>*the first TA system described in 1983</w:t>
            </w:r>
          </w:p>
        </w:tc>
      </w:tr>
    </w:tbl>
    <w:p w14:paraId="5AC83B8B" w14:textId="77777777" w:rsidR="00705347" w:rsidRDefault="00705347" w:rsidP="00705347">
      <w:pPr>
        <w:spacing w:line="360" w:lineRule="auto"/>
        <w:rPr>
          <w:rFonts w:eastAsia="Calibri"/>
          <w:szCs w:val="21"/>
          <w:lang w:bidi="ne-NP"/>
        </w:rPr>
      </w:pPr>
      <w:r w:rsidRPr="003E0D31">
        <w:rPr>
          <w:rFonts w:eastAsia="Calibri"/>
          <w:sz w:val="22"/>
          <w:szCs w:val="22"/>
          <w:lang w:bidi="ne-NP"/>
        </w:rPr>
        <w:t>Table 1.1 Types of toxin-antitoxin systems and the interaction between toxin and antitoxin</w:t>
      </w:r>
      <w:r w:rsidRPr="003E0D31">
        <w:rPr>
          <w:rFonts w:eastAsia="Calibri"/>
          <w:szCs w:val="21"/>
          <w:lang w:bidi="ne-NP"/>
        </w:rPr>
        <w:t xml:space="preserve"> </w:t>
      </w:r>
      <w:r w:rsidR="003E0D31" w:rsidRPr="003E0D31">
        <w:rPr>
          <w:rFonts w:eastAsia="Calibri"/>
          <w:szCs w:val="21"/>
          <w:lang w:bidi="ne-NP"/>
        </w:rPr>
        <w:br w:type="page"/>
      </w:r>
      <w:r w:rsidR="003E0D31" w:rsidRPr="003E0D31">
        <w:rPr>
          <w:rFonts w:eastAsia="Calibri"/>
          <w:szCs w:val="21"/>
          <w:lang w:bidi="ne-NP"/>
        </w:rPr>
        <w:lastRenderedPageBreak/>
        <w:t xml:space="preserve">activation of degradation of the target mRNA </w:t>
      </w:r>
      <w:r w:rsidR="003E0D31" w:rsidRPr="003E0D31">
        <w:rPr>
          <w:rFonts w:eastAsia="Calibri"/>
          <w:noProof/>
          <w:szCs w:val="21"/>
          <w:lang w:bidi="ne-NP"/>
        </w:rPr>
        <w:t>(31,32)</w:t>
      </w:r>
      <w:r w:rsidR="003E0D31" w:rsidRPr="003E0D31">
        <w:rPr>
          <w:rFonts w:eastAsia="Calibri"/>
          <w:szCs w:val="21"/>
          <w:lang w:bidi="ne-NP"/>
        </w:rPr>
        <w:t>. With few exceptions, the toxin gene encodes a small protein (less than 60 amino acids). The first type I TA system was discovered in a plasmid (</w:t>
      </w:r>
      <w:proofErr w:type="spellStart"/>
      <w:r w:rsidR="003E0D31" w:rsidRPr="003E0D31">
        <w:rPr>
          <w:rFonts w:eastAsia="Calibri"/>
          <w:i/>
          <w:iCs/>
          <w:szCs w:val="21"/>
          <w:lang w:bidi="ne-NP"/>
        </w:rPr>
        <w:t>hok</w:t>
      </w:r>
      <w:proofErr w:type="spellEnd"/>
      <w:r w:rsidR="003E0D31" w:rsidRPr="003E0D31">
        <w:rPr>
          <w:rFonts w:eastAsia="Calibri"/>
          <w:i/>
          <w:iCs/>
          <w:szCs w:val="21"/>
          <w:lang w:bidi="ne-NP"/>
        </w:rPr>
        <w:t>/</w:t>
      </w:r>
      <w:proofErr w:type="spellStart"/>
      <w:r w:rsidR="003E0D31" w:rsidRPr="003E0D31">
        <w:rPr>
          <w:rFonts w:eastAsia="Calibri"/>
          <w:i/>
          <w:iCs/>
          <w:szCs w:val="21"/>
          <w:lang w:bidi="ne-NP"/>
        </w:rPr>
        <w:t>sok</w:t>
      </w:r>
      <w:proofErr w:type="spellEnd"/>
      <w:r w:rsidR="003E0D31" w:rsidRPr="003E0D31">
        <w:rPr>
          <w:rFonts w:eastAsia="Calibri"/>
          <w:szCs w:val="21"/>
          <w:lang w:bidi="ne-NP"/>
        </w:rPr>
        <w:t xml:space="preserve"> gene pair in R1 plasmid of </w:t>
      </w:r>
      <w:r w:rsidR="003E0D31" w:rsidRPr="003E0D31">
        <w:rPr>
          <w:rFonts w:eastAsia="Calibri"/>
          <w:i/>
          <w:iCs/>
          <w:szCs w:val="21"/>
          <w:lang w:bidi="ne-NP"/>
        </w:rPr>
        <w:t>E. coli</w:t>
      </w:r>
      <w:r w:rsidR="003E0D31" w:rsidRPr="003E0D31">
        <w:rPr>
          <w:rFonts w:eastAsia="Calibri"/>
          <w:szCs w:val="21"/>
          <w:lang w:bidi="ne-NP"/>
        </w:rPr>
        <w:t xml:space="preserve">) and their homologs or novel type I gene pairs, encoded in the bacterial chromosome, were quickly identified </w:t>
      </w:r>
      <w:r w:rsidR="003E0D31" w:rsidRPr="003E0D31">
        <w:rPr>
          <w:rFonts w:eastAsia="Calibri"/>
          <w:noProof/>
          <w:szCs w:val="21"/>
          <w:lang w:bidi="ne-NP"/>
        </w:rPr>
        <w:t>(33,38)</w:t>
      </w:r>
      <w:r w:rsidR="003E0D31" w:rsidRPr="003E0D31">
        <w:rPr>
          <w:rFonts w:eastAsia="Calibri"/>
          <w:szCs w:val="21"/>
          <w:lang w:bidi="ne-NP"/>
        </w:rPr>
        <w:t xml:space="preserve">. For example, the </w:t>
      </w:r>
      <w:proofErr w:type="spellStart"/>
      <w:r w:rsidR="003E0D31" w:rsidRPr="003E0D31">
        <w:rPr>
          <w:rFonts w:eastAsia="Calibri"/>
          <w:i/>
          <w:iCs/>
          <w:szCs w:val="21"/>
          <w:lang w:bidi="ne-NP"/>
        </w:rPr>
        <w:t>hok</w:t>
      </w:r>
      <w:proofErr w:type="spellEnd"/>
      <w:r w:rsidR="003E0D31" w:rsidRPr="003E0D31">
        <w:rPr>
          <w:rFonts w:eastAsia="Calibri"/>
          <w:i/>
          <w:iCs/>
          <w:szCs w:val="21"/>
          <w:lang w:bidi="ne-NP"/>
        </w:rPr>
        <w:t>/</w:t>
      </w:r>
      <w:proofErr w:type="spellStart"/>
      <w:r w:rsidR="003E0D31" w:rsidRPr="003E0D31">
        <w:rPr>
          <w:rFonts w:eastAsia="Calibri"/>
          <w:i/>
          <w:iCs/>
          <w:szCs w:val="21"/>
          <w:lang w:bidi="ne-NP"/>
        </w:rPr>
        <w:t>sok</w:t>
      </w:r>
      <w:proofErr w:type="spellEnd"/>
      <w:r w:rsidR="003E0D31" w:rsidRPr="003E0D31">
        <w:rPr>
          <w:rFonts w:eastAsia="Calibri"/>
          <w:szCs w:val="21"/>
          <w:lang w:bidi="ne-NP"/>
        </w:rPr>
        <w:t xml:space="preserve"> system of plasmid R1 has 5 and up to 15 homologs in the chromosomes of differing </w:t>
      </w:r>
      <w:r w:rsidR="003E0D31" w:rsidRPr="003E0D31">
        <w:rPr>
          <w:rFonts w:eastAsia="Calibri"/>
          <w:i/>
          <w:iCs/>
          <w:szCs w:val="21"/>
          <w:lang w:bidi="ne-NP"/>
        </w:rPr>
        <w:t>E. coli</w:t>
      </w:r>
      <w:r w:rsidR="003E0D31" w:rsidRPr="003E0D31">
        <w:rPr>
          <w:rFonts w:eastAsia="Calibri"/>
          <w:iCs/>
          <w:szCs w:val="21"/>
          <w:lang w:bidi="ne-NP"/>
        </w:rPr>
        <w:t xml:space="preserve"> </w:t>
      </w:r>
      <w:r w:rsidR="003E0D31" w:rsidRPr="003E0D31">
        <w:rPr>
          <w:rFonts w:eastAsia="Calibri"/>
          <w:szCs w:val="21"/>
          <w:lang w:bidi="ne-NP"/>
        </w:rPr>
        <w:t xml:space="preserve">strains </w:t>
      </w:r>
      <w:r w:rsidR="003E0D31" w:rsidRPr="003E0D31">
        <w:rPr>
          <w:rFonts w:eastAsia="Calibri"/>
          <w:noProof/>
          <w:szCs w:val="21"/>
          <w:lang w:bidi="ne-NP"/>
        </w:rPr>
        <w:t>(11,39)</w:t>
      </w:r>
      <w:r w:rsidR="003E0D31" w:rsidRPr="003E0D31">
        <w:rPr>
          <w:rFonts w:eastAsia="Calibri"/>
          <w:szCs w:val="21"/>
          <w:lang w:bidi="ne-NP"/>
        </w:rPr>
        <w:t xml:space="preserve">. In comparison, other systems such as </w:t>
      </w:r>
      <w:proofErr w:type="spellStart"/>
      <w:r w:rsidR="003E0D31" w:rsidRPr="003E0D31">
        <w:rPr>
          <w:rFonts w:eastAsia="Calibri"/>
          <w:szCs w:val="21"/>
          <w:lang w:bidi="ne-NP"/>
        </w:rPr>
        <w:t>Ldr</w:t>
      </w:r>
      <w:proofErr w:type="spellEnd"/>
      <w:r w:rsidR="003E0D31" w:rsidRPr="003E0D31">
        <w:rPr>
          <w:rFonts w:eastAsia="Calibri"/>
          <w:szCs w:val="21"/>
          <w:lang w:bidi="ne-NP"/>
        </w:rPr>
        <w:t>/</w:t>
      </w:r>
      <w:proofErr w:type="spellStart"/>
      <w:r w:rsidR="003E0D31" w:rsidRPr="003E0D31">
        <w:rPr>
          <w:rFonts w:eastAsia="Calibri"/>
          <w:szCs w:val="21"/>
          <w:lang w:bidi="ne-NP"/>
        </w:rPr>
        <w:t>Rdl</w:t>
      </w:r>
      <w:proofErr w:type="spellEnd"/>
      <w:r w:rsidR="003E0D31" w:rsidRPr="003E0D31">
        <w:rPr>
          <w:rFonts w:eastAsia="Calibri"/>
          <w:szCs w:val="21"/>
          <w:lang w:bidi="ne-NP"/>
        </w:rPr>
        <w:t xml:space="preserve">, </w:t>
      </w:r>
      <w:proofErr w:type="spellStart"/>
      <w:r w:rsidR="003E0D31" w:rsidRPr="003E0D31">
        <w:rPr>
          <w:rFonts w:eastAsia="Calibri"/>
          <w:szCs w:val="21"/>
          <w:lang w:bidi="ne-NP"/>
        </w:rPr>
        <w:t>Ibs</w:t>
      </w:r>
      <w:proofErr w:type="spellEnd"/>
      <w:r w:rsidR="003E0D31" w:rsidRPr="003E0D31">
        <w:rPr>
          <w:rFonts w:eastAsia="Calibri"/>
          <w:szCs w:val="21"/>
          <w:lang w:bidi="ne-NP"/>
        </w:rPr>
        <w:t xml:space="preserve">/Sib, </w:t>
      </w:r>
      <w:proofErr w:type="spellStart"/>
      <w:r w:rsidR="003E0D31" w:rsidRPr="003E0D31">
        <w:rPr>
          <w:rFonts w:eastAsia="Calibri"/>
          <w:szCs w:val="21"/>
          <w:lang w:bidi="ne-NP"/>
        </w:rPr>
        <w:t>TisB</w:t>
      </w:r>
      <w:proofErr w:type="spellEnd"/>
      <w:r w:rsidR="003E0D31" w:rsidRPr="003E0D31">
        <w:rPr>
          <w:rFonts w:eastAsia="Calibri"/>
          <w:szCs w:val="21"/>
          <w:lang w:bidi="ne-NP"/>
        </w:rPr>
        <w:t xml:space="preserve">/IstR1, </w:t>
      </w:r>
      <w:proofErr w:type="spellStart"/>
      <w:r w:rsidR="003E0D31" w:rsidRPr="003E0D31">
        <w:rPr>
          <w:rFonts w:eastAsia="Calibri"/>
          <w:szCs w:val="21"/>
          <w:lang w:bidi="ne-NP"/>
        </w:rPr>
        <w:t>ShoB</w:t>
      </w:r>
      <w:proofErr w:type="spellEnd"/>
      <w:r w:rsidR="003E0D31" w:rsidRPr="003E0D31">
        <w:rPr>
          <w:rFonts w:eastAsia="Calibri"/>
          <w:szCs w:val="21"/>
          <w:lang w:bidi="ne-NP"/>
        </w:rPr>
        <w:t>/</w:t>
      </w:r>
      <w:proofErr w:type="spellStart"/>
      <w:r w:rsidR="003E0D31" w:rsidRPr="003E0D31">
        <w:rPr>
          <w:rFonts w:eastAsia="Calibri"/>
          <w:szCs w:val="21"/>
          <w:lang w:bidi="ne-NP"/>
        </w:rPr>
        <w:t>OhsC</w:t>
      </w:r>
      <w:proofErr w:type="spellEnd"/>
      <w:r w:rsidR="003E0D31" w:rsidRPr="003E0D31">
        <w:rPr>
          <w:rFonts w:eastAsia="Calibri"/>
          <w:szCs w:val="21"/>
          <w:lang w:bidi="ne-NP"/>
        </w:rPr>
        <w:t xml:space="preserve">, </w:t>
      </w:r>
      <w:proofErr w:type="spellStart"/>
      <w:r w:rsidR="003E0D31" w:rsidRPr="003E0D31">
        <w:rPr>
          <w:rFonts w:eastAsia="Calibri"/>
          <w:szCs w:val="21"/>
          <w:lang w:bidi="ne-NP"/>
        </w:rPr>
        <w:t>ZorO</w:t>
      </w:r>
      <w:proofErr w:type="spellEnd"/>
      <w:r w:rsidR="003E0D31" w:rsidRPr="003E0D31">
        <w:rPr>
          <w:rFonts w:eastAsia="Calibri"/>
          <w:szCs w:val="21"/>
          <w:lang w:bidi="ne-NP"/>
        </w:rPr>
        <w:t>/</w:t>
      </w:r>
      <w:proofErr w:type="spellStart"/>
      <w:r w:rsidR="003E0D31" w:rsidRPr="003E0D31">
        <w:rPr>
          <w:rFonts w:eastAsia="Calibri"/>
          <w:szCs w:val="21"/>
          <w:lang w:bidi="ne-NP"/>
        </w:rPr>
        <w:t>OrzO</w:t>
      </w:r>
      <w:proofErr w:type="spellEnd"/>
      <w:r w:rsidR="003E0D31" w:rsidRPr="003E0D31">
        <w:rPr>
          <w:rFonts w:eastAsia="Calibri"/>
          <w:szCs w:val="21"/>
          <w:lang w:bidi="ne-NP"/>
        </w:rPr>
        <w:t xml:space="preserve">, </w:t>
      </w:r>
      <w:proofErr w:type="spellStart"/>
      <w:r w:rsidR="003E0D31" w:rsidRPr="003E0D31">
        <w:rPr>
          <w:rFonts w:eastAsia="Calibri"/>
          <w:szCs w:val="21"/>
          <w:lang w:bidi="ne-NP"/>
        </w:rPr>
        <w:t>SymE</w:t>
      </w:r>
      <w:proofErr w:type="spellEnd"/>
      <w:r w:rsidR="003E0D31" w:rsidRPr="003E0D31">
        <w:rPr>
          <w:rFonts w:eastAsia="Calibri"/>
          <w:szCs w:val="21"/>
          <w:lang w:bidi="ne-NP"/>
        </w:rPr>
        <w:t>/</w:t>
      </w:r>
      <w:proofErr w:type="spellStart"/>
      <w:r w:rsidR="003E0D31" w:rsidRPr="003E0D31">
        <w:rPr>
          <w:rFonts w:eastAsia="Calibri"/>
          <w:szCs w:val="21"/>
          <w:lang w:bidi="ne-NP"/>
        </w:rPr>
        <w:t>SymR</w:t>
      </w:r>
      <w:proofErr w:type="spellEnd"/>
      <w:r w:rsidR="003E0D31" w:rsidRPr="003E0D31">
        <w:rPr>
          <w:rFonts w:eastAsia="Calibri"/>
          <w:szCs w:val="21"/>
          <w:lang w:bidi="ne-NP"/>
        </w:rPr>
        <w:t xml:space="preserve"> are, to date, exclusive to the bacterial chromosomes </w:t>
      </w:r>
      <w:r w:rsidR="003E0D31" w:rsidRPr="003E0D31">
        <w:rPr>
          <w:rFonts w:eastAsia="Calibri"/>
          <w:noProof/>
          <w:szCs w:val="21"/>
          <w:lang w:bidi="ne-NP"/>
        </w:rPr>
        <w:t>(14,39–41)</w:t>
      </w:r>
      <w:r w:rsidR="003E0D31" w:rsidRPr="003E0D31">
        <w:rPr>
          <w:rFonts w:eastAsia="Calibri"/>
          <w:szCs w:val="21"/>
          <w:lang w:bidi="ne-NP"/>
        </w:rPr>
        <w:t xml:space="preserve">. The first type I TA system identified in Gram positive bacteria, </w:t>
      </w:r>
      <w:proofErr w:type="spellStart"/>
      <w:r w:rsidR="003E0D31" w:rsidRPr="003E0D31">
        <w:rPr>
          <w:rFonts w:eastAsia="Calibri"/>
          <w:szCs w:val="21"/>
          <w:lang w:bidi="ne-NP"/>
        </w:rPr>
        <w:t>Fst</w:t>
      </w:r>
      <w:proofErr w:type="spellEnd"/>
      <w:r w:rsidR="003E0D31" w:rsidRPr="003E0D31">
        <w:rPr>
          <w:rFonts w:eastAsia="Calibri"/>
          <w:szCs w:val="21"/>
          <w:lang w:bidi="ne-NP"/>
        </w:rPr>
        <w:t xml:space="preserve">/RNAII in the pAD1 plasmid of </w:t>
      </w:r>
      <w:r w:rsidR="003E0D31" w:rsidRPr="003E0D31">
        <w:rPr>
          <w:rFonts w:eastAsia="Calibri"/>
          <w:i/>
          <w:iCs/>
          <w:szCs w:val="21"/>
          <w:lang w:bidi="ne-NP"/>
        </w:rPr>
        <w:t>Enterococcus faecalis</w:t>
      </w:r>
      <w:r w:rsidR="003E0D31" w:rsidRPr="003E0D31">
        <w:rPr>
          <w:rFonts w:eastAsia="Calibri"/>
          <w:szCs w:val="21"/>
          <w:lang w:bidi="ne-NP"/>
        </w:rPr>
        <w:t xml:space="preserve">, has hundreds of homologs in the genomes of the Firmicutes (encoded in mobile genetic elements and in chromosome; </w:t>
      </w:r>
      <w:r w:rsidR="003E0D31" w:rsidRPr="003E0D31">
        <w:rPr>
          <w:rFonts w:eastAsia="Calibri"/>
          <w:noProof/>
          <w:szCs w:val="21"/>
          <w:lang w:bidi="ne-NP"/>
        </w:rPr>
        <w:t>(38,42)</w:t>
      </w:r>
      <w:r w:rsidR="003E0D31" w:rsidRPr="003E0D31">
        <w:rPr>
          <w:rFonts w:eastAsia="Calibri"/>
          <w:szCs w:val="21"/>
          <w:lang w:bidi="ne-NP"/>
        </w:rPr>
        <w:t>). In addition to their presence in plasmids and/or chromosomes, type I TA systems can be categorized in several ways- distribution of the gene pairs across bacterial groups, genetic organization of the toxin encoding gene in relation to the antitoxin, cellular target of the toxin protein, or the function conferred by the TA system.</w:t>
      </w:r>
    </w:p>
    <w:p w14:paraId="6FDD04D7" w14:textId="77777777" w:rsidR="00705347" w:rsidRDefault="00705347" w:rsidP="00705347">
      <w:pPr>
        <w:spacing w:line="360" w:lineRule="auto"/>
        <w:rPr>
          <w:rFonts w:eastAsia="Calibri"/>
          <w:szCs w:val="21"/>
          <w:lang w:bidi="ne-NP"/>
        </w:rPr>
      </w:pPr>
      <w:r>
        <w:rPr>
          <w:rFonts w:eastAsia="Calibri"/>
          <w:szCs w:val="21"/>
          <w:lang w:bidi="ne-NP"/>
        </w:rPr>
        <w:tab/>
      </w:r>
      <w:r w:rsidR="003E0D31" w:rsidRPr="003E0D31">
        <w:rPr>
          <w:rFonts w:eastAsia="Calibri"/>
          <w:szCs w:val="21"/>
          <w:lang w:bidi="ne-NP"/>
        </w:rPr>
        <w:t xml:space="preserve">Of the six types of TA systems, types I and II remain the most identified and broadly studied. Compared to the type II system, most known type I gene pairs show a narrow phylogenetic distribution and many occur within a small proportion of species (&lt;5%) within a phylum </w:t>
      </w:r>
      <w:r w:rsidR="003E0D31" w:rsidRPr="003E0D31">
        <w:rPr>
          <w:rFonts w:eastAsia="Calibri"/>
          <w:noProof/>
          <w:szCs w:val="21"/>
          <w:lang w:bidi="ne-NP"/>
        </w:rPr>
        <w:t>(43)</w:t>
      </w:r>
      <w:r w:rsidR="003E0D31" w:rsidRPr="003E0D31">
        <w:rPr>
          <w:rFonts w:eastAsia="Calibri"/>
          <w:szCs w:val="21"/>
          <w:lang w:bidi="ne-NP"/>
        </w:rPr>
        <w:t xml:space="preserve">. This might indicate the lineage specificity of type I TA systems, but may alternatively suggest the need for more robust search engines for their identification across bacterial sequence databases. The small size and hydrophobic nature of type I toxins make them easily missed in conventional homology searches. For instance, the homolog of the </w:t>
      </w:r>
      <w:proofErr w:type="spellStart"/>
      <w:r w:rsidR="003E0D31" w:rsidRPr="003E0D31">
        <w:rPr>
          <w:rFonts w:eastAsia="Calibri"/>
          <w:szCs w:val="21"/>
          <w:lang w:bidi="ne-NP"/>
        </w:rPr>
        <w:t>Ibs</w:t>
      </w:r>
      <w:proofErr w:type="spellEnd"/>
      <w:r w:rsidR="003E0D31" w:rsidRPr="003E0D31">
        <w:rPr>
          <w:rFonts w:eastAsia="Calibri"/>
          <w:szCs w:val="21"/>
          <w:lang w:bidi="ne-NP"/>
        </w:rPr>
        <w:t xml:space="preserve"> toxin family (18-19 amino acids) in </w:t>
      </w:r>
      <w:r w:rsidR="003E0D31" w:rsidRPr="003E0D31">
        <w:rPr>
          <w:rFonts w:eastAsia="Calibri"/>
          <w:i/>
          <w:iCs/>
          <w:szCs w:val="21"/>
          <w:lang w:bidi="ne-NP"/>
        </w:rPr>
        <w:t>E. coli</w:t>
      </w:r>
      <w:r w:rsidR="003E0D31" w:rsidRPr="003E0D31">
        <w:rPr>
          <w:rFonts w:eastAsia="Calibri"/>
          <w:szCs w:val="21"/>
          <w:lang w:bidi="ne-NP"/>
        </w:rPr>
        <w:t xml:space="preserve"> was not identified in </w:t>
      </w:r>
      <w:proofErr w:type="spellStart"/>
      <w:r w:rsidR="003E0D31" w:rsidRPr="003E0D31">
        <w:rPr>
          <w:rFonts w:eastAsia="Calibri"/>
          <w:i/>
          <w:iCs/>
          <w:szCs w:val="21"/>
          <w:lang w:bidi="ne-NP"/>
        </w:rPr>
        <w:t>Helicobactor</w:t>
      </w:r>
      <w:proofErr w:type="spellEnd"/>
      <w:r w:rsidR="003E0D31" w:rsidRPr="003E0D31">
        <w:rPr>
          <w:rFonts w:eastAsia="Calibri"/>
          <w:i/>
          <w:iCs/>
          <w:szCs w:val="21"/>
          <w:lang w:bidi="ne-NP"/>
        </w:rPr>
        <w:t xml:space="preserve"> pylori</w:t>
      </w:r>
      <w:r w:rsidR="003E0D31" w:rsidRPr="003E0D31">
        <w:rPr>
          <w:rFonts w:eastAsia="Calibri"/>
          <w:szCs w:val="21"/>
          <w:lang w:bidi="ne-NP"/>
        </w:rPr>
        <w:t xml:space="preserve"> by both BLAST and PSI-BLAST, but was identified in a search for sRNAs that were expressed from regions antisense to small ORF (open reading frame; </w:t>
      </w:r>
      <w:r w:rsidR="003E0D31" w:rsidRPr="003E0D31">
        <w:rPr>
          <w:rFonts w:eastAsia="Calibri"/>
          <w:noProof/>
          <w:szCs w:val="21"/>
          <w:lang w:bidi="ne-NP"/>
        </w:rPr>
        <w:t>(9,44)</w:t>
      </w:r>
      <w:r w:rsidR="003E0D31" w:rsidRPr="003E0D31">
        <w:rPr>
          <w:rFonts w:eastAsia="Calibri"/>
          <w:szCs w:val="21"/>
          <w:lang w:bidi="ne-NP"/>
        </w:rPr>
        <w:t xml:space="preserve">). Some type I toxin such as </w:t>
      </w:r>
      <w:proofErr w:type="spellStart"/>
      <w:r w:rsidR="003E0D31" w:rsidRPr="003E0D31">
        <w:rPr>
          <w:rFonts w:eastAsia="Calibri"/>
          <w:szCs w:val="21"/>
          <w:lang w:bidi="ne-NP"/>
        </w:rPr>
        <w:t>SymE</w:t>
      </w:r>
      <w:proofErr w:type="spellEnd"/>
      <w:r w:rsidR="003E0D31" w:rsidRPr="003E0D31">
        <w:rPr>
          <w:rFonts w:eastAsia="Calibri"/>
          <w:szCs w:val="21"/>
          <w:lang w:bidi="ne-NP"/>
        </w:rPr>
        <w:t xml:space="preserve"> is, however, identified in both Gram</w:t>
      </w:r>
      <w:r w:rsidR="003E0D31">
        <w:rPr>
          <w:rFonts w:eastAsia="Calibri"/>
          <w:szCs w:val="21"/>
          <w:lang w:bidi="ne-NP"/>
        </w:rPr>
        <w:t xml:space="preserve"> </w:t>
      </w:r>
      <w:r w:rsidR="003E0D31" w:rsidRPr="003E0D31">
        <w:rPr>
          <w:rFonts w:eastAsia="Calibri"/>
          <w:szCs w:val="21"/>
          <w:lang w:bidi="ne-NP"/>
        </w:rPr>
        <w:t xml:space="preserve">positive and Gram negative genomes </w:t>
      </w:r>
      <w:r w:rsidR="003E0D31" w:rsidRPr="003E0D31">
        <w:rPr>
          <w:rFonts w:eastAsia="Calibri"/>
          <w:noProof/>
          <w:szCs w:val="21"/>
          <w:lang w:bidi="ne-NP"/>
        </w:rPr>
        <w:t>(45)</w:t>
      </w:r>
      <w:r w:rsidR="003E0D31" w:rsidRPr="003E0D31">
        <w:rPr>
          <w:rFonts w:eastAsia="Calibri"/>
          <w:szCs w:val="21"/>
          <w:lang w:bidi="ne-NP"/>
        </w:rPr>
        <w:t xml:space="preserve">. The accumulation of new sequencing results and novel bioinformatic tools designed to identify small ORFs and sRNAs might extend the narrow distribution of type I TA systems. Further novel </w:t>
      </w:r>
      <w:r w:rsidR="003E0D31" w:rsidRPr="003E0D31">
        <w:rPr>
          <w:rFonts w:eastAsia="Calibri"/>
          <w:szCs w:val="21"/>
          <w:lang w:bidi="ne-NP"/>
        </w:rPr>
        <w:lastRenderedPageBreak/>
        <w:t xml:space="preserve">approaches such as ribosome profiling with stalled initiation complexes helps to experimentally validate the occurrence of these small proteins </w:t>
      </w:r>
      <w:r w:rsidR="003E0D31" w:rsidRPr="003E0D31">
        <w:rPr>
          <w:rFonts w:eastAsia="Calibri"/>
          <w:noProof/>
          <w:szCs w:val="21"/>
          <w:lang w:bidi="ne-NP"/>
        </w:rPr>
        <w:t>(46,47)</w:t>
      </w:r>
      <w:r w:rsidR="003E0D31" w:rsidRPr="003E0D31">
        <w:rPr>
          <w:rFonts w:eastAsia="Calibri"/>
          <w:szCs w:val="21"/>
          <w:lang w:bidi="ne-NP"/>
        </w:rPr>
        <w:t>.</w:t>
      </w:r>
    </w:p>
    <w:p w14:paraId="6DCA9A97" w14:textId="77777777" w:rsidR="00705347" w:rsidRDefault="00705347" w:rsidP="00705347">
      <w:pPr>
        <w:spacing w:line="360" w:lineRule="auto"/>
        <w:rPr>
          <w:rFonts w:eastAsia="Calibri"/>
          <w:szCs w:val="21"/>
          <w:lang w:bidi="ne-NP"/>
        </w:rPr>
      </w:pPr>
      <w:r>
        <w:rPr>
          <w:rFonts w:eastAsia="Calibri"/>
          <w:szCs w:val="21"/>
          <w:lang w:bidi="ne-NP"/>
        </w:rPr>
        <w:tab/>
      </w:r>
      <w:r w:rsidR="003E0D31" w:rsidRPr="003E0D31">
        <w:rPr>
          <w:rFonts w:eastAsia="Calibri"/>
          <w:szCs w:val="21"/>
          <w:lang w:bidi="ne-NP"/>
        </w:rPr>
        <w:t xml:space="preserve">Type I TA gene pairs, to date, are encoded on the opposite strand of the DNA and are transcribed from their own promoter </w:t>
      </w:r>
      <w:r w:rsidR="003E0D31" w:rsidRPr="003E0D31">
        <w:rPr>
          <w:rFonts w:eastAsia="Calibri"/>
          <w:noProof/>
          <w:szCs w:val="21"/>
          <w:lang w:bidi="ne-NP"/>
        </w:rPr>
        <w:t>(41)</w:t>
      </w:r>
      <w:r w:rsidR="003E0D31" w:rsidRPr="003E0D31">
        <w:rPr>
          <w:rFonts w:eastAsia="Calibri"/>
          <w:szCs w:val="21"/>
          <w:lang w:bidi="ne-NP"/>
        </w:rPr>
        <w:t>. Their genetic organization, however, can vary: the antitoxin sRNA can be arranged either as overlapping, convergently transcribed (</w:t>
      </w:r>
      <w:r w:rsidR="003E0D31" w:rsidRPr="003E0D31">
        <w:rPr>
          <w:rFonts w:eastAsia="Calibri"/>
          <w:i/>
          <w:szCs w:val="21"/>
          <w:lang w:bidi="ne-NP"/>
        </w:rPr>
        <w:t>cis</w:t>
      </w:r>
      <w:r w:rsidR="003E0D31" w:rsidRPr="003E0D31">
        <w:rPr>
          <w:rFonts w:eastAsia="Calibri"/>
          <w:szCs w:val="21"/>
          <w:lang w:bidi="ne-NP"/>
        </w:rPr>
        <w:t>-encoded antisense) or divergently transcribed (</w:t>
      </w:r>
      <w:r w:rsidR="003E0D31" w:rsidRPr="003E0D31">
        <w:rPr>
          <w:rFonts w:eastAsia="Calibri"/>
          <w:i/>
          <w:szCs w:val="21"/>
          <w:lang w:bidi="ne-NP"/>
        </w:rPr>
        <w:t>trans</w:t>
      </w:r>
      <w:r w:rsidR="003E0D31" w:rsidRPr="003E0D31">
        <w:rPr>
          <w:rFonts w:eastAsia="Calibri"/>
          <w:szCs w:val="21"/>
          <w:lang w:bidi="ne-NP"/>
        </w:rPr>
        <w:t xml:space="preserve">-encoded) from its toxin counterpart </w:t>
      </w:r>
      <w:r w:rsidR="003E0D31" w:rsidRPr="003E0D31">
        <w:rPr>
          <w:rFonts w:eastAsia="Calibri"/>
          <w:noProof/>
          <w:szCs w:val="21"/>
          <w:lang w:bidi="ne-NP"/>
        </w:rPr>
        <w:t>(14)</w:t>
      </w:r>
      <w:r w:rsidR="003E0D31" w:rsidRPr="003E0D31">
        <w:rPr>
          <w:rFonts w:eastAsia="Calibri"/>
          <w:szCs w:val="21"/>
          <w:lang w:bidi="ne-NP"/>
        </w:rPr>
        <w:t xml:space="preserve"> (Table 1.2). The </w:t>
      </w:r>
      <w:r w:rsidR="003E0D31" w:rsidRPr="003E0D31">
        <w:rPr>
          <w:rFonts w:eastAsia="Calibri"/>
          <w:i/>
          <w:iCs/>
          <w:szCs w:val="21"/>
          <w:lang w:bidi="ne-NP"/>
        </w:rPr>
        <w:t>cis</w:t>
      </w:r>
      <w:r w:rsidR="003E0D31" w:rsidRPr="003E0D31">
        <w:rPr>
          <w:rFonts w:eastAsia="Calibri"/>
          <w:szCs w:val="21"/>
          <w:lang w:bidi="ne-NP"/>
        </w:rPr>
        <w:t>-encoded TA systems consist of extensive perfect base pairing potential between the toxin and antitoxin RNA whereas the trans-encoded systems often have a limited complementarity. The antitoxins presently studied in Gram</w:t>
      </w:r>
      <w:r w:rsidR="003E0D31">
        <w:rPr>
          <w:rFonts w:eastAsia="Calibri"/>
          <w:szCs w:val="21"/>
          <w:lang w:bidi="ne-NP"/>
        </w:rPr>
        <w:t xml:space="preserve"> </w:t>
      </w:r>
      <w:r w:rsidR="003E0D31" w:rsidRPr="003E0D31">
        <w:rPr>
          <w:rFonts w:eastAsia="Calibri"/>
          <w:szCs w:val="21"/>
          <w:lang w:bidi="ne-NP"/>
        </w:rPr>
        <w:t xml:space="preserve">positive bacteria often are encoded antisense to the 3’ end of their toxin mRNAs </w:t>
      </w:r>
      <w:r w:rsidR="003E0D31" w:rsidRPr="003E0D31">
        <w:rPr>
          <w:rFonts w:eastAsia="Calibri"/>
          <w:noProof/>
          <w:szCs w:val="21"/>
          <w:lang w:bidi="ne-NP"/>
        </w:rPr>
        <w:t>(48)</w:t>
      </w:r>
      <w:r w:rsidR="003E0D31" w:rsidRPr="003E0D31">
        <w:rPr>
          <w:rFonts w:eastAsia="Calibri"/>
          <w:szCs w:val="21"/>
          <w:lang w:bidi="ne-NP"/>
        </w:rPr>
        <w:t xml:space="preserve"> while there are more diverse arrangements observed in Gram-negative bacteria. Regardless of their organization, the antitoxin sRNAs share sequences that are complementary to the antisense toxin mRNA and prevent translation of the toxin mRNA. </w:t>
      </w:r>
    </w:p>
    <w:p w14:paraId="64D44BDA" w14:textId="49DDDA86" w:rsidR="003E0D31" w:rsidRDefault="00705347" w:rsidP="00705347">
      <w:pPr>
        <w:spacing w:line="360" w:lineRule="auto"/>
        <w:rPr>
          <w:rFonts w:eastAsia="Calibri"/>
          <w:szCs w:val="21"/>
          <w:lang w:bidi="ne-NP"/>
        </w:rPr>
      </w:pPr>
      <w:r>
        <w:rPr>
          <w:rFonts w:eastAsia="Calibri"/>
          <w:szCs w:val="21"/>
          <w:lang w:bidi="ne-NP"/>
        </w:rPr>
        <w:tab/>
      </w:r>
      <w:r w:rsidR="003E0D31" w:rsidRPr="003E0D31">
        <w:rPr>
          <w:rFonts w:eastAsia="Calibri"/>
          <w:szCs w:val="21"/>
          <w:lang w:bidi="ne-NP"/>
        </w:rPr>
        <w:t xml:space="preserve">With the exception of </w:t>
      </w:r>
      <w:proofErr w:type="spellStart"/>
      <w:r w:rsidR="003E0D31" w:rsidRPr="003E0D31">
        <w:rPr>
          <w:rFonts w:eastAsia="Calibri"/>
          <w:szCs w:val="21"/>
          <w:lang w:bidi="ne-NP"/>
        </w:rPr>
        <w:t>TimP</w:t>
      </w:r>
      <w:proofErr w:type="spellEnd"/>
      <w:r w:rsidR="003E0D31" w:rsidRPr="003E0D31">
        <w:rPr>
          <w:rFonts w:eastAsia="Calibri"/>
          <w:szCs w:val="21"/>
          <w:lang w:bidi="ne-NP"/>
        </w:rPr>
        <w:t xml:space="preserve"> (a type I toxin in </w:t>
      </w:r>
      <w:r w:rsidR="003E0D31" w:rsidRPr="003E0D31">
        <w:rPr>
          <w:rFonts w:eastAsia="Calibri"/>
          <w:i/>
          <w:iCs/>
          <w:szCs w:val="21"/>
          <w:lang w:bidi="ne-NP"/>
        </w:rPr>
        <w:t xml:space="preserve">Salmonella </w:t>
      </w:r>
      <w:r w:rsidR="003E0D31" w:rsidRPr="003E0D31">
        <w:rPr>
          <w:rFonts w:eastAsia="Calibri"/>
          <w:szCs w:val="21"/>
          <w:lang w:bidi="ne-NP"/>
        </w:rPr>
        <w:t xml:space="preserve">Typhimurium) and </w:t>
      </w:r>
      <w:proofErr w:type="spellStart"/>
      <w:r w:rsidR="003E0D31" w:rsidRPr="003E0D31">
        <w:rPr>
          <w:rFonts w:eastAsia="Calibri"/>
          <w:szCs w:val="21"/>
          <w:lang w:bidi="ne-NP"/>
        </w:rPr>
        <w:t>SymE</w:t>
      </w:r>
      <w:proofErr w:type="spellEnd"/>
      <w:r w:rsidR="003E0D31" w:rsidRPr="003E0D31">
        <w:rPr>
          <w:rFonts w:eastAsia="Calibri"/>
          <w:szCs w:val="21"/>
          <w:lang w:bidi="ne-NP"/>
        </w:rPr>
        <w:t xml:space="preserve"> of </w:t>
      </w:r>
      <w:r w:rsidR="003E0D31" w:rsidRPr="003E0D31">
        <w:rPr>
          <w:rFonts w:eastAsia="Calibri"/>
          <w:i/>
          <w:szCs w:val="21"/>
          <w:lang w:bidi="ne-NP"/>
        </w:rPr>
        <w:t>E. coli</w:t>
      </w:r>
      <w:r w:rsidR="003E0D31" w:rsidRPr="003E0D31">
        <w:rPr>
          <w:rFonts w:eastAsia="Calibri"/>
          <w:szCs w:val="21"/>
          <w:lang w:bidi="ne-NP"/>
        </w:rPr>
        <w:t xml:space="preserve"> MG1655, detection of native production/expression of a type I toxin from the chromosome has not been shown </w:t>
      </w:r>
      <w:r w:rsidR="003E0D31" w:rsidRPr="003E0D31">
        <w:rPr>
          <w:rFonts w:eastAsia="Calibri"/>
          <w:noProof/>
          <w:szCs w:val="21"/>
          <w:lang w:bidi="ne-NP"/>
        </w:rPr>
        <w:t>(45,49)</w:t>
      </w:r>
      <w:r w:rsidR="003E0D31" w:rsidRPr="003E0D31">
        <w:rPr>
          <w:rFonts w:eastAsia="Calibri"/>
          <w:szCs w:val="21"/>
          <w:lang w:bidi="ne-NP"/>
        </w:rPr>
        <w:t xml:space="preserve">. The reliance on artificial overproduction in order to study TA systems led to the speculation that they are selfish genes and cell suicidal factors (50), or genomic “junk” which was accidentally acquired from plasmids or alternate sources (51), with no true biological function. However, most type I TA systems are highly conserved in relation to bacterial species and have been proposed to be less mobile than other TA systems (43). The protein coding sequences of toxin genes do not contain premature stop codons or frame shifts (40), indicating that toxin proteins have the potential to be endogenously expressed. It is likely that toxin translation occurs only when the cell is exposed to a specific environment. In </w:t>
      </w:r>
      <w:proofErr w:type="spellStart"/>
      <w:r w:rsidR="003E0D31" w:rsidRPr="003E0D31">
        <w:rPr>
          <w:rFonts w:eastAsia="Calibri"/>
          <w:i/>
          <w:iCs/>
          <w:szCs w:val="21"/>
          <w:lang w:bidi="ne-NP"/>
        </w:rPr>
        <w:t>tisAB</w:t>
      </w:r>
      <w:proofErr w:type="spellEnd"/>
      <w:r w:rsidR="003E0D31" w:rsidRPr="003E0D31">
        <w:rPr>
          <w:rFonts w:eastAsia="Calibri"/>
          <w:i/>
          <w:iCs/>
          <w:szCs w:val="21"/>
          <w:lang w:bidi="ne-NP"/>
        </w:rPr>
        <w:t>/</w:t>
      </w:r>
      <w:proofErr w:type="spellStart"/>
      <w:r w:rsidR="003E0D31" w:rsidRPr="003E0D31">
        <w:rPr>
          <w:rFonts w:eastAsia="Calibri"/>
          <w:i/>
          <w:iCs/>
          <w:szCs w:val="21"/>
          <w:lang w:bidi="ne-NP"/>
        </w:rPr>
        <w:t>istR</w:t>
      </w:r>
      <w:proofErr w:type="spellEnd"/>
      <w:r w:rsidR="003E0D31" w:rsidRPr="003E0D31">
        <w:rPr>
          <w:rFonts w:eastAsia="Calibri"/>
          <w:szCs w:val="21"/>
          <w:lang w:bidi="ne-NP"/>
        </w:rPr>
        <w:t xml:space="preserve"> gene pair the deletion of either or both toxin and antitoxin genes did not affect cell growth, but the attempt to transfer the </w:t>
      </w:r>
      <w:r w:rsidR="003E0D31" w:rsidRPr="003E0D31">
        <w:rPr>
          <w:rFonts w:eastAsia="Calibri"/>
          <w:i/>
          <w:iCs/>
          <w:lang w:bidi="ne-NP"/>
        </w:rPr>
        <w:sym w:font="Symbol" w:char="F044"/>
      </w:r>
      <w:proofErr w:type="spellStart"/>
      <w:r w:rsidR="003E0D31" w:rsidRPr="003E0D31">
        <w:rPr>
          <w:rFonts w:eastAsia="Calibri"/>
          <w:i/>
          <w:iCs/>
          <w:lang w:bidi="ne-NP"/>
        </w:rPr>
        <w:t>istR</w:t>
      </w:r>
      <w:proofErr w:type="spellEnd"/>
      <w:r w:rsidR="003E0D31" w:rsidRPr="003E0D31">
        <w:rPr>
          <w:rFonts w:eastAsia="Calibri"/>
          <w:i/>
          <w:iCs/>
          <w:lang w:bidi="ne-NP"/>
        </w:rPr>
        <w:t>/</w:t>
      </w:r>
      <w:proofErr w:type="spellStart"/>
      <w:r w:rsidR="003E0D31" w:rsidRPr="003E0D31">
        <w:rPr>
          <w:rFonts w:eastAsia="Calibri"/>
          <w:i/>
          <w:iCs/>
          <w:szCs w:val="21"/>
          <w:lang w:bidi="ne-NP"/>
        </w:rPr>
        <w:t>tisAB</w:t>
      </w:r>
      <w:proofErr w:type="spellEnd"/>
      <w:r w:rsidR="003E0D31" w:rsidRPr="003E0D31">
        <w:rPr>
          <w:rFonts w:eastAsia="Calibri"/>
          <w:i/>
          <w:iCs/>
          <w:szCs w:val="21"/>
          <w:vertAlign w:val="superscript"/>
          <w:lang w:bidi="ne-NP"/>
        </w:rPr>
        <w:t>+</w:t>
      </w:r>
      <w:r w:rsidR="003E0D31" w:rsidRPr="003E0D31">
        <w:rPr>
          <w:rFonts w:eastAsia="Calibri"/>
          <w:szCs w:val="21"/>
          <w:lang w:bidi="ne-NP"/>
        </w:rPr>
        <w:t xml:space="preserve"> gene into an SOS-on strain (</w:t>
      </w:r>
      <w:r w:rsidR="003E0D31" w:rsidRPr="003E0D31">
        <w:rPr>
          <w:rFonts w:eastAsia="Calibri"/>
          <w:i/>
          <w:iCs/>
          <w:szCs w:val="21"/>
          <w:lang w:bidi="ne-NP"/>
        </w:rPr>
        <w:t>lexA51</w:t>
      </w:r>
      <w:r w:rsidR="003E0D31" w:rsidRPr="003E0D31">
        <w:rPr>
          <w:rFonts w:eastAsia="Calibri"/>
          <w:szCs w:val="21"/>
          <w:lang w:bidi="ne-NP"/>
        </w:rPr>
        <w:t xml:space="preserve">-Def with a constitutive SOS response) was only successful if the SOS-on strain had </w:t>
      </w:r>
      <w:proofErr w:type="spellStart"/>
      <w:r w:rsidR="003E0D31" w:rsidRPr="003E0D31">
        <w:rPr>
          <w:rFonts w:eastAsia="Calibri"/>
          <w:i/>
          <w:iCs/>
          <w:szCs w:val="21"/>
          <w:lang w:bidi="ne-NP"/>
        </w:rPr>
        <w:t>istR</w:t>
      </w:r>
      <w:proofErr w:type="spellEnd"/>
      <w:r w:rsidR="003E0D31" w:rsidRPr="003E0D31">
        <w:rPr>
          <w:rFonts w:eastAsia="Calibri"/>
          <w:szCs w:val="21"/>
          <w:lang w:bidi="ne-NP"/>
        </w:rPr>
        <w:t xml:space="preserve"> expressed on a plasmid </w:t>
      </w:r>
      <w:r w:rsidR="003E0D31" w:rsidRPr="003E0D31">
        <w:rPr>
          <w:rFonts w:eastAsia="Calibri"/>
          <w:noProof/>
          <w:szCs w:val="21"/>
          <w:lang w:bidi="ne-NP"/>
        </w:rPr>
        <w:t>(52)</w:t>
      </w:r>
      <w:r w:rsidR="003E0D31" w:rsidRPr="003E0D31">
        <w:rPr>
          <w:rFonts w:eastAsia="Calibri"/>
          <w:szCs w:val="21"/>
          <w:lang w:bidi="ne-NP"/>
        </w:rPr>
        <w:t xml:space="preserve">. This </w:t>
      </w:r>
      <w:r w:rsidRPr="003E0D31">
        <w:rPr>
          <w:rFonts w:eastAsia="Calibri"/>
          <w:szCs w:val="21"/>
          <w:lang w:bidi="ne-NP"/>
        </w:rPr>
        <w:t>demonstrates the toxin can function in a specific condition.</w:t>
      </w:r>
      <w:r>
        <w:rPr>
          <w:rFonts w:eastAsia="Calibri"/>
          <w:szCs w:val="21"/>
          <w:lang w:bidi="ne-NP"/>
        </w:rPr>
        <w:t xml:space="preserve"> </w:t>
      </w:r>
      <w:r w:rsidRPr="003E0D31">
        <w:rPr>
          <w:rFonts w:eastAsia="Calibri"/>
          <w:szCs w:val="21"/>
          <w:lang w:bidi="ne-NP"/>
        </w:rPr>
        <w:t>The number and concentration of proteins expressed in a bacterial cell</w:t>
      </w:r>
    </w:p>
    <w:tbl>
      <w:tblPr>
        <w:tblpPr w:leftFromText="180" w:rightFromText="180" w:vertAnchor="page" w:horzAnchor="margin" w:tblpY="2107"/>
        <w:tblW w:w="0" w:type="auto"/>
        <w:tblLook w:val="04A0" w:firstRow="1" w:lastRow="0" w:firstColumn="1" w:lastColumn="0" w:noHBand="0" w:noVBand="1"/>
      </w:tblPr>
      <w:tblGrid>
        <w:gridCol w:w="2197"/>
        <w:gridCol w:w="1692"/>
        <w:gridCol w:w="1890"/>
        <w:gridCol w:w="1316"/>
        <w:gridCol w:w="2265"/>
      </w:tblGrid>
      <w:tr w:rsidR="003E0D31" w:rsidRPr="003E0D31" w14:paraId="31B95AEB" w14:textId="77777777" w:rsidTr="006408A7">
        <w:trPr>
          <w:trHeight w:val="713"/>
        </w:trPr>
        <w:tc>
          <w:tcPr>
            <w:tcW w:w="0" w:type="auto"/>
            <w:tcBorders>
              <w:top w:val="single" w:sz="4" w:space="0" w:color="auto"/>
              <w:left w:val="nil"/>
              <w:bottom w:val="single" w:sz="4" w:space="0" w:color="auto"/>
              <w:right w:val="nil"/>
            </w:tcBorders>
            <w:shd w:val="clear" w:color="auto" w:fill="auto"/>
            <w:noWrap/>
            <w:vAlign w:val="center"/>
            <w:hideMark/>
          </w:tcPr>
          <w:p w14:paraId="7BB27426" w14:textId="77777777" w:rsidR="003E0D31" w:rsidRPr="003E0D31" w:rsidRDefault="003E0D31" w:rsidP="006408A7">
            <w:pPr>
              <w:spacing w:line="360" w:lineRule="auto"/>
              <w:jc w:val="center"/>
              <w:rPr>
                <w:b/>
                <w:bCs/>
                <w:color w:val="000000"/>
                <w:sz w:val="22"/>
                <w:szCs w:val="22"/>
                <w:lang w:bidi="ne-NP"/>
              </w:rPr>
            </w:pPr>
            <w:r w:rsidRPr="003E0D31">
              <w:rPr>
                <w:b/>
                <w:bCs/>
                <w:color w:val="000000"/>
                <w:sz w:val="22"/>
                <w:szCs w:val="22"/>
                <w:lang w:bidi="ne-NP"/>
              </w:rPr>
              <w:lastRenderedPageBreak/>
              <w:t>TA system</w:t>
            </w:r>
          </w:p>
        </w:tc>
        <w:tc>
          <w:tcPr>
            <w:tcW w:w="0" w:type="auto"/>
            <w:tcBorders>
              <w:top w:val="single" w:sz="4" w:space="0" w:color="auto"/>
              <w:left w:val="nil"/>
              <w:bottom w:val="single" w:sz="4" w:space="0" w:color="auto"/>
              <w:right w:val="nil"/>
            </w:tcBorders>
            <w:shd w:val="clear" w:color="auto" w:fill="auto"/>
            <w:vAlign w:val="center"/>
            <w:hideMark/>
          </w:tcPr>
          <w:p w14:paraId="081EC2B7" w14:textId="77777777" w:rsidR="003E0D31" w:rsidRPr="003E0D31" w:rsidRDefault="003E0D31" w:rsidP="006408A7">
            <w:pPr>
              <w:spacing w:line="360" w:lineRule="auto"/>
              <w:jc w:val="center"/>
              <w:rPr>
                <w:b/>
                <w:bCs/>
                <w:color w:val="000000"/>
                <w:sz w:val="22"/>
                <w:szCs w:val="22"/>
                <w:lang w:bidi="ne-NP"/>
              </w:rPr>
            </w:pPr>
            <w:r w:rsidRPr="003E0D31">
              <w:rPr>
                <w:b/>
                <w:bCs/>
                <w:color w:val="000000"/>
                <w:sz w:val="22"/>
                <w:szCs w:val="22"/>
                <w:lang w:bidi="ne-NP"/>
              </w:rPr>
              <w:t>Toxin mRNA (</w:t>
            </w:r>
            <w:proofErr w:type="spellStart"/>
            <w:r w:rsidRPr="003E0D31">
              <w:rPr>
                <w:b/>
                <w:bCs/>
                <w:color w:val="000000"/>
                <w:sz w:val="22"/>
                <w:szCs w:val="22"/>
                <w:lang w:bidi="ne-NP"/>
              </w:rPr>
              <w:t>nt</w:t>
            </w:r>
            <w:proofErr w:type="spellEnd"/>
            <w:r w:rsidRPr="003E0D31">
              <w:rPr>
                <w:b/>
                <w:bCs/>
                <w:color w:val="000000"/>
                <w:sz w:val="22"/>
                <w:szCs w:val="22"/>
                <w:lang w:bidi="ne-NP"/>
              </w:rPr>
              <w:t>)</w:t>
            </w:r>
          </w:p>
        </w:tc>
        <w:tc>
          <w:tcPr>
            <w:tcW w:w="0" w:type="auto"/>
            <w:tcBorders>
              <w:top w:val="single" w:sz="4" w:space="0" w:color="auto"/>
              <w:left w:val="nil"/>
              <w:bottom w:val="single" w:sz="4" w:space="0" w:color="auto"/>
              <w:right w:val="nil"/>
            </w:tcBorders>
            <w:shd w:val="clear" w:color="auto" w:fill="auto"/>
            <w:vAlign w:val="center"/>
            <w:hideMark/>
          </w:tcPr>
          <w:p w14:paraId="1F20ADBD" w14:textId="77777777" w:rsidR="003E0D31" w:rsidRPr="003E0D31" w:rsidRDefault="003E0D31" w:rsidP="006408A7">
            <w:pPr>
              <w:spacing w:line="360" w:lineRule="auto"/>
              <w:jc w:val="center"/>
              <w:rPr>
                <w:b/>
                <w:bCs/>
                <w:color w:val="000000"/>
                <w:sz w:val="22"/>
                <w:szCs w:val="22"/>
                <w:lang w:bidi="ne-NP"/>
              </w:rPr>
            </w:pPr>
            <w:r w:rsidRPr="003E0D31">
              <w:rPr>
                <w:b/>
                <w:bCs/>
                <w:color w:val="000000"/>
                <w:sz w:val="22"/>
                <w:szCs w:val="22"/>
                <w:lang w:bidi="ne-NP"/>
              </w:rPr>
              <w:t>Antitoxin RNA (</w:t>
            </w:r>
            <w:proofErr w:type="spellStart"/>
            <w:r w:rsidRPr="003E0D31">
              <w:rPr>
                <w:b/>
                <w:bCs/>
                <w:color w:val="000000"/>
                <w:sz w:val="22"/>
                <w:szCs w:val="22"/>
                <w:lang w:bidi="ne-NP"/>
              </w:rPr>
              <w:t>nt</w:t>
            </w:r>
            <w:proofErr w:type="spellEnd"/>
            <w:r w:rsidRPr="003E0D31">
              <w:rPr>
                <w:b/>
                <w:bCs/>
                <w:color w:val="000000"/>
                <w:sz w:val="22"/>
                <w:szCs w:val="22"/>
                <w:lang w:bidi="ne-NP"/>
              </w:rPr>
              <w:t>)</w:t>
            </w:r>
          </w:p>
        </w:tc>
        <w:tc>
          <w:tcPr>
            <w:tcW w:w="0" w:type="auto"/>
            <w:tcBorders>
              <w:top w:val="single" w:sz="4" w:space="0" w:color="auto"/>
              <w:left w:val="nil"/>
              <w:bottom w:val="single" w:sz="4" w:space="0" w:color="auto"/>
              <w:right w:val="nil"/>
            </w:tcBorders>
            <w:shd w:val="clear" w:color="auto" w:fill="auto"/>
            <w:vAlign w:val="center"/>
            <w:hideMark/>
          </w:tcPr>
          <w:p w14:paraId="43B5FB89" w14:textId="77777777" w:rsidR="003E0D31" w:rsidRPr="003E0D31" w:rsidRDefault="003E0D31" w:rsidP="006408A7">
            <w:pPr>
              <w:spacing w:line="360" w:lineRule="auto"/>
              <w:jc w:val="center"/>
              <w:rPr>
                <w:b/>
                <w:bCs/>
                <w:color w:val="000000"/>
                <w:sz w:val="22"/>
                <w:szCs w:val="22"/>
                <w:lang w:bidi="ne-NP"/>
              </w:rPr>
            </w:pPr>
            <w:r w:rsidRPr="003E0D31">
              <w:rPr>
                <w:b/>
                <w:bCs/>
                <w:color w:val="000000"/>
                <w:sz w:val="22"/>
                <w:szCs w:val="22"/>
                <w:lang w:bidi="ne-NP"/>
              </w:rPr>
              <w:t>Protein (aa)</w:t>
            </w:r>
          </w:p>
        </w:tc>
        <w:tc>
          <w:tcPr>
            <w:tcW w:w="0" w:type="auto"/>
            <w:tcBorders>
              <w:top w:val="single" w:sz="4" w:space="0" w:color="auto"/>
              <w:left w:val="nil"/>
              <w:bottom w:val="single" w:sz="4" w:space="0" w:color="auto"/>
              <w:right w:val="nil"/>
            </w:tcBorders>
            <w:vAlign w:val="center"/>
          </w:tcPr>
          <w:p w14:paraId="377F825F" w14:textId="77777777" w:rsidR="003E0D31" w:rsidRPr="003E0D31" w:rsidRDefault="003E0D31" w:rsidP="006408A7">
            <w:pPr>
              <w:spacing w:line="360" w:lineRule="auto"/>
              <w:jc w:val="center"/>
              <w:rPr>
                <w:b/>
                <w:bCs/>
                <w:color w:val="000000"/>
                <w:sz w:val="22"/>
                <w:szCs w:val="22"/>
                <w:lang w:bidi="ne-NP"/>
              </w:rPr>
            </w:pPr>
            <w:r w:rsidRPr="003E0D31">
              <w:rPr>
                <w:b/>
                <w:bCs/>
                <w:color w:val="000000"/>
                <w:sz w:val="22"/>
                <w:szCs w:val="22"/>
                <w:lang w:bidi="ne-NP"/>
              </w:rPr>
              <w:t>Genetic organization*</w:t>
            </w:r>
          </w:p>
        </w:tc>
      </w:tr>
      <w:tr w:rsidR="003E0D31" w:rsidRPr="003E0D31" w14:paraId="5964D6D0" w14:textId="77777777" w:rsidTr="006408A7">
        <w:trPr>
          <w:trHeight w:val="335"/>
        </w:trPr>
        <w:tc>
          <w:tcPr>
            <w:tcW w:w="0" w:type="auto"/>
            <w:tcBorders>
              <w:top w:val="nil"/>
              <w:left w:val="nil"/>
              <w:bottom w:val="nil"/>
              <w:right w:val="nil"/>
            </w:tcBorders>
            <w:shd w:val="clear" w:color="auto" w:fill="auto"/>
            <w:noWrap/>
            <w:vAlign w:val="bottom"/>
            <w:hideMark/>
          </w:tcPr>
          <w:p w14:paraId="2EE1AC22" w14:textId="77777777" w:rsidR="003E0D31" w:rsidRPr="003E0D31" w:rsidRDefault="003E0D31" w:rsidP="006408A7">
            <w:pPr>
              <w:spacing w:line="360" w:lineRule="auto"/>
              <w:rPr>
                <w:color w:val="000000"/>
                <w:sz w:val="22"/>
                <w:szCs w:val="22"/>
                <w:lang w:bidi="ne-NP"/>
              </w:rPr>
            </w:pPr>
            <w:proofErr w:type="spellStart"/>
            <w:r w:rsidRPr="003E0D31">
              <w:rPr>
                <w:color w:val="000000"/>
                <w:sz w:val="22"/>
                <w:szCs w:val="22"/>
                <w:lang w:bidi="ne-NP"/>
              </w:rPr>
              <w:t>HokB</w:t>
            </w:r>
            <w:proofErr w:type="spellEnd"/>
            <w:r w:rsidRPr="003E0D31">
              <w:rPr>
                <w:color w:val="000000"/>
                <w:sz w:val="22"/>
                <w:szCs w:val="22"/>
                <w:lang w:bidi="ne-NP"/>
              </w:rPr>
              <w:t>/</w:t>
            </w:r>
            <w:proofErr w:type="spellStart"/>
            <w:r w:rsidRPr="003E0D31">
              <w:rPr>
                <w:color w:val="000000"/>
                <w:sz w:val="22"/>
                <w:szCs w:val="22"/>
                <w:lang w:bidi="ne-NP"/>
              </w:rPr>
              <w:t>SokB</w:t>
            </w:r>
            <w:proofErr w:type="spellEnd"/>
            <w:r w:rsidRPr="003E0D31">
              <w:rPr>
                <w:noProof/>
                <w:color w:val="000000"/>
                <w:sz w:val="22"/>
                <w:szCs w:val="22"/>
                <w:lang w:bidi="ne-NP"/>
              </w:rPr>
              <w:t>(11,53)</w:t>
            </w:r>
          </w:p>
        </w:tc>
        <w:tc>
          <w:tcPr>
            <w:tcW w:w="0" w:type="auto"/>
            <w:tcBorders>
              <w:top w:val="nil"/>
              <w:left w:val="nil"/>
              <w:bottom w:val="nil"/>
              <w:right w:val="nil"/>
            </w:tcBorders>
            <w:shd w:val="clear" w:color="auto" w:fill="auto"/>
            <w:noWrap/>
            <w:vAlign w:val="center"/>
            <w:hideMark/>
          </w:tcPr>
          <w:p w14:paraId="22956820" w14:textId="77777777" w:rsidR="003E0D31" w:rsidRPr="003E0D31" w:rsidRDefault="003E0D31" w:rsidP="006408A7">
            <w:pPr>
              <w:spacing w:line="360" w:lineRule="auto"/>
              <w:jc w:val="center"/>
              <w:rPr>
                <w:color w:val="000000"/>
                <w:sz w:val="22"/>
                <w:szCs w:val="22"/>
                <w:lang w:bidi="ne-NP"/>
              </w:rPr>
            </w:pPr>
            <w:r w:rsidRPr="003E0D31">
              <w:rPr>
                <w:color w:val="000000"/>
                <w:sz w:val="22"/>
                <w:szCs w:val="22"/>
                <w:lang w:bidi="ne-NP"/>
              </w:rPr>
              <w:t>357</w:t>
            </w:r>
          </w:p>
        </w:tc>
        <w:tc>
          <w:tcPr>
            <w:tcW w:w="0" w:type="auto"/>
            <w:tcBorders>
              <w:top w:val="nil"/>
              <w:left w:val="nil"/>
              <w:bottom w:val="nil"/>
              <w:right w:val="nil"/>
            </w:tcBorders>
            <w:shd w:val="clear" w:color="auto" w:fill="auto"/>
            <w:noWrap/>
            <w:vAlign w:val="center"/>
            <w:hideMark/>
          </w:tcPr>
          <w:p w14:paraId="58C849F2" w14:textId="77777777" w:rsidR="003E0D31" w:rsidRPr="003E0D31" w:rsidRDefault="003E0D31" w:rsidP="006408A7">
            <w:pPr>
              <w:spacing w:line="360" w:lineRule="auto"/>
              <w:jc w:val="center"/>
              <w:rPr>
                <w:color w:val="000000"/>
                <w:sz w:val="22"/>
                <w:szCs w:val="22"/>
                <w:lang w:bidi="ne-NP"/>
              </w:rPr>
            </w:pPr>
            <w:r w:rsidRPr="003E0D31">
              <w:rPr>
                <w:color w:val="000000"/>
                <w:sz w:val="22"/>
                <w:szCs w:val="22"/>
                <w:lang w:bidi="ne-NP"/>
              </w:rPr>
              <w:t>61</w:t>
            </w:r>
          </w:p>
        </w:tc>
        <w:tc>
          <w:tcPr>
            <w:tcW w:w="0" w:type="auto"/>
            <w:tcBorders>
              <w:top w:val="nil"/>
              <w:left w:val="nil"/>
              <w:bottom w:val="nil"/>
              <w:right w:val="nil"/>
            </w:tcBorders>
            <w:shd w:val="clear" w:color="auto" w:fill="auto"/>
            <w:noWrap/>
            <w:vAlign w:val="center"/>
            <w:hideMark/>
          </w:tcPr>
          <w:p w14:paraId="16C9BD35" w14:textId="77777777" w:rsidR="003E0D31" w:rsidRPr="003E0D31" w:rsidRDefault="003E0D31" w:rsidP="006408A7">
            <w:pPr>
              <w:spacing w:line="360" w:lineRule="auto"/>
              <w:jc w:val="center"/>
              <w:rPr>
                <w:color w:val="000000"/>
                <w:sz w:val="22"/>
                <w:szCs w:val="22"/>
                <w:lang w:bidi="ne-NP"/>
              </w:rPr>
            </w:pPr>
            <w:r w:rsidRPr="003E0D31">
              <w:rPr>
                <w:color w:val="000000"/>
                <w:sz w:val="22"/>
                <w:szCs w:val="22"/>
                <w:lang w:bidi="ne-NP"/>
              </w:rPr>
              <w:t>49</w:t>
            </w:r>
          </w:p>
        </w:tc>
        <w:tc>
          <w:tcPr>
            <w:tcW w:w="0" w:type="auto"/>
            <w:tcBorders>
              <w:top w:val="nil"/>
              <w:left w:val="nil"/>
              <w:bottom w:val="nil"/>
              <w:right w:val="nil"/>
            </w:tcBorders>
          </w:tcPr>
          <w:p w14:paraId="546C4A22" w14:textId="77777777" w:rsidR="003E0D31" w:rsidRPr="003E0D31" w:rsidRDefault="003E0D31" w:rsidP="006408A7">
            <w:pPr>
              <w:spacing w:line="360" w:lineRule="auto"/>
              <w:jc w:val="center"/>
              <w:rPr>
                <w:color w:val="000000"/>
                <w:sz w:val="22"/>
                <w:szCs w:val="22"/>
                <w:lang w:bidi="ne-NP"/>
              </w:rPr>
            </w:pPr>
            <w:r w:rsidRPr="003E0D31">
              <w:rPr>
                <w:noProof/>
                <w:color w:val="000000"/>
                <w:sz w:val="22"/>
                <w:szCs w:val="22"/>
                <w:lang w:bidi="ne-NP"/>
              </w:rPr>
              <w:drawing>
                <wp:anchor distT="0" distB="0" distL="114300" distR="114300" simplePos="0" relativeHeight="251668480" behindDoc="0" locked="0" layoutInCell="1" allowOverlap="1" wp14:anchorId="52CEA6F5" wp14:editId="5CE7EA15">
                  <wp:simplePos x="0" y="0"/>
                  <wp:positionH relativeFrom="column">
                    <wp:posOffset>89958</wp:posOffset>
                  </wp:positionH>
                  <wp:positionV relativeFrom="paragraph">
                    <wp:posOffset>29210</wp:posOffset>
                  </wp:positionV>
                  <wp:extent cx="1159933" cy="427015"/>
                  <wp:effectExtent l="0" t="0" r="0" b="508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28A0092B-C50C-407E-A947-70E740481C1C}">
                                <a14:useLocalDpi xmlns:a14="http://schemas.microsoft.com/office/drawing/2010/main" val="0"/>
                              </a:ext>
                            </a:extLst>
                          </a:blip>
                          <a:srcRect l="5790" r="20396"/>
                          <a:stretch/>
                        </pic:blipFill>
                        <pic:spPr bwMode="auto">
                          <a:xfrm>
                            <a:off x="0" y="0"/>
                            <a:ext cx="1159933" cy="4270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3E0D31" w:rsidRPr="003E0D31" w14:paraId="7064962D" w14:textId="77777777" w:rsidTr="006408A7">
        <w:trPr>
          <w:trHeight w:val="335"/>
        </w:trPr>
        <w:tc>
          <w:tcPr>
            <w:tcW w:w="0" w:type="auto"/>
            <w:tcBorders>
              <w:top w:val="nil"/>
              <w:left w:val="nil"/>
              <w:bottom w:val="single" w:sz="4" w:space="0" w:color="auto"/>
              <w:right w:val="nil"/>
            </w:tcBorders>
            <w:shd w:val="clear" w:color="auto" w:fill="auto"/>
            <w:noWrap/>
            <w:vAlign w:val="bottom"/>
            <w:hideMark/>
          </w:tcPr>
          <w:p w14:paraId="0C91C8F3" w14:textId="77777777" w:rsidR="003E0D31" w:rsidRPr="003E0D31" w:rsidRDefault="003E0D31" w:rsidP="006408A7">
            <w:pPr>
              <w:spacing w:line="360" w:lineRule="auto"/>
              <w:rPr>
                <w:color w:val="000000"/>
                <w:sz w:val="22"/>
                <w:szCs w:val="22"/>
                <w:lang w:bidi="ne-NP"/>
              </w:rPr>
            </w:pPr>
            <w:proofErr w:type="spellStart"/>
            <w:r w:rsidRPr="003E0D31">
              <w:rPr>
                <w:color w:val="000000"/>
                <w:sz w:val="22"/>
                <w:szCs w:val="22"/>
                <w:lang w:bidi="ne-NP"/>
              </w:rPr>
              <w:t>LdrD</w:t>
            </w:r>
            <w:proofErr w:type="spellEnd"/>
            <w:r w:rsidRPr="003E0D31">
              <w:rPr>
                <w:color w:val="000000"/>
                <w:sz w:val="22"/>
                <w:szCs w:val="22"/>
                <w:lang w:bidi="ne-NP"/>
              </w:rPr>
              <w:t>/</w:t>
            </w:r>
            <w:proofErr w:type="spellStart"/>
            <w:r w:rsidRPr="003E0D31">
              <w:rPr>
                <w:color w:val="000000"/>
                <w:sz w:val="22"/>
                <w:szCs w:val="22"/>
                <w:lang w:bidi="ne-NP"/>
              </w:rPr>
              <w:t>RdlD</w:t>
            </w:r>
            <w:proofErr w:type="spellEnd"/>
            <w:r w:rsidRPr="003E0D31">
              <w:rPr>
                <w:noProof/>
                <w:color w:val="000000"/>
                <w:sz w:val="22"/>
                <w:szCs w:val="22"/>
                <w:lang w:bidi="ne-NP"/>
              </w:rPr>
              <w:t>(53,54)</w:t>
            </w:r>
          </w:p>
        </w:tc>
        <w:tc>
          <w:tcPr>
            <w:tcW w:w="0" w:type="auto"/>
            <w:tcBorders>
              <w:top w:val="nil"/>
              <w:left w:val="nil"/>
              <w:bottom w:val="single" w:sz="4" w:space="0" w:color="auto"/>
              <w:right w:val="nil"/>
            </w:tcBorders>
            <w:shd w:val="clear" w:color="auto" w:fill="auto"/>
            <w:noWrap/>
            <w:vAlign w:val="center"/>
            <w:hideMark/>
          </w:tcPr>
          <w:p w14:paraId="4FD6CE85" w14:textId="77777777" w:rsidR="003E0D31" w:rsidRPr="003E0D31" w:rsidRDefault="003E0D31" w:rsidP="006408A7">
            <w:pPr>
              <w:spacing w:line="360" w:lineRule="auto"/>
              <w:jc w:val="center"/>
              <w:rPr>
                <w:color w:val="000000"/>
                <w:sz w:val="22"/>
                <w:szCs w:val="22"/>
                <w:lang w:bidi="ne-NP"/>
              </w:rPr>
            </w:pPr>
            <w:r w:rsidRPr="003E0D31">
              <w:rPr>
                <w:color w:val="000000"/>
                <w:sz w:val="22"/>
                <w:szCs w:val="22"/>
                <w:lang w:bidi="ne-NP"/>
              </w:rPr>
              <w:t>368</w:t>
            </w:r>
          </w:p>
        </w:tc>
        <w:tc>
          <w:tcPr>
            <w:tcW w:w="0" w:type="auto"/>
            <w:tcBorders>
              <w:top w:val="nil"/>
              <w:left w:val="nil"/>
              <w:bottom w:val="single" w:sz="4" w:space="0" w:color="auto"/>
              <w:right w:val="nil"/>
            </w:tcBorders>
            <w:shd w:val="clear" w:color="auto" w:fill="auto"/>
            <w:noWrap/>
            <w:vAlign w:val="center"/>
            <w:hideMark/>
          </w:tcPr>
          <w:p w14:paraId="7EBD9FA7" w14:textId="77777777" w:rsidR="003E0D31" w:rsidRPr="003E0D31" w:rsidRDefault="003E0D31" w:rsidP="006408A7">
            <w:pPr>
              <w:spacing w:line="360" w:lineRule="auto"/>
              <w:jc w:val="center"/>
              <w:rPr>
                <w:color w:val="000000"/>
                <w:sz w:val="22"/>
                <w:szCs w:val="22"/>
                <w:lang w:bidi="ne-NP"/>
              </w:rPr>
            </w:pPr>
            <w:r w:rsidRPr="003E0D31">
              <w:rPr>
                <w:color w:val="000000"/>
                <w:sz w:val="22"/>
                <w:szCs w:val="22"/>
                <w:lang w:bidi="ne-NP"/>
              </w:rPr>
              <w:t>67</w:t>
            </w:r>
          </w:p>
        </w:tc>
        <w:tc>
          <w:tcPr>
            <w:tcW w:w="0" w:type="auto"/>
            <w:tcBorders>
              <w:top w:val="nil"/>
              <w:left w:val="nil"/>
              <w:bottom w:val="single" w:sz="4" w:space="0" w:color="auto"/>
              <w:right w:val="nil"/>
            </w:tcBorders>
            <w:shd w:val="clear" w:color="auto" w:fill="auto"/>
            <w:noWrap/>
            <w:vAlign w:val="center"/>
            <w:hideMark/>
          </w:tcPr>
          <w:p w14:paraId="4BA2B39E" w14:textId="77777777" w:rsidR="003E0D31" w:rsidRPr="003E0D31" w:rsidRDefault="003E0D31" w:rsidP="006408A7">
            <w:pPr>
              <w:spacing w:line="360" w:lineRule="auto"/>
              <w:jc w:val="center"/>
              <w:rPr>
                <w:color w:val="000000"/>
                <w:sz w:val="22"/>
                <w:szCs w:val="22"/>
                <w:lang w:bidi="ne-NP"/>
              </w:rPr>
            </w:pPr>
            <w:r w:rsidRPr="003E0D31">
              <w:rPr>
                <w:color w:val="000000"/>
                <w:sz w:val="22"/>
                <w:szCs w:val="22"/>
                <w:lang w:bidi="ne-NP"/>
              </w:rPr>
              <w:t>35</w:t>
            </w:r>
          </w:p>
        </w:tc>
        <w:tc>
          <w:tcPr>
            <w:tcW w:w="0" w:type="auto"/>
            <w:tcBorders>
              <w:top w:val="nil"/>
              <w:left w:val="nil"/>
              <w:bottom w:val="single" w:sz="4" w:space="0" w:color="auto"/>
              <w:right w:val="nil"/>
            </w:tcBorders>
          </w:tcPr>
          <w:p w14:paraId="3BD1883E" w14:textId="77777777" w:rsidR="003E0D31" w:rsidRPr="003E0D31" w:rsidRDefault="003E0D31" w:rsidP="006408A7">
            <w:pPr>
              <w:spacing w:line="360" w:lineRule="auto"/>
              <w:jc w:val="center"/>
              <w:rPr>
                <w:color w:val="000000"/>
                <w:sz w:val="22"/>
                <w:szCs w:val="22"/>
                <w:lang w:bidi="ne-NP"/>
              </w:rPr>
            </w:pPr>
          </w:p>
        </w:tc>
      </w:tr>
      <w:tr w:rsidR="003E0D31" w:rsidRPr="003E0D31" w14:paraId="624078EE" w14:textId="77777777" w:rsidTr="006408A7">
        <w:trPr>
          <w:trHeight w:val="335"/>
        </w:trPr>
        <w:tc>
          <w:tcPr>
            <w:tcW w:w="0" w:type="auto"/>
            <w:tcBorders>
              <w:top w:val="single" w:sz="4" w:space="0" w:color="auto"/>
              <w:left w:val="nil"/>
              <w:bottom w:val="nil"/>
              <w:right w:val="nil"/>
            </w:tcBorders>
            <w:shd w:val="clear" w:color="auto" w:fill="auto"/>
            <w:noWrap/>
            <w:vAlign w:val="bottom"/>
            <w:hideMark/>
          </w:tcPr>
          <w:p w14:paraId="5DE22C84" w14:textId="77777777" w:rsidR="003E0D31" w:rsidRPr="003E0D31" w:rsidRDefault="003E0D31" w:rsidP="006408A7">
            <w:pPr>
              <w:spacing w:line="360" w:lineRule="auto"/>
              <w:rPr>
                <w:color w:val="000000"/>
                <w:sz w:val="22"/>
                <w:szCs w:val="22"/>
                <w:lang w:bidi="ne-NP"/>
              </w:rPr>
            </w:pPr>
            <w:proofErr w:type="spellStart"/>
            <w:r w:rsidRPr="003E0D31">
              <w:rPr>
                <w:color w:val="000000"/>
                <w:sz w:val="22"/>
                <w:szCs w:val="22"/>
                <w:lang w:bidi="ne-NP"/>
              </w:rPr>
              <w:t>TisB</w:t>
            </w:r>
            <w:proofErr w:type="spellEnd"/>
            <w:r w:rsidRPr="003E0D31">
              <w:rPr>
                <w:color w:val="000000"/>
                <w:sz w:val="22"/>
                <w:szCs w:val="22"/>
                <w:lang w:bidi="ne-NP"/>
              </w:rPr>
              <w:t>/IstR1</w:t>
            </w:r>
            <w:r w:rsidRPr="003E0D31">
              <w:rPr>
                <w:noProof/>
                <w:color w:val="000000"/>
                <w:sz w:val="22"/>
                <w:szCs w:val="22"/>
                <w:lang w:bidi="ne-NP"/>
              </w:rPr>
              <w:t>(52)</w:t>
            </w:r>
          </w:p>
        </w:tc>
        <w:tc>
          <w:tcPr>
            <w:tcW w:w="0" w:type="auto"/>
            <w:tcBorders>
              <w:top w:val="single" w:sz="4" w:space="0" w:color="auto"/>
              <w:left w:val="nil"/>
              <w:bottom w:val="nil"/>
              <w:right w:val="nil"/>
            </w:tcBorders>
            <w:shd w:val="clear" w:color="auto" w:fill="auto"/>
            <w:noWrap/>
            <w:vAlign w:val="center"/>
            <w:hideMark/>
          </w:tcPr>
          <w:p w14:paraId="48D29AA5" w14:textId="77777777" w:rsidR="003E0D31" w:rsidRPr="003E0D31" w:rsidRDefault="003E0D31" w:rsidP="006408A7">
            <w:pPr>
              <w:spacing w:line="360" w:lineRule="auto"/>
              <w:jc w:val="center"/>
              <w:rPr>
                <w:color w:val="000000"/>
                <w:sz w:val="22"/>
                <w:szCs w:val="22"/>
                <w:lang w:bidi="ne-NP"/>
              </w:rPr>
            </w:pPr>
            <w:r w:rsidRPr="003E0D31">
              <w:rPr>
                <w:color w:val="000000"/>
                <w:sz w:val="22"/>
                <w:szCs w:val="22"/>
                <w:lang w:bidi="ne-NP"/>
              </w:rPr>
              <w:t>354</w:t>
            </w:r>
          </w:p>
        </w:tc>
        <w:tc>
          <w:tcPr>
            <w:tcW w:w="0" w:type="auto"/>
            <w:tcBorders>
              <w:top w:val="single" w:sz="4" w:space="0" w:color="auto"/>
              <w:left w:val="nil"/>
              <w:bottom w:val="nil"/>
              <w:right w:val="nil"/>
            </w:tcBorders>
            <w:shd w:val="clear" w:color="auto" w:fill="auto"/>
            <w:noWrap/>
            <w:vAlign w:val="center"/>
            <w:hideMark/>
          </w:tcPr>
          <w:p w14:paraId="52838BD9" w14:textId="77777777" w:rsidR="003E0D31" w:rsidRPr="003E0D31" w:rsidRDefault="003E0D31" w:rsidP="006408A7">
            <w:pPr>
              <w:spacing w:line="360" w:lineRule="auto"/>
              <w:jc w:val="center"/>
              <w:rPr>
                <w:color w:val="000000"/>
                <w:sz w:val="22"/>
                <w:szCs w:val="22"/>
                <w:lang w:bidi="ne-NP"/>
              </w:rPr>
            </w:pPr>
            <w:r w:rsidRPr="003E0D31">
              <w:rPr>
                <w:color w:val="000000"/>
                <w:sz w:val="22"/>
                <w:szCs w:val="22"/>
                <w:lang w:bidi="ne-NP"/>
              </w:rPr>
              <w:t>75</w:t>
            </w:r>
          </w:p>
        </w:tc>
        <w:tc>
          <w:tcPr>
            <w:tcW w:w="0" w:type="auto"/>
            <w:tcBorders>
              <w:top w:val="single" w:sz="4" w:space="0" w:color="auto"/>
              <w:left w:val="nil"/>
              <w:bottom w:val="nil"/>
              <w:right w:val="nil"/>
            </w:tcBorders>
            <w:shd w:val="clear" w:color="auto" w:fill="auto"/>
            <w:noWrap/>
            <w:vAlign w:val="center"/>
            <w:hideMark/>
          </w:tcPr>
          <w:p w14:paraId="1B98F0DB" w14:textId="77777777" w:rsidR="003E0D31" w:rsidRPr="003E0D31" w:rsidRDefault="003E0D31" w:rsidP="006408A7">
            <w:pPr>
              <w:spacing w:line="360" w:lineRule="auto"/>
              <w:jc w:val="center"/>
              <w:rPr>
                <w:color w:val="000000"/>
                <w:sz w:val="22"/>
                <w:szCs w:val="22"/>
                <w:lang w:bidi="ne-NP"/>
              </w:rPr>
            </w:pPr>
            <w:r w:rsidRPr="003E0D31">
              <w:rPr>
                <w:color w:val="000000"/>
                <w:sz w:val="22"/>
                <w:szCs w:val="22"/>
                <w:lang w:bidi="ne-NP"/>
              </w:rPr>
              <w:t>29</w:t>
            </w:r>
          </w:p>
        </w:tc>
        <w:tc>
          <w:tcPr>
            <w:tcW w:w="0" w:type="auto"/>
            <w:tcBorders>
              <w:top w:val="single" w:sz="4" w:space="0" w:color="auto"/>
              <w:left w:val="nil"/>
              <w:bottom w:val="nil"/>
              <w:right w:val="nil"/>
            </w:tcBorders>
          </w:tcPr>
          <w:p w14:paraId="555CC00C" w14:textId="77777777" w:rsidR="003E0D31" w:rsidRPr="003E0D31" w:rsidRDefault="003E0D31" w:rsidP="006408A7">
            <w:pPr>
              <w:spacing w:line="360" w:lineRule="auto"/>
              <w:jc w:val="center"/>
              <w:rPr>
                <w:color w:val="000000"/>
                <w:sz w:val="22"/>
                <w:szCs w:val="22"/>
                <w:lang w:bidi="ne-NP"/>
              </w:rPr>
            </w:pPr>
          </w:p>
        </w:tc>
      </w:tr>
      <w:tr w:rsidR="003E0D31" w:rsidRPr="003E0D31" w14:paraId="6275ED9F" w14:textId="77777777" w:rsidTr="006408A7">
        <w:trPr>
          <w:trHeight w:val="335"/>
        </w:trPr>
        <w:tc>
          <w:tcPr>
            <w:tcW w:w="0" w:type="auto"/>
            <w:tcBorders>
              <w:top w:val="nil"/>
              <w:left w:val="nil"/>
              <w:bottom w:val="nil"/>
              <w:right w:val="nil"/>
            </w:tcBorders>
            <w:shd w:val="clear" w:color="auto" w:fill="auto"/>
            <w:noWrap/>
            <w:vAlign w:val="bottom"/>
            <w:hideMark/>
          </w:tcPr>
          <w:p w14:paraId="5E6C23DE" w14:textId="77777777" w:rsidR="003E0D31" w:rsidRPr="003E0D31" w:rsidRDefault="003E0D31" w:rsidP="006408A7">
            <w:pPr>
              <w:spacing w:line="360" w:lineRule="auto"/>
              <w:rPr>
                <w:color w:val="000000"/>
                <w:sz w:val="22"/>
                <w:szCs w:val="22"/>
                <w:lang w:bidi="ne-NP"/>
              </w:rPr>
            </w:pPr>
            <w:proofErr w:type="spellStart"/>
            <w:r w:rsidRPr="003E0D31">
              <w:rPr>
                <w:color w:val="000000"/>
                <w:sz w:val="22"/>
                <w:szCs w:val="22"/>
                <w:lang w:bidi="ne-NP"/>
              </w:rPr>
              <w:t>ShoB</w:t>
            </w:r>
            <w:proofErr w:type="spellEnd"/>
            <w:r w:rsidRPr="003E0D31">
              <w:rPr>
                <w:color w:val="000000"/>
                <w:sz w:val="22"/>
                <w:szCs w:val="22"/>
                <w:lang w:bidi="ne-NP"/>
              </w:rPr>
              <w:t>/</w:t>
            </w:r>
            <w:proofErr w:type="spellStart"/>
            <w:r w:rsidRPr="003E0D31">
              <w:rPr>
                <w:color w:val="000000"/>
                <w:sz w:val="22"/>
                <w:szCs w:val="22"/>
                <w:lang w:bidi="ne-NP"/>
              </w:rPr>
              <w:t>OhsC</w:t>
            </w:r>
            <w:proofErr w:type="spellEnd"/>
            <w:r w:rsidRPr="003E0D31">
              <w:rPr>
                <w:noProof/>
                <w:color w:val="000000"/>
                <w:sz w:val="22"/>
                <w:szCs w:val="22"/>
                <w:lang w:bidi="ne-NP"/>
              </w:rPr>
              <w:t>(12)</w:t>
            </w:r>
          </w:p>
        </w:tc>
        <w:tc>
          <w:tcPr>
            <w:tcW w:w="0" w:type="auto"/>
            <w:tcBorders>
              <w:top w:val="nil"/>
              <w:left w:val="nil"/>
              <w:bottom w:val="nil"/>
              <w:right w:val="nil"/>
            </w:tcBorders>
            <w:shd w:val="clear" w:color="auto" w:fill="auto"/>
            <w:noWrap/>
            <w:vAlign w:val="center"/>
            <w:hideMark/>
          </w:tcPr>
          <w:p w14:paraId="75A8DA94" w14:textId="77777777" w:rsidR="003E0D31" w:rsidRPr="003E0D31" w:rsidRDefault="003E0D31" w:rsidP="006408A7">
            <w:pPr>
              <w:spacing w:line="360" w:lineRule="auto"/>
              <w:jc w:val="center"/>
              <w:rPr>
                <w:color w:val="000000"/>
                <w:sz w:val="22"/>
                <w:szCs w:val="22"/>
                <w:lang w:bidi="ne-NP"/>
              </w:rPr>
            </w:pPr>
            <w:r w:rsidRPr="003E0D31">
              <w:rPr>
                <w:color w:val="000000"/>
                <w:sz w:val="22"/>
                <w:szCs w:val="22"/>
                <w:lang w:bidi="ne-NP"/>
              </w:rPr>
              <w:t>313</w:t>
            </w:r>
          </w:p>
        </w:tc>
        <w:tc>
          <w:tcPr>
            <w:tcW w:w="0" w:type="auto"/>
            <w:tcBorders>
              <w:top w:val="nil"/>
              <w:left w:val="nil"/>
              <w:bottom w:val="nil"/>
              <w:right w:val="nil"/>
            </w:tcBorders>
            <w:shd w:val="clear" w:color="auto" w:fill="auto"/>
            <w:noWrap/>
            <w:vAlign w:val="center"/>
            <w:hideMark/>
          </w:tcPr>
          <w:p w14:paraId="69D66549" w14:textId="77777777" w:rsidR="003E0D31" w:rsidRPr="003E0D31" w:rsidRDefault="003E0D31" w:rsidP="006408A7">
            <w:pPr>
              <w:spacing w:line="360" w:lineRule="auto"/>
              <w:jc w:val="center"/>
              <w:rPr>
                <w:color w:val="000000"/>
                <w:sz w:val="22"/>
                <w:szCs w:val="22"/>
                <w:lang w:bidi="ne-NP"/>
              </w:rPr>
            </w:pPr>
            <w:r w:rsidRPr="003E0D31">
              <w:rPr>
                <w:color w:val="000000"/>
                <w:sz w:val="22"/>
                <w:szCs w:val="22"/>
                <w:lang w:bidi="ne-NP"/>
              </w:rPr>
              <w:t>95</w:t>
            </w:r>
          </w:p>
        </w:tc>
        <w:tc>
          <w:tcPr>
            <w:tcW w:w="0" w:type="auto"/>
            <w:tcBorders>
              <w:top w:val="nil"/>
              <w:left w:val="nil"/>
              <w:bottom w:val="nil"/>
              <w:right w:val="nil"/>
            </w:tcBorders>
            <w:shd w:val="clear" w:color="auto" w:fill="auto"/>
            <w:noWrap/>
            <w:vAlign w:val="center"/>
            <w:hideMark/>
          </w:tcPr>
          <w:p w14:paraId="60F895BB" w14:textId="77777777" w:rsidR="003E0D31" w:rsidRPr="003E0D31" w:rsidRDefault="003E0D31" w:rsidP="006408A7">
            <w:pPr>
              <w:spacing w:line="360" w:lineRule="auto"/>
              <w:jc w:val="center"/>
              <w:rPr>
                <w:color w:val="000000"/>
                <w:sz w:val="22"/>
                <w:szCs w:val="22"/>
                <w:lang w:bidi="ne-NP"/>
              </w:rPr>
            </w:pPr>
            <w:r w:rsidRPr="003E0D31">
              <w:rPr>
                <w:color w:val="000000"/>
                <w:sz w:val="22"/>
                <w:szCs w:val="22"/>
                <w:lang w:bidi="ne-NP"/>
              </w:rPr>
              <w:t>26</w:t>
            </w:r>
          </w:p>
        </w:tc>
        <w:tc>
          <w:tcPr>
            <w:tcW w:w="0" w:type="auto"/>
            <w:tcBorders>
              <w:top w:val="nil"/>
              <w:left w:val="nil"/>
              <w:bottom w:val="nil"/>
              <w:right w:val="nil"/>
            </w:tcBorders>
          </w:tcPr>
          <w:p w14:paraId="3B951C92" w14:textId="77777777" w:rsidR="003E0D31" w:rsidRPr="003E0D31" w:rsidRDefault="003E0D31" w:rsidP="006408A7">
            <w:pPr>
              <w:spacing w:line="360" w:lineRule="auto"/>
              <w:jc w:val="center"/>
              <w:rPr>
                <w:color w:val="000000"/>
                <w:sz w:val="22"/>
                <w:szCs w:val="22"/>
                <w:lang w:bidi="ne-NP"/>
              </w:rPr>
            </w:pPr>
          </w:p>
        </w:tc>
      </w:tr>
      <w:tr w:rsidR="003E0D31" w:rsidRPr="003E0D31" w14:paraId="191DF21F" w14:textId="77777777" w:rsidTr="006408A7">
        <w:trPr>
          <w:trHeight w:val="335"/>
        </w:trPr>
        <w:tc>
          <w:tcPr>
            <w:tcW w:w="0" w:type="auto"/>
            <w:tcBorders>
              <w:top w:val="nil"/>
              <w:left w:val="nil"/>
              <w:bottom w:val="nil"/>
              <w:right w:val="nil"/>
            </w:tcBorders>
            <w:shd w:val="clear" w:color="auto" w:fill="auto"/>
            <w:noWrap/>
            <w:vAlign w:val="bottom"/>
            <w:hideMark/>
          </w:tcPr>
          <w:p w14:paraId="6129CBC5" w14:textId="77777777" w:rsidR="003E0D31" w:rsidRPr="003E0D31" w:rsidRDefault="003E0D31" w:rsidP="006408A7">
            <w:pPr>
              <w:spacing w:line="360" w:lineRule="auto"/>
              <w:rPr>
                <w:color w:val="000000"/>
                <w:sz w:val="22"/>
                <w:szCs w:val="22"/>
                <w:lang w:bidi="ne-NP"/>
              </w:rPr>
            </w:pPr>
            <w:proofErr w:type="spellStart"/>
            <w:r w:rsidRPr="003E0D31">
              <w:rPr>
                <w:color w:val="000000"/>
                <w:sz w:val="22"/>
                <w:szCs w:val="22"/>
                <w:lang w:bidi="ne-NP"/>
              </w:rPr>
              <w:t>DinQ</w:t>
            </w:r>
            <w:proofErr w:type="spellEnd"/>
            <w:r w:rsidRPr="003E0D31">
              <w:rPr>
                <w:color w:val="000000"/>
                <w:sz w:val="22"/>
                <w:szCs w:val="22"/>
                <w:lang w:bidi="ne-NP"/>
              </w:rPr>
              <w:t>/</w:t>
            </w:r>
            <w:proofErr w:type="spellStart"/>
            <w:r w:rsidRPr="003E0D31">
              <w:rPr>
                <w:color w:val="000000"/>
                <w:sz w:val="22"/>
                <w:szCs w:val="22"/>
                <w:lang w:bidi="ne-NP"/>
              </w:rPr>
              <w:t>AgrB</w:t>
            </w:r>
            <w:proofErr w:type="spellEnd"/>
            <w:r w:rsidRPr="003E0D31">
              <w:rPr>
                <w:noProof/>
                <w:color w:val="000000"/>
                <w:sz w:val="22"/>
                <w:szCs w:val="22"/>
                <w:lang w:bidi="ne-NP"/>
              </w:rPr>
              <w:t>(55)</w:t>
            </w:r>
          </w:p>
        </w:tc>
        <w:tc>
          <w:tcPr>
            <w:tcW w:w="0" w:type="auto"/>
            <w:tcBorders>
              <w:top w:val="nil"/>
              <w:left w:val="nil"/>
              <w:bottom w:val="nil"/>
              <w:right w:val="nil"/>
            </w:tcBorders>
            <w:shd w:val="clear" w:color="auto" w:fill="auto"/>
            <w:noWrap/>
            <w:vAlign w:val="center"/>
            <w:hideMark/>
          </w:tcPr>
          <w:p w14:paraId="1B7B2AB2" w14:textId="77777777" w:rsidR="003E0D31" w:rsidRPr="003E0D31" w:rsidRDefault="003E0D31" w:rsidP="006408A7">
            <w:pPr>
              <w:spacing w:line="360" w:lineRule="auto"/>
              <w:jc w:val="center"/>
              <w:rPr>
                <w:color w:val="000000"/>
                <w:sz w:val="22"/>
                <w:szCs w:val="22"/>
                <w:lang w:bidi="ne-NP"/>
              </w:rPr>
            </w:pPr>
            <w:r w:rsidRPr="003E0D31">
              <w:rPr>
                <w:color w:val="000000"/>
                <w:sz w:val="22"/>
                <w:szCs w:val="22"/>
                <w:lang w:bidi="ne-NP"/>
              </w:rPr>
              <w:t>331</w:t>
            </w:r>
          </w:p>
        </w:tc>
        <w:tc>
          <w:tcPr>
            <w:tcW w:w="0" w:type="auto"/>
            <w:tcBorders>
              <w:top w:val="nil"/>
              <w:left w:val="nil"/>
              <w:bottom w:val="nil"/>
              <w:right w:val="nil"/>
            </w:tcBorders>
            <w:shd w:val="clear" w:color="auto" w:fill="auto"/>
            <w:noWrap/>
            <w:vAlign w:val="center"/>
            <w:hideMark/>
          </w:tcPr>
          <w:p w14:paraId="5F21B83E" w14:textId="77777777" w:rsidR="003E0D31" w:rsidRPr="003E0D31" w:rsidRDefault="003E0D31" w:rsidP="006408A7">
            <w:pPr>
              <w:spacing w:line="360" w:lineRule="auto"/>
              <w:jc w:val="center"/>
              <w:rPr>
                <w:color w:val="000000"/>
                <w:sz w:val="22"/>
                <w:szCs w:val="22"/>
                <w:lang w:bidi="ne-NP"/>
              </w:rPr>
            </w:pPr>
            <w:r w:rsidRPr="003E0D31">
              <w:rPr>
                <w:color w:val="000000"/>
                <w:sz w:val="22"/>
                <w:szCs w:val="22"/>
                <w:lang w:bidi="ne-NP"/>
              </w:rPr>
              <w:t>84</w:t>
            </w:r>
          </w:p>
        </w:tc>
        <w:tc>
          <w:tcPr>
            <w:tcW w:w="0" w:type="auto"/>
            <w:tcBorders>
              <w:top w:val="nil"/>
              <w:left w:val="nil"/>
              <w:bottom w:val="nil"/>
              <w:right w:val="nil"/>
            </w:tcBorders>
            <w:shd w:val="clear" w:color="auto" w:fill="auto"/>
            <w:noWrap/>
            <w:vAlign w:val="center"/>
            <w:hideMark/>
          </w:tcPr>
          <w:p w14:paraId="2BA60A9A" w14:textId="77777777" w:rsidR="003E0D31" w:rsidRPr="003E0D31" w:rsidRDefault="003E0D31" w:rsidP="006408A7">
            <w:pPr>
              <w:spacing w:line="360" w:lineRule="auto"/>
              <w:jc w:val="center"/>
              <w:rPr>
                <w:color w:val="000000"/>
                <w:sz w:val="22"/>
                <w:szCs w:val="22"/>
                <w:lang w:bidi="ne-NP"/>
              </w:rPr>
            </w:pPr>
            <w:r w:rsidRPr="003E0D31">
              <w:rPr>
                <w:color w:val="000000"/>
                <w:sz w:val="22"/>
                <w:szCs w:val="22"/>
                <w:lang w:bidi="ne-NP"/>
              </w:rPr>
              <w:t>28</w:t>
            </w:r>
          </w:p>
        </w:tc>
        <w:tc>
          <w:tcPr>
            <w:tcW w:w="0" w:type="auto"/>
            <w:tcBorders>
              <w:top w:val="nil"/>
              <w:left w:val="nil"/>
              <w:bottom w:val="nil"/>
              <w:right w:val="nil"/>
            </w:tcBorders>
          </w:tcPr>
          <w:p w14:paraId="1BF174E3" w14:textId="77777777" w:rsidR="003E0D31" w:rsidRPr="003E0D31" w:rsidRDefault="003E0D31" w:rsidP="006408A7">
            <w:pPr>
              <w:spacing w:line="360" w:lineRule="auto"/>
              <w:jc w:val="center"/>
              <w:rPr>
                <w:color w:val="000000"/>
                <w:sz w:val="22"/>
                <w:szCs w:val="22"/>
                <w:lang w:bidi="ne-NP"/>
              </w:rPr>
            </w:pPr>
            <w:r w:rsidRPr="003E0D31">
              <w:rPr>
                <w:noProof/>
                <w:color w:val="000000"/>
                <w:sz w:val="22"/>
                <w:szCs w:val="22"/>
                <w:lang w:bidi="ne-NP"/>
              </w:rPr>
              <w:drawing>
                <wp:anchor distT="0" distB="0" distL="114300" distR="114300" simplePos="0" relativeHeight="251662336" behindDoc="0" locked="0" layoutInCell="1" allowOverlap="1" wp14:anchorId="480C02BE" wp14:editId="0FD20812">
                  <wp:simplePos x="0" y="0"/>
                  <wp:positionH relativeFrom="column">
                    <wp:posOffset>-3175</wp:posOffset>
                  </wp:positionH>
                  <wp:positionV relativeFrom="paragraph">
                    <wp:posOffset>-63500</wp:posOffset>
                  </wp:positionV>
                  <wp:extent cx="1350222" cy="324201"/>
                  <wp:effectExtent l="0" t="0" r="0" b="6350"/>
                  <wp:wrapNone/>
                  <wp:docPr id="11" name="Picture 11">
                    <a:extLst xmlns:a="http://schemas.openxmlformats.org/drawingml/2006/main">
                      <a:ext uri="{FF2B5EF4-FFF2-40B4-BE49-F238E27FC236}">
                        <a16:creationId xmlns:a16="http://schemas.microsoft.com/office/drawing/2014/main" id="{9000FFC2-EF56-0F47-9E40-23B4D93B730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9000FFC2-EF56-0F47-9E40-23B4D93B7307}"/>
                              </a:ext>
                            </a:extLst>
                          </pic:cNvPr>
                          <pic:cNvPicPr>
                            <a:picLocks noChangeAspect="1"/>
                          </pic:cNvPicPr>
                        </pic:nvPicPr>
                        <pic:blipFill rotWithShape="1">
                          <a:blip r:embed="rId10">
                            <a:extLst>
                              <a:ext uri="{28A0092B-C50C-407E-A947-70E740481C1C}">
                                <a14:useLocalDpi xmlns:a14="http://schemas.microsoft.com/office/drawing/2010/main" val="0"/>
                              </a:ext>
                            </a:extLst>
                          </a:blip>
                          <a:srcRect l="5427" t="27354" r="15514" b="64798"/>
                          <a:stretch/>
                        </pic:blipFill>
                        <pic:spPr bwMode="auto">
                          <a:xfrm>
                            <a:off x="0" y="0"/>
                            <a:ext cx="1364364" cy="32759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3E0D31" w:rsidRPr="003E0D31" w14:paraId="02A48081" w14:textId="77777777" w:rsidTr="006408A7">
        <w:trPr>
          <w:trHeight w:val="335"/>
        </w:trPr>
        <w:tc>
          <w:tcPr>
            <w:tcW w:w="0" w:type="auto"/>
            <w:tcBorders>
              <w:top w:val="nil"/>
              <w:left w:val="nil"/>
              <w:right w:val="nil"/>
            </w:tcBorders>
            <w:shd w:val="clear" w:color="auto" w:fill="auto"/>
            <w:noWrap/>
            <w:vAlign w:val="bottom"/>
            <w:hideMark/>
          </w:tcPr>
          <w:p w14:paraId="2CDE57F2" w14:textId="77777777" w:rsidR="003E0D31" w:rsidRPr="003E0D31" w:rsidRDefault="003E0D31" w:rsidP="006408A7">
            <w:pPr>
              <w:spacing w:line="360" w:lineRule="auto"/>
              <w:rPr>
                <w:color w:val="000000"/>
                <w:sz w:val="22"/>
                <w:szCs w:val="22"/>
                <w:lang w:bidi="ne-NP"/>
              </w:rPr>
            </w:pPr>
            <w:proofErr w:type="spellStart"/>
            <w:r w:rsidRPr="003E0D31">
              <w:rPr>
                <w:color w:val="000000"/>
                <w:sz w:val="22"/>
                <w:szCs w:val="22"/>
                <w:lang w:bidi="ne-NP"/>
              </w:rPr>
              <w:t>ZorO</w:t>
            </w:r>
            <w:proofErr w:type="spellEnd"/>
            <w:r w:rsidRPr="003E0D31">
              <w:rPr>
                <w:color w:val="000000"/>
                <w:sz w:val="22"/>
                <w:szCs w:val="22"/>
                <w:lang w:bidi="ne-NP"/>
              </w:rPr>
              <w:t>/</w:t>
            </w:r>
            <w:proofErr w:type="spellStart"/>
            <w:r w:rsidRPr="003E0D31">
              <w:rPr>
                <w:color w:val="000000"/>
                <w:sz w:val="22"/>
                <w:szCs w:val="22"/>
                <w:lang w:bidi="ne-NP"/>
              </w:rPr>
              <w:t>OrzO</w:t>
            </w:r>
            <w:proofErr w:type="spellEnd"/>
            <w:r w:rsidRPr="003E0D31">
              <w:rPr>
                <w:noProof/>
                <w:color w:val="000000"/>
                <w:sz w:val="22"/>
                <w:szCs w:val="22"/>
                <w:lang w:bidi="ne-NP"/>
              </w:rPr>
              <w:t>(56)</w:t>
            </w:r>
          </w:p>
        </w:tc>
        <w:tc>
          <w:tcPr>
            <w:tcW w:w="0" w:type="auto"/>
            <w:tcBorders>
              <w:top w:val="nil"/>
              <w:left w:val="nil"/>
              <w:right w:val="nil"/>
            </w:tcBorders>
            <w:shd w:val="clear" w:color="auto" w:fill="auto"/>
            <w:noWrap/>
            <w:vAlign w:val="center"/>
            <w:hideMark/>
          </w:tcPr>
          <w:p w14:paraId="68E099BB" w14:textId="77777777" w:rsidR="003E0D31" w:rsidRPr="003E0D31" w:rsidRDefault="003E0D31" w:rsidP="006408A7">
            <w:pPr>
              <w:spacing w:line="360" w:lineRule="auto"/>
              <w:jc w:val="center"/>
              <w:rPr>
                <w:color w:val="000000"/>
                <w:sz w:val="22"/>
                <w:szCs w:val="22"/>
                <w:lang w:bidi="ne-NP"/>
              </w:rPr>
            </w:pPr>
            <w:r w:rsidRPr="003E0D31">
              <w:rPr>
                <w:color w:val="000000"/>
                <w:sz w:val="22"/>
                <w:szCs w:val="22"/>
                <w:lang w:bidi="ne-NP"/>
              </w:rPr>
              <w:t>264</w:t>
            </w:r>
          </w:p>
        </w:tc>
        <w:tc>
          <w:tcPr>
            <w:tcW w:w="0" w:type="auto"/>
            <w:tcBorders>
              <w:top w:val="nil"/>
              <w:left w:val="nil"/>
              <w:right w:val="nil"/>
            </w:tcBorders>
            <w:shd w:val="clear" w:color="auto" w:fill="auto"/>
            <w:noWrap/>
            <w:vAlign w:val="center"/>
            <w:hideMark/>
          </w:tcPr>
          <w:p w14:paraId="0B768B54" w14:textId="77777777" w:rsidR="003E0D31" w:rsidRPr="003E0D31" w:rsidRDefault="003E0D31" w:rsidP="006408A7">
            <w:pPr>
              <w:spacing w:line="360" w:lineRule="auto"/>
              <w:jc w:val="center"/>
              <w:rPr>
                <w:color w:val="000000"/>
                <w:sz w:val="22"/>
                <w:szCs w:val="22"/>
                <w:lang w:bidi="ne-NP"/>
              </w:rPr>
            </w:pPr>
            <w:r w:rsidRPr="003E0D31">
              <w:rPr>
                <w:color w:val="000000"/>
                <w:sz w:val="22"/>
                <w:szCs w:val="22"/>
                <w:lang w:bidi="ne-NP"/>
              </w:rPr>
              <w:t>81</w:t>
            </w:r>
          </w:p>
        </w:tc>
        <w:tc>
          <w:tcPr>
            <w:tcW w:w="0" w:type="auto"/>
            <w:tcBorders>
              <w:top w:val="nil"/>
              <w:left w:val="nil"/>
              <w:right w:val="nil"/>
            </w:tcBorders>
            <w:shd w:val="clear" w:color="auto" w:fill="auto"/>
            <w:noWrap/>
            <w:vAlign w:val="center"/>
            <w:hideMark/>
          </w:tcPr>
          <w:p w14:paraId="5DCBDAAC" w14:textId="77777777" w:rsidR="003E0D31" w:rsidRPr="003E0D31" w:rsidRDefault="003E0D31" w:rsidP="006408A7">
            <w:pPr>
              <w:spacing w:line="360" w:lineRule="auto"/>
              <w:jc w:val="center"/>
              <w:rPr>
                <w:color w:val="000000"/>
                <w:sz w:val="22"/>
                <w:szCs w:val="22"/>
                <w:lang w:bidi="ne-NP"/>
              </w:rPr>
            </w:pPr>
            <w:r w:rsidRPr="003E0D31">
              <w:rPr>
                <w:color w:val="000000"/>
                <w:sz w:val="22"/>
                <w:szCs w:val="22"/>
                <w:lang w:bidi="ne-NP"/>
              </w:rPr>
              <w:t>29</w:t>
            </w:r>
          </w:p>
        </w:tc>
        <w:tc>
          <w:tcPr>
            <w:tcW w:w="0" w:type="auto"/>
            <w:tcBorders>
              <w:top w:val="nil"/>
              <w:left w:val="nil"/>
              <w:right w:val="nil"/>
            </w:tcBorders>
          </w:tcPr>
          <w:p w14:paraId="7090EB6C" w14:textId="77777777" w:rsidR="003E0D31" w:rsidRPr="003E0D31" w:rsidRDefault="003E0D31" w:rsidP="006408A7">
            <w:pPr>
              <w:spacing w:line="360" w:lineRule="auto"/>
              <w:jc w:val="center"/>
              <w:rPr>
                <w:color w:val="000000"/>
                <w:sz w:val="22"/>
                <w:szCs w:val="22"/>
                <w:lang w:bidi="ne-NP"/>
              </w:rPr>
            </w:pPr>
          </w:p>
        </w:tc>
      </w:tr>
      <w:tr w:rsidR="003E0D31" w:rsidRPr="003E0D31" w14:paraId="34F315D0" w14:textId="77777777" w:rsidTr="006408A7">
        <w:trPr>
          <w:trHeight w:val="335"/>
        </w:trPr>
        <w:tc>
          <w:tcPr>
            <w:tcW w:w="0" w:type="auto"/>
            <w:tcBorders>
              <w:top w:val="nil"/>
              <w:left w:val="nil"/>
              <w:bottom w:val="single" w:sz="4" w:space="0" w:color="auto"/>
              <w:right w:val="nil"/>
            </w:tcBorders>
            <w:shd w:val="clear" w:color="auto" w:fill="auto"/>
            <w:noWrap/>
            <w:vAlign w:val="bottom"/>
            <w:hideMark/>
          </w:tcPr>
          <w:p w14:paraId="7BE2887C" w14:textId="77777777" w:rsidR="003E0D31" w:rsidRPr="003E0D31" w:rsidRDefault="003E0D31" w:rsidP="006408A7">
            <w:pPr>
              <w:spacing w:line="360" w:lineRule="auto"/>
              <w:rPr>
                <w:color w:val="000000"/>
                <w:sz w:val="22"/>
                <w:szCs w:val="22"/>
                <w:lang w:bidi="ne-NP"/>
              </w:rPr>
            </w:pPr>
            <w:proofErr w:type="spellStart"/>
            <w:r w:rsidRPr="003E0D31">
              <w:rPr>
                <w:color w:val="000000"/>
                <w:sz w:val="22"/>
                <w:szCs w:val="22"/>
                <w:lang w:bidi="ne-NP"/>
              </w:rPr>
              <w:t>TimP</w:t>
            </w:r>
            <w:proofErr w:type="spellEnd"/>
            <w:r w:rsidRPr="003E0D31">
              <w:rPr>
                <w:color w:val="000000"/>
                <w:sz w:val="22"/>
                <w:szCs w:val="22"/>
                <w:lang w:bidi="ne-NP"/>
              </w:rPr>
              <w:t>/</w:t>
            </w:r>
            <w:proofErr w:type="spellStart"/>
            <w:r w:rsidRPr="003E0D31">
              <w:rPr>
                <w:color w:val="000000"/>
                <w:sz w:val="22"/>
                <w:szCs w:val="22"/>
                <w:lang w:bidi="ne-NP"/>
              </w:rPr>
              <w:t>TimR</w:t>
            </w:r>
            <w:proofErr w:type="spellEnd"/>
            <w:r w:rsidRPr="003E0D31">
              <w:rPr>
                <w:noProof/>
                <w:color w:val="000000"/>
                <w:sz w:val="22"/>
                <w:szCs w:val="22"/>
                <w:lang w:bidi="ne-NP"/>
              </w:rPr>
              <w:t>(49)</w:t>
            </w:r>
          </w:p>
        </w:tc>
        <w:tc>
          <w:tcPr>
            <w:tcW w:w="0" w:type="auto"/>
            <w:tcBorders>
              <w:top w:val="nil"/>
              <w:left w:val="nil"/>
              <w:bottom w:val="single" w:sz="4" w:space="0" w:color="auto"/>
              <w:right w:val="nil"/>
            </w:tcBorders>
            <w:shd w:val="clear" w:color="auto" w:fill="auto"/>
            <w:noWrap/>
            <w:vAlign w:val="center"/>
            <w:hideMark/>
          </w:tcPr>
          <w:p w14:paraId="3C9B0306" w14:textId="77777777" w:rsidR="003E0D31" w:rsidRPr="003E0D31" w:rsidRDefault="003E0D31" w:rsidP="006408A7">
            <w:pPr>
              <w:spacing w:line="360" w:lineRule="auto"/>
              <w:jc w:val="center"/>
              <w:rPr>
                <w:color w:val="000000"/>
                <w:sz w:val="22"/>
                <w:szCs w:val="22"/>
                <w:lang w:bidi="ne-NP"/>
              </w:rPr>
            </w:pPr>
            <w:r w:rsidRPr="003E0D31">
              <w:rPr>
                <w:color w:val="000000"/>
                <w:sz w:val="22"/>
                <w:szCs w:val="22"/>
                <w:lang w:bidi="ne-NP"/>
              </w:rPr>
              <w:t>295</w:t>
            </w:r>
          </w:p>
        </w:tc>
        <w:tc>
          <w:tcPr>
            <w:tcW w:w="0" w:type="auto"/>
            <w:tcBorders>
              <w:top w:val="nil"/>
              <w:left w:val="nil"/>
              <w:bottom w:val="single" w:sz="4" w:space="0" w:color="auto"/>
              <w:right w:val="nil"/>
            </w:tcBorders>
            <w:shd w:val="clear" w:color="auto" w:fill="auto"/>
            <w:noWrap/>
            <w:vAlign w:val="center"/>
            <w:hideMark/>
          </w:tcPr>
          <w:p w14:paraId="21CFBF0B" w14:textId="77777777" w:rsidR="003E0D31" w:rsidRPr="003E0D31" w:rsidRDefault="003E0D31" w:rsidP="006408A7">
            <w:pPr>
              <w:spacing w:line="360" w:lineRule="auto"/>
              <w:jc w:val="center"/>
              <w:rPr>
                <w:color w:val="000000"/>
                <w:sz w:val="22"/>
                <w:szCs w:val="22"/>
                <w:lang w:bidi="ne-NP"/>
              </w:rPr>
            </w:pPr>
            <w:r w:rsidRPr="003E0D31">
              <w:rPr>
                <w:color w:val="000000"/>
                <w:sz w:val="22"/>
                <w:szCs w:val="22"/>
                <w:lang w:bidi="ne-NP"/>
              </w:rPr>
              <w:t>95</w:t>
            </w:r>
          </w:p>
        </w:tc>
        <w:tc>
          <w:tcPr>
            <w:tcW w:w="0" w:type="auto"/>
            <w:tcBorders>
              <w:top w:val="nil"/>
              <w:left w:val="nil"/>
              <w:bottom w:val="single" w:sz="4" w:space="0" w:color="auto"/>
              <w:right w:val="nil"/>
            </w:tcBorders>
            <w:shd w:val="clear" w:color="auto" w:fill="auto"/>
            <w:noWrap/>
            <w:vAlign w:val="center"/>
            <w:hideMark/>
          </w:tcPr>
          <w:p w14:paraId="39E0D5E0" w14:textId="77777777" w:rsidR="003E0D31" w:rsidRPr="003E0D31" w:rsidRDefault="003E0D31" w:rsidP="006408A7">
            <w:pPr>
              <w:spacing w:line="360" w:lineRule="auto"/>
              <w:jc w:val="center"/>
              <w:rPr>
                <w:color w:val="000000"/>
                <w:sz w:val="22"/>
                <w:szCs w:val="22"/>
                <w:lang w:bidi="ne-NP"/>
              </w:rPr>
            </w:pPr>
            <w:r w:rsidRPr="003E0D31">
              <w:rPr>
                <w:color w:val="000000"/>
                <w:sz w:val="22"/>
                <w:szCs w:val="22"/>
                <w:lang w:bidi="ne-NP"/>
              </w:rPr>
              <w:t>38</w:t>
            </w:r>
          </w:p>
        </w:tc>
        <w:tc>
          <w:tcPr>
            <w:tcW w:w="0" w:type="auto"/>
            <w:tcBorders>
              <w:top w:val="nil"/>
              <w:left w:val="nil"/>
              <w:bottom w:val="single" w:sz="4" w:space="0" w:color="auto"/>
              <w:right w:val="nil"/>
            </w:tcBorders>
          </w:tcPr>
          <w:p w14:paraId="0179B3CB" w14:textId="77777777" w:rsidR="003E0D31" w:rsidRPr="003E0D31" w:rsidRDefault="003E0D31" w:rsidP="006408A7">
            <w:pPr>
              <w:spacing w:line="360" w:lineRule="auto"/>
              <w:jc w:val="center"/>
              <w:rPr>
                <w:color w:val="000000"/>
                <w:sz w:val="22"/>
                <w:szCs w:val="22"/>
                <w:lang w:bidi="ne-NP"/>
              </w:rPr>
            </w:pPr>
          </w:p>
        </w:tc>
      </w:tr>
      <w:tr w:rsidR="003E0D31" w:rsidRPr="003E0D31" w14:paraId="1E93FD3B" w14:textId="77777777" w:rsidTr="006408A7">
        <w:trPr>
          <w:trHeight w:val="705"/>
        </w:trPr>
        <w:tc>
          <w:tcPr>
            <w:tcW w:w="0" w:type="auto"/>
            <w:tcBorders>
              <w:top w:val="single" w:sz="4" w:space="0" w:color="auto"/>
              <w:left w:val="nil"/>
              <w:bottom w:val="single" w:sz="4" w:space="0" w:color="auto"/>
              <w:right w:val="nil"/>
            </w:tcBorders>
            <w:shd w:val="clear" w:color="auto" w:fill="auto"/>
            <w:noWrap/>
            <w:vAlign w:val="center"/>
            <w:hideMark/>
          </w:tcPr>
          <w:p w14:paraId="6C98A6B3" w14:textId="77777777" w:rsidR="003E0D31" w:rsidRPr="003E0D31" w:rsidRDefault="003E0D31" w:rsidP="006408A7">
            <w:pPr>
              <w:spacing w:line="360" w:lineRule="auto"/>
              <w:rPr>
                <w:color w:val="000000"/>
                <w:sz w:val="22"/>
                <w:szCs w:val="22"/>
                <w:lang w:bidi="ne-NP"/>
              </w:rPr>
            </w:pPr>
            <w:proofErr w:type="spellStart"/>
            <w:r w:rsidRPr="003E0D31">
              <w:rPr>
                <w:color w:val="000000"/>
                <w:sz w:val="22"/>
                <w:szCs w:val="22"/>
                <w:lang w:bidi="ne-NP"/>
              </w:rPr>
              <w:t>IbsC</w:t>
            </w:r>
            <w:proofErr w:type="spellEnd"/>
            <w:r w:rsidRPr="003E0D31">
              <w:rPr>
                <w:color w:val="000000"/>
                <w:sz w:val="22"/>
                <w:szCs w:val="22"/>
                <w:lang w:bidi="ne-NP"/>
              </w:rPr>
              <w:t>/</w:t>
            </w:r>
            <w:proofErr w:type="spellStart"/>
            <w:r w:rsidRPr="003E0D31">
              <w:rPr>
                <w:color w:val="000000"/>
                <w:sz w:val="22"/>
                <w:szCs w:val="22"/>
                <w:lang w:bidi="ne-NP"/>
              </w:rPr>
              <w:t>SibC</w:t>
            </w:r>
            <w:proofErr w:type="spellEnd"/>
            <w:r w:rsidRPr="003E0D31">
              <w:rPr>
                <w:noProof/>
                <w:color w:val="000000"/>
                <w:sz w:val="22"/>
                <w:szCs w:val="22"/>
                <w:lang w:bidi="ne-NP"/>
              </w:rPr>
              <w:t>(12)</w:t>
            </w:r>
          </w:p>
        </w:tc>
        <w:tc>
          <w:tcPr>
            <w:tcW w:w="0" w:type="auto"/>
            <w:tcBorders>
              <w:top w:val="single" w:sz="4" w:space="0" w:color="auto"/>
              <w:left w:val="nil"/>
              <w:bottom w:val="single" w:sz="4" w:space="0" w:color="auto"/>
              <w:right w:val="nil"/>
            </w:tcBorders>
            <w:shd w:val="clear" w:color="auto" w:fill="auto"/>
            <w:noWrap/>
            <w:vAlign w:val="center"/>
            <w:hideMark/>
          </w:tcPr>
          <w:p w14:paraId="37401A13" w14:textId="77777777" w:rsidR="003E0D31" w:rsidRPr="003E0D31" w:rsidRDefault="003E0D31" w:rsidP="006408A7">
            <w:pPr>
              <w:spacing w:line="360" w:lineRule="auto"/>
              <w:jc w:val="center"/>
              <w:rPr>
                <w:color w:val="000000"/>
                <w:sz w:val="22"/>
                <w:szCs w:val="22"/>
                <w:lang w:bidi="ne-NP"/>
              </w:rPr>
            </w:pPr>
            <w:r w:rsidRPr="003E0D31">
              <w:rPr>
                <w:color w:val="000000"/>
                <w:sz w:val="22"/>
                <w:szCs w:val="22"/>
                <w:lang w:bidi="ne-NP"/>
              </w:rPr>
              <w:t>160</w:t>
            </w:r>
          </w:p>
        </w:tc>
        <w:tc>
          <w:tcPr>
            <w:tcW w:w="0" w:type="auto"/>
            <w:tcBorders>
              <w:top w:val="single" w:sz="4" w:space="0" w:color="auto"/>
              <w:left w:val="nil"/>
              <w:bottom w:val="single" w:sz="4" w:space="0" w:color="auto"/>
              <w:right w:val="nil"/>
            </w:tcBorders>
            <w:shd w:val="clear" w:color="auto" w:fill="auto"/>
            <w:noWrap/>
            <w:vAlign w:val="center"/>
            <w:hideMark/>
          </w:tcPr>
          <w:p w14:paraId="3135227F" w14:textId="77777777" w:rsidR="003E0D31" w:rsidRPr="003E0D31" w:rsidRDefault="003E0D31" w:rsidP="006408A7">
            <w:pPr>
              <w:spacing w:line="360" w:lineRule="auto"/>
              <w:jc w:val="center"/>
              <w:rPr>
                <w:color w:val="000000"/>
                <w:sz w:val="22"/>
                <w:szCs w:val="22"/>
                <w:lang w:bidi="ne-NP"/>
              </w:rPr>
            </w:pPr>
            <w:r w:rsidRPr="003E0D31">
              <w:rPr>
                <w:color w:val="000000"/>
                <w:sz w:val="22"/>
                <w:szCs w:val="22"/>
                <w:lang w:bidi="ne-NP"/>
              </w:rPr>
              <w:t>145</w:t>
            </w:r>
          </w:p>
        </w:tc>
        <w:tc>
          <w:tcPr>
            <w:tcW w:w="0" w:type="auto"/>
            <w:tcBorders>
              <w:top w:val="single" w:sz="4" w:space="0" w:color="auto"/>
              <w:left w:val="nil"/>
              <w:bottom w:val="single" w:sz="4" w:space="0" w:color="auto"/>
              <w:right w:val="nil"/>
            </w:tcBorders>
            <w:shd w:val="clear" w:color="auto" w:fill="auto"/>
            <w:noWrap/>
            <w:vAlign w:val="center"/>
            <w:hideMark/>
          </w:tcPr>
          <w:p w14:paraId="5E792293" w14:textId="77777777" w:rsidR="003E0D31" w:rsidRPr="003E0D31" w:rsidRDefault="003E0D31" w:rsidP="006408A7">
            <w:pPr>
              <w:spacing w:line="360" w:lineRule="auto"/>
              <w:jc w:val="center"/>
              <w:rPr>
                <w:color w:val="000000"/>
                <w:sz w:val="22"/>
                <w:szCs w:val="22"/>
                <w:lang w:bidi="ne-NP"/>
              </w:rPr>
            </w:pPr>
            <w:r w:rsidRPr="003E0D31">
              <w:rPr>
                <w:color w:val="000000"/>
                <w:sz w:val="22"/>
                <w:szCs w:val="22"/>
                <w:lang w:bidi="ne-NP"/>
              </w:rPr>
              <w:t>18</w:t>
            </w:r>
          </w:p>
        </w:tc>
        <w:tc>
          <w:tcPr>
            <w:tcW w:w="0" w:type="auto"/>
            <w:tcBorders>
              <w:top w:val="single" w:sz="4" w:space="0" w:color="auto"/>
              <w:left w:val="nil"/>
              <w:bottom w:val="single" w:sz="4" w:space="0" w:color="auto"/>
              <w:right w:val="nil"/>
            </w:tcBorders>
            <w:vAlign w:val="center"/>
          </w:tcPr>
          <w:p w14:paraId="68304355" w14:textId="77777777" w:rsidR="003E0D31" w:rsidRPr="003E0D31" w:rsidRDefault="003E0D31" w:rsidP="006408A7">
            <w:pPr>
              <w:spacing w:line="360" w:lineRule="auto"/>
              <w:rPr>
                <w:color w:val="000000"/>
                <w:sz w:val="22"/>
                <w:szCs w:val="22"/>
                <w:lang w:bidi="ne-NP"/>
              </w:rPr>
            </w:pPr>
            <w:r w:rsidRPr="003E0D31">
              <w:rPr>
                <w:noProof/>
                <w:color w:val="000000"/>
                <w:sz w:val="22"/>
                <w:szCs w:val="22"/>
                <w:lang w:bidi="ne-NP"/>
              </w:rPr>
              <w:drawing>
                <wp:anchor distT="0" distB="0" distL="114300" distR="114300" simplePos="0" relativeHeight="251667456" behindDoc="0" locked="0" layoutInCell="1" allowOverlap="1" wp14:anchorId="078C543D" wp14:editId="2D885664">
                  <wp:simplePos x="0" y="0"/>
                  <wp:positionH relativeFrom="column">
                    <wp:posOffset>85725</wp:posOffset>
                  </wp:positionH>
                  <wp:positionV relativeFrom="page">
                    <wp:posOffset>76200</wp:posOffset>
                  </wp:positionV>
                  <wp:extent cx="1160145" cy="349250"/>
                  <wp:effectExtent l="0" t="0" r="0" b="6350"/>
                  <wp:wrapNone/>
                  <wp:docPr id="8" name="Picture 1">
                    <a:extLst xmlns:a="http://schemas.openxmlformats.org/drawingml/2006/main">
                      <a:ext uri="{FF2B5EF4-FFF2-40B4-BE49-F238E27FC236}">
                        <a16:creationId xmlns:a16="http://schemas.microsoft.com/office/drawing/2014/main" id="{9000FFC2-EF56-0F47-9E40-23B4D93B730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9000FFC2-EF56-0F47-9E40-23B4D93B7307}"/>
                              </a:ext>
                            </a:extLst>
                          </pic:cNvPr>
                          <pic:cNvPicPr>
                            <a:picLocks noChangeAspect="1"/>
                          </pic:cNvPicPr>
                        </pic:nvPicPr>
                        <pic:blipFill rotWithShape="1">
                          <a:blip r:embed="rId10">
                            <a:extLst>
                              <a:ext uri="{28A0092B-C50C-407E-A947-70E740481C1C}">
                                <a14:useLocalDpi xmlns:a14="http://schemas.microsoft.com/office/drawing/2010/main" val="0"/>
                              </a:ext>
                            </a:extLst>
                          </a:blip>
                          <a:srcRect l="22406" t="44456" r="21208" b="48506"/>
                          <a:stretch/>
                        </pic:blipFill>
                        <pic:spPr bwMode="auto">
                          <a:xfrm>
                            <a:off x="0" y="0"/>
                            <a:ext cx="1160145" cy="3492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3E0D31" w:rsidRPr="003E0D31" w14:paraId="7FCA1F2F" w14:textId="77777777" w:rsidTr="006408A7">
        <w:trPr>
          <w:trHeight w:val="425"/>
        </w:trPr>
        <w:tc>
          <w:tcPr>
            <w:tcW w:w="0" w:type="auto"/>
            <w:tcBorders>
              <w:top w:val="single" w:sz="4" w:space="0" w:color="auto"/>
              <w:left w:val="nil"/>
              <w:bottom w:val="nil"/>
              <w:right w:val="nil"/>
            </w:tcBorders>
            <w:shd w:val="clear" w:color="auto" w:fill="auto"/>
            <w:noWrap/>
            <w:vAlign w:val="bottom"/>
            <w:hideMark/>
          </w:tcPr>
          <w:p w14:paraId="2E6682BF" w14:textId="77777777" w:rsidR="003E0D31" w:rsidRPr="003E0D31" w:rsidRDefault="003E0D31" w:rsidP="006408A7">
            <w:pPr>
              <w:spacing w:line="360" w:lineRule="auto"/>
              <w:rPr>
                <w:color w:val="000000"/>
                <w:sz w:val="22"/>
                <w:szCs w:val="22"/>
                <w:lang w:bidi="ne-NP"/>
              </w:rPr>
            </w:pPr>
            <w:proofErr w:type="spellStart"/>
            <w:r w:rsidRPr="003E0D31">
              <w:rPr>
                <w:color w:val="000000"/>
                <w:sz w:val="22"/>
                <w:szCs w:val="22"/>
                <w:lang w:bidi="ne-NP"/>
              </w:rPr>
              <w:t>SymE</w:t>
            </w:r>
            <w:proofErr w:type="spellEnd"/>
            <w:r w:rsidRPr="003E0D31">
              <w:rPr>
                <w:color w:val="000000"/>
                <w:sz w:val="22"/>
                <w:szCs w:val="22"/>
                <w:lang w:bidi="ne-NP"/>
              </w:rPr>
              <w:t>/</w:t>
            </w:r>
            <w:proofErr w:type="spellStart"/>
            <w:r w:rsidRPr="003E0D31">
              <w:rPr>
                <w:color w:val="000000"/>
                <w:sz w:val="22"/>
                <w:szCs w:val="22"/>
                <w:lang w:bidi="ne-NP"/>
              </w:rPr>
              <w:t>SymR</w:t>
            </w:r>
            <w:proofErr w:type="spellEnd"/>
            <w:r w:rsidRPr="003E0D31">
              <w:rPr>
                <w:noProof/>
                <w:color w:val="000000"/>
                <w:sz w:val="22"/>
                <w:szCs w:val="22"/>
                <w:lang w:bidi="ne-NP"/>
              </w:rPr>
              <w:t>(45)</w:t>
            </w:r>
          </w:p>
        </w:tc>
        <w:tc>
          <w:tcPr>
            <w:tcW w:w="0" w:type="auto"/>
            <w:tcBorders>
              <w:top w:val="single" w:sz="4" w:space="0" w:color="auto"/>
              <w:left w:val="nil"/>
              <w:bottom w:val="nil"/>
              <w:right w:val="nil"/>
            </w:tcBorders>
            <w:shd w:val="clear" w:color="auto" w:fill="auto"/>
            <w:noWrap/>
            <w:vAlign w:val="center"/>
            <w:hideMark/>
          </w:tcPr>
          <w:p w14:paraId="2DB2A9B6" w14:textId="77777777" w:rsidR="003E0D31" w:rsidRPr="003E0D31" w:rsidRDefault="003E0D31" w:rsidP="006408A7">
            <w:pPr>
              <w:spacing w:line="360" w:lineRule="auto"/>
              <w:jc w:val="center"/>
              <w:rPr>
                <w:color w:val="000000"/>
                <w:sz w:val="22"/>
                <w:szCs w:val="22"/>
                <w:lang w:bidi="ne-NP"/>
              </w:rPr>
            </w:pPr>
            <w:r w:rsidRPr="003E0D31">
              <w:rPr>
                <w:color w:val="000000"/>
                <w:sz w:val="22"/>
                <w:szCs w:val="22"/>
                <w:lang w:bidi="ne-NP"/>
              </w:rPr>
              <w:t>454</w:t>
            </w:r>
          </w:p>
        </w:tc>
        <w:tc>
          <w:tcPr>
            <w:tcW w:w="0" w:type="auto"/>
            <w:tcBorders>
              <w:top w:val="single" w:sz="4" w:space="0" w:color="auto"/>
              <w:left w:val="nil"/>
              <w:bottom w:val="nil"/>
              <w:right w:val="nil"/>
            </w:tcBorders>
            <w:shd w:val="clear" w:color="auto" w:fill="auto"/>
            <w:noWrap/>
            <w:vAlign w:val="center"/>
            <w:hideMark/>
          </w:tcPr>
          <w:p w14:paraId="3A257A2B" w14:textId="77777777" w:rsidR="003E0D31" w:rsidRPr="003E0D31" w:rsidRDefault="003E0D31" w:rsidP="006408A7">
            <w:pPr>
              <w:spacing w:line="360" w:lineRule="auto"/>
              <w:jc w:val="center"/>
              <w:rPr>
                <w:color w:val="000000"/>
                <w:sz w:val="22"/>
                <w:szCs w:val="22"/>
                <w:lang w:bidi="ne-NP"/>
              </w:rPr>
            </w:pPr>
            <w:r w:rsidRPr="003E0D31">
              <w:rPr>
                <w:color w:val="000000"/>
                <w:sz w:val="22"/>
                <w:szCs w:val="22"/>
                <w:lang w:bidi="ne-NP"/>
              </w:rPr>
              <w:t>77</w:t>
            </w:r>
          </w:p>
        </w:tc>
        <w:tc>
          <w:tcPr>
            <w:tcW w:w="0" w:type="auto"/>
            <w:tcBorders>
              <w:top w:val="single" w:sz="4" w:space="0" w:color="auto"/>
              <w:left w:val="nil"/>
              <w:bottom w:val="nil"/>
              <w:right w:val="nil"/>
            </w:tcBorders>
            <w:shd w:val="clear" w:color="auto" w:fill="auto"/>
            <w:noWrap/>
            <w:vAlign w:val="center"/>
            <w:hideMark/>
          </w:tcPr>
          <w:p w14:paraId="4ACC8F4C" w14:textId="77777777" w:rsidR="003E0D31" w:rsidRPr="003E0D31" w:rsidRDefault="003E0D31" w:rsidP="006408A7">
            <w:pPr>
              <w:spacing w:line="360" w:lineRule="auto"/>
              <w:jc w:val="center"/>
              <w:rPr>
                <w:color w:val="000000"/>
                <w:sz w:val="22"/>
                <w:szCs w:val="22"/>
                <w:lang w:bidi="ne-NP"/>
              </w:rPr>
            </w:pPr>
            <w:r w:rsidRPr="003E0D31">
              <w:rPr>
                <w:color w:val="000000"/>
                <w:sz w:val="22"/>
                <w:szCs w:val="22"/>
                <w:lang w:bidi="ne-NP"/>
              </w:rPr>
              <w:t>113</w:t>
            </w:r>
          </w:p>
        </w:tc>
        <w:tc>
          <w:tcPr>
            <w:tcW w:w="0" w:type="auto"/>
            <w:tcBorders>
              <w:top w:val="single" w:sz="4" w:space="0" w:color="auto"/>
              <w:left w:val="nil"/>
              <w:bottom w:val="nil"/>
              <w:right w:val="nil"/>
            </w:tcBorders>
          </w:tcPr>
          <w:p w14:paraId="24A241FC" w14:textId="77777777" w:rsidR="003E0D31" w:rsidRPr="003E0D31" w:rsidRDefault="003E0D31" w:rsidP="006408A7">
            <w:pPr>
              <w:spacing w:line="360" w:lineRule="auto"/>
              <w:jc w:val="center"/>
              <w:rPr>
                <w:color w:val="000000"/>
                <w:sz w:val="22"/>
                <w:szCs w:val="22"/>
                <w:lang w:bidi="ne-NP"/>
              </w:rPr>
            </w:pPr>
          </w:p>
        </w:tc>
      </w:tr>
      <w:tr w:rsidR="003E0D31" w:rsidRPr="003E0D31" w14:paraId="2FA68B37" w14:textId="77777777" w:rsidTr="006408A7">
        <w:trPr>
          <w:trHeight w:val="335"/>
        </w:trPr>
        <w:tc>
          <w:tcPr>
            <w:tcW w:w="0" w:type="auto"/>
            <w:tcBorders>
              <w:top w:val="nil"/>
              <w:left w:val="nil"/>
              <w:bottom w:val="single" w:sz="4" w:space="0" w:color="auto"/>
              <w:right w:val="nil"/>
            </w:tcBorders>
            <w:shd w:val="clear" w:color="auto" w:fill="auto"/>
            <w:noWrap/>
            <w:vAlign w:val="bottom"/>
            <w:hideMark/>
          </w:tcPr>
          <w:p w14:paraId="081B4896" w14:textId="77777777" w:rsidR="003E0D31" w:rsidRPr="003E0D31" w:rsidRDefault="003E0D31" w:rsidP="006408A7">
            <w:pPr>
              <w:spacing w:line="360" w:lineRule="auto"/>
              <w:rPr>
                <w:color w:val="000000"/>
                <w:sz w:val="22"/>
                <w:szCs w:val="22"/>
                <w:lang w:bidi="ne-NP"/>
              </w:rPr>
            </w:pPr>
            <w:r w:rsidRPr="003E0D31">
              <w:rPr>
                <w:color w:val="000000"/>
                <w:sz w:val="22"/>
                <w:szCs w:val="22"/>
                <w:lang w:bidi="ne-NP"/>
              </w:rPr>
              <w:t>AapA1/IsoA1</w:t>
            </w:r>
            <w:r w:rsidRPr="003E0D31">
              <w:rPr>
                <w:noProof/>
                <w:color w:val="000000"/>
                <w:sz w:val="22"/>
                <w:szCs w:val="22"/>
                <w:lang w:bidi="ne-NP"/>
              </w:rPr>
              <w:t>(57)</w:t>
            </w:r>
          </w:p>
        </w:tc>
        <w:tc>
          <w:tcPr>
            <w:tcW w:w="0" w:type="auto"/>
            <w:tcBorders>
              <w:top w:val="nil"/>
              <w:left w:val="nil"/>
              <w:bottom w:val="single" w:sz="4" w:space="0" w:color="auto"/>
              <w:right w:val="nil"/>
            </w:tcBorders>
            <w:shd w:val="clear" w:color="auto" w:fill="auto"/>
            <w:noWrap/>
            <w:vAlign w:val="center"/>
            <w:hideMark/>
          </w:tcPr>
          <w:p w14:paraId="19BC555F" w14:textId="77777777" w:rsidR="003E0D31" w:rsidRPr="003E0D31" w:rsidRDefault="003E0D31" w:rsidP="006408A7">
            <w:pPr>
              <w:spacing w:line="360" w:lineRule="auto"/>
              <w:jc w:val="center"/>
              <w:rPr>
                <w:color w:val="000000"/>
                <w:sz w:val="22"/>
                <w:szCs w:val="22"/>
                <w:lang w:bidi="ne-NP"/>
              </w:rPr>
            </w:pPr>
            <w:r w:rsidRPr="003E0D31">
              <w:rPr>
                <w:color w:val="000000"/>
                <w:sz w:val="22"/>
                <w:szCs w:val="22"/>
                <w:lang w:bidi="ne-NP"/>
              </w:rPr>
              <w:t>250</w:t>
            </w:r>
          </w:p>
        </w:tc>
        <w:tc>
          <w:tcPr>
            <w:tcW w:w="0" w:type="auto"/>
            <w:tcBorders>
              <w:top w:val="nil"/>
              <w:left w:val="nil"/>
              <w:bottom w:val="single" w:sz="4" w:space="0" w:color="auto"/>
              <w:right w:val="nil"/>
            </w:tcBorders>
            <w:shd w:val="clear" w:color="auto" w:fill="auto"/>
            <w:noWrap/>
            <w:vAlign w:val="center"/>
            <w:hideMark/>
          </w:tcPr>
          <w:p w14:paraId="6923DDCC" w14:textId="77777777" w:rsidR="003E0D31" w:rsidRPr="003E0D31" w:rsidRDefault="003E0D31" w:rsidP="006408A7">
            <w:pPr>
              <w:spacing w:line="360" w:lineRule="auto"/>
              <w:jc w:val="center"/>
              <w:rPr>
                <w:color w:val="000000"/>
                <w:sz w:val="22"/>
                <w:szCs w:val="22"/>
                <w:lang w:bidi="ne-NP"/>
              </w:rPr>
            </w:pPr>
            <w:r w:rsidRPr="003E0D31">
              <w:rPr>
                <w:color w:val="000000"/>
                <w:sz w:val="22"/>
                <w:szCs w:val="22"/>
                <w:lang w:bidi="ne-NP"/>
              </w:rPr>
              <w:t>80</w:t>
            </w:r>
          </w:p>
        </w:tc>
        <w:tc>
          <w:tcPr>
            <w:tcW w:w="0" w:type="auto"/>
            <w:tcBorders>
              <w:top w:val="nil"/>
              <w:left w:val="nil"/>
              <w:bottom w:val="single" w:sz="4" w:space="0" w:color="auto"/>
              <w:right w:val="nil"/>
            </w:tcBorders>
            <w:shd w:val="clear" w:color="auto" w:fill="auto"/>
            <w:noWrap/>
            <w:vAlign w:val="center"/>
            <w:hideMark/>
          </w:tcPr>
          <w:p w14:paraId="2000D578" w14:textId="77777777" w:rsidR="003E0D31" w:rsidRPr="003E0D31" w:rsidRDefault="003E0D31" w:rsidP="006408A7">
            <w:pPr>
              <w:spacing w:line="360" w:lineRule="auto"/>
              <w:jc w:val="center"/>
              <w:rPr>
                <w:color w:val="000000"/>
                <w:sz w:val="22"/>
                <w:szCs w:val="22"/>
                <w:lang w:bidi="ne-NP"/>
              </w:rPr>
            </w:pPr>
            <w:r w:rsidRPr="003E0D31">
              <w:rPr>
                <w:color w:val="000000"/>
                <w:sz w:val="22"/>
                <w:szCs w:val="22"/>
                <w:lang w:bidi="ne-NP"/>
              </w:rPr>
              <w:t>30</w:t>
            </w:r>
          </w:p>
        </w:tc>
        <w:tc>
          <w:tcPr>
            <w:tcW w:w="0" w:type="auto"/>
            <w:tcBorders>
              <w:top w:val="nil"/>
              <w:left w:val="nil"/>
              <w:bottom w:val="single" w:sz="4" w:space="0" w:color="auto"/>
              <w:right w:val="nil"/>
            </w:tcBorders>
          </w:tcPr>
          <w:p w14:paraId="5B0A27D2" w14:textId="77777777" w:rsidR="003E0D31" w:rsidRPr="003E0D31" w:rsidRDefault="003E0D31" w:rsidP="006408A7">
            <w:pPr>
              <w:spacing w:line="360" w:lineRule="auto"/>
              <w:jc w:val="center"/>
              <w:rPr>
                <w:color w:val="000000"/>
                <w:sz w:val="22"/>
                <w:szCs w:val="22"/>
                <w:lang w:bidi="ne-NP"/>
              </w:rPr>
            </w:pPr>
            <w:r w:rsidRPr="003E0D31">
              <w:rPr>
                <w:noProof/>
                <w:color w:val="000000"/>
                <w:sz w:val="22"/>
                <w:szCs w:val="22"/>
                <w:lang w:bidi="ne-NP"/>
              </w:rPr>
              <w:drawing>
                <wp:anchor distT="0" distB="0" distL="114300" distR="114300" simplePos="0" relativeHeight="251663360" behindDoc="0" locked="0" layoutInCell="1" allowOverlap="1" wp14:anchorId="626716F0" wp14:editId="27E7E282">
                  <wp:simplePos x="0" y="0"/>
                  <wp:positionH relativeFrom="column">
                    <wp:posOffset>130188</wp:posOffset>
                  </wp:positionH>
                  <wp:positionV relativeFrom="paragraph">
                    <wp:posOffset>-245354</wp:posOffset>
                  </wp:positionV>
                  <wp:extent cx="1221105" cy="431165"/>
                  <wp:effectExtent l="0" t="0" r="0" b="635"/>
                  <wp:wrapNone/>
                  <wp:docPr id="3" name="Picture 2">
                    <a:extLst xmlns:a="http://schemas.openxmlformats.org/drawingml/2006/main">
                      <a:ext uri="{FF2B5EF4-FFF2-40B4-BE49-F238E27FC236}">
                        <a16:creationId xmlns:a16="http://schemas.microsoft.com/office/drawing/2014/main" id="{8AF04613-A0CE-CF48-9C13-292BA75E8B8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8AF04613-A0CE-CF48-9C13-292BA75E8B88}"/>
                              </a:ext>
                            </a:extLst>
                          </pic:cNvPr>
                          <pic:cNvPicPr>
                            <a:picLocks noChangeAspect="1"/>
                          </pic:cNvPicPr>
                        </pic:nvPicPr>
                        <pic:blipFill rotWithShape="1">
                          <a:blip r:embed="rId10">
                            <a:extLst>
                              <a:ext uri="{28A0092B-C50C-407E-A947-70E740481C1C}">
                                <a14:useLocalDpi xmlns:a14="http://schemas.microsoft.com/office/drawing/2010/main" val="0"/>
                              </a:ext>
                            </a:extLst>
                          </a:blip>
                          <a:srcRect l="21718" t="54031" r="18710" b="37286"/>
                          <a:stretch/>
                        </pic:blipFill>
                        <pic:spPr bwMode="auto">
                          <a:xfrm>
                            <a:off x="0" y="0"/>
                            <a:ext cx="1221105" cy="4311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3E0D31" w:rsidRPr="003E0D31" w14:paraId="3AEB0689" w14:textId="77777777" w:rsidTr="006408A7">
        <w:trPr>
          <w:trHeight w:val="617"/>
        </w:trPr>
        <w:tc>
          <w:tcPr>
            <w:tcW w:w="0" w:type="auto"/>
            <w:tcBorders>
              <w:top w:val="single" w:sz="4" w:space="0" w:color="auto"/>
              <w:left w:val="nil"/>
              <w:right w:val="nil"/>
            </w:tcBorders>
            <w:shd w:val="clear" w:color="auto" w:fill="auto"/>
            <w:noWrap/>
            <w:vAlign w:val="bottom"/>
            <w:hideMark/>
          </w:tcPr>
          <w:p w14:paraId="23379459" w14:textId="77777777" w:rsidR="003E0D31" w:rsidRPr="003E0D31" w:rsidRDefault="003E0D31" w:rsidP="006408A7">
            <w:pPr>
              <w:spacing w:line="360" w:lineRule="auto"/>
              <w:rPr>
                <w:color w:val="000000"/>
                <w:sz w:val="22"/>
                <w:szCs w:val="22"/>
                <w:lang w:bidi="ne-NP"/>
              </w:rPr>
            </w:pPr>
            <w:proofErr w:type="spellStart"/>
            <w:r w:rsidRPr="003E0D31">
              <w:rPr>
                <w:color w:val="000000"/>
                <w:sz w:val="22"/>
                <w:szCs w:val="22"/>
                <w:lang w:bidi="ne-NP"/>
              </w:rPr>
              <w:t>RalR</w:t>
            </w:r>
            <w:proofErr w:type="spellEnd"/>
            <w:r w:rsidRPr="003E0D31">
              <w:rPr>
                <w:color w:val="000000"/>
                <w:sz w:val="22"/>
                <w:szCs w:val="22"/>
                <w:lang w:bidi="ne-NP"/>
              </w:rPr>
              <w:t>/</w:t>
            </w:r>
            <w:proofErr w:type="spellStart"/>
            <w:r w:rsidRPr="003E0D31">
              <w:rPr>
                <w:color w:val="000000"/>
                <w:sz w:val="22"/>
                <w:szCs w:val="22"/>
                <w:lang w:bidi="ne-NP"/>
              </w:rPr>
              <w:t>RalA</w:t>
            </w:r>
            <w:proofErr w:type="spellEnd"/>
            <w:r w:rsidRPr="003E0D31">
              <w:rPr>
                <w:noProof/>
                <w:color w:val="000000"/>
                <w:sz w:val="22"/>
                <w:szCs w:val="22"/>
                <w:lang w:bidi="ne-NP"/>
              </w:rPr>
              <w:t>(58)</w:t>
            </w:r>
          </w:p>
        </w:tc>
        <w:tc>
          <w:tcPr>
            <w:tcW w:w="0" w:type="auto"/>
            <w:tcBorders>
              <w:top w:val="single" w:sz="4" w:space="0" w:color="auto"/>
              <w:left w:val="nil"/>
              <w:right w:val="nil"/>
            </w:tcBorders>
            <w:shd w:val="clear" w:color="auto" w:fill="auto"/>
            <w:noWrap/>
            <w:vAlign w:val="center"/>
            <w:hideMark/>
          </w:tcPr>
          <w:p w14:paraId="2642EC3B" w14:textId="77777777" w:rsidR="003E0D31" w:rsidRPr="003E0D31" w:rsidRDefault="003E0D31" w:rsidP="006408A7">
            <w:pPr>
              <w:spacing w:line="360" w:lineRule="auto"/>
              <w:jc w:val="center"/>
              <w:rPr>
                <w:color w:val="000000"/>
                <w:sz w:val="22"/>
                <w:szCs w:val="22"/>
                <w:lang w:bidi="ne-NP"/>
              </w:rPr>
            </w:pPr>
          </w:p>
          <w:p w14:paraId="706D5B5D" w14:textId="77777777" w:rsidR="003E0D31" w:rsidRPr="003E0D31" w:rsidRDefault="003E0D31" w:rsidP="006408A7">
            <w:pPr>
              <w:spacing w:line="360" w:lineRule="auto"/>
              <w:jc w:val="center"/>
              <w:rPr>
                <w:color w:val="000000"/>
                <w:sz w:val="22"/>
                <w:szCs w:val="22"/>
                <w:lang w:bidi="ne-NP"/>
              </w:rPr>
            </w:pPr>
            <w:r w:rsidRPr="003E0D31">
              <w:rPr>
                <w:color w:val="000000"/>
                <w:sz w:val="22"/>
                <w:szCs w:val="22"/>
                <w:lang w:bidi="ne-NP"/>
              </w:rPr>
              <w:t>195</w:t>
            </w:r>
          </w:p>
        </w:tc>
        <w:tc>
          <w:tcPr>
            <w:tcW w:w="0" w:type="auto"/>
            <w:tcBorders>
              <w:top w:val="single" w:sz="4" w:space="0" w:color="auto"/>
              <w:left w:val="nil"/>
              <w:right w:val="nil"/>
            </w:tcBorders>
            <w:shd w:val="clear" w:color="auto" w:fill="auto"/>
            <w:noWrap/>
            <w:vAlign w:val="center"/>
            <w:hideMark/>
          </w:tcPr>
          <w:p w14:paraId="2E56E703" w14:textId="77777777" w:rsidR="003E0D31" w:rsidRPr="003E0D31" w:rsidRDefault="003E0D31" w:rsidP="006408A7">
            <w:pPr>
              <w:spacing w:line="360" w:lineRule="auto"/>
              <w:jc w:val="center"/>
              <w:rPr>
                <w:color w:val="000000"/>
                <w:sz w:val="22"/>
                <w:szCs w:val="22"/>
                <w:lang w:bidi="ne-NP"/>
              </w:rPr>
            </w:pPr>
          </w:p>
          <w:p w14:paraId="56E92B0A" w14:textId="77777777" w:rsidR="003E0D31" w:rsidRPr="003E0D31" w:rsidRDefault="003E0D31" w:rsidP="006408A7">
            <w:pPr>
              <w:spacing w:line="360" w:lineRule="auto"/>
              <w:jc w:val="center"/>
              <w:rPr>
                <w:color w:val="000000"/>
                <w:sz w:val="22"/>
                <w:szCs w:val="22"/>
                <w:lang w:bidi="ne-NP"/>
              </w:rPr>
            </w:pPr>
            <w:r w:rsidRPr="003E0D31">
              <w:rPr>
                <w:color w:val="000000"/>
                <w:sz w:val="22"/>
                <w:szCs w:val="22"/>
                <w:lang w:bidi="ne-NP"/>
              </w:rPr>
              <w:t>179</w:t>
            </w:r>
          </w:p>
        </w:tc>
        <w:tc>
          <w:tcPr>
            <w:tcW w:w="0" w:type="auto"/>
            <w:tcBorders>
              <w:top w:val="single" w:sz="4" w:space="0" w:color="auto"/>
              <w:left w:val="nil"/>
              <w:right w:val="nil"/>
            </w:tcBorders>
            <w:shd w:val="clear" w:color="auto" w:fill="auto"/>
            <w:noWrap/>
            <w:vAlign w:val="center"/>
            <w:hideMark/>
          </w:tcPr>
          <w:p w14:paraId="4A250D60" w14:textId="77777777" w:rsidR="003E0D31" w:rsidRPr="003E0D31" w:rsidRDefault="003E0D31" w:rsidP="006408A7">
            <w:pPr>
              <w:spacing w:line="360" w:lineRule="auto"/>
              <w:jc w:val="center"/>
              <w:rPr>
                <w:color w:val="000000"/>
                <w:sz w:val="22"/>
                <w:szCs w:val="22"/>
                <w:lang w:bidi="ne-NP"/>
              </w:rPr>
            </w:pPr>
          </w:p>
          <w:p w14:paraId="0A7F078D" w14:textId="77777777" w:rsidR="003E0D31" w:rsidRPr="003E0D31" w:rsidRDefault="003E0D31" w:rsidP="006408A7">
            <w:pPr>
              <w:spacing w:line="360" w:lineRule="auto"/>
              <w:jc w:val="center"/>
              <w:rPr>
                <w:color w:val="000000"/>
                <w:sz w:val="22"/>
                <w:szCs w:val="22"/>
                <w:lang w:bidi="ne-NP"/>
              </w:rPr>
            </w:pPr>
            <w:r w:rsidRPr="003E0D31">
              <w:rPr>
                <w:color w:val="000000"/>
                <w:sz w:val="22"/>
                <w:szCs w:val="22"/>
                <w:lang w:bidi="ne-NP"/>
              </w:rPr>
              <w:t>64</w:t>
            </w:r>
          </w:p>
        </w:tc>
        <w:tc>
          <w:tcPr>
            <w:tcW w:w="0" w:type="auto"/>
            <w:tcBorders>
              <w:top w:val="single" w:sz="4" w:space="0" w:color="auto"/>
              <w:left w:val="nil"/>
              <w:right w:val="nil"/>
            </w:tcBorders>
          </w:tcPr>
          <w:p w14:paraId="4651605F" w14:textId="77777777" w:rsidR="003E0D31" w:rsidRPr="003E0D31" w:rsidRDefault="003E0D31" w:rsidP="006408A7">
            <w:pPr>
              <w:spacing w:line="360" w:lineRule="auto"/>
              <w:jc w:val="center"/>
              <w:rPr>
                <w:color w:val="000000"/>
                <w:sz w:val="22"/>
                <w:szCs w:val="22"/>
                <w:lang w:bidi="ne-NP"/>
              </w:rPr>
            </w:pPr>
            <w:r w:rsidRPr="003E0D31">
              <w:rPr>
                <w:noProof/>
                <w:color w:val="000000"/>
                <w:sz w:val="22"/>
                <w:szCs w:val="22"/>
                <w:lang w:bidi="ne-NP"/>
              </w:rPr>
              <w:drawing>
                <wp:anchor distT="0" distB="0" distL="114300" distR="114300" simplePos="0" relativeHeight="251664384" behindDoc="0" locked="0" layoutInCell="1" allowOverlap="1" wp14:anchorId="05E96F98" wp14:editId="676ACFF1">
                  <wp:simplePos x="0" y="0"/>
                  <wp:positionH relativeFrom="column">
                    <wp:posOffset>-97155</wp:posOffset>
                  </wp:positionH>
                  <wp:positionV relativeFrom="paragraph">
                    <wp:posOffset>126945</wp:posOffset>
                  </wp:positionV>
                  <wp:extent cx="1446530" cy="390525"/>
                  <wp:effectExtent l="0" t="0" r="1270" b="3175"/>
                  <wp:wrapNone/>
                  <wp:docPr id="12" name="Picture 3">
                    <a:extLst xmlns:a="http://schemas.openxmlformats.org/drawingml/2006/main">
                      <a:ext uri="{FF2B5EF4-FFF2-40B4-BE49-F238E27FC236}">
                        <a16:creationId xmlns:a16="http://schemas.microsoft.com/office/drawing/2014/main" id="{B9BE5248-5318-A544-B656-3E21C3E2DC6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B9BE5248-5318-A544-B656-3E21C3E2DC68}"/>
                              </a:ext>
                            </a:extLst>
                          </pic:cNvPr>
                          <pic:cNvPicPr>
                            <a:picLocks noChangeAspect="1"/>
                          </pic:cNvPicPr>
                        </pic:nvPicPr>
                        <pic:blipFill rotWithShape="1">
                          <a:blip r:embed="rId10">
                            <a:extLst>
                              <a:ext uri="{28A0092B-C50C-407E-A947-70E740481C1C}">
                                <a14:useLocalDpi xmlns:a14="http://schemas.microsoft.com/office/drawing/2010/main" val="0"/>
                              </a:ext>
                            </a:extLst>
                          </a:blip>
                          <a:srcRect l="17816" t="67117" r="11678" b="25028"/>
                          <a:stretch/>
                        </pic:blipFill>
                        <pic:spPr bwMode="auto">
                          <a:xfrm>
                            <a:off x="0" y="0"/>
                            <a:ext cx="1446530" cy="3905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3E0D31" w:rsidRPr="003E0D31" w14:paraId="63325865" w14:textId="77777777" w:rsidTr="006408A7">
        <w:trPr>
          <w:trHeight w:val="335"/>
        </w:trPr>
        <w:tc>
          <w:tcPr>
            <w:tcW w:w="0" w:type="auto"/>
            <w:tcBorders>
              <w:top w:val="nil"/>
              <w:left w:val="nil"/>
              <w:bottom w:val="single" w:sz="4" w:space="0" w:color="auto"/>
              <w:right w:val="nil"/>
            </w:tcBorders>
            <w:shd w:val="clear" w:color="auto" w:fill="auto"/>
            <w:noWrap/>
            <w:vAlign w:val="bottom"/>
            <w:hideMark/>
          </w:tcPr>
          <w:p w14:paraId="6566906E" w14:textId="77777777" w:rsidR="003E0D31" w:rsidRPr="003E0D31" w:rsidRDefault="003E0D31" w:rsidP="006408A7">
            <w:pPr>
              <w:spacing w:line="360" w:lineRule="auto"/>
              <w:rPr>
                <w:color w:val="000000"/>
                <w:sz w:val="22"/>
                <w:szCs w:val="22"/>
                <w:lang w:bidi="ne-NP"/>
              </w:rPr>
            </w:pPr>
            <w:proofErr w:type="spellStart"/>
            <w:r w:rsidRPr="003E0D31">
              <w:rPr>
                <w:color w:val="000000"/>
                <w:sz w:val="22"/>
                <w:szCs w:val="22"/>
                <w:lang w:bidi="ne-NP"/>
              </w:rPr>
              <w:t>BsrG</w:t>
            </w:r>
            <w:proofErr w:type="spellEnd"/>
            <w:r w:rsidRPr="003E0D31">
              <w:rPr>
                <w:color w:val="000000"/>
                <w:sz w:val="22"/>
                <w:szCs w:val="22"/>
                <w:lang w:bidi="ne-NP"/>
              </w:rPr>
              <w:t>/SR4</w:t>
            </w:r>
            <w:r w:rsidRPr="003E0D31">
              <w:rPr>
                <w:noProof/>
                <w:color w:val="000000"/>
                <w:sz w:val="22"/>
                <w:szCs w:val="22"/>
                <w:lang w:bidi="ne-NP"/>
              </w:rPr>
              <w:t>(59)</w:t>
            </w:r>
          </w:p>
        </w:tc>
        <w:tc>
          <w:tcPr>
            <w:tcW w:w="0" w:type="auto"/>
            <w:tcBorders>
              <w:top w:val="nil"/>
              <w:left w:val="nil"/>
              <w:bottom w:val="single" w:sz="4" w:space="0" w:color="auto"/>
              <w:right w:val="nil"/>
            </w:tcBorders>
            <w:shd w:val="clear" w:color="auto" w:fill="auto"/>
            <w:noWrap/>
            <w:vAlign w:val="center"/>
            <w:hideMark/>
          </w:tcPr>
          <w:p w14:paraId="2ABFC3EC" w14:textId="77777777" w:rsidR="003E0D31" w:rsidRPr="003E0D31" w:rsidRDefault="003E0D31" w:rsidP="006408A7">
            <w:pPr>
              <w:spacing w:line="360" w:lineRule="auto"/>
              <w:jc w:val="center"/>
              <w:rPr>
                <w:color w:val="000000"/>
                <w:sz w:val="22"/>
                <w:szCs w:val="22"/>
                <w:lang w:bidi="ne-NP"/>
              </w:rPr>
            </w:pPr>
            <w:r w:rsidRPr="003E0D31">
              <w:rPr>
                <w:color w:val="000000"/>
                <w:sz w:val="22"/>
                <w:szCs w:val="22"/>
                <w:lang w:bidi="ne-NP"/>
              </w:rPr>
              <w:t>294</w:t>
            </w:r>
          </w:p>
        </w:tc>
        <w:tc>
          <w:tcPr>
            <w:tcW w:w="0" w:type="auto"/>
            <w:tcBorders>
              <w:top w:val="nil"/>
              <w:left w:val="nil"/>
              <w:bottom w:val="single" w:sz="4" w:space="0" w:color="auto"/>
              <w:right w:val="nil"/>
            </w:tcBorders>
            <w:shd w:val="clear" w:color="auto" w:fill="auto"/>
            <w:noWrap/>
            <w:vAlign w:val="center"/>
            <w:hideMark/>
          </w:tcPr>
          <w:p w14:paraId="19CC0728" w14:textId="77777777" w:rsidR="003E0D31" w:rsidRPr="003E0D31" w:rsidRDefault="003E0D31" w:rsidP="006408A7">
            <w:pPr>
              <w:spacing w:line="360" w:lineRule="auto"/>
              <w:jc w:val="center"/>
              <w:rPr>
                <w:color w:val="000000"/>
                <w:sz w:val="22"/>
                <w:szCs w:val="22"/>
                <w:lang w:bidi="ne-NP"/>
              </w:rPr>
            </w:pPr>
            <w:r w:rsidRPr="003E0D31">
              <w:rPr>
                <w:color w:val="000000"/>
                <w:sz w:val="22"/>
                <w:szCs w:val="22"/>
                <w:lang w:bidi="ne-NP"/>
              </w:rPr>
              <w:t>180</w:t>
            </w:r>
          </w:p>
        </w:tc>
        <w:tc>
          <w:tcPr>
            <w:tcW w:w="0" w:type="auto"/>
            <w:tcBorders>
              <w:top w:val="nil"/>
              <w:left w:val="nil"/>
              <w:bottom w:val="single" w:sz="4" w:space="0" w:color="auto"/>
              <w:right w:val="nil"/>
            </w:tcBorders>
            <w:shd w:val="clear" w:color="auto" w:fill="auto"/>
            <w:noWrap/>
            <w:vAlign w:val="center"/>
            <w:hideMark/>
          </w:tcPr>
          <w:p w14:paraId="433B5BE1" w14:textId="77777777" w:rsidR="003E0D31" w:rsidRPr="003E0D31" w:rsidRDefault="003E0D31" w:rsidP="006408A7">
            <w:pPr>
              <w:spacing w:line="360" w:lineRule="auto"/>
              <w:jc w:val="center"/>
              <w:rPr>
                <w:color w:val="000000"/>
                <w:sz w:val="22"/>
                <w:szCs w:val="22"/>
                <w:lang w:bidi="ne-NP"/>
              </w:rPr>
            </w:pPr>
            <w:r w:rsidRPr="003E0D31">
              <w:rPr>
                <w:color w:val="000000"/>
                <w:sz w:val="22"/>
                <w:szCs w:val="22"/>
                <w:lang w:bidi="ne-NP"/>
              </w:rPr>
              <w:t>38</w:t>
            </w:r>
          </w:p>
        </w:tc>
        <w:tc>
          <w:tcPr>
            <w:tcW w:w="0" w:type="auto"/>
            <w:tcBorders>
              <w:top w:val="nil"/>
              <w:left w:val="nil"/>
              <w:bottom w:val="single" w:sz="4" w:space="0" w:color="auto"/>
              <w:right w:val="nil"/>
            </w:tcBorders>
          </w:tcPr>
          <w:p w14:paraId="5740921D" w14:textId="77777777" w:rsidR="003E0D31" w:rsidRPr="003E0D31" w:rsidRDefault="003E0D31" w:rsidP="006408A7">
            <w:pPr>
              <w:spacing w:line="360" w:lineRule="auto"/>
              <w:jc w:val="center"/>
              <w:rPr>
                <w:color w:val="000000"/>
                <w:sz w:val="22"/>
                <w:szCs w:val="22"/>
                <w:lang w:bidi="ne-NP"/>
              </w:rPr>
            </w:pPr>
          </w:p>
        </w:tc>
      </w:tr>
      <w:tr w:rsidR="003E0D31" w:rsidRPr="003E0D31" w14:paraId="5AF9A763" w14:textId="77777777" w:rsidTr="006408A7">
        <w:trPr>
          <w:trHeight w:val="726"/>
        </w:trPr>
        <w:tc>
          <w:tcPr>
            <w:tcW w:w="0" w:type="auto"/>
            <w:tcBorders>
              <w:top w:val="single" w:sz="4" w:space="0" w:color="auto"/>
              <w:left w:val="nil"/>
              <w:right w:val="nil"/>
            </w:tcBorders>
            <w:shd w:val="clear" w:color="auto" w:fill="auto"/>
            <w:noWrap/>
            <w:vAlign w:val="center"/>
            <w:hideMark/>
          </w:tcPr>
          <w:p w14:paraId="1D76102E" w14:textId="77777777" w:rsidR="003E0D31" w:rsidRPr="003E0D31" w:rsidRDefault="003E0D31" w:rsidP="006408A7">
            <w:pPr>
              <w:spacing w:line="360" w:lineRule="auto"/>
              <w:rPr>
                <w:color w:val="000000"/>
                <w:sz w:val="22"/>
                <w:szCs w:val="22"/>
                <w:lang w:bidi="ne-NP"/>
              </w:rPr>
            </w:pPr>
            <w:proofErr w:type="spellStart"/>
            <w:r w:rsidRPr="003E0D31">
              <w:rPr>
                <w:color w:val="000000"/>
                <w:sz w:val="22"/>
                <w:szCs w:val="22"/>
                <w:lang w:bidi="ne-NP"/>
              </w:rPr>
              <w:t>Fst</w:t>
            </w:r>
            <w:proofErr w:type="spellEnd"/>
            <w:r w:rsidRPr="003E0D31">
              <w:rPr>
                <w:color w:val="000000"/>
                <w:sz w:val="22"/>
                <w:szCs w:val="22"/>
                <w:lang w:bidi="ne-NP"/>
              </w:rPr>
              <w:t>/RNAII</w:t>
            </w:r>
            <w:r w:rsidRPr="003E0D31">
              <w:rPr>
                <w:noProof/>
                <w:color w:val="000000"/>
                <w:sz w:val="22"/>
                <w:szCs w:val="22"/>
                <w:lang w:bidi="ne-NP"/>
              </w:rPr>
              <w:t>(42,60)</w:t>
            </w:r>
          </w:p>
        </w:tc>
        <w:tc>
          <w:tcPr>
            <w:tcW w:w="0" w:type="auto"/>
            <w:tcBorders>
              <w:top w:val="single" w:sz="4" w:space="0" w:color="auto"/>
              <w:left w:val="nil"/>
              <w:right w:val="nil"/>
            </w:tcBorders>
            <w:shd w:val="clear" w:color="auto" w:fill="auto"/>
            <w:noWrap/>
            <w:vAlign w:val="center"/>
            <w:hideMark/>
          </w:tcPr>
          <w:p w14:paraId="5557875B" w14:textId="77777777" w:rsidR="003E0D31" w:rsidRPr="003E0D31" w:rsidRDefault="003E0D31" w:rsidP="006408A7">
            <w:pPr>
              <w:spacing w:line="360" w:lineRule="auto"/>
              <w:jc w:val="center"/>
              <w:rPr>
                <w:color w:val="000000"/>
                <w:sz w:val="22"/>
                <w:szCs w:val="22"/>
                <w:lang w:bidi="ne-NP"/>
              </w:rPr>
            </w:pPr>
            <w:r w:rsidRPr="003E0D31">
              <w:rPr>
                <w:color w:val="000000"/>
                <w:sz w:val="22"/>
                <w:szCs w:val="22"/>
                <w:lang w:bidi="ne-NP"/>
              </w:rPr>
              <w:t>~230</w:t>
            </w:r>
          </w:p>
        </w:tc>
        <w:tc>
          <w:tcPr>
            <w:tcW w:w="0" w:type="auto"/>
            <w:tcBorders>
              <w:top w:val="single" w:sz="4" w:space="0" w:color="auto"/>
              <w:left w:val="nil"/>
              <w:right w:val="nil"/>
            </w:tcBorders>
            <w:shd w:val="clear" w:color="auto" w:fill="auto"/>
            <w:noWrap/>
            <w:vAlign w:val="center"/>
            <w:hideMark/>
          </w:tcPr>
          <w:p w14:paraId="19F09550" w14:textId="77777777" w:rsidR="003E0D31" w:rsidRPr="003E0D31" w:rsidRDefault="003E0D31" w:rsidP="006408A7">
            <w:pPr>
              <w:spacing w:line="360" w:lineRule="auto"/>
              <w:jc w:val="center"/>
              <w:rPr>
                <w:color w:val="000000"/>
                <w:sz w:val="22"/>
                <w:szCs w:val="22"/>
                <w:lang w:bidi="ne-NP"/>
              </w:rPr>
            </w:pPr>
            <w:r w:rsidRPr="003E0D31">
              <w:rPr>
                <w:color w:val="000000"/>
                <w:sz w:val="22"/>
                <w:szCs w:val="22"/>
                <w:lang w:bidi="ne-NP"/>
              </w:rPr>
              <w:t>~40</w:t>
            </w:r>
          </w:p>
        </w:tc>
        <w:tc>
          <w:tcPr>
            <w:tcW w:w="0" w:type="auto"/>
            <w:tcBorders>
              <w:top w:val="single" w:sz="4" w:space="0" w:color="auto"/>
              <w:left w:val="nil"/>
              <w:right w:val="nil"/>
            </w:tcBorders>
            <w:shd w:val="clear" w:color="auto" w:fill="auto"/>
            <w:noWrap/>
            <w:vAlign w:val="center"/>
            <w:hideMark/>
          </w:tcPr>
          <w:p w14:paraId="3D9CDD14" w14:textId="77777777" w:rsidR="003E0D31" w:rsidRPr="003E0D31" w:rsidRDefault="003E0D31" w:rsidP="006408A7">
            <w:pPr>
              <w:spacing w:line="360" w:lineRule="auto"/>
              <w:jc w:val="center"/>
              <w:rPr>
                <w:color w:val="000000"/>
                <w:sz w:val="22"/>
                <w:szCs w:val="22"/>
                <w:lang w:bidi="ne-NP"/>
              </w:rPr>
            </w:pPr>
            <w:r w:rsidRPr="003E0D31">
              <w:rPr>
                <w:color w:val="000000"/>
                <w:sz w:val="22"/>
                <w:szCs w:val="22"/>
                <w:lang w:bidi="ne-NP"/>
              </w:rPr>
              <w:t>33</w:t>
            </w:r>
          </w:p>
        </w:tc>
        <w:tc>
          <w:tcPr>
            <w:tcW w:w="0" w:type="auto"/>
            <w:tcBorders>
              <w:top w:val="single" w:sz="4" w:space="0" w:color="auto"/>
              <w:left w:val="nil"/>
              <w:right w:val="nil"/>
            </w:tcBorders>
            <w:vAlign w:val="center"/>
          </w:tcPr>
          <w:p w14:paraId="45DA18E3" w14:textId="77777777" w:rsidR="003E0D31" w:rsidRPr="003E0D31" w:rsidRDefault="003E0D31" w:rsidP="006408A7">
            <w:pPr>
              <w:spacing w:line="360" w:lineRule="auto"/>
              <w:jc w:val="center"/>
              <w:rPr>
                <w:color w:val="000000"/>
                <w:sz w:val="22"/>
                <w:szCs w:val="22"/>
                <w:lang w:bidi="ne-NP"/>
              </w:rPr>
            </w:pPr>
            <w:r w:rsidRPr="003E0D31">
              <w:rPr>
                <w:noProof/>
                <w:color w:val="000000"/>
                <w:sz w:val="22"/>
                <w:szCs w:val="22"/>
                <w:lang w:bidi="ne-NP"/>
              </w:rPr>
              <w:drawing>
                <wp:anchor distT="0" distB="0" distL="114300" distR="114300" simplePos="0" relativeHeight="251665408" behindDoc="0" locked="0" layoutInCell="1" allowOverlap="1" wp14:anchorId="07B83376" wp14:editId="409AE05A">
                  <wp:simplePos x="0" y="0"/>
                  <wp:positionH relativeFrom="column">
                    <wp:posOffset>-6985</wp:posOffset>
                  </wp:positionH>
                  <wp:positionV relativeFrom="page">
                    <wp:posOffset>62865</wp:posOffset>
                  </wp:positionV>
                  <wp:extent cx="1287780" cy="381635"/>
                  <wp:effectExtent l="0" t="0" r="0" b="0"/>
                  <wp:wrapNone/>
                  <wp:docPr id="6" name="Picture 5">
                    <a:extLst xmlns:a="http://schemas.openxmlformats.org/drawingml/2006/main">
                      <a:ext uri="{FF2B5EF4-FFF2-40B4-BE49-F238E27FC236}">
                        <a16:creationId xmlns:a16="http://schemas.microsoft.com/office/drawing/2014/main" id="{B8D33B9E-9D1C-AC4F-BF82-80026D4CE6E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B8D33B9E-9D1C-AC4F-BF82-80026D4CE6E3}"/>
                              </a:ext>
                            </a:extLst>
                          </pic:cNvPr>
                          <pic:cNvPicPr>
                            <a:picLocks noChangeAspect="1"/>
                          </pic:cNvPicPr>
                        </pic:nvPicPr>
                        <pic:blipFill rotWithShape="1">
                          <a:blip r:embed="rId10">
                            <a:extLst>
                              <a:ext uri="{28A0092B-C50C-407E-A947-70E740481C1C}">
                                <a14:useLocalDpi xmlns:a14="http://schemas.microsoft.com/office/drawing/2010/main" val="0"/>
                              </a:ext>
                            </a:extLst>
                          </a:blip>
                          <a:srcRect l="22078" t="78109" r="15179" b="14216"/>
                          <a:stretch/>
                        </pic:blipFill>
                        <pic:spPr bwMode="auto">
                          <a:xfrm>
                            <a:off x="0" y="0"/>
                            <a:ext cx="1287780" cy="3816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3E0D31" w:rsidRPr="003E0D31" w14:paraId="3553393B" w14:textId="77777777" w:rsidTr="006408A7">
        <w:trPr>
          <w:trHeight w:val="335"/>
        </w:trPr>
        <w:tc>
          <w:tcPr>
            <w:tcW w:w="0" w:type="auto"/>
            <w:tcBorders>
              <w:top w:val="single" w:sz="4" w:space="0" w:color="auto"/>
              <w:left w:val="nil"/>
              <w:bottom w:val="nil"/>
              <w:right w:val="nil"/>
            </w:tcBorders>
            <w:shd w:val="clear" w:color="auto" w:fill="auto"/>
            <w:noWrap/>
            <w:vAlign w:val="bottom"/>
            <w:hideMark/>
          </w:tcPr>
          <w:p w14:paraId="36976286" w14:textId="77777777" w:rsidR="003E0D31" w:rsidRPr="003E0D31" w:rsidRDefault="003E0D31" w:rsidP="006408A7">
            <w:pPr>
              <w:spacing w:line="360" w:lineRule="auto"/>
              <w:rPr>
                <w:color w:val="000000"/>
                <w:sz w:val="22"/>
                <w:szCs w:val="22"/>
                <w:lang w:bidi="ne-NP"/>
              </w:rPr>
            </w:pPr>
            <w:proofErr w:type="spellStart"/>
            <w:r w:rsidRPr="003E0D31">
              <w:rPr>
                <w:color w:val="000000"/>
                <w:sz w:val="22"/>
                <w:szCs w:val="22"/>
                <w:lang w:bidi="ne-NP"/>
              </w:rPr>
              <w:t>TxpA</w:t>
            </w:r>
            <w:proofErr w:type="spellEnd"/>
            <w:r w:rsidRPr="003E0D31">
              <w:rPr>
                <w:color w:val="000000"/>
                <w:sz w:val="22"/>
                <w:szCs w:val="22"/>
                <w:lang w:bidi="ne-NP"/>
              </w:rPr>
              <w:t>/</w:t>
            </w:r>
            <w:proofErr w:type="spellStart"/>
            <w:r w:rsidRPr="003E0D31">
              <w:rPr>
                <w:color w:val="000000"/>
                <w:sz w:val="22"/>
                <w:szCs w:val="22"/>
                <w:lang w:bidi="ne-NP"/>
              </w:rPr>
              <w:t>RatA</w:t>
            </w:r>
            <w:proofErr w:type="spellEnd"/>
            <w:r w:rsidRPr="003E0D31">
              <w:rPr>
                <w:color w:val="000000"/>
                <w:sz w:val="22"/>
                <w:szCs w:val="22"/>
                <w:lang w:bidi="ne-NP"/>
              </w:rPr>
              <w:t xml:space="preserve"> </w:t>
            </w:r>
            <w:r w:rsidRPr="003E0D31">
              <w:rPr>
                <w:noProof/>
                <w:color w:val="000000"/>
                <w:sz w:val="22"/>
                <w:szCs w:val="22"/>
                <w:lang w:bidi="ne-NP"/>
              </w:rPr>
              <w:t>(61)</w:t>
            </w:r>
          </w:p>
        </w:tc>
        <w:tc>
          <w:tcPr>
            <w:tcW w:w="0" w:type="auto"/>
            <w:tcBorders>
              <w:top w:val="single" w:sz="4" w:space="0" w:color="auto"/>
              <w:left w:val="nil"/>
              <w:bottom w:val="nil"/>
              <w:right w:val="nil"/>
            </w:tcBorders>
            <w:shd w:val="clear" w:color="auto" w:fill="auto"/>
            <w:noWrap/>
            <w:vAlign w:val="center"/>
            <w:hideMark/>
          </w:tcPr>
          <w:p w14:paraId="68AB752F" w14:textId="77777777" w:rsidR="003E0D31" w:rsidRPr="003E0D31" w:rsidRDefault="003E0D31" w:rsidP="006408A7">
            <w:pPr>
              <w:spacing w:line="360" w:lineRule="auto"/>
              <w:jc w:val="center"/>
              <w:rPr>
                <w:color w:val="000000"/>
                <w:sz w:val="22"/>
                <w:szCs w:val="22"/>
                <w:lang w:bidi="ne-NP"/>
              </w:rPr>
            </w:pPr>
            <w:r w:rsidRPr="003E0D31">
              <w:rPr>
                <w:color w:val="000000"/>
                <w:sz w:val="22"/>
                <w:szCs w:val="22"/>
                <w:lang w:bidi="ne-NP"/>
              </w:rPr>
              <w:t>270</w:t>
            </w:r>
          </w:p>
        </w:tc>
        <w:tc>
          <w:tcPr>
            <w:tcW w:w="0" w:type="auto"/>
            <w:tcBorders>
              <w:top w:val="single" w:sz="4" w:space="0" w:color="auto"/>
              <w:left w:val="nil"/>
              <w:bottom w:val="nil"/>
              <w:right w:val="nil"/>
            </w:tcBorders>
            <w:shd w:val="clear" w:color="auto" w:fill="auto"/>
            <w:noWrap/>
            <w:vAlign w:val="center"/>
            <w:hideMark/>
          </w:tcPr>
          <w:p w14:paraId="14BB895B" w14:textId="77777777" w:rsidR="003E0D31" w:rsidRPr="003E0D31" w:rsidRDefault="003E0D31" w:rsidP="006408A7">
            <w:pPr>
              <w:spacing w:line="360" w:lineRule="auto"/>
              <w:jc w:val="center"/>
              <w:rPr>
                <w:color w:val="000000"/>
                <w:sz w:val="22"/>
                <w:szCs w:val="22"/>
                <w:lang w:bidi="ne-NP"/>
              </w:rPr>
            </w:pPr>
            <w:r w:rsidRPr="003E0D31">
              <w:rPr>
                <w:color w:val="000000"/>
                <w:sz w:val="22"/>
                <w:szCs w:val="22"/>
                <w:lang w:bidi="ne-NP"/>
              </w:rPr>
              <w:t>220</w:t>
            </w:r>
          </w:p>
        </w:tc>
        <w:tc>
          <w:tcPr>
            <w:tcW w:w="0" w:type="auto"/>
            <w:tcBorders>
              <w:top w:val="single" w:sz="4" w:space="0" w:color="auto"/>
              <w:left w:val="nil"/>
              <w:bottom w:val="nil"/>
              <w:right w:val="nil"/>
            </w:tcBorders>
            <w:shd w:val="clear" w:color="auto" w:fill="auto"/>
            <w:noWrap/>
            <w:vAlign w:val="center"/>
            <w:hideMark/>
          </w:tcPr>
          <w:p w14:paraId="79913681" w14:textId="77777777" w:rsidR="003E0D31" w:rsidRPr="003E0D31" w:rsidRDefault="003E0D31" w:rsidP="006408A7">
            <w:pPr>
              <w:spacing w:line="360" w:lineRule="auto"/>
              <w:jc w:val="center"/>
              <w:rPr>
                <w:color w:val="000000"/>
                <w:sz w:val="22"/>
                <w:szCs w:val="22"/>
                <w:lang w:bidi="ne-NP"/>
              </w:rPr>
            </w:pPr>
            <w:r w:rsidRPr="003E0D31">
              <w:rPr>
                <w:color w:val="000000"/>
                <w:sz w:val="22"/>
                <w:szCs w:val="22"/>
                <w:lang w:bidi="ne-NP"/>
              </w:rPr>
              <w:t>59</w:t>
            </w:r>
          </w:p>
        </w:tc>
        <w:tc>
          <w:tcPr>
            <w:tcW w:w="0" w:type="auto"/>
            <w:tcBorders>
              <w:top w:val="single" w:sz="4" w:space="0" w:color="auto"/>
              <w:left w:val="nil"/>
              <w:bottom w:val="nil"/>
              <w:right w:val="nil"/>
            </w:tcBorders>
          </w:tcPr>
          <w:p w14:paraId="52E4F9E2" w14:textId="77777777" w:rsidR="003E0D31" w:rsidRPr="003E0D31" w:rsidRDefault="003E0D31" w:rsidP="006408A7">
            <w:pPr>
              <w:spacing w:line="360" w:lineRule="auto"/>
              <w:jc w:val="center"/>
              <w:rPr>
                <w:color w:val="000000"/>
                <w:sz w:val="22"/>
                <w:szCs w:val="22"/>
                <w:lang w:bidi="ne-NP"/>
              </w:rPr>
            </w:pPr>
          </w:p>
        </w:tc>
      </w:tr>
      <w:tr w:rsidR="003E0D31" w:rsidRPr="003E0D31" w14:paraId="33F6551D" w14:textId="77777777" w:rsidTr="006408A7">
        <w:trPr>
          <w:trHeight w:val="335"/>
        </w:trPr>
        <w:tc>
          <w:tcPr>
            <w:tcW w:w="0" w:type="auto"/>
            <w:tcBorders>
              <w:top w:val="nil"/>
              <w:left w:val="nil"/>
              <w:bottom w:val="nil"/>
              <w:right w:val="nil"/>
            </w:tcBorders>
            <w:shd w:val="clear" w:color="auto" w:fill="auto"/>
            <w:noWrap/>
            <w:vAlign w:val="bottom"/>
            <w:hideMark/>
          </w:tcPr>
          <w:p w14:paraId="54C75603" w14:textId="77777777" w:rsidR="003E0D31" w:rsidRPr="003E0D31" w:rsidRDefault="003E0D31" w:rsidP="006408A7">
            <w:pPr>
              <w:spacing w:line="360" w:lineRule="auto"/>
              <w:rPr>
                <w:color w:val="000000"/>
                <w:sz w:val="22"/>
                <w:szCs w:val="22"/>
                <w:lang w:bidi="ne-NP"/>
              </w:rPr>
            </w:pPr>
            <w:r w:rsidRPr="003E0D31">
              <w:rPr>
                <w:color w:val="000000"/>
                <w:sz w:val="22"/>
                <w:szCs w:val="22"/>
                <w:lang w:bidi="ne-NP"/>
              </w:rPr>
              <w:t>SprA1/SprA1-as</w:t>
            </w:r>
            <w:r w:rsidRPr="003E0D31">
              <w:rPr>
                <w:noProof/>
                <w:color w:val="000000"/>
                <w:sz w:val="22"/>
                <w:szCs w:val="22"/>
                <w:lang w:bidi="ne-NP"/>
              </w:rPr>
              <w:t>(62)</w:t>
            </w:r>
          </w:p>
        </w:tc>
        <w:tc>
          <w:tcPr>
            <w:tcW w:w="0" w:type="auto"/>
            <w:tcBorders>
              <w:top w:val="nil"/>
              <w:left w:val="nil"/>
              <w:bottom w:val="nil"/>
              <w:right w:val="nil"/>
            </w:tcBorders>
            <w:shd w:val="clear" w:color="auto" w:fill="auto"/>
            <w:noWrap/>
            <w:vAlign w:val="center"/>
            <w:hideMark/>
          </w:tcPr>
          <w:p w14:paraId="7E3B9929" w14:textId="77777777" w:rsidR="003E0D31" w:rsidRPr="003E0D31" w:rsidRDefault="003E0D31" w:rsidP="006408A7">
            <w:pPr>
              <w:spacing w:line="360" w:lineRule="auto"/>
              <w:jc w:val="center"/>
              <w:rPr>
                <w:color w:val="000000"/>
                <w:sz w:val="22"/>
                <w:szCs w:val="22"/>
                <w:lang w:bidi="ne-NP"/>
              </w:rPr>
            </w:pPr>
            <w:r w:rsidRPr="003E0D31">
              <w:rPr>
                <w:color w:val="000000"/>
                <w:sz w:val="22"/>
                <w:szCs w:val="22"/>
                <w:lang w:bidi="ne-NP"/>
              </w:rPr>
              <w:t>208</w:t>
            </w:r>
          </w:p>
        </w:tc>
        <w:tc>
          <w:tcPr>
            <w:tcW w:w="0" w:type="auto"/>
            <w:tcBorders>
              <w:top w:val="nil"/>
              <w:left w:val="nil"/>
              <w:bottom w:val="nil"/>
              <w:right w:val="nil"/>
            </w:tcBorders>
            <w:shd w:val="clear" w:color="auto" w:fill="auto"/>
            <w:noWrap/>
            <w:vAlign w:val="center"/>
            <w:hideMark/>
          </w:tcPr>
          <w:p w14:paraId="4F6FC58F" w14:textId="77777777" w:rsidR="003E0D31" w:rsidRPr="003E0D31" w:rsidRDefault="003E0D31" w:rsidP="006408A7">
            <w:pPr>
              <w:spacing w:line="360" w:lineRule="auto"/>
              <w:jc w:val="center"/>
              <w:rPr>
                <w:color w:val="000000"/>
                <w:sz w:val="22"/>
                <w:szCs w:val="22"/>
                <w:lang w:bidi="ne-NP"/>
              </w:rPr>
            </w:pPr>
            <w:r w:rsidRPr="003E0D31">
              <w:rPr>
                <w:color w:val="000000"/>
                <w:sz w:val="22"/>
                <w:szCs w:val="22"/>
                <w:lang w:bidi="ne-NP"/>
              </w:rPr>
              <w:t>60</w:t>
            </w:r>
          </w:p>
        </w:tc>
        <w:tc>
          <w:tcPr>
            <w:tcW w:w="0" w:type="auto"/>
            <w:tcBorders>
              <w:top w:val="nil"/>
              <w:left w:val="nil"/>
              <w:bottom w:val="nil"/>
              <w:right w:val="nil"/>
            </w:tcBorders>
            <w:shd w:val="clear" w:color="auto" w:fill="auto"/>
            <w:noWrap/>
            <w:vAlign w:val="center"/>
            <w:hideMark/>
          </w:tcPr>
          <w:p w14:paraId="0DFAEEF8" w14:textId="77777777" w:rsidR="003E0D31" w:rsidRPr="003E0D31" w:rsidRDefault="003E0D31" w:rsidP="006408A7">
            <w:pPr>
              <w:spacing w:line="360" w:lineRule="auto"/>
              <w:jc w:val="center"/>
              <w:rPr>
                <w:color w:val="000000"/>
                <w:sz w:val="22"/>
                <w:szCs w:val="22"/>
                <w:lang w:bidi="ne-NP"/>
              </w:rPr>
            </w:pPr>
            <w:r w:rsidRPr="003E0D31">
              <w:rPr>
                <w:noProof/>
                <w:color w:val="000000"/>
                <w:sz w:val="22"/>
                <w:szCs w:val="22"/>
                <w:lang w:bidi="ne-NP"/>
              </w:rPr>
              <w:drawing>
                <wp:anchor distT="0" distB="0" distL="114300" distR="114300" simplePos="0" relativeHeight="251666432" behindDoc="0" locked="0" layoutInCell="1" allowOverlap="1" wp14:anchorId="109DB62A" wp14:editId="0D621817">
                  <wp:simplePos x="0" y="0"/>
                  <wp:positionH relativeFrom="column">
                    <wp:posOffset>650875</wp:posOffset>
                  </wp:positionH>
                  <wp:positionV relativeFrom="paragraph">
                    <wp:posOffset>95885</wp:posOffset>
                  </wp:positionV>
                  <wp:extent cx="1589405" cy="440055"/>
                  <wp:effectExtent l="0" t="0" r="0" b="4445"/>
                  <wp:wrapNone/>
                  <wp:docPr id="7" name="Picture 6">
                    <a:extLst xmlns:a="http://schemas.openxmlformats.org/drawingml/2006/main">
                      <a:ext uri="{FF2B5EF4-FFF2-40B4-BE49-F238E27FC236}">
                        <a16:creationId xmlns:a16="http://schemas.microsoft.com/office/drawing/2014/main" id="{66F8EB60-B00D-FA42-8E2C-0E70C5B872B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66F8EB60-B00D-FA42-8E2C-0E70C5B872B8}"/>
                              </a:ext>
                            </a:extLst>
                          </pic:cNvPr>
                          <pic:cNvPicPr>
                            <a:picLocks noChangeAspect="1"/>
                          </pic:cNvPicPr>
                        </pic:nvPicPr>
                        <pic:blipFill rotWithShape="1">
                          <a:blip r:embed="rId10">
                            <a:extLst>
                              <a:ext uri="{28A0092B-C50C-407E-A947-70E740481C1C}">
                                <a14:useLocalDpi xmlns:a14="http://schemas.microsoft.com/office/drawing/2010/main" val="0"/>
                              </a:ext>
                            </a:extLst>
                          </a:blip>
                          <a:srcRect l="19365" t="89330" r="4695" b="1987"/>
                          <a:stretch/>
                        </pic:blipFill>
                        <pic:spPr bwMode="auto">
                          <a:xfrm>
                            <a:off x="0" y="0"/>
                            <a:ext cx="1589405" cy="4400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E0D31">
              <w:rPr>
                <w:color w:val="000000"/>
                <w:sz w:val="22"/>
                <w:szCs w:val="22"/>
                <w:lang w:bidi="ne-NP"/>
              </w:rPr>
              <w:t>30</w:t>
            </w:r>
          </w:p>
        </w:tc>
        <w:tc>
          <w:tcPr>
            <w:tcW w:w="0" w:type="auto"/>
            <w:tcBorders>
              <w:top w:val="nil"/>
              <w:left w:val="nil"/>
              <w:bottom w:val="nil"/>
              <w:right w:val="nil"/>
            </w:tcBorders>
          </w:tcPr>
          <w:p w14:paraId="6EAE68C6" w14:textId="77777777" w:rsidR="003E0D31" w:rsidRPr="003E0D31" w:rsidRDefault="003E0D31" w:rsidP="006408A7">
            <w:pPr>
              <w:spacing w:line="360" w:lineRule="auto"/>
              <w:jc w:val="center"/>
              <w:rPr>
                <w:color w:val="000000"/>
                <w:sz w:val="22"/>
                <w:szCs w:val="22"/>
                <w:lang w:bidi="ne-NP"/>
              </w:rPr>
            </w:pPr>
          </w:p>
        </w:tc>
      </w:tr>
      <w:tr w:rsidR="003E0D31" w:rsidRPr="003E0D31" w14:paraId="27C18287" w14:textId="77777777" w:rsidTr="006408A7">
        <w:trPr>
          <w:trHeight w:val="335"/>
        </w:trPr>
        <w:tc>
          <w:tcPr>
            <w:tcW w:w="0" w:type="auto"/>
            <w:tcBorders>
              <w:top w:val="nil"/>
              <w:left w:val="nil"/>
              <w:right w:val="nil"/>
            </w:tcBorders>
            <w:shd w:val="clear" w:color="auto" w:fill="auto"/>
            <w:noWrap/>
            <w:vAlign w:val="bottom"/>
            <w:hideMark/>
          </w:tcPr>
          <w:p w14:paraId="0C2C03A5" w14:textId="77777777" w:rsidR="003E0D31" w:rsidRPr="003E0D31" w:rsidRDefault="003E0D31" w:rsidP="006408A7">
            <w:pPr>
              <w:spacing w:line="360" w:lineRule="auto"/>
              <w:rPr>
                <w:color w:val="000000"/>
                <w:sz w:val="22"/>
                <w:szCs w:val="22"/>
                <w:lang w:bidi="ne-NP"/>
              </w:rPr>
            </w:pPr>
            <w:r w:rsidRPr="003E0D31">
              <w:rPr>
                <w:color w:val="000000"/>
                <w:sz w:val="22"/>
                <w:szCs w:val="22"/>
                <w:lang w:bidi="ne-NP"/>
              </w:rPr>
              <w:t>SprG1/SprF1</w:t>
            </w:r>
            <w:r w:rsidRPr="003E0D31">
              <w:rPr>
                <w:noProof/>
                <w:color w:val="000000"/>
                <w:sz w:val="22"/>
                <w:szCs w:val="22"/>
                <w:lang w:bidi="ne-NP"/>
              </w:rPr>
              <w:t>(63)</w:t>
            </w:r>
          </w:p>
        </w:tc>
        <w:tc>
          <w:tcPr>
            <w:tcW w:w="0" w:type="auto"/>
            <w:tcBorders>
              <w:top w:val="nil"/>
              <w:left w:val="nil"/>
              <w:right w:val="nil"/>
            </w:tcBorders>
            <w:shd w:val="clear" w:color="auto" w:fill="auto"/>
            <w:noWrap/>
            <w:vAlign w:val="center"/>
            <w:hideMark/>
          </w:tcPr>
          <w:p w14:paraId="0F9476B5" w14:textId="77777777" w:rsidR="003E0D31" w:rsidRPr="003E0D31" w:rsidRDefault="003E0D31" w:rsidP="006408A7">
            <w:pPr>
              <w:spacing w:line="360" w:lineRule="auto"/>
              <w:jc w:val="center"/>
              <w:rPr>
                <w:color w:val="000000"/>
                <w:sz w:val="22"/>
                <w:szCs w:val="22"/>
                <w:lang w:bidi="ne-NP"/>
              </w:rPr>
            </w:pPr>
            <w:r w:rsidRPr="003E0D31">
              <w:rPr>
                <w:color w:val="000000"/>
                <w:sz w:val="22"/>
                <w:szCs w:val="22"/>
                <w:lang w:bidi="ne-NP"/>
              </w:rPr>
              <w:t>439</w:t>
            </w:r>
          </w:p>
        </w:tc>
        <w:tc>
          <w:tcPr>
            <w:tcW w:w="0" w:type="auto"/>
            <w:tcBorders>
              <w:top w:val="nil"/>
              <w:left w:val="nil"/>
              <w:right w:val="nil"/>
            </w:tcBorders>
            <w:shd w:val="clear" w:color="auto" w:fill="auto"/>
            <w:noWrap/>
            <w:vAlign w:val="center"/>
            <w:hideMark/>
          </w:tcPr>
          <w:p w14:paraId="4D9AC636" w14:textId="77777777" w:rsidR="003E0D31" w:rsidRPr="003E0D31" w:rsidRDefault="003E0D31" w:rsidP="006408A7">
            <w:pPr>
              <w:spacing w:line="360" w:lineRule="auto"/>
              <w:jc w:val="center"/>
              <w:rPr>
                <w:color w:val="000000"/>
                <w:sz w:val="22"/>
                <w:szCs w:val="22"/>
                <w:lang w:bidi="ne-NP"/>
              </w:rPr>
            </w:pPr>
            <w:r w:rsidRPr="003E0D31">
              <w:rPr>
                <w:color w:val="000000"/>
                <w:sz w:val="22"/>
                <w:szCs w:val="22"/>
                <w:lang w:bidi="ne-NP"/>
              </w:rPr>
              <w:t>142</w:t>
            </w:r>
          </w:p>
        </w:tc>
        <w:tc>
          <w:tcPr>
            <w:tcW w:w="0" w:type="auto"/>
            <w:tcBorders>
              <w:top w:val="nil"/>
              <w:left w:val="nil"/>
              <w:right w:val="nil"/>
            </w:tcBorders>
            <w:shd w:val="clear" w:color="auto" w:fill="auto"/>
            <w:noWrap/>
            <w:vAlign w:val="center"/>
            <w:hideMark/>
          </w:tcPr>
          <w:p w14:paraId="45B2D1E5" w14:textId="77777777" w:rsidR="003E0D31" w:rsidRPr="003E0D31" w:rsidRDefault="003E0D31" w:rsidP="006408A7">
            <w:pPr>
              <w:spacing w:line="360" w:lineRule="auto"/>
              <w:jc w:val="center"/>
              <w:rPr>
                <w:color w:val="000000"/>
                <w:sz w:val="22"/>
                <w:szCs w:val="22"/>
                <w:lang w:bidi="ne-NP"/>
              </w:rPr>
            </w:pPr>
            <w:r w:rsidRPr="003E0D31">
              <w:rPr>
                <w:color w:val="000000"/>
                <w:sz w:val="22"/>
                <w:szCs w:val="22"/>
                <w:lang w:bidi="ne-NP"/>
              </w:rPr>
              <w:t>44</w:t>
            </w:r>
          </w:p>
        </w:tc>
        <w:tc>
          <w:tcPr>
            <w:tcW w:w="0" w:type="auto"/>
            <w:tcBorders>
              <w:top w:val="nil"/>
              <w:left w:val="nil"/>
              <w:right w:val="nil"/>
            </w:tcBorders>
          </w:tcPr>
          <w:p w14:paraId="782B1495" w14:textId="77777777" w:rsidR="003E0D31" w:rsidRPr="003E0D31" w:rsidRDefault="003E0D31" w:rsidP="006408A7">
            <w:pPr>
              <w:spacing w:line="360" w:lineRule="auto"/>
              <w:jc w:val="center"/>
              <w:rPr>
                <w:color w:val="000000"/>
                <w:sz w:val="22"/>
                <w:szCs w:val="22"/>
                <w:lang w:bidi="ne-NP"/>
              </w:rPr>
            </w:pPr>
          </w:p>
        </w:tc>
      </w:tr>
      <w:tr w:rsidR="003E0D31" w:rsidRPr="003E0D31" w14:paraId="3F58F57E" w14:textId="77777777" w:rsidTr="006408A7">
        <w:trPr>
          <w:trHeight w:val="616"/>
        </w:trPr>
        <w:tc>
          <w:tcPr>
            <w:tcW w:w="0" w:type="auto"/>
            <w:tcBorders>
              <w:top w:val="nil"/>
              <w:left w:val="nil"/>
              <w:bottom w:val="single" w:sz="4" w:space="0" w:color="auto"/>
              <w:right w:val="nil"/>
            </w:tcBorders>
            <w:shd w:val="clear" w:color="auto" w:fill="auto"/>
            <w:noWrap/>
            <w:vAlign w:val="bottom"/>
            <w:hideMark/>
          </w:tcPr>
          <w:p w14:paraId="45B94C2F" w14:textId="77777777" w:rsidR="003E0D31" w:rsidRPr="003E0D31" w:rsidRDefault="003E0D31" w:rsidP="006408A7">
            <w:pPr>
              <w:spacing w:line="360" w:lineRule="auto"/>
              <w:rPr>
                <w:color w:val="000000"/>
                <w:sz w:val="22"/>
                <w:szCs w:val="22"/>
                <w:lang w:bidi="ne-NP"/>
              </w:rPr>
            </w:pPr>
            <w:proofErr w:type="spellStart"/>
            <w:r w:rsidRPr="003E0D31">
              <w:rPr>
                <w:color w:val="000000"/>
                <w:sz w:val="22"/>
                <w:szCs w:val="22"/>
                <w:lang w:bidi="ne-NP"/>
              </w:rPr>
              <w:t>YonT</w:t>
            </w:r>
            <w:proofErr w:type="spellEnd"/>
            <w:r w:rsidRPr="003E0D31">
              <w:rPr>
                <w:color w:val="000000"/>
                <w:sz w:val="22"/>
                <w:szCs w:val="22"/>
                <w:lang w:bidi="ne-NP"/>
              </w:rPr>
              <w:t>/as-</w:t>
            </w:r>
            <w:proofErr w:type="spellStart"/>
            <w:r w:rsidRPr="003E0D31">
              <w:rPr>
                <w:color w:val="000000"/>
                <w:sz w:val="22"/>
                <w:szCs w:val="22"/>
                <w:lang w:bidi="ne-NP"/>
              </w:rPr>
              <w:t>YonT</w:t>
            </w:r>
            <w:proofErr w:type="spellEnd"/>
            <w:r w:rsidRPr="003E0D31">
              <w:rPr>
                <w:color w:val="000000"/>
                <w:sz w:val="22"/>
                <w:szCs w:val="22"/>
                <w:lang w:bidi="ne-NP"/>
              </w:rPr>
              <w:t xml:space="preserve"> </w:t>
            </w:r>
            <w:r w:rsidRPr="003E0D31">
              <w:rPr>
                <w:noProof/>
                <w:color w:val="000000"/>
                <w:sz w:val="22"/>
                <w:szCs w:val="22"/>
                <w:lang w:bidi="ne-NP"/>
              </w:rPr>
              <w:t>(61)</w:t>
            </w:r>
          </w:p>
        </w:tc>
        <w:tc>
          <w:tcPr>
            <w:tcW w:w="0" w:type="auto"/>
            <w:tcBorders>
              <w:top w:val="nil"/>
              <w:left w:val="nil"/>
              <w:bottom w:val="single" w:sz="4" w:space="0" w:color="auto"/>
              <w:right w:val="nil"/>
            </w:tcBorders>
            <w:shd w:val="clear" w:color="auto" w:fill="auto"/>
            <w:noWrap/>
            <w:vAlign w:val="center"/>
            <w:hideMark/>
          </w:tcPr>
          <w:p w14:paraId="70AC8A6D" w14:textId="77777777" w:rsidR="003E0D31" w:rsidRPr="003E0D31" w:rsidRDefault="003E0D31" w:rsidP="006408A7">
            <w:pPr>
              <w:spacing w:line="360" w:lineRule="auto"/>
              <w:jc w:val="center"/>
              <w:rPr>
                <w:color w:val="000000"/>
                <w:sz w:val="22"/>
                <w:szCs w:val="22"/>
                <w:lang w:bidi="ne-NP"/>
              </w:rPr>
            </w:pPr>
            <w:r w:rsidRPr="003E0D31">
              <w:rPr>
                <w:color w:val="000000"/>
                <w:sz w:val="22"/>
                <w:szCs w:val="22"/>
                <w:lang w:bidi="ne-NP"/>
              </w:rPr>
              <w:t>~239</w:t>
            </w:r>
          </w:p>
        </w:tc>
        <w:tc>
          <w:tcPr>
            <w:tcW w:w="0" w:type="auto"/>
            <w:tcBorders>
              <w:top w:val="nil"/>
              <w:left w:val="nil"/>
              <w:bottom w:val="single" w:sz="4" w:space="0" w:color="auto"/>
              <w:right w:val="nil"/>
            </w:tcBorders>
            <w:shd w:val="clear" w:color="auto" w:fill="auto"/>
            <w:noWrap/>
            <w:vAlign w:val="center"/>
            <w:hideMark/>
          </w:tcPr>
          <w:p w14:paraId="26477242" w14:textId="77777777" w:rsidR="003E0D31" w:rsidRPr="003E0D31" w:rsidRDefault="003E0D31" w:rsidP="006408A7">
            <w:pPr>
              <w:spacing w:line="360" w:lineRule="auto"/>
              <w:jc w:val="center"/>
              <w:rPr>
                <w:color w:val="000000"/>
                <w:sz w:val="22"/>
                <w:szCs w:val="22"/>
                <w:lang w:bidi="ne-NP"/>
              </w:rPr>
            </w:pPr>
            <w:r w:rsidRPr="003E0D31">
              <w:rPr>
                <w:color w:val="000000"/>
                <w:sz w:val="22"/>
                <w:szCs w:val="22"/>
                <w:lang w:bidi="ne-NP"/>
              </w:rPr>
              <w:t>101</w:t>
            </w:r>
          </w:p>
        </w:tc>
        <w:tc>
          <w:tcPr>
            <w:tcW w:w="0" w:type="auto"/>
            <w:tcBorders>
              <w:top w:val="nil"/>
              <w:left w:val="nil"/>
              <w:bottom w:val="single" w:sz="4" w:space="0" w:color="auto"/>
              <w:right w:val="nil"/>
            </w:tcBorders>
            <w:shd w:val="clear" w:color="auto" w:fill="auto"/>
            <w:noWrap/>
            <w:vAlign w:val="center"/>
            <w:hideMark/>
          </w:tcPr>
          <w:p w14:paraId="1DF70ECB" w14:textId="77777777" w:rsidR="003E0D31" w:rsidRPr="003E0D31" w:rsidRDefault="003E0D31" w:rsidP="006408A7">
            <w:pPr>
              <w:spacing w:line="360" w:lineRule="auto"/>
              <w:jc w:val="center"/>
              <w:rPr>
                <w:color w:val="000000"/>
                <w:sz w:val="22"/>
                <w:szCs w:val="22"/>
                <w:lang w:bidi="ne-NP"/>
              </w:rPr>
            </w:pPr>
            <w:r w:rsidRPr="003E0D31">
              <w:rPr>
                <w:color w:val="000000"/>
                <w:sz w:val="22"/>
                <w:szCs w:val="22"/>
                <w:lang w:bidi="ne-NP"/>
              </w:rPr>
              <w:t>58</w:t>
            </w:r>
          </w:p>
        </w:tc>
        <w:tc>
          <w:tcPr>
            <w:tcW w:w="0" w:type="auto"/>
            <w:tcBorders>
              <w:top w:val="nil"/>
              <w:left w:val="nil"/>
              <w:bottom w:val="single" w:sz="4" w:space="0" w:color="auto"/>
              <w:right w:val="nil"/>
            </w:tcBorders>
          </w:tcPr>
          <w:p w14:paraId="29FF39CB" w14:textId="77777777" w:rsidR="003E0D31" w:rsidRPr="003E0D31" w:rsidRDefault="003E0D31" w:rsidP="006408A7">
            <w:pPr>
              <w:spacing w:line="360" w:lineRule="auto"/>
              <w:jc w:val="center"/>
              <w:rPr>
                <w:color w:val="000000"/>
                <w:sz w:val="22"/>
                <w:szCs w:val="22"/>
                <w:lang w:bidi="ne-NP"/>
              </w:rPr>
            </w:pPr>
          </w:p>
        </w:tc>
      </w:tr>
    </w:tbl>
    <w:p w14:paraId="72033EB3" w14:textId="56AE0EA8" w:rsidR="003E0D31" w:rsidRPr="003E0D31" w:rsidRDefault="003E0D31" w:rsidP="00701130">
      <w:pPr>
        <w:spacing w:line="360" w:lineRule="auto"/>
        <w:ind w:left="284"/>
        <w:rPr>
          <w:rFonts w:eastAsia="Calibri"/>
          <w:sz w:val="22"/>
          <w:szCs w:val="22"/>
          <w:lang w:bidi="ne-NP"/>
        </w:rPr>
      </w:pPr>
      <w:r>
        <w:rPr>
          <w:rFonts w:eastAsia="Calibri"/>
          <w:szCs w:val="21"/>
          <w:lang w:bidi="ne-NP"/>
        </w:rPr>
        <w:t xml:space="preserve"> </w:t>
      </w:r>
      <w:r w:rsidRPr="003E0D31">
        <w:rPr>
          <w:rFonts w:eastAsia="Calibri"/>
          <w:sz w:val="22"/>
          <w:szCs w:val="22"/>
          <w:lang w:bidi="ne-NP"/>
        </w:rPr>
        <w:t>Table 1.2 Genetic organization of type I toxin-antitoxin systems</w:t>
      </w:r>
    </w:p>
    <w:p w14:paraId="0E5175BA" w14:textId="77777777" w:rsidR="003E0D31" w:rsidRDefault="003E0D31">
      <w:pPr>
        <w:rPr>
          <w:rFonts w:eastAsia="Calibri"/>
          <w:szCs w:val="21"/>
          <w:lang w:bidi="ne-NP"/>
        </w:rPr>
      </w:pPr>
    </w:p>
    <w:p w14:paraId="661E1551" w14:textId="5DE3A294" w:rsidR="003E0D31" w:rsidRPr="003E0D31" w:rsidRDefault="003E0D31" w:rsidP="003E0D31">
      <w:pPr>
        <w:spacing w:line="360" w:lineRule="auto"/>
        <w:rPr>
          <w:rFonts w:eastAsia="Calibri"/>
          <w:sz w:val="20"/>
          <w:szCs w:val="20"/>
          <w:lang w:bidi="ne-NP"/>
        </w:rPr>
      </w:pPr>
      <w:r w:rsidRPr="003E0D31">
        <w:rPr>
          <w:rFonts w:eastAsia="Calibri"/>
          <w:sz w:val="20"/>
          <w:szCs w:val="20"/>
          <w:lang w:bidi="ne-NP"/>
        </w:rPr>
        <w:t xml:space="preserve">*Blue arrows denote toxin mRNAs (with coding region in box). Grey box denote confirmed/predicted leader peptide. Red arrows denote antitoxin RNAs. </w:t>
      </w:r>
    </w:p>
    <w:p w14:paraId="023A797B" w14:textId="77777777" w:rsidR="00705347" w:rsidRDefault="003E0D31" w:rsidP="00705347">
      <w:pPr>
        <w:spacing w:line="360" w:lineRule="auto"/>
        <w:rPr>
          <w:rFonts w:eastAsia="Calibri"/>
          <w:szCs w:val="21"/>
          <w:lang w:bidi="ne-NP"/>
        </w:rPr>
      </w:pPr>
      <w:r>
        <w:rPr>
          <w:rFonts w:eastAsia="Calibri"/>
          <w:szCs w:val="21"/>
          <w:lang w:bidi="ne-NP"/>
        </w:rPr>
        <w:br w:type="page"/>
      </w:r>
      <w:r w:rsidRPr="003E0D31">
        <w:rPr>
          <w:rFonts w:eastAsia="Calibri"/>
          <w:szCs w:val="21"/>
          <w:lang w:bidi="ne-NP"/>
        </w:rPr>
        <w:lastRenderedPageBreak/>
        <w:t xml:space="preserve"> at any given time is highly dependent on its genetic and environmental context to ensure efficient use of energy, survival, and growth (15). Using </w:t>
      </w:r>
      <w:r w:rsidRPr="003E0D31">
        <w:rPr>
          <w:rFonts w:eastAsia="Calibri"/>
          <w:i/>
          <w:szCs w:val="21"/>
          <w:lang w:bidi="ne-NP"/>
        </w:rPr>
        <w:t>E. coli</w:t>
      </w:r>
      <w:r w:rsidRPr="003E0D31">
        <w:rPr>
          <w:rFonts w:eastAsia="Calibri"/>
          <w:szCs w:val="21"/>
          <w:lang w:bidi="ne-NP"/>
        </w:rPr>
        <w:t xml:space="preserve"> as an example, 620 genes were identified as</w:t>
      </w:r>
      <w:r w:rsidR="00F33FC4">
        <w:rPr>
          <w:rFonts w:eastAsia="Calibri"/>
          <w:szCs w:val="21"/>
          <w:lang w:bidi="ne-NP"/>
        </w:rPr>
        <w:t xml:space="preserve"> </w:t>
      </w:r>
      <w:r w:rsidRPr="003E0D31">
        <w:rPr>
          <w:rFonts w:eastAsia="Calibri"/>
          <w:szCs w:val="21"/>
          <w:lang w:bidi="ne-NP"/>
        </w:rPr>
        <w:t xml:space="preserve">essential when grown on nutrient-rich media (64) but this number increased by hundreds of genes when grown on nutrient-limited media (15). Given that type I toxin proteins are often regulated at multiple levels, this further influences their translation </w:t>
      </w:r>
      <w:r w:rsidRPr="003E0D31">
        <w:rPr>
          <w:rFonts w:eastAsia="Calibri"/>
          <w:noProof/>
          <w:szCs w:val="21"/>
          <w:lang w:bidi="ne-NP"/>
        </w:rPr>
        <w:t>(65,66)</w:t>
      </w:r>
      <w:r w:rsidRPr="003E0D31">
        <w:rPr>
          <w:rFonts w:eastAsia="Calibri"/>
          <w:szCs w:val="21"/>
          <w:lang w:bidi="ne-NP"/>
        </w:rPr>
        <w:t>. It is likely that the translation of toxin proteins during endogenous expression can reach high levels under specific condition(s) the bacterial cell encounters. Since, these definitive condition(s) for many type I toxins are yet to be identified, overproduction studies are important available tools that allow for the investigation of these systems (67).</w:t>
      </w:r>
    </w:p>
    <w:p w14:paraId="5FF089F8" w14:textId="185303AE" w:rsidR="003E0D31" w:rsidRPr="003E0D31" w:rsidRDefault="00705347" w:rsidP="00705347">
      <w:pPr>
        <w:spacing w:line="360" w:lineRule="auto"/>
        <w:rPr>
          <w:rFonts w:eastAsia="Calibri"/>
          <w:szCs w:val="21"/>
          <w:lang w:bidi="ne-NP"/>
        </w:rPr>
      </w:pPr>
      <w:r>
        <w:rPr>
          <w:rFonts w:eastAsia="Calibri"/>
          <w:szCs w:val="21"/>
          <w:lang w:bidi="ne-NP"/>
        </w:rPr>
        <w:tab/>
      </w:r>
      <w:r w:rsidR="003E0D31" w:rsidRPr="003E0D31">
        <w:rPr>
          <w:rFonts w:eastAsia="Calibri"/>
          <w:szCs w:val="21"/>
          <w:lang w:bidi="ne-NP"/>
        </w:rPr>
        <w:t xml:space="preserve">Upon translation, type I toxin proteins can target several cellular components. Based on their sub-cellular localization, type I toxins can be categorized as cytosolic (such as </w:t>
      </w:r>
      <w:proofErr w:type="spellStart"/>
      <w:r w:rsidR="003E0D31" w:rsidRPr="003E0D31">
        <w:rPr>
          <w:rFonts w:eastAsia="Calibri"/>
          <w:szCs w:val="21"/>
          <w:lang w:bidi="ne-NP"/>
        </w:rPr>
        <w:t>RalR</w:t>
      </w:r>
      <w:proofErr w:type="spellEnd"/>
      <w:r w:rsidR="003E0D31" w:rsidRPr="003E0D31">
        <w:rPr>
          <w:rFonts w:eastAsia="Calibri"/>
          <w:szCs w:val="21"/>
          <w:lang w:bidi="ne-NP"/>
        </w:rPr>
        <w:t xml:space="preserve">, </w:t>
      </w:r>
      <w:proofErr w:type="spellStart"/>
      <w:r w:rsidR="003E0D31" w:rsidRPr="003E0D31">
        <w:rPr>
          <w:rFonts w:eastAsia="Calibri"/>
          <w:szCs w:val="21"/>
          <w:lang w:bidi="ne-NP"/>
        </w:rPr>
        <w:t>SymE</w:t>
      </w:r>
      <w:proofErr w:type="spellEnd"/>
      <w:r w:rsidR="003E0D31" w:rsidRPr="003E0D31">
        <w:rPr>
          <w:rFonts w:eastAsia="Calibri"/>
          <w:szCs w:val="21"/>
          <w:lang w:bidi="ne-NP"/>
        </w:rPr>
        <w:t xml:space="preserve">) or membrane-associated (such as </w:t>
      </w:r>
      <w:proofErr w:type="spellStart"/>
      <w:r w:rsidR="003E0D31" w:rsidRPr="003E0D31">
        <w:rPr>
          <w:rFonts w:eastAsia="Calibri"/>
          <w:szCs w:val="21"/>
          <w:lang w:bidi="ne-NP"/>
        </w:rPr>
        <w:t>HokB</w:t>
      </w:r>
      <w:proofErr w:type="spellEnd"/>
      <w:r w:rsidR="003E0D31" w:rsidRPr="003E0D31">
        <w:rPr>
          <w:rFonts w:eastAsia="Calibri"/>
          <w:szCs w:val="21"/>
          <w:lang w:bidi="ne-NP"/>
        </w:rPr>
        <w:t xml:space="preserve">, </w:t>
      </w:r>
      <w:proofErr w:type="spellStart"/>
      <w:r w:rsidR="003E0D31" w:rsidRPr="003E0D31">
        <w:rPr>
          <w:rFonts w:eastAsia="Calibri"/>
          <w:szCs w:val="21"/>
          <w:lang w:bidi="ne-NP"/>
        </w:rPr>
        <w:t>TisB</w:t>
      </w:r>
      <w:proofErr w:type="spellEnd"/>
      <w:r w:rsidR="003E0D31" w:rsidRPr="003E0D31">
        <w:rPr>
          <w:rFonts w:eastAsia="Calibri"/>
          <w:szCs w:val="21"/>
          <w:lang w:bidi="ne-NP"/>
        </w:rPr>
        <w:t xml:space="preserve">, </w:t>
      </w:r>
      <w:proofErr w:type="spellStart"/>
      <w:r w:rsidR="003E0D31" w:rsidRPr="003E0D31">
        <w:rPr>
          <w:rFonts w:eastAsia="Calibri"/>
          <w:szCs w:val="21"/>
          <w:lang w:bidi="ne-NP"/>
        </w:rPr>
        <w:t>LDr</w:t>
      </w:r>
      <w:proofErr w:type="spellEnd"/>
      <w:r w:rsidR="003E0D31" w:rsidRPr="003E0D31">
        <w:rPr>
          <w:rFonts w:eastAsia="Calibri"/>
          <w:szCs w:val="21"/>
          <w:lang w:bidi="ne-NP"/>
        </w:rPr>
        <w:t xml:space="preserve">, </w:t>
      </w:r>
      <w:proofErr w:type="spellStart"/>
      <w:r w:rsidR="003E0D31" w:rsidRPr="003E0D31">
        <w:rPr>
          <w:rFonts w:eastAsia="Calibri"/>
          <w:szCs w:val="21"/>
          <w:lang w:bidi="ne-NP"/>
        </w:rPr>
        <w:t>Ibs</w:t>
      </w:r>
      <w:proofErr w:type="spellEnd"/>
      <w:r w:rsidR="003E0D31" w:rsidRPr="003E0D31">
        <w:rPr>
          <w:rFonts w:eastAsia="Calibri"/>
          <w:szCs w:val="21"/>
          <w:lang w:bidi="ne-NP"/>
        </w:rPr>
        <w:t xml:space="preserve">, </w:t>
      </w:r>
      <w:proofErr w:type="spellStart"/>
      <w:r w:rsidR="003E0D31" w:rsidRPr="003E0D31">
        <w:rPr>
          <w:rFonts w:eastAsia="Calibri"/>
          <w:szCs w:val="21"/>
          <w:lang w:bidi="ne-NP"/>
        </w:rPr>
        <w:t>ShoB</w:t>
      </w:r>
      <w:proofErr w:type="spellEnd"/>
      <w:r w:rsidR="003E0D31" w:rsidRPr="003E0D31">
        <w:rPr>
          <w:rFonts w:eastAsia="Calibri"/>
          <w:szCs w:val="21"/>
          <w:lang w:bidi="ne-NP"/>
        </w:rPr>
        <w:t xml:space="preserve">, </w:t>
      </w:r>
      <w:proofErr w:type="spellStart"/>
      <w:r w:rsidR="003E0D31" w:rsidRPr="003E0D31">
        <w:rPr>
          <w:rFonts w:eastAsia="Calibri"/>
          <w:szCs w:val="21"/>
          <w:lang w:bidi="ne-NP"/>
        </w:rPr>
        <w:t>ZorO</w:t>
      </w:r>
      <w:proofErr w:type="spellEnd"/>
      <w:r w:rsidR="003E0D31" w:rsidRPr="003E0D31">
        <w:rPr>
          <w:rFonts w:eastAsia="Calibri"/>
          <w:szCs w:val="21"/>
          <w:lang w:bidi="ne-NP"/>
        </w:rPr>
        <w:t xml:space="preserve">, </w:t>
      </w:r>
      <w:proofErr w:type="spellStart"/>
      <w:r w:rsidR="003E0D31" w:rsidRPr="003E0D31">
        <w:rPr>
          <w:rFonts w:eastAsia="Calibri"/>
          <w:szCs w:val="21"/>
          <w:lang w:bidi="ne-NP"/>
        </w:rPr>
        <w:t>Fst</w:t>
      </w:r>
      <w:proofErr w:type="spellEnd"/>
      <w:r w:rsidR="003E0D31" w:rsidRPr="003E0D31">
        <w:rPr>
          <w:rFonts w:eastAsia="Calibri"/>
          <w:szCs w:val="21"/>
          <w:lang w:bidi="ne-NP"/>
        </w:rPr>
        <w:t xml:space="preserve">, </w:t>
      </w:r>
      <w:proofErr w:type="spellStart"/>
      <w:r w:rsidR="003E0D31" w:rsidRPr="003E0D31">
        <w:rPr>
          <w:rFonts w:eastAsia="Calibri"/>
          <w:szCs w:val="21"/>
          <w:lang w:bidi="ne-NP"/>
        </w:rPr>
        <w:t>BsrG</w:t>
      </w:r>
      <w:proofErr w:type="spellEnd"/>
      <w:r w:rsidR="003E0D31" w:rsidRPr="003E0D31">
        <w:rPr>
          <w:rFonts w:eastAsia="Calibri"/>
          <w:szCs w:val="21"/>
          <w:lang w:bidi="ne-NP"/>
        </w:rPr>
        <w:t xml:space="preserve">) </w:t>
      </w:r>
      <w:r w:rsidR="003E0D31" w:rsidRPr="003E0D31">
        <w:rPr>
          <w:rFonts w:eastAsia="Calibri"/>
          <w:noProof/>
          <w:szCs w:val="21"/>
          <w:lang w:bidi="ne-NP"/>
        </w:rPr>
        <w:t>(68)</w:t>
      </w:r>
      <w:r w:rsidR="003E0D31" w:rsidRPr="003E0D31">
        <w:rPr>
          <w:rFonts w:eastAsia="Calibri"/>
          <w:szCs w:val="21"/>
          <w:lang w:bidi="ne-NP"/>
        </w:rPr>
        <w:t xml:space="preserve">. Membrane-associated toxins are small, hydrophobic, and have a predicted transmembrane domain and show the toxic effect during overproduction by pore formation in the membrane resulting ion leakage or impacting cell morphology whereas cytosolic toxins can act as nucleases (cleaving DNA or RNA) </w:t>
      </w:r>
      <w:r w:rsidR="003E0D31" w:rsidRPr="003E0D31">
        <w:rPr>
          <w:rFonts w:eastAsia="Calibri"/>
          <w:noProof/>
          <w:szCs w:val="21"/>
          <w:lang w:bidi="ne-NP"/>
        </w:rPr>
        <w:t>(68)</w:t>
      </w:r>
      <w:r w:rsidR="003E0D31" w:rsidRPr="003E0D31">
        <w:rPr>
          <w:rFonts w:eastAsia="Calibri"/>
          <w:szCs w:val="21"/>
          <w:lang w:bidi="ne-NP"/>
        </w:rPr>
        <w:t>.</w:t>
      </w:r>
    </w:p>
    <w:p w14:paraId="29E9CC88" w14:textId="77777777" w:rsidR="003E0D31" w:rsidRPr="003E0D31" w:rsidRDefault="003E0D31" w:rsidP="003E0D31">
      <w:pPr>
        <w:spacing w:line="360" w:lineRule="auto"/>
        <w:rPr>
          <w:rFonts w:eastAsia="Calibri"/>
          <w:szCs w:val="21"/>
          <w:lang w:bidi="ne-NP"/>
        </w:rPr>
      </w:pPr>
    </w:p>
    <w:p w14:paraId="0958444B" w14:textId="77777777" w:rsidR="003E0D31" w:rsidRPr="003E0D31" w:rsidRDefault="003E0D31" w:rsidP="00705347">
      <w:pPr>
        <w:numPr>
          <w:ilvl w:val="0"/>
          <w:numId w:val="8"/>
        </w:numPr>
        <w:spacing w:line="360" w:lineRule="auto"/>
        <w:ind w:left="284" w:hanging="284"/>
        <w:contextualSpacing/>
        <w:rPr>
          <w:rFonts w:eastAsia="Calibri"/>
          <w:b/>
          <w:bCs/>
          <w:szCs w:val="21"/>
          <w:lang w:bidi="ne-NP"/>
        </w:rPr>
      </w:pPr>
      <w:r w:rsidRPr="003E0D31">
        <w:rPr>
          <w:rFonts w:eastAsia="Calibri"/>
          <w:b/>
          <w:bCs/>
          <w:szCs w:val="21"/>
          <w:lang w:bidi="ne-NP"/>
        </w:rPr>
        <w:t xml:space="preserve"> Toxicity mediated by small proteins of type I toxin-antitoxin systems</w:t>
      </w:r>
    </w:p>
    <w:p w14:paraId="1CD346BD" w14:textId="25F85F94" w:rsidR="00705347" w:rsidRDefault="003E0D31" w:rsidP="00705347">
      <w:pPr>
        <w:spacing w:line="360" w:lineRule="auto"/>
        <w:ind w:firstLine="720"/>
        <w:rPr>
          <w:rFonts w:eastAsia="Calibri"/>
          <w:szCs w:val="21"/>
          <w:lang w:bidi="ne-NP"/>
        </w:rPr>
      </w:pPr>
      <w:r w:rsidRPr="003E0D31">
        <w:rPr>
          <w:rFonts w:eastAsia="Calibri"/>
          <w:szCs w:val="21"/>
          <w:lang w:bidi="ne-NP"/>
        </w:rPr>
        <w:t xml:space="preserve">Type I toxin translation can occur after the toxin mRNA escapes regulation by antitoxin sRNA and other repressive mechanisms such a long, inhibitory 5’ untranslated region (UTR) </w:t>
      </w:r>
      <w:r w:rsidRPr="003E0D31">
        <w:rPr>
          <w:rFonts w:eastAsia="Calibri"/>
          <w:noProof/>
          <w:szCs w:val="21"/>
          <w:lang w:bidi="ne-NP"/>
        </w:rPr>
        <w:t>(41,65,66)</w:t>
      </w:r>
      <w:r w:rsidRPr="003E0D31">
        <w:rPr>
          <w:rFonts w:eastAsia="Calibri"/>
          <w:szCs w:val="21"/>
          <w:lang w:bidi="ne-NP"/>
        </w:rPr>
        <w:t xml:space="preserve">. Since this translation event may occur only during a specific growth environment for bacterial cell(s), it is challenging to detect the natively translated type I toxin proteins using conventional methods. Translation of the unusual type I toxin </w:t>
      </w:r>
      <w:proofErr w:type="spellStart"/>
      <w:r w:rsidRPr="003E0D31">
        <w:rPr>
          <w:rFonts w:eastAsia="Calibri"/>
          <w:szCs w:val="21"/>
          <w:lang w:bidi="ne-NP"/>
        </w:rPr>
        <w:t>SymE</w:t>
      </w:r>
      <w:proofErr w:type="spellEnd"/>
      <w:r w:rsidRPr="003E0D31">
        <w:rPr>
          <w:rFonts w:eastAsia="Calibri"/>
          <w:szCs w:val="21"/>
          <w:lang w:bidi="ne-NP"/>
        </w:rPr>
        <w:t xml:space="preserve"> has been shown in a -10 </w:t>
      </w:r>
      <w:proofErr w:type="spellStart"/>
      <w:r w:rsidRPr="003E0D31">
        <w:rPr>
          <w:rFonts w:eastAsia="Calibri"/>
          <w:i/>
          <w:iCs/>
          <w:szCs w:val="21"/>
          <w:lang w:bidi="ne-NP"/>
        </w:rPr>
        <w:t>symR</w:t>
      </w:r>
      <w:proofErr w:type="spellEnd"/>
      <w:r w:rsidRPr="003E0D31">
        <w:rPr>
          <w:rFonts w:eastAsia="Calibri"/>
          <w:szCs w:val="21"/>
          <w:lang w:bidi="ne-NP"/>
        </w:rPr>
        <w:t xml:space="preserve"> (antitoxin) promoter mutant but no growth defects were observed </w:t>
      </w:r>
      <w:r w:rsidRPr="003E0D31">
        <w:rPr>
          <w:rFonts w:eastAsia="Calibri"/>
          <w:noProof/>
          <w:szCs w:val="21"/>
          <w:lang w:bidi="ne-NP"/>
        </w:rPr>
        <w:t>(45)</w:t>
      </w:r>
      <w:r w:rsidRPr="003E0D31">
        <w:rPr>
          <w:rFonts w:eastAsia="Calibri"/>
          <w:szCs w:val="21"/>
          <w:lang w:bidi="ne-NP"/>
        </w:rPr>
        <w:t xml:space="preserve">. Another type I toxin </w:t>
      </w:r>
      <w:proofErr w:type="spellStart"/>
      <w:r w:rsidRPr="003E0D31">
        <w:rPr>
          <w:rFonts w:eastAsia="Calibri"/>
          <w:szCs w:val="21"/>
          <w:lang w:bidi="ne-NP"/>
        </w:rPr>
        <w:t>TimP</w:t>
      </w:r>
      <w:proofErr w:type="spellEnd"/>
      <w:r w:rsidRPr="003E0D31">
        <w:rPr>
          <w:rFonts w:eastAsia="Calibri"/>
          <w:szCs w:val="21"/>
          <w:lang w:bidi="ne-NP"/>
        </w:rPr>
        <w:t xml:space="preserve"> (in </w:t>
      </w:r>
      <w:r w:rsidRPr="003E0D31">
        <w:rPr>
          <w:rFonts w:eastAsia="Calibri"/>
          <w:i/>
          <w:iCs/>
          <w:szCs w:val="21"/>
          <w:lang w:bidi="ne-NP"/>
        </w:rPr>
        <w:t>Salmonella</w:t>
      </w:r>
      <w:r w:rsidRPr="003E0D31">
        <w:rPr>
          <w:rFonts w:eastAsia="Calibri"/>
          <w:szCs w:val="21"/>
          <w:lang w:bidi="ne-NP"/>
        </w:rPr>
        <w:t xml:space="preserve"> Typhimurium) was detected using western blot in a strain deleted for the antitoxin (</w:t>
      </w:r>
      <w:proofErr w:type="spellStart"/>
      <w:r w:rsidRPr="003E0D31">
        <w:rPr>
          <w:rFonts w:eastAsia="Calibri"/>
          <w:szCs w:val="21"/>
          <w:lang w:bidi="ne-NP"/>
        </w:rPr>
        <w:t>TimR</w:t>
      </w:r>
      <w:proofErr w:type="spellEnd"/>
      <w:r w:rsidRPr="003E0D31">
        <w:rPr>
          <w:rFonts w:eastAsia="Calibri"/>
          <w:szCs w:val="21"/>
          <w:lang w:bidi="ne-NP"/>
        </w:rPr>
        <w:t xml:space="preserve">) encoding gene </w:t>
      </w:r>
      <w:r w:rsidRPr="003E0D31">
        <w:rPr>
          <w:rFonts w:eastAsia="Calibri"/>
          <w:noProof/>
          <w:szCs w:val="21"/>
          <w:lang w:bidi="ne-NP"/>
        </w:rPr>
        <w:t>(49)</w:t>
      </w:r>
      <w:r w:rsidRPr="003E0D31">
        <w:rPr>
          <w:rFonts w:eastAsia="Calibri"/>
          <w:szCs w:val="21"/>
          <w:lang w:bidi="ne-NP"/>
        </w:rPr>
        <w:t xml:space="preserve">. This strain grew comparable to the parental strain, indicating little to no toxicity from de-regulation of </w:t>
      </w:r>
      <w:proofErr w:type="spellStart"/>
      <w:r w:rsidRPr="003E0D31">
        <w:rPr>
          <w:rFonts w:eastAsia="Calibri"/>
          <w:i/>
          <w:szCs w:val="21"/>
          <w:lang w:bidi="ne-NP"/>
        </w:rPr>
        <w:t>timP</w:t>
      </w:r>
      <w:proofErr w:type="spellEnd"/>
      <w:r w:rsidRPr="003E0D31">
        <w:rPr>
          <w:rFonts w:eastAsia="Calibri"/>
          <w:szCs w:val="21"/>
          <w:lang w:bidi="ne-NP"/>
        </w:rPr>
        <w:t xml:space="preserve"> </w:t>
      </w:r>
      <w:r w:rsidRPr="003E0D31">
        <w:rPr>
          <w:rFonts w:eastAsia="Calibri"/>
          <w:noProof/>
          <w:szCs w:val="21"/>
          <w:lang w:bidi="ne-NP"/>
        </w:rPr>
        <w:t>(49)</w:t>
      </w:r>
      <w:r w:rsidRPr="003E0D31">
        <w:rPr>
          <w:rFonts w:eastAsia="Calibri"/>
          <w:szCs w:val="21"/>
          <w:lang w:bidi="ne-NP"/>
        </w:rPr>
        <w:t xml:space="preserve">. There is therefore no compelling evidence to suggest that TA systems result in bacterial cell death under physiological conditions </w:t>
      </w:r>
      <w:r w:rsidRPr="003E0D31">
        <w:rPr>
          <w:rFonts w:eastAsia="Calibri"/>
          <w:noProof/>
          <w:szCs w:val="21"/>
          <w:lang w:bidi="ne-NP"/>
        </w:rPr>
        <w:t>(69)</w:t>
      </w:r>
      <w:r w:rsidRPr="003E0D31">
        <w:rPr>
          <w:rFonts w:eastAsia="Calibri"/>
          <w:szCs w:val="21"/>
          <w:lang w:bidi="ne-NP"/>
        </w:rPr>
        <w:t xml:space="preserve"> and </w:t>
      </w:r>
      <w:r w:rsidRPr="003E0D31">
        <w:rPr>
          <w:rFonts w:eastAsia="Calibri"/>
          <w:szCs w:val="21"/>
          <w:lang w:bidi="ne-NP"/>
        </w:rPr>
        <w:lastRenderedPageBreak/>
        <w:t xml:space="preserve">most of the reported toxic effects of type I toxins are based on the ectopic overexpression. Overall, the impacts of the production of a type I toxin can range from no effects to cell lysis depending upon its presence in the chromosome, elimination of the repressor elements, multi-copy plasmid vector or inducible system (proposed via schematic in </w:t>
      </w:r>
      <w:r w:rsidR="00862E05">
        <w:rPr>
          <w:rFonts w:eastAsia="Calibri"/>
          <w:szCs w:val="21"/>
          <w:lang w:bidi="ne-NP"/>
        </w:rPr>
        <w:t>Fig.</w:t>
      </w:r>
      <w:r w:rsidRPr="003E0D31">
        <w:rPr>
          <w:rFonts w:eastAsia="Calibri"/>
          <w:szCs w:val="21"/>
          <w:lang w:bidi="ne-NP"/>
        </w:rPr>
        <w:t xml:space="preserve"> 1.1) along with the growth conditions chosen for the study.</w:t>
      </w:r>
    </w:p>
    <w:p w14:paraId="08C1738D" w14:textId="77777777" w:rsidR="00705347" w:rsidRDefault="003E0D31" w:rsidP="00705347">
      <w:pPr>
        <w:spacing w:line="360" w:lineRule="auto"/>
        <w:ind w:firstLine="720"/>
        <w:rPr>
          <w:rFonts w:eastAsia="Calibri"/>
          <w:szCs w:val="21"/>
          <w:lang w:bidi="ne-NP"/>
        </w:rPr>
      </w:pPr>
      <w:r w:rsidRPr="003E0D31">
        <w:rPr>
          <w:rFonts w:eastAsia="Calibri"/>
          <w:szCs w:val="21"/>
          <w:lang w:bidi="ne-NP"/>
        </w:rPr>
        <w:t xml:space="preserve">The cytosolic type I toxins </w:t>
      </w:r>
      <w:proofErr w:type="spellStart"/>
      <w:r w:rsidRPr="003E0D31">
        <w:rPr>
          <w:rFonts w:eastAsia="Calibri"/>
          <w:szCs w:val="21"/>
          <w:lang w:bidi="ne-NP"/>
        </w:rPr>
        <w:t>SymE</w:t>
      </w:r>
      <w:proofErr w:type="spellEnd"/>
      <w:r w:rsidRPr="003E0D31">
        <w:rPr>
          <w:rFonts w:eastAsia="Calibri"/>
          <w:szCs w:val="21"/>
          <w:lang w:bidi="ne-NP"/>
        </w:rPr>
        <w:t xml:space="preserve"> and </w:t>
      </w:r>
      <w:proofErr w:type="spellStart"/>
      <w:r w:rsidRPr="003E0D31">
        <w:rPr>
          <w:rFonts w:eastAsia="Calibri"/>
          <w:szCs w:val="21"/>
          <w:lang w:bidi="ne-NP"/>
        </w:rPr>
        <w:t>RalR</w:t>
      </w:r>
      <w:proofErr w:type="spellEnd"/>
      <w:r w:rsidRPr="003E0D31">
        <w:rPr>
          <w:rFonts w:eastAsia="Calibri"/>
          <w:szCs w:val="21"/>
          <w:lang w:bidi="ne-NP"/>
        </w:rPr>
        <w:t xml:space="preserve"> are unusual, having characteristic biochemical activity and function as endonucleases cleaving RNA and DNA respectively </w:t>
      </w:r>
      <w:r w:rsidRPr="003E0D31">
        <w:rPr>
          <w:rFonts w:eastAsia="Calibri"/>
          <w:noProof/>
          <w:szCs w:val="21"/>
          <w:lang w:bidi="ne-NP"/>
        </w:rPr>
        <w:t>(53,58)</w:t>
      </w:r>
      <w:r w:rsidRPr="003E0D31">
        <w:rPr>
          <w:rFonts w:eastAsia="Calibri"/>
          <w:szCs w:val="21"/>
          <w:lang w:bidi="ne-NP"/>
        </w:rPr>
        <w:t xml:space="preserve">. </w:t>
      </w:r>
      <w:proofErr w:type="spellStart"/>
      <w:r w:rsidRPr="003E0D31">
        <w:rPr>
          <w:rFonts w:eastAsia="Calibri"/>
          <w:szCs w:val="21"/>
          <w:lang w:bidi="ne-NP"/>
        </w:rPr>
        <w:t>SymE</w:t>
      </w:r>
      <w:proofErr w:type="spellEnd"/>
      <w:r w:rsidRPr="003E0D31">
        <w:rPr>
          <w:rFonts w:eastAsia="Calibri"/>
          <w:szCs w:val="21"/>
          <w:lang w:bidi="ne-NP"/>
        </w:rPr>
        <w:t xml:space="preserve"> (</w:t>
      </w:r>
      <w:r w:rsidRPr="003E0D31">
        <w:rPr>
          <w:rFonts w:eastAsia="Calibri"/>
          <w:szCs w:val="21"/>
          <w:u w:val="single"/>
          <w:lang w:bidi="ne-NP"/>
        </w:rPr>
        <w:t>S</w:t>
      </w:r>
      <w:r w:rsidRPr="003E0D31">
        <w:rPr>
          <w:rFonts w:eastAsia="Calibri"/>
          <w:szCs w:val="21"/>
          <w:lang w:bidi="ne-NP"/>
        </w:rPr>
        <w:t xml:space="preserve">OS-induced </w:t>
      </w:r>
      <w:proofErr w:type="spellStart"/>
      <w:r w:rsidRPr="003E0D31">
        <w:rPr>
          <w:rFonts w:eastAsia="Calibri"/>
          <w:i/>
          <w:iCs/>
          <w:szCs w:val="21"/>
          <w:u w:val="single"/>
          <w:lang w:bidi="ne-NP"/>
        </w:rPr>
        <w:t>y</w:t>
      </w:r>
      <w:r w:rsidRPr="003E0D31">
        <w:rPr>
          <w:rFonts w:eastAsia="Calibri"/>
          <w:i/>
          <w:iCs/>
          <w:szCs w:val="21"/>
          <w:lang w:bidi="ne-NP"/>
        </w:rPr>
        <w:t>jiW</w:t>
      </w:r>
      <w:proofErr w:type="spellEnd"/>
      <w:r w:rsidRPr="003E0D31">
        <w:rPr>
          <w:rFonts w:eastAsia="Calibri"/>
          <w:szCs w:val="21"/>
          <w:lang w:bidi="ne-NP"/>
        </w:rPr>
        <w:t xml:space="preserve"> gene with similarity to </w:t>
      </w:r>
      <w:proofErr w:type="spellStart"/>
      <w:r w:rsidRPr="003E0D31">
        <w:rPr>
          <w:rFonts w:eastAsia="Calibri"/>
          <w:i/>
          <w:iCs/>
          <w:szCs w:val="21"/>
          <w:u w:val="single"/>
          <w:lang w:bidi="ne-NP"/>
        </w:rPr>
        <w:t>M</w:t>
      </w:r>
      <w:r w:rsidRPr="003E0D31">
        <w:rPr>
          <w:rFonts w:eastAsia="Calibri"/>
          <w:i/>
          <w:iCs/>
          <w:szCs w:val="21"/>
          <w:lang w:bidi="ne-NP"/>
        </w:rPr>
        <w:t>az</w:t>
      </w:r>
      <w:r w:rsidRPr="003E0D31">
        <w:rPr>
          <w:rFonts w:eastAsia="Calibri"/>
          <w:i/>
          <w:iCs/>
          <w:szCs w:val="21"/>
          <w:u w:val="single"/>
          <w:lang w:bidi="ne-NP"/>
        </w:rPr>
        <w:t>E</w:t>
      </w:r>
      <w:proofErr w:type="spellEnd"/>
      <w:r w:rsidRPr="003E0D31">
        <w:rPr>
          <w:rFonts w:eastAsia="Calibri"/>
          <w:szCs w:val="21"/>
          <w:lang w:bidi="ne-NP"/>
        </w:rPr>
        <w:t xml:space="preserve">) belongs to the </w:t>
      </w:r>
      <w:proofErr w:type="spellStart"/>
      <w:r w:rsidRPr="003E0D31">
        <w:rPr>
          <w:rFonts w:eastAsia="Calibri"/>
          <w:szCs w:val="21"/>
          <w:lang w:bidi="ne-NP"/>
        </w:rPr>
        <w:t>AbrB</w:t>
      </w:r>
      <w:proofErr w:type="spellEnd"/>
      <w:r w:rsidRPr="003E0D31">
        <w:rPr>
          <w:rFonts w:eastAsia="Calibri"/>
          <w:szCs w:val="21"/>
          <w:lang w:bidi="ne-NP"/>
        </w:rPr>
        <w:t xml:space="preserve"> superfamily: a group that includes transcription factors and antitoxins of classical type II TA systems. </w:t>
      </w:r>
      <w:proofErr w:type="spellStart"/>
      <w:r w:rsidRPr="003E0D31">
        <w:rPr>
          <w:rFonts w:eastAsia="Calibri"/>
          <w:szCs w:val="21"/>
          <w:lang w:bidi="ne-NP"/>
        </w:rPr>
        <w:t>SymE</w:t>
      </w:r>
      <w:proofErr w:type="spellEnd"/>
      <w:r w:rsidRPr="003E0D31">
        <w:rPr>
          <w:rFonts w:eastAsia="Calibri"/>
          <w:szCs w:val="21"/>
          <w:lang w:bidi="ne-NP"/>
        </w:rPr>
        <w:t xml:space="preserve"> shares key hydrophobic residues with classical </w:t>
      </w:r>
      <w:proofErr w:type="spellStart"/>
      <w:r w:rsidRPr="003E0D31">
        <w:rPr>
          <w:rFonts w:eastAsia="Calibri"/>
          <w:szCs w:val="21"/>
          <w:lang w:bidi="ne-NP"/>
        </w:rPr>
        <w:t>AbrB</w:t>
      </w:r>
      <w:proofErr w:type="spellEnd"/>
      <w:r w:rsidRPr="003E0D31">
        <w:rPr>
          <w:rFonts w:eastAsia="Calibri"/>
          <w:szCs w:val="21"/>
          <w:lang w:bidi="ne-NP"/>
        </w:rPr>
        <w:t xml:space="preserve"> members but has evolved to function like a toxin </w:t>
      </w:r>
      <w:r w:rsidRPr="003E0D31">
        <w:rPr>
          <w:rFonts w:eastAsia="Calibri"/>
          <w:noProof/>
          <w:szCs w:val="21"/>
          <w:lang w:bidi="ne-NP"/>
        </w:rPr>
        <w:t>(45)</w:t>
      </w:r>
      <w:r w:rsidRPr="003E0D31">
        <w:rPr>
          <w:rFonts w:eastAsia="Calibri"/>
          <w:szCs w:val="21"/>
          <w:lang w:bidi="ne-NP"/>
        </w:rPr>
        <w:t xml:space="preserve">. </w:t>
      </w:r>
      <w:proofErr w:type="spellStart"/>
      <w:r w:rsidRPr="003E0D31">
        <w:rPr>
          <w:rFonts w:eastAsia="Calibri"/>
          <w:szCs w:val="21"/>
          <w:lang w:bidi="ne-NP"/>
        </w:rPr>
        <w:t>SymE</w:t>
      </w:r>
      <w:proofErr w:type="spellEnd"/>
      <w:r w:rsidRPr="003E0D31">
        <w:rPr>
          <w:rFonts w:eastAsia="Calibri"/>
          <w:szCs w:val="21"/>
          <w:lang w:bidi="ne-NP"/>
        </w:rPr>
        <w:t xml:space="preserve"> is larger than other type I toxins and its overexpression affects bacterial survival and greatly impacts overall translation </w:t>
      </w:r>
      <w:r w:rsidRPr="003E0D31">
        <w:rPr>
          <w:rFonts w:eastAsia="Calibri"/>
          <w:noProof/>
          <w:szCs w:val="21"/>
          <w:lang w:bidi="ne-NP"/>
        </w:rPr>
        <w:t>(45)</w:t>
      </w:r>
      <w:r w:rsidRPr="003E0D31">
        <w:rPr>
          <w:rFonts w:eastAsia="Calibri"/>
          <w:szCs w:val="21"/>
          <w:lang w:bidi="ne-NP"/>
        </w:rPr>
        <w:t xml:space="preserve">. It functions as an endoribonuclease, degrading several mRNAs and noncoding RNAs and functions both independently as well as through ribosomal association </w:t>
      </w:r>
      <w:r w:rsidRPr="003E0D31">
        <w:rPr>
          <w:rFonts w:eastAsia="Calibri"/>
          <w:noProof/>
          <w:szCs w:val="21"/>
          <w:lang w:bidi="ne-NP"/>
        </w:rPr>
        <w:t>(45)</w:t>
      </w:r>
      <w:r w:rsidRPr="003E0D31">
        <w:rPr>
          <w:rFonts w:eastAsia="Calibri"/>
          <w:szCs w:val="21"/>
          <w:lang w:bidi="ne-NP"/>
        </w:rPr>
        <w:t xml:space="preserve">. </w:t>
      </w:r>
      <w:proofErr w:type="spellStart"/>
      <w:r w:rsidRPr="003E0D31">
        <w:rPr>
          <w:rFonts w:eastAsia="Calibri"/>
          <w:szCs w:val="21"/>
          <w:lang w:bidi="ne-NP"/>
        </w:rPr>
        <w:t>RalR</w:t>
      </w:r>
      <w:proofErr w:type="spellEnd"/>
      <w:r w:rsidRPr="003E0D31">
        <w:rPr>
          <w:rFonts w:eastAsia="Calibri"/>
          <w:szCs w:val="21"/>
          <w:lang w:bidi="ne-NP"/>
        </w:rPr>
        <w:t xml:space="preserve"> acts by non-specifically cleaving DNA, but not RNA </w:t>
      </w:r>
      <w:r w:rsidRPr="003E0D31">
        <w:rPr>
          <w:rFonts w:eastAsia="Calibri"/>
          <w:noProof/>
          <w:szCs w:val="21"/>
          <w:lang w:bidi="ne-NP"/>
        </w:rPr>
        <w:t>(58)</w:t>
      </w:r>
      <w:r w:rsidRPr="003E0D31">
        <w:rPr>
          <w:rFonts w:eastAsia="Calibri"/>
          <w:szCs w:val="21"/>
          <w:lang w:bidi="ne-NP"/>
        </w:rPr>
        <w:t xml:space="preserve">. This toxin is able to function in a similar way as DNase I and its overproduction results in filamentous growth due to the SOS response to DNA degradation </w:t>
      </w:r>
      <w:r w:rsidRPr="003E0D31">
        <w:rPr>
          <w:rFonts w:eastAsia="Calibri"/>
          <w:noProof/>
          <w:szCs w:val="21"/>
          <w:lang w:bidi="ne-NP"/>
        </w:rPr>
        <w:t>(58)</w:t>
      </w:r>
      <w:r w:rsidRPr="003E0D31">
        <w:rPr>
          <w:rFonts w:eastAsia="Calibri"/>
          <w:szCs w:val="21"/>
          <w:lang w:bidi="ne-NP"/>
        </w:rPr>
        <w:t>.</w:t>
      </w:r>
    </w:p>
    <w:p w14:paraId="01BD8D6C" w14:textId="77777777" w:rsidR="00705347" w:rsidRPr="003E0D31" w:rsidRDefault="003E0D31" w:rsidP="00705347">
      <w:pPr>
        <w:spacing w:line="360" w:lineRule="auto"/>
        <w:ind w:left="284"/>
        <w:rPr>
          <w:rFonts w:eastAsia="Calibri"/>
          <w:szCs w:val="21"/>
          <w:lang w:bidi="ne-NP"/>
        </w:rPr>
      </w:pPr>
      <w:r w:rsidRPr="003E0D31">
        <w:rPr>
          <w:rFonts w:eastAsia="Calibri"/>
          <w:szCs w:val="21"/>
          <w:lang w:bidi="ne-NP"/>
        </w:rPr>
        <w:t xml:space="preserve">Overproduction studies have illustrated that many other characterized type I toxins are membrane-associated and can directly affect the cell membrane by forming pores, increasing membrane depolarization, or can instead result in cell morphology changes as a primary effect </w:t>
      </w:r>
      <w:r w:rsidRPr="003E0D31">
        <w:rPr>
          <w:rFonts w:eastAsia="Calibri"/>
          <w:noProof/>
          <w:szCs w:val="21"/>
          <w:lang w:bidi="ne-NP"/>
        </w:rPr>
        <w:t>(68)</w:t>
      </w:r>
      <w:r w:rsidRPr="003E0D31">
        <w:rPr>
          <w:rFonts w:eastAsia="Calibri"/>
          <w:szCs w:val="21"/>
          <w:lang w:bidi="ne-NP"/>
        </w:rPr>
        <w:t xml:space="preserve">. For example, </w:t>
      </w:r>
      <w:proofErr w:type="spellStart"/>
      <w:r w:rsidRPr="003E0D31">
        <w:rPr>
          <w:rFonts w:eastAsia="Calibri"/>
          <w:szCs w:val="21"/>
          <w:lang w:bidi="ne-NP"/>
        </w:rPr>
        <w:t>HokB</w:t>
      </w:r>
      <w:proofErr w:type="spellEnd"/>
      <w:r w:rsidRPr="003E0D31">
        <w:rPr>
          <w:rFonts w:eastAsia="Calibri"/>
          <w:szCs w:val="21"/>
          <w:lang w:bidi="ne-NP"/>
        </w:rPr>
        <w:t xml:space="preserve"> and </w:t>
      </w:r>
      <w:proofErr w:type="spellStart"/>
      <w:r w:rsidRPr="003E0D31">
        <w:rPr>
          <w:rFonts w:eastAsia="Calibri"/>
          <w:szCs w:val="21"/>
          <w:lang w:bidi="ne-NP"/>
        </w:rPr>
        <w:t>TisB</w:t>
      </w:r>
      <w:proofErr w:type="spellEnd"/>
      <w:r w:rsidRPr="003E0D31">
        <w:rPr>
          <w:rFonts w:eastAsia="Calibri"/>
          <w:szCs w:val="21"/>
          <w:lang w:bidi="ne-NP"/>
        </w:rPr>
        <w:t xml:space="preserve"> have been established as pore forming type I toxins whereas </w:t>
      </w:r>
      <w:proofErr w:type="spellStart"/>
      <w:r w:rsidRPr="003E0D31">
        <w:rPr>
          <w:rFonts w:eastAsia="Calibri"/>
          <w:szCs w:val="21"/>
          <w:lang w:bidi="ne-NP"/>
        </w:rPr>
        <w:t>ShoB</w:t>
      </w:r>
      <w:proofErr w:type="spellEnd"/>
      <w:r w:rsidRPr="003E0D31">
        <w:rPr>
          <w:rFonts w:eastAsia="Calibri"/>
          <w:szCs w:val="21"/>
          <w:lang w:bidi="ne-NP"/>
        </w:rPr>
        <w:t xml:space="preserve">, </w:t>
      </w:r>
      <w:proofErr w:type="spellStart"/>
      <w:r w:rsidRPr="003E0D31">
        <w:rPr>
          <w:rFonts w:eastAsia="Calibri"/>
          <w:szCs w:val="21"/>
          <w:lang w:bidi="ne-NP"/>
        </w:rPr>
        <w:t>IbsC</w:t>
      </w:r>
      <w:proofErr w:type="spellEnd"/>
      <w:r w:rsidRPr="003E0D31">
        <w:rPr>
          <w:rFonts w:eastAsia="Calibri"/>
          <w:szCs w:val="21"/>
          <w:lang w:bidi="ne-NP"/>
        </w:rPr>
        <w:t xml:space="preserve">, </w:t>
      </w:r>
      <w:proofErr w:type="spellStart"/>
      <w:r w:rsidRPr="003E0D31">
        <w:rPr>
          <w:rFonts w:eastAsia="Calibri"/>
          <w:szCs w:val="21"/>
          <w:lang w:bidi="ne-NP"/>
        </w:rPr>
        <w:t>DinQ</w:t>
      </w:r>
      <w:proofErr w:type="spellEnd"/>
      <w:r w:rsidRPr="003E0D31">
        <w:rPr>
          <w:rFonts w:eastAsia="Calibri"/>
          <w:szCs w:val="21"/>
          <w:lang w:bidi="ne-NP"/>
        </w:rPr>
        <w:t xml:space="preserve">, </w:t>
      </w:r>
      <w:proofErr w:type="spellStart"/>
      <w:r w:rsidRPr="003E0D31">
        <w:rPr>
          <w:rFonts w:eastAsia="Calibri"/>
          <w:szCs w:val="21"/>
          <w:lang w:bidi="ne-NP"/>
        </w:rPr>
        <w:t>LdrA</w:t>
      </w:r>
      <w:proofErr w:type="spellEnd"/>
      <w:r w:rsidRPr="003E0D31">
        <w:rPr>
          <w:rFonts w:eastAsia="Calibri"/>
          <w:szCs w:val="21"/>
          <w:lang w:bidi="ne-NP"/>
        </w:rPr>
        <w:t xml:space="preserve">, </w:t>
      </w:r>
      <w:proofErr w:type="spellStart"/>
      <w:r w:rsidRPr="003E0D31">
        <w:rPr>
          <w:rFonts w:eastAsia="Calibri"/>
          <w:szCs w:val="21"/>
          <w:lang w:bidi="ne-NP"/>
        </w:rPr>
        <w:t>ZorO</w:t>
      </w:r>
      <w:proofErr w:type="spellEnd"/>
      <w:r w:rsidRPr="003E0D31">
        <w:rPr>
          <w:rFonts w:eastAsia="Calibri"/>
          <w:szCs w:val="21"/>
          <w:lang w:bidi="ne-NP"/>
        </w:rPr>
        <w:t xml:space="preserve">, PepA1, PepA2 etc. were shown to increase membrane depolarization and/or permeabilization. The toxins </w:t>
      </w:r>
      <w:proofErr w:type="spellStart"/>
      <w:r w:rsidRPr="003E0D31">
        <w:rPr>
          <w:rFonts w:eastAsia="Calibri"/>
          <w:szCs w:val="21"/>
          <w:lang w:bidi="ne-NP"/>
        </w:rPr>
        <w:t>Fst</w:t>
      </w:r>
      <w:proofErr w:type="spellEnd"/>
      <w:r w:rsidRPr="003E0D31">
        <w:rPr>
          <w:rFonts w:eastAsia="Calibri"/>
          <w:szCs w:val="21"/>
          <w:lang w:bidi="ne-NP"/>
        </w:rPr>
        <w:t xml:space="preserve">, </w:t>
      </w:r>
      <w:proofErr w:type="spellStart"/>
      <w:r w:rsidRPr="003E0D31">
        <w:rPr>
          <w:rFonts w:eastAsia="Calibri"/>
          <w:szCs w:val="21"/>
          <w:lang w:bidi="ne-NP"/>
        </w:rPr>
        <w:t>LdrD</w:t>
      </w:r>
      <w:proofErr w:type="spellEnd"/>
      <w:r w:rsidRPr="003E0D31">
        <w:rPr>
          <w:rFonts w:eastAsia="Calibri"/>
          <w:szCs w:val="21"/>
          <w:lang w:bidi="ne-NP"/>
        </w:rPr>
        <w:t xml:space="preserve">, </w:t>
      </w:r>
      <w:proofErr w:type="spellStart"/>
      <w:r w:rsidRPr="003E0D31">
        <w:rPr>
          <w:rFonts w:eastAsia="Calibri"/>
          <w:szCs w:val="21"/>
          <w:lang w:bidi="ne-NP"/>
        </w:rPr>
        <w:t>BsrG</w:t>
      </w:r>
      <w:proofErr w:type="spellEnd"/>
      <w:r w:rsidRPr="003E0D31">
        <w:rPr>
          <w:rFonts w:eastAsia="Calibri"/>
          <w:szCs w:val="21"/>
          <w:lang w:bidi="ne-NP"/>
        </w:rPr>
        <w:t xml:space="preserve"> and AapA1 primarily impact cell morphology after associating with the membrane without an immediate membrane permeabilization effect </w:t>
      </w:r>
      <w:r w:rsidRPr="003E0D31">
        <w:rPr>
          <w:rFonts w:eastAsia="Calibri"/>
          <w:noProof/>
          <w:szCs w:val="21"/>
          <w:lang w:bidi="ne-NP"/>
        </w:rPr>
        <w:t>(70–72)</w:t>
      </w:r>
      <w:r w:rsidRPr="003E0D31">
        <w:rPr>
          <w:rFonts w:eastAsia="Calibri"/>
          <w:szCs w:val="21"/>
          <w:lang w:bidi="ne-NP"/>
        </w:rPr>
        <w:t xml:space="preserve">. For some of these toxins, it is difficult to distinguish whether membrane associated </w:t>
      </w:r>
      <w:r w:rsidR="00705347" w:rsidRPr="003E0D31">
        <w:rPr>
          <w:rFonts w:eastAsia="Calibri"/>
          <w:szCs w:val="21"/>
          <w:lang w:bidi="ne-NP"/>
        </w:rPr>
        <w:t xml:space="preserve">effects (depolarization) are the primary toxic effects or changes in cell morphology as with </w:t>
      </w:r>
      <w:proofErr w:type="spellStart"/>
      <w:r w:rsidR="00705347" w:rsidRPr="003E0D31">
        <w:rPr>
          <w:rFonts w:eastAsia="Calibri"/>
          <w:szCs w:val="21"/>
          <w:lang w:bidi="ne-NP"/>
        </w:rPr>
        <w:t>DinQ</w:t>
      </w:r>
      <w:proofErr w:type="spellEnd"/>
      <w:r w:rsidR="00705347" w:rsidRPr="003E0D31">
        <w:rPr>
          <w:rFonts w:eastAsia="Calibri"/>
          <w:szCs w:val="21"/>
          <w:lang w:bidi="ne-NP"/>
        </w:rPr>
        <w:t xml:space="preserve"> and </w:t>
      </w:r>
      <w:proofErr w:type="spellStart"/>
      <w:r w:rsidR="00705347" w:rsidRPr="003E0D31">
        <w:rPr>
          <w:rFonts w:eastAsia="Calibri"/>
          <w:szCs w:val="21"/>
          <w:lang w:bidi="ne-NP"/>
        </w:rPr>
        <w:t>Lpt</w:t>
      </w:r>
      <w:proofErr w:type="spellEnd"/>
      <w:r w:rsidR="00705347" w:rsidRPr="003E0D31">
        <w:rPr>
          <w:rFonts w:eastAsia="Calibri"/>
          <w:szCs w:val="21"/>
          <w:lang w:bidi="ne-NP"/>
        </w:rPr>
        <w:t xml:space="preserve"> overexpression. </w:t>
      </w:r>
    </w:p>
    <w:p w14:paraId="1D1334C7" w14:textId="5FE70E5F" w:rsidR="00F33FC4" w:rsidRDefault="00F33FC4" w:rsidP="00705347">
      <w:pPr>
        <w:spacing w:line="360" w:lineRule="auto"/>
        <w:ind w:firstLine="720"/>
        <w:rPr>
          <w:rFonts w:eastAsia="Calibri"/>
          <w:szCs w:val="21"/>
          <w:lang w:bidi="ne-NP"/>
        </w:rPr>
      </w:pPr>
    </w:p>
    <w:p w14:paraId="1631837C" w14:textId="55563941" w:rsidR="00F33FC4" w:rsidRDefault="00D25092">
      <w:pPr>
        <w:rPr>
          <w:rFonts w:eastAsia="Calibri"/>
          <w:szCs w:val="21"/>
          <w:lang w:bidi="ne-NP"/>
        </w:rPr>
      </w:pPr>
      <w:r w:rsidRPr="003E0D31">
        <w:rPr>
          <w:rFonts w:eastAsia="Calibri"/>
          <w:noProof/>
          <w:szCs w:val="21"/>
          <w:lang w:bidi="ne-NP"/>
        </w:rPr>
        <w:lastRenderedPageBreak/>
        <mc:AlternateContent>
          <mc:Choice Requires="wps">
            <w:drawing>
              <wp:anchor distT="0" distB="0" distL="114300" distR="114300" simplePos="0" relativeHeight="251670528" behindDoc="0" locked="0" layoutInCell="1" allowOverlap="1" wp14:anchorId="66C5CEDD" wp14:editId="1A5E622F">
                <wp:simplePos x="0" y="0"/>
                <wp:positionH relativeFrom="column">
                  <wp:posOffset>207645</wp:posOffset>
                </wp:positionH>
                <wp:positionV relativeFrom="paragraph">
                  <wp:posOffset>2833370</wp:posOffset>
                </wp:positionV>
                <wp:extent cx="5603875" cy="635"/>
                <wp:effectExtent l="0" t="0" r="0" b="1270"/>
                <wp:wrapTopAndBottom/>
                <wp:docPr id="1" name="Text Box 1"/>
                <wp:cNvGraphicFramePr/>
                <a:graphic xmlns:a="http://schemas.openxmlformats.org/drawingml/2006/main">
                  <a:graphicData uri="http://schemas.microsoft.com/office/word/2010/wordprocessingShape">
                    <wps:wsp>
                      <wps:cNvSpPr txBox="1"/>
                      <wps:spPr>
                        <a:xfrm>
                          <a:off x="0" y="0"/>
                          <a:ext cx="5603875" cy="635"/>
                        </a:xfrm>
                        <a:prstGeom prst="rect">
                          <a:avLst/>
                        </a:prstGeom>
                        <a:solidFill>
                          <a:prstClr val="white"/>
                        </a:solidFill>
                        <a:ln>
                          <a:noFill/>
                        </a:ln>
                      </wps:spPr>
                      <wps:txbx>
                        <w:txbxContent>
                          <w:p w14:paraId="048DDFAD" w14:textId="1CB1495D" w:rsidR="00F33FC4" w:rsidRPr="00F33FC4" w:rsidRDefault="00F33FC4" w:rsidP="00F33FC4">
                            <w:pPr>
                              <w:pStyle w:val="Caption"/>
                              <w:rPr>
                                <w:i/>
                                <w:iCs w:val="0"/>
                                <w:sz w:val="22"/>
                                <w:szCs w:val="22"/>
                              </w:rPr>
                            </w:pPr>
                            <w:r w:rsidRPr="00F33FC4">
                              <w:rPr>
                                <w:iCs w:val="0"/>
                                <w:sz w:val="22"/>
                                <w:szCs w:val="22"/>
                              </w:rPr>
                              <w:t xml:space="preserve">Figure </w:t>
                            </w:r>
                            <w:r w:rsidRPr="00F33FC4">
                              <w:rPr>
                                <w:i/>
                                <w:iCs w:val="0"/>
                                <w:sz w:val="22"/>
                                <w:szCs w:val="22"/>
                              </w:rPr>
                              <w:fldChar w:fldCharType="begin"/>
                            </w:r>
                            <w:r w:rsidRPr="00F33FC4">
                              <w:rPr>
                                <w:iCs w:val="0"/>
                                <w:sz w:val="22"/>
                                <w:szCs w:val="22"/>
                              </w:rPr>
                              <w:instrText xml:space="preserve"> SEQ Figure \* ARABIC </w:instrText>
                            </w:r>
                            <w:r w:rsidRPr="00F33FC4">
                              <w:rPr>
                                <w:i/>
                                <w:iCs w:val="0"/>
                                <w:sz w:val="22"/>
                                <w:szCs w:val="22"/>
                              </w:rPr>
                              <w:fldChar w:fldCharType="separate"/>
                            </w:r>
                            <w:r w:rsidR="00D25092">
                              <w:rPr>
                                <w:iCs w:val="0"/>
                                <w:noProof/>
                                <w:sz w:val="22"/>
                                <w:szCs w:val="22"/>
                              </w:rPr>
                              <w:t>1</w:t>
                            </w:r>
                            <w:r w:rsidRPr="00F33FC4">
                              <w:rPr>
                                <w:i/>
                                <w:iCs w:val="0"/>
                                <w:sz w:val="22"/>
                                <w:szCs w:val="22"/>
                              </w:rPr>
                              <w:fldChar w:fldCharType="end"/>
                            </w:r>
                            <w:r w:rsidRPr="00F33FC4">
                              <w:rPr>
                                <w:iCs w:val="0"/>
                                <w:sz w:val="22"/>
                                <w:szCs w:val="22"/>
                              </w:rPr>
                              <w:t>.1. Schematic showing the effects of type toxin</w:t>
                            </w:r>
                            <w:r w:rsidRPr="00F33FC4">
                              <w:rPr>
                                <w:sz w:val="22"/>
                                <w:szCs w:val="22"/>
                              </w:rPr>
                              <w:t>-antitoxin system.</w:t>
                            </w:r>
                            <w:r w:rsidRPr="00F33FC4">
                              <w:rPr>
                                <w:iCs w:val="0"/>
                                <w:sz w:val="22"/>
                                <w:szCs w:val="22"/>
                              </w:rPr>
                              <w:t xml:space="preserve"> Expression from the chromosomal copy or deletion of the toxin-antitoxin locus may not have any observed physiological consequences whereas overexpression using ectopic vectors can result in cell growth stasis and cell death.</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66C5CEDD" id="_x0000_t202" coordsize="21600,21600" o:spt="202" path="m,l,21600r21600,l21600,xe">
                <v:stroke joinstyle="miter"/>
                <v:path gradientshapeok="t" o:connecttype="rect"/>
              </v:shapetype>
              <v:shape id="Text Box 1" o:spid="_x0000_s1026" type="#_x0000_t202" style="position:absolute;margin-left:16.35pt;margin-top:223.1pt;width:441.25pt;height:.05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" stroked="f">
                <v:textbox style="mso-fit-shape-to-text:t" inset="0,0,0,0">
                  <w:txbxContent>
                    <w:p w14:paraId="048DDFAD" w14:textId="1CB1495D" w:rsidR="00F33FC4" w:rsidRPr="00F33FC4" w:rsidRDefault="00F33FC4" w:rsidP="00F33FC4">
                      <w:pPr>
                        <w:pStyle w:val="Caption"/>
                        <w:rPr>
                          <w:i/>
                          <w:iCs w:val="0"/>
                          <w:sz w:val="22"/>
                          <w:szCs w:val="22"/>
                        </w:rPr>
                      </w:pPr>
                      <w:r w:rsidRPr="00F33FC4">
                        <w:rPr>
                          <w:iCs w:val="0"/>
                          <w:sz w:val="22"/>
                          <w:szCs w:val="22"/>
                        </w:rPr>
                        <w:t xml:space="preserve">Figure </w:t>
                      </w:r>
                      <w:r w:rsidRPr="00F33FC4">
                        <w:rPr>
                          <w:i/>
                          <w:iCs w:val="0"/>
                          <w:sz w:val="22"/>
                          <w:szCs w:val="22"/>
                        </w:rPr>
                        <w:fldChar w:fldCharType="begin"/>
                      </w:r>
                      <w:r w:rsidRPr="00F33FC4">
                        <w:rPr>
                          <w:iCs w:val="0"/>
                          <w:sz w:val="22"/>
                          <w:szCs w:val="22"/>
                        </w:rPr>
                        <w:instrText xml:space="preserve"> SEQ Figure \* ARABIC </w:instrText>
                      </w:r>
                      <w:r w:rsidRPr="00F33FC4">
                        <w:rPr>
                          <w:i/>
                          <w:iCs w:val="0"/>
                          <w:sz w:val="22"/>
                          <w:szCs w:val="22"/>
                        </w:rPr>
                        <w:fldChar w:fldCharType="separate"/>
                      </w:r>
                      <w:r w:rsidR="00D25092">
                        <w:rPr>
                          <w:iCs w:val="0"/>
                          <w:noProof/>
                          <w:sz w:val="22"/>
                          <w:szCs w:val="22"/>
                        </w:rPr>
                        <w:t>1</w:t>
                      </w:r>
                      <w:r w:rsidRPr="00F33FC4">
                        <w:rPr>
                          <w:i/>
                          <w:iCs w:val="0"/>
                          <w:sz w:val="22"/>
                          <w:szCs w:val="22"/>
                        </w:rPr>
                        <w:fldChar w:fldCharType="end"/>
                      </w:r>
                      <w:r w:rsidRPr="00F33FC4">
                        <w:rPr>
                          <w:iCs w:val="0"/>
                          <w:sz w:val="22"/>
                          <w:szCs w:val="22"/>
                        </w:rPr>
                        <w:t>.1. Schematic showing the effects of type toxin</w:t>
                      </w:r>
                      <w:r w:rsidRPr="00F33FC4">
                        <w:rPr>
                          <w:sz w:val="22"/>
                          <w:szCs w:val="22"/>
                        </w:rPr>
                        <w:t>-antitoxin system.</w:t>
                      </w:r>
                      <w:r w:rsidRPr="00F33FC4">
                        <w:rPr>
                          <w:iCs w:val="0"/>
                          <w:sz w:val="22"/>
                          <w:szCs w:val="22"/>
                        </w:rPr>
                        <w:t xml:space="preserve"> Expression from the chromosomal copy or deletion of the toxin-antitoxin locus may not have any observed physiological consequences whereas overexpression using ectopic vectors can result in cell growth stasis and cell death.</w:t>
                      </w:r>
                    </w:p>
                  </w:txbxContent>
                </v:textbox>
                <w10:wrap type="topAndBottom"/>
              </v:shape>
            </w:pict>
          </mc:Fallback>
        </mc:AlternateContent>
      </w:r>
      <w:r w:rsidR="00F33FC4" w:rsidRPr="003E0D31">
        <w:rPr>
          <w:rFonts w:eastAsia="Calibri"/>
          <w:noProof/>
          <w:szCs w:val="21"/>
          <w:lang w:bidi="ne-NP"/>
        </w:rPr>
        <w:drawing>
          <wp:anchor distT="0" distB="0" distL="114300" distR="114300" simplePos="0" relativeHeight="251671552" behindDoc="0" locked="0" layoutInCell="1" allowOverlap="1" wp14:anchorId="3E1863D6" wp14:editId="2410782A">
            <wp:simplePos x="0" y="0"/>
            <wp:positionH relativeFrom="column">
              <wp:posOffset>202565</wp:posOffset>
            </wp:positionH>
            <wp:positionV relativeFrom="paragraph">
              <wp:posOffset>178924</wp:posOffset>
            </wp:positionV>
            <wp:extent cx="5517515" cy="2532380"/>
            <wp:effectExtent l="0" t="0" r="0" b="0"/>
            <wp:wrapTopAndBottom/>
            <wp:docPr id="4" name="Picture 4" descr="Time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imeline&#10;&#10;Description automatically generated with medium confide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517515" cy="2532380"/>
                    </a:xfrm>
                    <a:prstGeom prst="rect">
                      <a:avLst/>
                    </a:prstGeom>
                  </pic:spPr>
                </pic:pic>
              </a:graphicData>
            </a:graphic>
            <wp14:sizeRelH relativeFrom="page">
              <wp14:pctWidth>0</wp14:pctWidth>
            </wp14:sizeRelH>
            <wp14:sizeRelV relativeFrom="page">
              <wp14:pctHeight>0</wp14:pctHeight>
            </wp14:sizeRelV>
          </wp:anchor>
        </w:drawing>
      </w:r>
      <w:r w:rsidR="00F33FC4">
        <w:rPr>
          <w:rFonts w:eastAsia="Calibri"/>
          <w:szCs w:val="21"/>
          <w:lang w:bidi="ne-NP"/>
        </w:rPr>
        <w:br w:type="page"/>
      </w:r>
    </w:p>
    <w:p w14:paraId="2C317D2C" w14:textId="77777777" w:rsidR="00705347" w:rsidRDefault="003E0D31" w:rsidP="00705347">
      <w:pPr>
        <w:spacing w:line="360" w:lineRule="auto"/>
        <w:ind w:firstLine="720"/>
        <w:rPr>
          <w:rFonts w:eastAsia="Calibri"/>
          <w:szCs w:val="21"/>
          <w:lang w:bidi="ne-NP"/>
        </w:rPr>
      </w:pPr>
      <w:r w:rsidRPr="003E0D31">
        <w:rPr>
          <w:rFonts w:eastAsia="Calibri"/>
          <w:szCs w:val="21"/>
          <w:lang w:bidi="ne-NP"/>
        </w:rPr>
        <w:lastRenderedPageBreak/>
        <w:t xml:space="preserve">The </w:t>
      </w:r>
      <w:proofErr w:type="spellStart"/>
      <w:r w:rsidRPr="003E0D31">
        <w:rPr>
          <w:rFonts w:eastAsia="Calibri"/>
          <w:szCs w:val="21"/>
          <w:lang w:bidi="ne-NP"/>
        </w:rPr>
        <w:t>Hok</w:t>
      </w:r>
      <w:proofErr w:type="spellEnd"/>
      <w:r w:rsidRPr="003E0D31">
        <w:rPr>
          <w:rFonts w:eastAsia="Calibri"/>
          <w:szCs w:val="21"/>
          <w:lang w:bidi="ne-NP"/>
        </w:rPr>
        <w:t>/</w:t>
      </w:r>
      <w:proofErr w:type="spellStart"/>
      <w:r w:rsidRPr="003E0D31">
        <w:rPr>
          <w:rFonts w:eastAsia="Calibri"/>
          <w:szCs w:val="21"/>
          <w:lang w:bidi="ne-NP"/>
        </w:rPr>
        <w:t>Gef</w:t>
      </w:r>
      <w:proofErr w:type="spellEnd"/>
      <w:r w:rsidRPr="003E0D31">
        <w:rPr>
          <w:rFonts w:eastAsia="Calibri"/>
          <w:szCs w:val="21"/>
          <w:lang w:bidi="ne-NP"/>
        </w:rPr>
        <w:t xml:space="preserve"> family (</w:t>
      </w:r>
      <w:proofErr w:type="spellStart"/>
      <w:r w:rsidRPr="003E0D31">
        <w:rPr>
          <w:rFonts w:eastAsia="Calibri"/>
          <w:i/>
          <w:iCs/>
          <w:szCs w:val="21"/>
          <w:lang w:bidi="ne-NP"/>
        </w:rPr>
        <w:t>hok</w:t>
      </w:r>
      <w:proofErr w:type="spellEnd"/>
      <w:r w:rsidRPr="003E0D31">
        <w:rPr>
          <w:rFonts w:eastAsia="Calibri"/>
          <w:i/>
          <w:iCs/>
          <w:szCs w:val="21"/>
          <w:lang w:bidi="ne-NP"/>
        </w:rPr>
        <w:t xml:space="preserve">, </w:t>
      </w:r>
      <w:proofErr w:type="spellStart"/>
      <w:r w:rsidRPr="003E0D31">
        <w:rPr>
          <w:rFonts w:eastAsia="Calibri"/>
          <w:i/>
          <w:iCs/>
          <w:szCs w:val="21"/>
          <w:lang w:bidi="ne-NP"/>
        </w:rPr>
        <w:t>hok</w:t>
      </w:r>
      <w:proofErr w:type="spellEnd"/>
      <w:r w:rsidRPr="003E0D31">
        <w:rPr>
          <w:rFonts w:eastAsia="Calibri"/>
          <w:i/>
          <w:iCs/>
          <w:szCs w:val="21"/>
          <w:lang w:bidi="ne-NP"/>
        </w:rPr>
        <w:t xml:space="preserve"> A-E, pndA1, </w:t>
      </w:r>
      <w:proofErr w:type="spellStart"/>
      <w:r w:rsidRPr="003E0D31">
        <w:rPr>
          <w:rFonts w:eastAsia="Calibri"/>
          <w:i/>
          <w:iCs/>
          <w:szCs w:val="21"/>
          <w:lang w:bidi="ne-NP"/>
        </w:rPr>
        <w:t>srnB</w:t>
      </w:r>
      <w:proofErr w:type="spellEnd"/>
      <w:r w:rsidRPr="003E0D31">
        <w:rPr>
          <w:rFonts w:eastAsia="Calibri"/>
          <w:szCs w:val="21"/>
          <w:lang w:bidi="ne-NP"/>
        </w:rPr>
        <w:t xml:space="preserve">) is widely distributed in plasmids and chromosomes of Gram-negative bacteria </w:t>
      </w:r>
      <w:r w:rsidRPr="003E0D31">
        <w:rPr>
          <w:rFonts w:eastAsia="Calibri"/>
          <w:noProof/>
          <w:szCs w:val="21"/>
          <w:lang w:bidi="ne-NP"/>
        </w:rPr>
        <w:t>(73–75)</w:t>
      </w:r>
      <w:r w:rsidRPr="003E0D31">
        <w:rPr>
          <w:rFonts w:eastAsia="Calibri"/>
          <w:szCs w:val="21"/>
          <w:lang w:bidi="ne-NP"/>
        </w:rPr>
        <w:t xml:space="preserve">. </w:t>
      </w:r>
      <w:proofErr w:type="spellStart"/>
      <w:r w:rsidRPr="003E0D31">
        <w:rPr>
          <w:rFonts w:eastAsia="Calibri"/>
          <w:szCs w:val="21"/>
          <w:lang w:bidi="ne-NP"/>
        </w:rPr>
        <w:t>HokA</w:t>
      </w:r>
      <w:proofErr w:type="spellEnd"/>
      <w:r w:rsidRPr="003E0D31">
        <w:rPr>
          <w:rFonts w:eastAsia="Calibri"/>
          <w:szCs w:val="21"/>
          <w:lang w:bidi="ne-NP"/>
        </w:rPr>
        <w:t xml:space="preserve">, </w:t>
      </w:r>
      <w:proofErr w:type="spellStart"/>
      <w:r w:rsidRPr="003E0D31">
        <w:rPr>
          <w:rFonts w:eastAsia="Calibri"/>
          <w:szCs w:val="21"/>
          <w:lang w:bidi="ne-NP"/>
        </w:rPr>
        <w:t>HokC</w:t>
      </w:r>
      <w:proofErr w:type="spellEnd"/>
      <w:r w:rsidRPr="003E0D31">
        <w:rPr>
          <w:rFonts w:eastAsia="Calibri"/>
          <w:szCs w:val="21"/>
          <w:lang w:bidi="ne-NP"/>
        </w:rPr>
        <w:t xml:space="preserve"> and </w:t>
      </w:r>
      <w:proofErr w:type="spellStart"/>
      <w:r w:rsidRPr="003E0D31">
        <w:rPr>
          <w:rFonts w:eastAsia="Calibri"/>
          <w:szCs w:val="21"/>
          <w:lang w:bidi="ne-NP"/>
        </w:rPr>
        <w:t>HokD</w:t>
      </w:r>
      <w:proofErr w:type="spellEnd"/>
      <w:r w:rsidRPr="003E0D31">
        <w:rPr>
          <w:rFonts w:eastAsia="Calibri"/>
          <w:szCs w:val="21"/>
          <w:lang w:bidi="ne-NP"/>
        </w:rPr>
        <w:t xml:space="preserve"> overexpression in </w:t>
      </w:r>
      <w:r w:rsidRPr="003E0D31">
        <w:rPr>
          <w:rFonts w:eastAsia="Calibri"/>
          <w:i/>
          <w:iCs/>
          <w:szCs w:val="21"/>
          <w:lang w:bidi="ne-NP"/>
        </w:rPr>
        <w:t>E. coli</w:t>
      </w:r>
      <w:r w:rsidRPr="003E0D31">
        <w:rPr>
          <w:rFonts w:eastAsia="Calibri"/>
          <w:szCs w:val="21"/>
          <w:lang w:bidi="ne-NP"/>
        </w:rPr>
        <w:t xml:space="preserve"> results in ghost cell formation and cell lysis </w:t>
      </w:r>
      <w:r w:rsidRPr="003E0D31">
        <w:rPr>
          <w:rFonts w:eastAsia="Calibri"/>
          <w:noProof/>
          <w:szCs w:val="21"/>
          <w:lang w:bidi="ne-NP"/>
        </w:rPr>
        <w:t>(75)</w:t>
      </w:r>
      <w:r w:rsidRPr="003E0D31">
        <w:rPr>
          <w:rFonts w:eastAsia="Calibri"/>
          <w:szCs w:val="21"/>
          <w:lang w:bidi="ne-NP"/>
        </w:rPr>
        <w:t xml:space="preserve">. More research has been conducted with the </w:t>
      </w:r>
      <w:proofErr w:type="spellStart"/>
      <w:r w:rsidRPr="003E0D31">
        <w:rPr>
          <w:rFonts w:eastAsia="Calibri"/>
          <w:szCs w:val="21"/>
          <w:lang w:bidi="ne-NP"/>
        </w:rPr>
        <w:t>HokB</w:t>
      </w:r>
      <w:proofErr w:type="spellEnd"/>
      <w:r w:rsidRPr="003E0D31">
        <w:rPr>
          <w:rFonts w:eastAsia="Calibri"/>
          <w:szCs w:val="21"/>
          <w:lang w:bidi="ne-NP"/>
        </w:rPr>
        <w:t xml:space="preserve"> toxin, showing that it forms pores and leads to membrane depolarization and ATP depletion </w:t>
      </w:r>
      <w:r w:rsidRPr="003E0D31">
        <w:rPr>
          <w:rFonts w:eastAsia="Calibri"/>
          <w:noProof/>
          <w:szCs w:val="21"/>
          <w:lang w:bidi="ne-NP"/>
        </w:rPr>
        <w:t>(76,77)</w:t>
      </w:r>
      <w:r w:rsidRPr="003E0D31">
        <w:rPr>
          <w:rFonts w:eastAsia="Calibri"/>
          <w:szCs w:val="21"/>
          <w:lang w:bidi="ne-NP"/>
        </w:rPr>
        <w:t xml:space="preserve">. </w:t>
      </w:r>
      <w:proofErr w:type="spellStart"/>
      <w:r w:rsidRPr="003E0D31">
        <w:rPr>
          <w:rFonts w:eastAsia="Calibri"/>
          <w:szCs w:val="21"/>
          <w:lang w:bidi="ne-NP"/>
        </w:rPr>
        <w:t>HokB</w:t>
      </w:r>
      <w:proofErr w:type="spellEnd"/>
      <w:r w:rsidRPr="003E0D31">
        <w:rPr>
          <w:rFonts w:eastAsia="Calibri"/>
          <w:szCs w:val="21"/>
          <w:lang w:bidi="ne-NP"/>
        </w:rPr>
        <w:t xml:space="preserve"> dimerizes via disulfide bonding to form pores larger than those produced by </w:t>
      </w:r>
      <w:proofErr w:type="spellStart"/>
      <w:r w:rsidRPr="003E0D31">
        <w:rPr>
          <w:rFonts w:eastAsia="Calibri"/>
          <w:szCs w:val="21"/>
          <w:lang w:bidi="ne-NP"/>
        </w:rPr>
        <w:t>TisB</w:t>
      </w:r>
      <w:proofErr w:type="spellEnd"/>
      <w:r w:rsidRPr="003E0D31">
        <w:rPr>
          <w:rFonts w:eastAsia="Calibri"/>
          <w:szCs w:val="21"/>
          <w:lang w:bidi="ne-NP"/>
        </w:rPr>
        <w:t xml:space="preserve"> which causes cellular ATP leakage </w:t>
      </w:r>
      <w:r w:rsidRPr="003E0D31">
        <w:rPr>
          <w:rFonts w:eastAsia="Calibri"/>
          <w:noProof/>
          <w:szCs w:val="21"/>
          <w:lang w:bidi="ne-NP"/>
        </w:rPr>
        <w:t>(76,78)</w:t>
      </w:r>
      <w:r w:rsidRPr="003E0D31">
        <w:rPr>
          <w:rFonts w:eastAsia="Calibri"/>
          <w:szCs w:val="21"/>
          <w:lang w:bidi="ne-NP"/>
        </w:rPr>
        <w:t xml:space="preserve">. This loss of membrane potential and ATP from the cell results in bacterial cell death. Overproduction of </w:t>
      </w:r>
      <w:proofErr w:type="spellStart"/>
      <w:r w:rsidRPr="003E0D31">
        <w:rPr>
          <w:rFonts w:eastAsia="Calibri"/>
          <w:szCs w:val="21"/>
          <w:lang w:bidi="ne-NP"/>
        </w:rPr>
        <w:t>HokB</w:t>
      </w:r>
      <w:proofErr w:type="spellEnd"/>
      <w:r w:rsidRPr="003E0D31">
        <w:rPr>
          <w:rFonts w:eastAsia="Calibri"/>
          <w:szCs w:val="21"/>
          <w:lang w:bidi="ne-NP"/>
        </w:rPr>
        <w:t xml:space="preserve"> in </w:t>
      </w:r>
      <w:r w:rsidRPr="003E0D31">
        <w:rPr>
          <w:rFonts w:eastAsia="Calibri"/>
          <w:i/>
          <w:iCs/>
          <w:szCs w:val="21"/>
          <w:lang w:bidi="ne-NP"/>
        </w:rPr>
        <w:t xml:space="preserve">Erwinia </w:t>
      </w:r>
      <w:proofErr w:type="spellStart"/>
      <w:r w:rsidRPr="003E0D31">
        <w:rPr>
          <w:rFonts w:eastAsia="Calibri"/>
          <w:i/>
          <w:iCs/>
          <w:szCs w:val="21"/>
          <w:lang w:bidi="ne-NP"/>
        </w:rPr>
        <w:t>amylovora</w:t>
      </w:r>
      <w:proofErr w:type="spellEnd"/>
      <w:r w:rsidRPr="003E0D31">
        <w:rPr>
          <w:rFonts w:eastAsia="Calibri"/>
          <w:szCs w:val="21"/>
          <w:lang w:bidi="ne-NP"/>
        </w:rPr>
        <w:t xml:space="preserve"> affects its morphology by forming multiple “blebs” and results in cellular leakage </w:t>
      </w:r>
      <w:r w:rsidRPr="003E0D31">
        <w:rPr>
          <w:rFonts w:eastAsia="Calibri"/>
          <w:noProof/>
          <w:szCs w:val="21"/>
          <w:lang w:bidi="ne-NP"/>
        </w:rPr>
        <w:t>(79)</w:t>
      </w:r>
      <w:r w:rsidRPr="003E0D31">
        <w:rPr>
          <w:rFonts w:eastAsia="Calibri"/>
          <w:szCs w:val="21"/>
          <w:lang w:bidi="ne-NP"/>
        </w:rPr>
        <w:t xml:space="preserve">. The membrane localization of </w:t>
      </w:r>
      <w:proofErr w:type="spellStart"/>
      <w:r w:rsidRPr="003E0D31">
        <w:rPr>
          <w:rFonts w:eastAsia="Calibri"/>
          <w:szCs w:val="21"/>
          <w:lang w:bidi="ne-NP"/>
        </w:rPr>
        <w:t>TisB</w:t>
      </w:r>
      <w:proofErr w:type="spellEnd"/>
      <w:r w:rsidRPr="003E0D31">
        <w:rPr>
          <w:rFonts w:eastAsia="Calibri"/>
          <w:szCs w:val="21"/>
          <w:lang w:bidi="ne-NP"/>
        </w:rPr>
        <w:t xml:space="preserve"> and pore formation has been confirmed using a combination of </w:t>
      </w:r>
      <w:r w:rsidRPr="003E0D31">
        <w:rPr>
          <w:rFonts w:eastAsia="Calibri"/>
          <w:i/>
          <w:iCs/>
          <w:szCs w:val="21"/>
          <w:lang w:bidi="ne-NP"/>
        </w:rPr>
        <w:t>in vivo</w:t>
      </w:r>
      <w:r w:rsidRPr="003E0D31">
        <w:rPr>
          <w:rFonts w:eastAsia="Calibri"/>
          <w:szCs w:val="21"/>
          <w:lang w:bidi="ne-NP"/>
        </w:rPr>
        <w:t xml:space="preserve"> and </w:t>
      </w:r>
      <w:r w:rsidRPr="003E0D31">
        <w:rPr>
          <w:rFonts w:eastAsia="Calibri"/>
          <w:i/>
          <w:iCs/>
          <w:szCs w:val="21"/>
          <w:lang w:bidi="ne-NP"/>
        </w:rPr>
        <w:t>in vitro</w:t>
      </w:r>
      <w:r w:rsidRPr="003E0D31">
        <w:rPr>
          <w:rFonts w:eastAsia="Calibri"/>
          <w:szCs w:val="21"/>
          <w:lang w:bidi="ne-NP"/>
        </w:rPr>
        <w:t xml:space="preserve"> assays. In a membrane mimicking environment, </w:t>
      </w:r>
      <w:proofErr w:type="spellStart"/>
      <w:r w:rsidRPr="003E0D31">
        <w:rPr>
          <w:rFonts w:eastAsia="Calibri"/>
          <w:szCs w:val="21"/>
          <w:lang w:bidi="ne-NP"/>
        </w:rPr>
        <w:t>TisB</w:t>
      </w:r>
      <w:proofErr w:type="spellEnd"/>
      <w:r w:rsidRPr="003E0D31">
        <w:rPr>
          <w:rFonts w:eastAsia="Calibri"/>
          <w:szCs w:val="21"/>
          <w:lang w:bidi="ne-NP"/>
        </w:rPr>
        <w:t xml:space="preserve"> forms an antiparallel dimer, stabilized by an electrostatic charge zipper that further cross links to form a tetramer </w:t>
      </w:r>
      <w:r w:rsidRPr="003E0D31">
        <w:rPr>
          <w:rFonts w:eastAsia="Calibri"/>
          <w:noProof/>
          <w:szCs w:val="21"/>
          <w:lang w:bidi="ne-NP"/>
        </w:rPr>
        <w:t>(80)</w:t>
      </w:r>
      <w:r w:rsidRPr="003E0D31">
        <w:rPr>
          <w:rFonts w:eastAsia="Calibri"/>
          <w:szCs w:val="21"/>
          <w:lang w:bidi="ne-NP"/>
        </w:rPr>
        <w:t xml:space="preserve">. This tetramer resembles a polar “tunnel” which extends from the aqueous phase through the peptide complex and across the entire thickness of the lipid bilayer </w:t>
      </w:r>
      <w:r w:rsidRPr="003E0D31">
        <w:rPr>
          <w:rFonts w:eastAsia="Calibri"/>
          <w:noProof/>
          <w:szCs w:val="21"/>
          <w:lang w:bidi="ne-NP"/>
        </w:rPr>
        <w:t>(80,81)</w:t>
      </w:r>
      <w:r w:rsidRPr="003E0D31">
        <w:rPr>
          <w:rFonts w:eastAsia="Calibri"/>
          <w:szCs w:val="21"/>
          <w:lang w:bidi="ne-NP"/>
        </w:rPr>
        <w:t xml:space="preserve">. The stable tetramer form was confirmed </w:t>
      </w:r>
      <w:r w:rsidRPr="003E0D31">
        <w:rPr>
          <w:rFonts w:eastAsia="Calibri"/>
          <w:i/>
          <w:iCs/>
          <w:szCs w:val="21"/>
          <w:lang w:bidi="ne-NP"/>
        </w:rPr>
        <w:t>in vivo</w:t>
      </w:r>
      <w:r w:rsidRPr="003E0D31">
        <w:rPr>
          <w:rFonts w:eastAsia="Calibri"/>
          <w:szCs w:val="21"/>
          <w:lang w:bidi="ne-NP"/>
        </w:rPr>
        <w:t xml:space="preserve"> by SDS-PAGE </w:t>
      </w:r>
      <w:r w:rsidRPr="003E0D31">
        <w:rPr>
          <w:rFonts w:eastAsia="Calibri"/>
          <w:noProof/>
          <w:szCs w:val="21"/>
          <w:lang w:bidi="ne-NP"/>
        </w:rPr>
        <w:t>(80)</w:t>
      </w:r>
      <w:r w:rsidRPr="003E0D31">
        <w:rPr>
          <w:rFonts w:eastAsia="Calibri"/>
          <w:szCs w:val="21"/>
          <w:lang w:bidi="ne-NP"/>
        </w:rPr>
        <w:t xml:space="preserve">. Upon overexpression, </w:t>
      </w:r>
      <w:proofErr w:type="spellStart"/>
      <w:r w:rsidRPr="003E0D31">
        <w:rPr>
          <w:rFonts w:eastAsia="Calibri"/>
          <w:szCs w:val="21"/>
          <w:lang w:bidi="ne-NP"/>
        </w:rPr>
        <w:t>TisB</w:t>
      </w:r>
      <w:proofErr w:type="spellEnd"/>
      <w:r w:rsidRPr="003E0D31">
        <w:rPr>
          <w:rFonts w:eastAsia="Calibri"/>
          <w:szCs w:val="21"/>
          <w:lang w:bidi="ne-NP"/>
        </w:rPr>
        <w:t xml:space="preserve"> results in a loss of membrane potential and reduction of intracellular ATP levels, which affects global cellular transcription, translation</w:t>
      </w:r>
      <w:r w:rsidR="00F33FC4">
        <w:rPr>
          <w:rFonts w:eastAsia="Calibri"/>
          <w:szCs w:val="21"/>
          <w:lang w:bidi="ne-NP"/>
        </w:rPr>
        <w:t>,</w:t>
      </w:r>
      <w:r w:rsidRPr="003E0D31">
        <w:rPr>
          <w:rFonts w:eastAsia="Calibri"/>
          <w:szCs w:val="21"/>
          <w:lang w:bidi="ne-NP"/>
        </w:rPr>
        <w:t xml:space="preserve"> and DNA replication, ultimately resulting in cell death </w:t>
      </w:r>
      <w:r w:rsidRPr="003E0D31">
        <w:rPr>
          <w:rFonts w:eastAsia="Calibri"/>
          <w:noProof/>
          <w:szCs w:val="21"/>
          <w:lang w:bidi="ne-NP"/>
        </w:rPr>
        <w:t>(82)</w:t>
      </w:r>
      <w:r w:rsidRPr="003E0D31">
        <w:rPr>
          <w:rFonts w:eastAsia="Calibri"/>
          <w:szCs w:val="21"/>
          <w:lang w:bidi="ne-NP"/>
        </w:rPr>
        <w:t>.</w:t>
      </w:r>
    </w:p>
    <w:p w14:paraId="1C1FF2B3" w14:textId="77777777" w:rsidR="00705347" w:rsidRDefault="003E0D31" w:rsidP="00705347">
      <w:pPr>
        <w:spacing w:line="360" w:lineRule="auto"/>
        <w:ind w:firstLine="720"/>
        <w:rPr>
          <w:rFonts w:eastAsia="Calibri"/>
          <w:szCs w:val="21"/>
          <w:lang w:bidi="ne-NP"/>
        </w:rPr>
      </w:pPr>
      <w:r w:rsidRPr="003E0D31">
        <w:rPr>
          <w:rFonts w:eastAsia="Calibri"/>
          <w:szCs w:val="21"/>
          <w:lang w:bidi="ne-NP"/>
        </w:rPr>
        <w:t xml:space="preserve">Overproduction of </w:t>
      </w:r>
      <w:proofErr w:type="spellStart"/>
      <w:r w:rsidRPr="003E0D31">
        <w:rPr>
          <w:rFonts w:eastAsia="Calibri"/>
          <w:szCs w:val="21"/>
          <w:lang w:bidi="ne-NP"/>
        </w:rPr>
        <w:t>IbsC</w:t>
      </w:r>
      <w:proofErr w:type="spellEnd"/>
      <w:r w:rsidRPr="003E0D31">
        <w:rPr>
          <w:rFonts w:eastAsia="Calibri"/>
          <w:szCs w:val="21"/>
          <w:lang w:bidi="ne-NP"/>
        </w:rPr>
        <w:t xml:space="preserve"> or </w:t>
      </w:r>
      <w:proofErr w:type="spellStart"/>
      <w:r w:rsidRPr="003E0D31">
        <w:rPr>
          <w:rFonts w:eastAsia="Calibri"/>
          <w:szCs w:val="21"/>
          <w:lang w:bidi="ne-NP"/>
        </w:rPr>
        <w:t>ShoB</w:t>
      </w:r>
      <w:proofErr w:type="spellEnd"/>
      <w:r w:rsidRPr="003E0D31">
        <w:rPr>
          <w:rFonts w:eastAsia="Calibri"/>
          <w:szCs w:val="21"/>
          <w:lang w:bidi="ne-NP"/>
        </w:rPr>
        <w:t xml:space="preserve"> rapidly impacts membrane integrity with at least 97% of the cells becoming depolarized within 20 minutes of induction, which subsequently impacts cellular viability </w:t>
      </w:r>
      <w:r w:rsidRPr="003E0D31">
        <w:rPr>
          <w:rFonts w:eastAsia="Calibri"/>
          <w:noProof/>
          <w:szCs w:val="21"/>
          <w:lang w:bidi="ne-NP"/>
        </w:rPr>
        <w:t>(12)</w:t>
      </w:r>
      <w:r w:rsidRPr="003E0D31">
        <w:rPr>
          <w:rFonts w:eastAsia="Calibri"/>
          <w:szCs w:val="21"/>
          <w:lang w:bidi="ne-NP"/>
        </w:rPr>
        <w:t xml:space="preserve">. </w:t>
      </w:r>
      <w:proofErr w:type="spellStart"/>
      <w:r w:rsidRPr="003E0D31">
        <w:rPr>
          <w:rFonts w:eastAsia="Calibri"/>
          <w:szCs w:val="21"/>
          <w:lang w:bidi="ne-NP"/>
        </w:rPr>
        <w:t>DinQ</w:t>
      </w:r>
      <w:proofErr w:type="spellEnd"/>
      <w:r w:rsidRPr="003E0D31">
        <w:rPr>
          <w:rFonts w:eastAsia="Calibri"/>
          <w:szCs w:val="21"/>
          <w:lang w:bidi="ne-NP"/>
        </w:rPr>
        <w:t xml:space="preserve"> localizes to the bacterial inner membrane and its overexpression demonstrations similar effects on membrane depolarization </w:t>
      </w:r>
      <w:r w:rsidRPr="003E0D31">
        <w:rPr>
          <w:rFonts w:eastAsia="Calibri"/>
          <w:noProof/>
          <w:szCs w:val="21"/>
          <w:lang w:bidi="ne-NP"/>
        </w:rPr>
        <w:t>(55)</w:t>
      </w:r>
      <w:r w:rsidRPr="003E0D31">
        <w:rPr>
          <w:rFonts w:eastAsia="Calibri"/>
          <w:szCs w:val="21"/>
          <w:lang w:bidi="ne-NP"/>
        </w:rPr>
        <w:t xml:space="preserve">. The impact of </w:t>
      </w:r>
      <w:proofErr w:type="spellStart"/>
      <w:r w:rsidRPr="003E0D31">
        <w:rPr>
          <w:rFonts w:eastAsia="Calibri"/>
          <w:szCs w:val="21"/>
          <w:lang w:bidi="ne-NP"/>
        </w:rPr>
        <w:t>DinQ</w:t>
      </w:r>
      <w:proofErr w:type="spellEnd"/>
      <w:r w:rsidRPr="003E0D31">
        <w:rPr>
          <w:rFonts w:eastAsia="Calibri"/>
          <w:szCs w:val="21"/>
          <w:lang w:bidi="ne-NP"/>
        </w:rPr>
        <w:t xml:space="preserve"> when its antitoxin (</w:t>
      </w:r>
      <w:proofErr w:type="spellStart"/>
      <w:r w:rsidRPr="003E0D31">
        <w:rPr>
          <w:rFonts w:eastAsia="Calibri"/>
          <w:i/>
          <w:iCs/>
          <w:szCs w:val="21"/>
          <w:lang w:bidi="ne-NP"/>
        </w:rPr>
        <w:t>agrB</w:t>
      </w:r>
      <w:proofErr w:type="spellEnd"/>
      <w:r w:rsidRPr="003E0D31">
        <w:rPr>
          <w:rFonts w:eastAsia="Calibri"/>
          <w:szCs w:val="21"/>
          <w:lang w:bidi="ne-NP"/>
        </w:rPr>
        <w:t xml:space="preserve">) was resulted in a cell having only approximately 50% of the ATP concentration compared to wild type </w:t>
      </w:r>
      <w:r w:rsidRPr="003E0D31">
        <w:rPr>
          <w:rFonts w:eastAsia="Calibri"/>
          <w:noProof/>
          <w:szCs w:val="21"/>
          <w:lang w:bidi="ne-NP"/>
        </w:rPr>
        <w:t>(55)</w:t>
      </w:r>
      <w:r w:rsidRPr="003E0D31">
        <w:rPr>
          <w:rFonts w:eastAsia="Calibri"/>
          <w:szCs w:val="21"/>
          <w:lang w:bidi="ne-NP"/>
        </w:rPr>
        <w:t xml:space="preserve">. </w:t>
      </w:r>
      <w:proofErr w:type="spellStart"/>
      <w:r w:rsidRPr="003E0D31">
        <w:rPr>
          <w:rFonts w:eastAsia="Calibri"/>
          <w:szCs w:val="21"/>
          <w:lang w:bidi="ne-NP"/>
        </w:rPr>
        <w:t>LdrA</w:t>
      </w:r>
      <w:proofErr w:type="spellEnd"/>
      <w:r w:rsidRPr="003E0D31">
        <w:rPr>
          <w:rFonts w:eastAsia="Calibri"/>
          <w:szCs w:val="21"/>
          <w:lang w:bidi="ne-NP"/>
        </w:rPr>
        <w:t xml:space="preserve"> overexpression has similar impacts on ATP depletion which inhibits major cellular processes such as transcription, translation and replication, and results in growth inhibition of the cells </w:t>
      </w:r>
      <w:r w:rsidRPr="003E0D31">
        <w:rPr>
          <w:rFonts w:eastAsia="Calibri"/>
          <w:noProof/>
          <w:szCs w:val="21"/>
          <w:lang w:bidi="ne-NP"/>
        </w:rPr>
        <w:t>(83)</w:t>
      </w:r>
      <w:r w:rsidRPr="003E0D31">
        <w:rPr>
          <w:rFonts w:eastAsia="Calibri"/>
          <w:szCs w:val="21"/>
          <w:lang w:bidi="ne-NP"/>
        </w:rPr>
        <w:t xml:space="preserve">. </w:t>
      </w:r>
      <w:proofErr w:type="spellStart"/>
      <w:r w:rsidRPr="003E0D31">
        <w:rPr>
          <w:rFonts w:eastAsia="Calibri"/>
          <w:szCs w:val="21"/>
          <w:lang w:bidi="ne-NP"/>
        </w:rPr>
        <w:t>ZorO</w:t>
      </w:r>
      <w:proofErr w:type="spellEnd"/>
      <w:r w:rsidRPr="003E0D31">
        <w:rPr>
          <w:rFonts w:eastAsia="Calibri"/>
          <w:szCs w:val="21"/>
          <w:lang w:bidi="ne-NP"/>
        </w:rPr>
        <w:t xml:space="preserve"> overexpression also results in loss of membrane potential and impacts cellular ATP levels by targeting the bacterial inner membrane </w:t>
      </w:r>
      <w:r w:rsidRPr="003E0D31">
        <w:rPr>
          <w:rFonts w:eastAsia="Calibri"/>
          <w:noProof/>
          <w:szCs w:val="21"/>
          <w:lang w:bidi="ne-NP"/>
        </w:rPr>
        <w:t>(84)</w:t>
      </w:r>
      <w:r w:rsidRPr="003E0D31">
        <w:rPr>
          <w:rFonts w:eastAsia="Calibri"/>
          <w:szCs w:val="21"/>
          <w:lang w:bidi="ne-NP"/>
        </w:rPr>
        <w:t xml:space="preserve">. Furthermore, it increases reactive oxygen species (ROS) which leads to the permeabilization of the membrane and subsequent cell death </w:t>
      </w:r>
      <w:r w:rsidRPr="003E0D31">
        <w:rPr>
          <w:rFonts w:eastAsia="Calibri"/>
          <w:noProof/>
          <w:szCs w:val="21"/>
          <w:lang w:bidi="ne-NP"/>
        </w:rPr>
        <w:t>(84)</w:t>
      </w:r>
      <w:r w:rsidRPr="003E0D31">
        <w:rPr>
          <w:rFonts w:eastAsia="Calibri"/>
          <w:szCs w:val="21"/>
          <w:lang w:bidi="ne-NP"/>
        </w:rPr>
        <w:t xml:space="preserve">. Other type I toxins </w:t>
      </w:r>
      <w:r w:rsidRPr="003E0D31">
        <w:rPr>
          <w:rFonts w:eastAsia="Calibri"/>
          <w:szCs w:val="21"/>
          <w:lang w:bidi="ne-NP"/>
        </w:rPr>
        <w:lastRenderedPageBreak/>
        <w:t xml:space="preserve">such as </w:t>
      </w:r>
      <w:proofErr w:type="spellStart"/>
      <w:r w:rsidRPr="003E0D31">
        <w:rPr>
          <w:rFonts w:eastAsia="Calibri"/>
          <w:szCs w:val="21"/>
          <w:lang w:bidi="ne-NP"/>
        </w:rPr>
        <w:t>TisB</w:t>
      </w:r>
      <w:proofErr w:type="spellEnd"/>
      <w:r w:rsidRPr="003E0D31">
        <w:rPr>
          <w:rFonts w:eastAsia="Calibri"/>
          <w:szCs w:val="21"/>
          <w:lang w:bidi="ne-NP"/>
        </w:rPr>
        <w:t xml:space="preserve">, </w:t>
      </w:r>
      <w:proofErr w:type="spellStart"/>
      <w:r w:rsidRPr="003E0D31">
        <w:rPr>
          <w:rFonts w:eastAsia="Calibri"/>
          <w:szCs w:val="21"/>
          <w:lang w:bidi="ne-NP"/>
        </w:rPr>
        <w:t>DinQ</w:t>
      </w:r>
      <w:proofErr w:type="spellEnd"/>
      <w:r w:rsidRPr="003E0D31">
        <w:rPr>
          <w:rFonts w:eastAsia="Calibri"/>
          <w:szCs w:val="21"/>
          <w:lang w:bidi="ne-NP"/>
        </w:rPr>
        <w:t xml:space="preserve">-V and </w:t>
      </w:r>
      <w:proofErr w:type="spellStart"/>
      <w:r w:rsidRPr="003E0D31">
        <w:rPr>
          <w:rFonts w:eastAsia="Calibri"/>
          <w:szCs w:val="21"/>
          <w:lang w:bidi="ne-NP"/>
        </w:rPr>
        <w:t>HokB</w:t>
      </w:r>
      <w:proofErr w:type="spellEnd"/>
      <w:r w:rsidRPr="003E0D31">
        <w:rPr>
          <w:rFonts w:eastAsia="Calibri"/>
          <w:szCs w:val="21"/>
          <w:lang w:bidi="ne-NP"/>
        </w:rPr>
        <w:t xml:space="preserve"> are also linked to ROS formation in </w:t>
      </w:r>
      <w:r w:rsidRPr="003E0D31">
        <w:rPr>
          <w:rFonts w:eastAsia="Calibri"/>
          <w:i/>
          <w:iCs/>
          <w:szCs w:val="21"/>
          <w:lang w:bidi="ne-NP"/>
        </w:rPr>
        <w:t>E. coli</w:t>
      </w:r>
      <w:r w:rsidRPr="003E0D31">
        <w:rPr>
          <w:rFonts w:eastAsia="Calibri"/>
          <w:szCs w:val="21"/>
          <w:lang w:bidi="ne-NP"/>
        </w:rPr>
        <w:t xml:space="preserve"> upon overproduction </w:t>
      </w:r>
      <w:r w:rsidRPr="003E0D31">
        <w:rPr>
          <w:rFonts w:eastAsia="Calibri"/>
          <w:noProof/>
          <w:szCs w:val="21"/>
          <w:lang w:bidi="ne-NP"/>
        </w:rPr>
        <w:t>(85)</w:t>
      </w:r>
      <w:r w:rsidRPr="003E0D31">
        <w:rPr>
          <w:rFonts w:eastAsia="Calibri"/>
          <w:szCs w:val="21"/>
          <w:lang w:bidi="ne-NP"/>
        </w:rPr>
        <w:t>.</w:t>
      </w:r>
    </w:p>
    <w:p w14:paraId="2D191F29" w14:textId="77777777" w:rsidR="00705347" w:rsidRDefault="003E0D31" w:rsidP="00705347">
      <w:pPr>
        <w:spacing w:line="360" w:lineRule="auto"/>
        <w:ind w:firstLine="720"/>
        <w:rPr>
          <w:rFonts w:eastAsia="Calibri"/>
          <w:szCs w:val="21"/>
          <w:lang w:bidi="ne-NP"/>
        </w:rPr>
      </w:pPr>
      <w:r w:rsidRPr="003E0D31">
        <w:rPr>
          <w:rFonts w:eastAsia="Calibri"/>
          <w:szCs w:val="21"/>
          <w:lang w:bidi="ne-NP"/>
        </w:rPr>
        <w:t xml:space="preserve">The </w:t>
      </w:r>
      <w:proofErr w:type="spellStart"/>
      <w:r w:rsidRPr="003E0D31">
        <w:rPr>
          <w:rFonts w:eastAsia="Calibri"/>
          <w:szCs w:val="21"/>
          <w:lang w:bidi="ne-NP"/>
        </w:rPr>
        <w:t>TxpA</w:t>
      </w:r>
      <w:proofErr w:type="spellEnd"/>
      <w:r w:rsidRPr="003E0D31">
        <w:rPr>
          <w:rFonts w:eastAsia="Calibri"/>
          <w:szCs w:val="21"/>
          <w:lang w:bidi="ne-NP"/>
        </w:rPr>
        <w:t xml:space="preserve"> toxin encoded in the chromosome of </w:t>
      </w:r>
      <w:r w:rsidRPr="003E0D31">
        <w:rPr>
          <w:rFonts w:eastAsia="Calibri"/>
          <w:i/>
          <w:iCs/>
          <w:szCs w:val="21"/>
          <w:lang w:bidi="ne-NP"/>
        </w:rPr>
        <w:t>Bacillus subtilis</w:t>
      </w:r>
      <w:r w:rsidRPr="003E0D31">
        <w:rPr>
          <w:rFonts w:eastAsia="Calibri"/>
          <w:szCs w:val="21"/>
          <w:lang w:bidi="ne-NP"/>
        </w:rPr>
        <w:t xml:space="preserve"> contains a transmembrane domain and is predicted to affect the membrane, thus resulting in cell death </w:t>
      </w:r>
      <w:r w:rsidRPr="003E0D31">
        <w:rPr>
          <w:rFonts w:eastAsia="Calibri"/>
          <w:noProof/>
          <w:szCs w:val="21"/>
          <w:lang w:bidi="ne-NP"/>
        </w:rPr>
        <w:t>(13)</w:t>
      </w:r>
      <w:r w:rsidRPr="003E0D31">
        <w:rPr>
          <w:rFonts w:eastAsia="Calibri"/>
          <w:szCs w:val="21"/>
          <w:lang w:bidi="ne-NP"/>
        </w:rPr>
        <w:t xml:space="preserve">. Based on homology with </w:t>
      </w:r>
      <w:proofErr w:type="spellStart"/>
      <w:r w:rsidRPr="003E0D31">
        <w:rPr>
          <w:rFonts w:eastAsia="Calibri"/>
          <w:i/>
          <w:iCs/>
          <w:szCs w:val="21"/>
          <w:lang w:bidi="ne-NP"/>
        </w:rPr>
        <w:t>txpA</w:t>
      </w:r>
      <w:proofErr w:type="spellEnd"/>
      <w:r w:rsidRPr="003E0D31">
        <w:rPr>
          <w:rFonts w:eastAsia="Calibri"/>
          <w:szCs w:val="21"/>
          <w:lang w:bidi="ne-NP"/>
        </w:rPr>
        <w:t>/</w:t>
      </w:r>
      <w:proofErr w:type="spellStart"/>
      <w:r w:rsidRPr="003E0D31">
        <w:rPr>
          <w:rFonts w:eastAsia="Calibri"/>
          <w:szCs w:val="21"/>
          <w:lang w:bidi="ne-NP"/>
        </w:rPr>
        <w:t>RatA</w:t>
      </w:r>
      <w:proofErr w:type="spellEnd"/>
      <w:r w:rsidRPr="003E0D31">
        <w:rPr>
          <w:rFonts w:eastAsia="Calibri"/>
          <w:szCs w:val="21"/>
          <w:lang w:bidi="ne-NP"/>
        </w:rPr>
        <w:t xml:space="preserve">, the </w:t>
      </w:r>
      <w:proofErr w:type="spellStart"/>
      <w:r w:rsidRPr="003E0D31">
        <w:rPr>
          <w:rFonts w:eastAsia="Calibri"/>
          <w:szCs w:val="21"/>
          <w:lang w:bidi="ne-NP"/>
        </w:rPr>
        <w:t>SprG</w:t>
      </w:r>
      <w:proofErr w:type="spellEnd"/>
      <w:r w:rsidRPr="003E0D31">
        <w:rPr>
          <w:rFonts w:eastAsia="Calibri"/>
          <w:szCs w:val="21"/>
          <w:lang w:bidi="ne-NP"/>
        </w:rPr>
        <w:t xml:space="preserve"> toxins (with four homologs SprG1-SprG4) were identified in </w:t>
      </w:r>
      <w:r w:rsidRPr="003E0D31">
        <w:rPr>
          <w:rFonts w:eastAsia="Calibri"/>
          <w:i/>
          <w:iCs/>
          <w:szCs w:val="21"/>
          <w:lang w:bidi="ne-NP"/>
        </w:rPr>
        <w:t>S. aureus</w:t>
      </w:r>
      <w:r w:rsidRPr="003E0D31">
        <w:rPr>
          <w:rFonts w:eastAsia="Calibri"/>
          <w:szCs w:val="21"/>
          <w:lang w:bidi="ne-NP"/>
        </w:rPr>
        <w:t xml:space="preserve"> and were shown to disrupt the integrity of the bacterial membrane </w:t>
      </w:r>
      <w:r w:rsidRPr="003E0D31">
        <w:rPr>
          <w:rFonts w:eastAsia="Calibri"/>
          <w:noProof/>
          <w:szCs w:val="21"/>
          <w:lang w:bidi="ne-NP"/>
        </w:rPr>
        <w:t>(63,68)</w:t>
      </w:r>
      <w:r w:rsidRPr="003E0D31">
        <w:rPr>
          <w:rFonts w:eastAsia="Calibri"/>
          <w:szCs w:val="21"/>
          <w:lang w:bidi="ne-NP"/>
        </w:rPr>
        <w:t>.</w:t>
      </w:r>
    </w:p>
    <w:p w14:paraId="2226D86F" w14:textId="755B7BFF" w:rsidR="00705347" w:rsidRDefault="003E0D31" w:rsidP="00705347">
      <w:pPr>
        <w:spacing w:line="360" w:lineRule="auto"/>
        <w:ind w:firstLine="720"/>
        <w:rPr>
          <w:rFonts w:eastAsia="Calibri"/>
          <w:szCs w:val="21"/>
          <w:lang w:bidi="ne-NP"/>
        </w:rPr>
      </w:pPr>
      <w:r w:rsidRPr="003E0D31">
        <w:rPr>
          <w:rFonts w:eastAsia="Calibri"/>
          <w:szCs w:val="21"/>
          <w:lang w:bidi="ne-NP"/>
        </w:rPr>
        <w:t>While membrane effects appear at first examination to be the major cause of toxicity, careful studies with specific type I toxins suggest that for at least some, the primary target is not the membrane.</w:t>
      </w:r>
      <w:r w:rsidR="000725B7">
        <w:rPr>
          <w:rFonts w:eastAsia="Calibri"/>
          <w:szCs w:val="21"/>
          <w:lang w:bidi="ne-NP"/>
        </w:rPr>
        <w:t xml:space="preserve"> </w:t>
      </w:r>
      <w:r w:rsidRPr="003E0D31">
        <w:rPr>
          <w:rFonts w:eastAsia="Calibri"/>
          <w:szCs w:val="21"/>
          <w:lang w:bidi="ne-NP"/>
        </w:rPr>
        <w:t xml:space="preserve">For example, </w:t>
      </w:r>
      <w:proofErr w:type="spellStart"/>
      <w:r w:rsidRPr="003E0D31">
        <w:rPr>
          <w:rFonts w:eastAsia="Calibri"/>
          <w:szCs w:val="21"/>
          <w:lang w:bidi="ne-NP"/>
        </w:rPr>
        <w:t>Fst</w:t>
      </w:r>
      <w:proofErr w:type="spellEnd"/>
      <w:r w:rsidRPr="003E0D31">
        <w:rPr>
          <w:rFonts w:eastAsia="Calibri"/>
          <w:szCs w:val="21"/>
          <w:lang w:bidi="ne-NP"/>
        </w:rPr>
        <w:t xml:space="preserve"> is a member of the </w:t>
      </w:r>
      <w:proofErr w:type="spellStart"/>
      <w:r w:rsidRPr="003E0D31">
        <w:rPr>
          <w:rFonts w:eastAsia="Calibri"/>
          <w:szCs w:val="21"/>
          <w:lang w:bidi="ne-NP"/>
        </w:rPr>
        <w:t>Fst</w:t>
      </w:r>
      <w:proofErr w:type="spellEnd"/>
      <w:r w:rsidRPr="003E0D31">
        <w:rPr>
          <w:rFonts w:eastAsia="Calibri"/>
          <w:szCs w:val="21"/>
          <w:lang w:bidi="ne-NP"/>
        </w:rPr>
        <w:t>/</w:t>
      </w:r>
      <w:proofErr w:type="spellStart"/>
      <w:r w:rsidRPr="003E0D31">
        <w:rPr>
          <w:rFonts w:eastAsia="Calibri"/>
          <w:szCs w:val="21"/>
          <w:lang w:bidi="ne-NP"/>
        </w:rPr>
        <w:t>Ldr</w:t>
      </w:r>
      <w:proofErr w:type="spellEnd"/>
      <w:r w:rsidRPr="003E0D31">
        <w:rPr>
          <w:rFonts w:eastAsia="Calibri"/>
          <w:szCs w:val="21"/>
          <w:lang w:bidi="ne-NP"/>
        </w:rPr>
        <w:t xml:space="preserve"> superfamily of type I toxins. </w:t>
      </w:r>
      <w:proofErr w:type="spellStart"/>
      <w:r w:rsidRPr="003E0D31">
        <w:rPr>
          <w:rFonts w:eastAsia="Calibri"/>
          <w:szCs w:val="21"/>
          <w:lang w:bidi="ne-NP"/>
        </w:rPr>
        <w:t>Fst</w:t>
      </w:r>
      <w:proofErr w:type="spellEnd"/>
      <w:r w:rsidRPr="003E0D31">
        <w:rPr>
          <w:rFonts w:eastAsia="Calibri"/>
          <w:szCs w:val="21"/>
          <w:lang w:bidi="ne-NP"/>
        </w:rPr>
        <w:t xml:space="preserve"> overproduction is toxic not only in </w:t>
      </w:r>
      <w:r w:rsidRPr="003E0D31">
        <w:rPr>
          <w:rFonts w:eastAsia="Calibri"/>
          <w:i/>
          <w:iCs/>
          <w:szCs w:val="21"/>
          <w:lang w:bidi="ne-NP"/>
        </w:rPr>
        <w:t>E. faecalis</w:t>
      </w:r>
      <w:r w:rsidRPr="003E0D31">
        <w:rPr>
          <w:rFonts w:eastAsia="Calibri"/>
          <w:szCs w:val="21"/>
          <w:lang w:bidi="ne-NP"/>
        </w:rPr>
        <w:t xml:space="preserve"> that harbors it, but also in </w:t>
      </w:r>
      <w:r w:rsidRPr="003E0D31">
        <w:rPr>
          <w:rFonts w:eastAsia="Calibri"/>
          <w:i/>
          <w:iCs/>
          <w:szCs w:val="21"/>
          <w:lang w:bidi="ne-NP"/>
        </w:rPr>
        <w:t>B. subtilis</w:t>
      </w:r>
      <w:r w:rsidRPr="003E0D31">
        <w:rPr>
          <w:rFonts w:eastAsia="Calibri"/>
          <w:szCs w:val="21"/>
          <w:lang w:bidi="ne-NP"/>
        </w:rPr>
        <w:t xml:space="preserve"> </w:t>
      </w:r>
      <w:r w:rsidRPr="003E0D31">
        <w:rPr>
          <w:rFonts w:eastAsia="Calibri"/>
          <w:noProof/>
          <w:szCs w:val="21"/>
          <w:lang w:bidi="ne-NP"/>
        </w:rPr>
        <w:t>(60,86)</w:t>
      </w:r>
      <w:r w:rsidRPr="003E0D31">
        <w:rPr>
          <w:rFonts w:eastAsia="Calibri"/>
          <w:szCs w:val="21"/>
          <w:lang w:bidi="ne-NP"/>
        </w:rPr>
        <w:t xml:space="preserve">. Overexpression of </w:t>
      </w:r>
      <w:proofErr w:type="spellStart"/>
      <w:r w:rsidRPr="003E0D31">
        <w:rPr>
          <w:rFonts w:eastAsia="Calibri"/>
          <w:szCs w:val="21"/>
          <w:lang w:bidi="ne-NP"/>
        </w:rPr>
        <w:t>Fst</w:t>
      </w:r>
      <w:proofErr w:type="spellEnd"/>
      <w:r w:rsidRPr="003E0D31">
        <w:rPr>
          <w:rFonts w:eastAsia="Calibri"/>
          <w:szCs w:val="21"/>
          <w:lang w:bidi="ne-NP"/>
        </w:rPr>
        <w:t xml:space="preserve"> results in nucleoid condensation and an uneven distribution of chromosomal DNA between daughter cells during replication </w:t>
      </w:r>
      <w:r w:rsidRPr="003E0D31">
        <w:rPr>
          <w:rFonts w:eastAsia="Calibri"/>
          <w:noProof/>
          <w:szCs w:val="21"/>
          <w:lang w:bidi="ne-NP"/>
        </w:rPr>
        <w:t>(86)</w:t>
      </w:r>
      <w:r w:rsidRPr="003E0D31">
        <w:rPr>
          <w:rFonts w:eastAsia="Calibri"/>
          <w:szCs w:val="21"/>
          <w:lang w:bidi="ne-NP"/>
        </w:rPr>
        <w:t xml:space="preserve">. Effects on cell division and DNA segregation were followed by effects on membrane permeability, indicating that membrane disruption is likely a secondary effect </w:t>
      </w:r>
      <w:r w:rsidRPr="003E0D31">
        <w:rPr>
          <w:rFonts w:eastAsia="Calibri"/>
          <w:noProof/>
          <w:szCs w:val="21"/>
          <w:lang w:bidi="ne-NP"/>
        </w:rPr>
        <w:t>(86)</w:t>
      </w:r>
      <w:r w:rsidRPr="003E0D31">
        <w:rPr>
          <w:rFonts w:eastAsia="Calibri"/>
          <w:szCs w:val="21"/>
          <w:lang w:bidi="ne-NP"/>
        </w:rPr>
        <w:t xml:space="preserve">. A synergistic effect of </w:t>
      </w:r>
      <w:proofErr w:type="spellStart"/>
      <w:r w:rsidRPr="003E0D31">
        <w:rPr>
          <w:rFonts w:eastAsia="Calibri"/>
          <w:szCs w:val="21"/>
          <w:lang w:bidi="ne-NP"/>
        </w:rPr>
        <w:t>Fst</w:t>
      </w:r>
      <w:proofErr w:type="spellEnd"/>
      <w:r w:rsidRPr="003E0D31">
        <w:rPr>
          <w:rFonts w:eastAsia="Calibri"/>
          <w:szCs w:val="21"/>
          <w:lang w:bidi="ne-NP"/>
        </w:rPr>
        <w:t xml:space="preserve"> and nisin (cell wall inhibiting </w:t>
      </w:r>
      <w:proofErr w:type="spellStart"/>
      <w:r w:rsidRPr="003E0D31">
        <w:rPr>
          <w:rFonts w:eastAsia="Calibri"/>
          <w:szCs w:val="21"/>
          <w:lang w:bidi="ne-NP"/>
        </w:rPr>
        <w:t>lantibiotic</w:t>
      </w:r>
      <w:proofErr w:type="spellEnd"/>
      <w:r w:rsidRPr="003E0D31">
        <w:rPr>
          <w:rFonts w:eastAsia="Calibri"/>
          <w:szCs w:val="21"/>
          <w:lang w:bidi="ne-NP"/>
        </w:rPr>
        <w:t xml:space="preserve">) was observed against </w:t>
      </w:r>
      <w:r w:rsidRPr="003E0D31">
        <w:rPr>
          <w:rFonts w:eastAsia="Calibri"/>
          <w:i/>
          <w:iCs/>
          <w:szCs w:val="21"/>
          <w:lang w:bidi="ne-NP"/>
        </w:rPr>
        <w:t>E. faecalis,</w:t>
      </w:r>
      <w:r w:rsidRPr="003E0D31">
        <w:rPr>
          <w:rFonts w:eastAsia="Calibri"/>
          <w:szCs w:val="21"/>
          <w:lang w:bidi="ne-NP"/>
        </w:rPr>
        <w:t xml:space="preserve"> indicating cell membrane alteration as one of the effects of </w:t>
      </w:r>
      <w:proofErr w:type="spellStart"/>
      <w:r w:rsidRPr="003E0D31">
        <w:rPr>
          <w:rFonts w:eastAsia="Calibri"/>
          <w:szCs w:val="21"/>
          <w:lang w:bidi="ne-NP"/>
        </w:rPr>
        <w:t>Fst</w:t>
      </w:r>
      <w:proofErr w:type="spellEnd"/>
      <w:r w:rsidRPr="003E0D31">
        <w:rPr>
          <w:rFonts w:eastAsia="Calibri"/>
          <w:szCs w:val="21"/>
          <w:lang w:bidi="ne-NP"/>
        </w:rPr>
        <w:t xml:space="preserve"> </w:t>
      </w:r>
      <w:r w:rsidRPr="003E0D31">
        <w:rPr>
          <w:rFonts w:eastAsia="Calibri"/>
          <w:noProof/>
          <w:szCs w:val="21"/>
          <w:lang w:bidi="ne-NP"/>
        </w:rPr>
        <w:t>(72)</w:t>
      </w:r>
      <w:r w:rsidRPr="003E0D31">
        <w:rPr>
          <w:rFonts w:eastAsia="Calibri"/>
          <w:szCs w:val="21"/>
          <w:lang w:bidi="ne-NP"/>
        </w:rPr>
        <w:t xml:space="preserve">. This could be another secondary effect by </w:t>
      </w:r>
      <w:proofErr w:type="spellStart"/>
      <w:r w:rsidRPr="003E0D31">
        <w:rPr>
          <w:rFonts w:eastAsia="Calibri"/>
          <w:szCs w:val="21"/>
          <w:lang w:bidi="ne-NP"/>
        </w:rPr>
        <w:t>Fst</w:t>
      </w:r>
      <w:proofErr w:type="spellEnd"/>
      <w:r w:rsidRPr="003E0D31">
        <w:rPr>
          <w:rFonts w:eastAsia="Calibri"/>
          <w:szCs w:val="21"/>
          <w:lang w:bidi="ne-NP"/>
        </w:rPr>
        <w:t xml:space="preserve"> as it impacts cell division and therefore the cell envelope. Other members of the </w:t>
      </w:r>
      <w:proofErr w:type="spellStart"/>
      <w:r w:rsidRPr="003E0D31">
        <w:rPr>
          <w:rFonts w:eastAsia="Calibri"/>
          <w:szCs w:val="21"/>
          <w:lang w:bidi="ne-NP"/>
        </w:rPr>
        <w:t>Fst</w:t>
      </w:r>
      <w:proofErr w:type="spellEnd"/>
      <w:r w:rsidRPr="003E0D31">
        <w:rPr>
          <w:rFonts w:eastAsia="Calibri"/>
          <w:szCs w:val="21"/>
          <w:lang w:bidi="ne-NP"/>
        </w:rPr>
        <w:t>/</w:t>
      </w:r>
      <w:proofErr w:type="spellStart"/>
      <w:r w:rsidRPr="003E0D31">
        <w:rPr>
          <w:rFonts w:eastAsia="Calibri"/>
          <w:szCs w:val="21"/>
          <w:lang w:bidi="ne-NP"/>
        </w:rPr>
        <w:t>Ldr</w:t>
      </w:r>
      <w:proofErr w:type="spellEnd"/>
      <w:r w:rsidRPr="003E0D31">
        <w:rPr>
          <w:rFonts w:eastAsia="Calibri"/>
          <w:szCs w:val="21"/>
          <w:lang w:bidi="ne-NP"/>
        </w:rPr>
        <w:t xml:space="preserve"> superfamily, PepA1, PepA2, </w:t>
      </w:r>
      <w:proofErr w:type="spellStart"/>
      <w:r w:rsidRPr="003E0D31">
        <w:rPr>
          <w:rFonts w:eastAsia="Calibri"/>
          <w:i/>
          <w:iCs/>
          <w:szCs w:val="21"/>
          <w:lang w:bidi="ne-NP"/>
        </w:rPr>
        <w:t>fst</w:t>
      </w:r>
      <w:r w:rsidRPr="003E0D31">
        <w:rPr>
          <w:rFonts w:eastAsia="Calibri"/>
          <w:szCs w:val="21"/>
          <w:lang w:bidi="ne-NP"/>
        </w:rPr>
        <w:t>-Sm</w:t>
      </w:r>
      <w:proofErr w:type="spellEnd"/>
      <w:r w:rsidRPr="003E0D31">
        <w:rPr>
          <w:rFonts w:eastAsia="Calibri"/>
          <w:szCs w:val="21"/>
          <w:lang w:bidi="ne-NP"/>
        </w:rPr>
        <w:t xml:space="preserve">, </w:t>
      </w:r>
      <w:proofErr w:type="spellStart"/>
      <w:r w:rsidRPr="003E0D31">
        <w:rPr>
          <w:rFonts w:eastAsia="Calibri"/>
          <w:szCs w:val="21"/>
          <w:lang w:bidi="ne-NP"/>
        </w:rPr>
        <w:t>Lpt</w:t>
      </w:r>
      <w:proofErr w:type="spellEnd"/>
      <w:r w:rsidRPr="003E0D31">
        <w:rPr>
          <w:rFonts w:eastAsia="Calibri"/>
          <w:szCs w:val="21"/>
          <w:lang w:bidi="ne-NP"/>
        </w:rPr>
        <w:t xml:space="preserve">, </w:t>
      </w:r>
      <w:proofErr w:type="spellStart"/>
      <w:r w:rsidRPr="003E0D31">
        <w:rPr>
          <w:rFonts w:eastAsia="Calibri"/>
          <w:szCs w:val="21"/>
          <w:lang w:bidi="ne-NP"/>
        </w:rPr>
        <w:t>LdrA</w:t>
      </w:r>
      <w:proofErr w:type="spellEnd"/>
      <w:r w:rsidRPr="003E0D31">
        <w:rPr>
          <w:rFonts w:eastAsia="Calibri"/>
          <w:szCs w:val="21"/>
          <w:lang w:bidi="ne-NP"/>
        </w:rPr>
        <w:t xml:space="preserve"> and </w:t>
      </w:r>
      <w:proofErr w:type="spellStart"/>
      <w:r w:rsidRPr="003E0D31">
        <w:rPr>
          <w:rFonts w:eastAsia="Calibri"/>
          <w:szCs w:val="21"/>
          <w:lang w:bidi="ne-NP"/>
        </w:rPr>
        <w:t>LdrD</w:t>
      </w:r>
      <w:proofErr w:type="spellEnd"/>
      <w:r w:rsidRPr="003E0D31">
        <w:rPr>
          <w:rFonts w:eastAsia="Calibri"/>
          <w:szCs w:val="21"/>
          <w:lang w:bidi="ne-NP"/>
        </w:rPr>
        <w:t xml:space="preserve">, result in cell death when overproduced in their native host, or in some instances, heterologous hosts </w:t>
      </w:r>
      <w:r w:rsidRPr="003E0D31">
        <w:rPr>
          <w:rFonts w:eastAsia="Calibri"/>
          <w:noProof/>
          <w:szCs w:val="21"/>
          <w:lang w:bidi="ne-NP"/>
        </w:rPr>
        <w:t>(42)</w:t>
      </w:r>
      <w:r w:rsidRPr="003E0D31">
        <w:rPr>
          <w:rFonts w:eastAsia="Calibri"/>
          <w:szCs w:val="21"/>
          <w:lang w:bidi="ne-NP"/>
        </w:rPr>
        <w:t xml:space="preserve">. Both </w:t>
      </w:r>
      <w:proofErr w:type="spellStart"/>
      <w:r w:rsidRPr="003E0D31">
        <w:rPr>
          <w:rFonts w:eastAsia="Calibri"/>
          <w:szCs w:val="21"/>
          <w:lang w:bidi="ne-NP"/>
        </w:rPr>
        <w:t>Lpt</w:t>
      </w:r>
      <w:proofErr w:type="spellEnd"/>
      <w:r w:rsidRPr="003E0D31">
        <w:rPr>
          <w:rFonts w:eastAsia="Calibri"/>
          <w:szCs w:val="21"/>
          <w:lang w:bidi="ne-NP"/>
        </w:rPr>
        <w:t xml:space="preserve"> and </w:t>
      </w:r>
      <w:proofErr w:type="spellStart"/>
      <w:r w:rsidRPr="003E0D31">
        <w:rPr>
          <w:rFonts w:eastAsia="Calibri"/>
          <w:szCs w:val="21"/>
          <w:lang w:bidi="ne-NP"/>
        </w:rPr>
        <w:t>LdrD</w:t>
      </w:r>
      <w:proofErr w:type="spellEnd"/>
      <w:r w:rsidRPr="003E0D31">
        <w:rPr>
          <w:rFonts w:eastAsia="Calibri"/>
          <w:szCs w:val="21"/>
          <w:lang w:bidi="ne-NP"/>
        </w:rPr>
        <w:t xml:space="preserve"> also have been observed to cause nucleoid condensation in </w:t>
      </w:r>
      <w:r w:rsidRPr="003E0D31">
        <w:rPr>
          <w:rFonts w:eastAsia="Calibri"/>
          <w:i/>
          <w:iCs/>
          <w:szCs w:val="21"/>
          <w:lang w:bidi="ne-NP"/>
        </w:rPr>
        <w:t>E. coli</w:t>
      </w:r>
      <w:r w:rsidRPr="003E0D31">
        <w:rPr>
          <w:rFonts w:eastAsia="Calibri"/>
          <w:iCs/>
          <w:szCs w:val="21"/>
          <w:lang w:bidi="ne-NP"/>
        </w:rPr>
        <w:t xml:space="preserve"> </w:t>
      </w:r>
      <w:r w:rsidRPr="003E0D31">
        <w:rPr>
          <w:rFonts w:eastAsia="Calibri"/>
          <w:noProof/>
          <w:szCs w:val="21"/>
          <w:lang w:bidi="ne-NP"/>
        </w:rPr>
        <w:t>(54,87)</w:t>
      </w:r>
      <w:r w:rsidRPr="003E0D31">
        <w:rPr>
          <w:rFonts w:eastAsia="Calibri"/>
          <w:szCs w:val="21"/>
          <w:lang w:bidi="ne-NP"/>
        </w:rPr>
        <w:t xml:space="preserve">. In addition to nucleoid condensation, </w:t>
      </w:r>
      <w:proofErr w:type="spellStart"/>
      <w:r w:rsidRPr="003E0D31">
        <w:rPr>
          <w:rFonts w:eastAsia="Calibri"/>
          <w:szCs w:val="21"/>
          <w:lang w:bidi="ne-NP"/>
        </w:rPr>
        <w:t>LdrA</w:t>
      </w:r>
      <w:proofErr w:type="spellEnd"/>
      <w:r w:rsidRPr="003E0D31">
        <w:rPr>
          <w:rFonts w:eastAsia="Calibri"/>
          <w:szCs w:val="21"/>
          <w:lang w:bidi="ne-NP"/>
        </w:rPr>
        <w:t xml:space="preserve"> and </w:t>
      </w:r>
      <w:proofErr w:type="spellStart"/>
      <w:r w:rsidRPr="003E0D31">
        <w:rPr>
          <w:rFonts w:eastAsia="Calibri"/>
          <w:szCs w:val="21"/>
          <w:lang w:bidi="ne-NP"/>
        </w:rPr>
        <w:t>Fst</w:t>
      </w:r>
      <w:proofErr w:type="spellEnd"/>
      <w:r w:rsidRPr="003E0D31">
        <w:rPr>
          <w:rFonts w:eastAsia="Calibri"/>
          <w:szCs w:val="21"/>
          <w:lang w:bidi="ne-NP"/>
        </w:rPr>
        <w:t xml:space="preserve"> overexpression inhibit macromolecular synthesis and ATP production in the cells </w:t>
      </w:r>
      <w:r w:rsidRPr="003E0D31">
        <w:rPr>
          <w:rFonts w:eastAsia="Calibri"/>
          <w:noProof/>
          <w:szCs w:val="21"/>
          <w:lang w:bidi="ne-NP"/>
        </w:rPr>
        <w:t>(72,83)</w:t>
      </w:r>
      <w:r w:rsidRPr="003E0D31">
        <w:rPr>
          <w:rFonts w:eastAsia="Calibri"/>
          <w:szCs w:val="21"/>
          <w:lang w:bidi="ne-NP"/>
        </w:rPr>
        <w:t xml:space="preserve">. While membrane damaging effects of overproduction of PepA1 (encoded by </w:t>
      </w:r>
      <w:r w:rsidRPr="003E0D31">
        <w:rPr>
          <w:rFonts w:eastAsia="Calibri"/>
          <w:i/>
          <w:iCs/>
          <w:szCs w:val="21"/>
          <w:lang w:bidi="ne-NP"/>
        </w:rPr>
        <w:t>sprA1</w:t>
      </w:r>
      <w:r w:rsidRPr="003E0D31">
        <w:rPr>
          <w:rFonts w:eastAsia="Calibri"/>
          <w:szCs w:val="21"/>
          <w:lang w:bidi="ne-NP"/>
        </w:rPr>
        <w:t xml:space="preserve">) in </w:t>
      </w:r>
      <w:r w:rsidRPr="003E0D31">
        <w:rPr>
          <w:rFonts w:eastAsia="Calibri"/>
          <w:i/>
          <w:iCs/>
          <w:szCs w:val="21"/>
          <w:lang w:bidi="ne-NP"/>
        </w:rPr>
        <w:t>S. aureus</w:t>
      </w:r>
      <w:r w:rsidRPr="003E0D31">
        <w:rPr>
          <w:rFonts w:eastAsia="Calibri"/>
          <w:szCs w:val="21"/>
          <w:lang w:bidi="ne-NP"/>
        </w:rPr>
        <w:t xml:space="preserve"> are speculated to be the result of either pore formation or interference with membrane-associated functions </w:t>
      </w:r>
      <w:r w:rsidRPr="003E0D31">
        <w:rPr>
          <w:rFonts w:eastAsia="Calibri"/>
          <w:noProof/>
          <w:szCs w:val="21"/>
          <w:lang w:bidi="ne-NP"/>
        </w:rPr>
        <w:t>(88)</w:t>
      </w:r>
      <w:r w:rsidRPr="003E0D31">
        <w:rPr>
          <w:rFonts w:eastAsia="Calibri"/>
          <w:szCs w:val="21"/>
          <w:lang w:bidi="ne-NP"/>
        </w:rPr>
        <w:t xml:space="preserve">, there are no reports examining its role in DNA condensation to our knowledge. </w:t>
      </w:r>
    </w:p>
    <w:p w14:paraId="56855D8D" w14:textId="77777777" w:rsidR="00705347" w:rsidRDefault="003E0D31" w:rsidP="00705347">
      <w:pPr>
        <w:spacing w:line="360" w:lineRule="auto"/>
        <w:ind w:firstLine="720"/>
        <w:rPr>
          <w:rFonts w:eastAsia="Calibri"/>
          <w:szCs w:val="21"/>
          <w:lang w:bidi="ne-NP"/>
        </w:rPr>
      </w:pPr>
      <w:r w:rsidRPr="003E0D31">
        <w:rPr>
          <w:rFonts w:eastAsia="Calibri"/>
          <w:szCs w:val="21"/>
          <w:lang w:bidi="ne-NP"/>
        </w:rPr>
        <w:t xml:space="preserve">Like </w:t>
      </w:r>
      <w:proofErr w:type="spellStart"/>
      <w:r w:rsidRPr="003E0D31">
        <w:rPr>
          <w:rFonts w:eastAsia="Calibri"/>
          <w:szCs w:val="21"/>
          <w:lang w:bidi="ne-NP"/>
        </w:rPr>
        <w:t>Fst</w:t>
      </w:r>
      <w:proofErr w:type="spellEnd"/>
      <w:r w:rsidRPr="003E0D31">
        <w:rPr>
          <w:rFonts w:eastAsia="Calibri"/>
          <w:szCs w:val="21"/>
          <w:lang w:bidi="ne-NP"/>
        </w:rPr>
        <w:t xml:space="preserve">, the </w:t>
      </w:r>
      <w:proofErr w:type="spellStart"/>
      <w:r w:rsidRPr="003E0D31">
        <w:rPr>
          <w:rFonts w:eastAsia="Calibri"/>
          <w:szCs w:val="21"/>
          <w:lang w:bidi="ne-NP"/>
        </w:rPr>
        <w:t>BsrG</w:t>
      </w:r>
      <w:proofErr w:type="spellEnd"/>
      <w:r w:rsidRPr="003E0D31">
        <w:rPr>
          <w:rFonts w:eastAsia="Calibri"/>
          <w:szCs w:val="21"/>
          <w:lang w:bidi="ne-NP"/>
        </w:rPr>
        <w:t xml:space="preserve"> toxin in </w:t>
      </w:r>
      <w:r w:rsidRPr="003E0D31">
        <w:rPr>
          <w:rFonts w:eastAsia="Calibri"/>
          <w:i/>
          <w:iCs/>
          <w:szCs w:val="21"/>
          <w:lang w:bidi="ne-NP"/>
        </w:rPr>
        <w:t>B. subtilis</w:t>
      </w:r>
      <w:r w:rsidRPr="003E0D31">
        <w:rPr>
          <w:rFonts w:eastAsia="Calibri"/>
          <w:szCs w:val="21"/>
          <w:lang w:bidi="ne-NP"/>
        </w:rPr>
        <w:t xml:space="preserve"> also does not permeabilize the bacterial membrane but results in nucleoid acid condensation and morphological alterations </w:t>
      </w:r>
      <w:r w:rsidRPr="003E0D31">
        <w:rPr>
          <w:rFonts w:eastAsia="Calibri"/>
          <w:noProof/>
          <w:szCs w:val="21"/>
          <w:lang w:bidi="ne-NP"/>
        </w:rPr>
        <w:t>(70)</w:t>
      </w:r>
      <w:r w:rsidRPr="003E0D31">
        <w:rPr>
          <w:rFonts w:eastAsia="Calibri"/>
          <w:szCs w:val="21"/>
          <w:lang w:bidi="ne-NP"/>
        </w:rPr>
        <w:t xml:space="preserve">. In addition, </w:t>
      </w:r>
      <w:proofErr w:type="spellStart"/>
      <w:r w:rsidRPr="003E0D31">
        <w:rPr>
          <w:rFonts w:eastAsia="Calibri"/>
          <w:szCs w:val="21"/>
          <w:lang w:bidi="ne-NP"/>
        </w:rPr>
        <w:t>BsrG</w:t>
      </w:r>
      <w:proofErr w:type="spellEnd"/>
      <w:r w:rsidRPr="003E0D31">
        <w:rPr>
          <w:rFonts w:eastAsia="Calibri"/>
          <w:szCs w:val="21"/>
          <w:lang w:bidi="ne-NP"/>
        </w:rPr>
        <w:t xml:space="preserve"> also inhibits transcription and translation and therefore appears to </w:t>
      </w:r>
      <w:r w:rsidRPr="003E0D31">
        <w:rPr>
          <w:rFonts w:eastAsia="Calibri"/>
          <w:szCs w:val="21"/>
          <w:lang w:bidi="ne-NP"/>
        </w:rPr>
        <w:lastRenderedPageBreak/>
        <w:t xml:space="preserve">possess a broader cellular effect. Although localized to the membrane, </w:t>
      </w:r>
      <w:proofErr w:type="spellStart"/>
      <w:r w:rsidRPr="003E0D31">
        <w:rPr>
          <w:rFonts w:eastAsia="Calibri"/>
          <w:szCs w:val="21"/>
          <w:lang w:bidi="ne-NP"/>
        </w:rPr>
        <w:t>BsrG</w:t>
      </w:r>
      <w:proofErr w:type="spellEnd"/>
      <w:r w:rsidRPr="003E0D31">
        <w:rPr>
          <w:rFonts w:eastAsia="Calibri"/>
          <w:szCs w:val="21"/>
          <w:lang w:bidi="ne-NP"/>
        </w:rPr>
        <w:t xml:space="preserve"> does not form large pores, affect membrane potential, or membrane fluidity, and therefore has no impact on cellular ATP levels </w:t>
      </w:r>
      <w:r w:rsidRPr="003E0D31">
        <w:rPr>
          <w:rFonts w:eastAsia="Calibri"/>
          <w:noProof/>
          <w:szCs w:val="21"/>
          <w:lang w:bidi="ne-NP"/>
        </w:rPr>
        <w:t>(70)</w:t>
      </w:r>
      <w:r w:rsidRPr="003E0D31">
        <w:rPr>
          <w:rFonts w:eastAsia="Calibri"/>
          <w:szCs w:val="21"/>
          <w:lang w:bidi="ne-NP"/>
        </w:rPr>
        <w:t xml:space="preserve">. Instead, </w:t>
      </w:r>
      <w:proofErr w:type="spellStart"/>
      <w:r w:rsidRPr="003E0D31">
        <w:rPr>
          <w:rFonts w:eastAsia="Calibri"/>
          <w:szCs w:val="21"/>
          <w:lang w:bidi="ne-NP"/>
        </w:rPr>
        <w:t>BsrG</w:t>
      </w:r>
      <w:proofErr w:type="spellEnd"/>
      <w:r w:rsidRPr="003E0D31">
        <w:rPr>
          <w:rFonts w:eastAsia="Calibri"/>
          <w:szCs w:val="21"/>
          <w:lang w:bidi="ne-NP"/>
        </w:rPr>
        <w:t xml:space="preserve"> overexpression impairs cell wall biosynthesis, which causes invagination of the membrane, and leads to small, irregularly shaped bacteria </w:t>
      </w:r>
      <w:r w:rsidRPr="003E0D31">
        <w:rPr>
          <w:rFonts w:eastAsia="Calibri"/>
          <w:noProof/>
          <w:szCs w:val="21"/>
          <w:lang w:bidi="ne-NP"/>
        </w:rPr>
        <w:t>(70)</w:t>
      </w:r>
      <w:r w:rsidRPr="003E0D31">
        <w:rPr>
          <w:rFonts w:eastAsia="Calibri"/>
          <w:szCs w:val="21"/>
          <w:lang w:bidi="ne-NP"/>
        </w:rPr>
        <w:t xml:space="preserve">. Membrane invagination leads to </w:t>
      </w:r>
      <w:proofErr w:type="spellStart"/>
      <w:r w:rsidRPr="003E0D31">
        <w:rPr>
          <w:rFonts w:eastAsia="Calibri"/>
          <w:szCs w:val="21"/>
          <w:lang w:bidi="ne-NP"/>
        </w:rPr>
        <w:t>MreB</w:t>
      </w:r>
      <w:proofErr w:type="spellEnd"/>
      <w:r w:rsidRPr="003E0D31">
        <w:rPr>
          <w:rFonts w:eastAsia="Calibri"/>
          <w:szCs w:val="21"/>
          <w:lang w:bidi="ne-NP"/>
        </w:rPr>
        <w:t xml:space="preserve">-cytoskeleton delocalization which further impacts other protein complexes associated with cell wall synthesis. The combined effects on cell wall biosynthesis by </w:t>
      </w:r>
      <w:proofErr w:type="spellStart"/>
      <w:r w:rsidRPr="003E0D31">
        <w:rPr>
          <w:rFonts w:eastAsia="Calibri"/>
          <w:szCs w:val="21"/>
          <w:lang w:bidi="ne-NP"/>
        </w:rPr>
        <w:t>BsrG</w:t>
      </w:r>
      <w:proofErr w:type="spellEnd"/>
      <w:r w:rsidRPr="003E0D31">
        <w:rPr>
          <w:rFonts w:eastAsia="Calibri"/>
          <w:szCs w:val="21"/>
          <w:lang w:bidi="ne-NP"/>
        </w:rPr>
        <w:t xml:space="preserve">, along with the activity of bacterial autolytic enzymes, leads to cell lysis </w:t>
      </w:r>
      <w:r w:rsidRPr="003E0D31">
        <w:rPr>
          <w:rFonts w:eastAsia="Calibri"/>
          <w:noProof/>
          <w:szCs w:val="21"/>
          <w:lang w:bidi="ne-NP"/>
        </w:rPr>
        <w:t>(70)</w:t>
      </w:r>
      <w:r w:rsidRPr="003E0D31">
        <w:rPr>
          <w:rFonts w:eastAsia="Calibri"/>
          <w:szCs w:val="21"/>
          <w:lang w:bidi="ne-NP"/>
        </w:rPr>
        <w:t xml:space="preserve">. </w:t>
      </w:r>
    </w:p>
    <w:p w14:paraId="01FB02E4" w14:textId="77777777" w:rsidR="00705347" w:rsidRDefault="003E0D31" w:rsidP="00705347">
      <w:pPr>
        <w:spacing w:line="360" w:lineRule="auto"/>
        <w:ind w:firstLine="720"/>
        <w:rPr>
          <w:rFonts w:eastAsia="Calibri"/>
          <w:szCs w:val="21"/>
          <w:lang w:bidi="ne-NP"/>
        </w:rPr>
      </w:pPr>
      <w:r w:rsidRPr="003E0D31">
        <w:rPr>
          <w:rFonts w:eastAsia="Calibri"/>
          <w:szCs w:val="21"/>
          <w:lang w:bidi="ne-NP"/>
        </w:rPr>
        <w:t xml:space="preserve">Overproduction of another membrane localizing toxin, AapA1, in </w:t>
      </w:r>
      <w:r w:rsidRPr="003E0D31">
        <w:rPr>
          <w:rFonts w:eastAsia="Calibri"/>
          <w:i/>
          <w:iCs/>
          <w:szCs w:val="21"/>
          <w:lang w:bidi="ne-NP"/>
        </w:rPr>
        <w:t>Helicobacter pylori</w:t>
      </w:r>
      <w:r w:rsidRPr="003E0D31">
        <w:rPr>
          <w:rFonts w:eastAsia="Calibri"/>
          <w:szCs w:val="21"/>
          <w:lang w:bidi="ne-NP"/>
        </w:rPr>
        <w:t xml:space="preserve"> alters its bacterial morphology from a spiral shape to the coccoid form and modifies the muropeptide composition of the peptidoglycan in response to toxin production </w:t>
      </w:r>
      <w:r w:rsidRPr="003E0D31">
        <w:rPr>
          <w:rFonts w:eastAsia="Calibri"/>
          <w:noProof/>
          <w:szCs w:val="21"/>
          <w:lang w:bidi="ne-NP"/>
        </w:rPr>
        <w:t>(71)</w:t>
      </w:r>
      <w:r w:rsidRPr="003E0D31">
        <w:rPr>
          <w:rFonts w:eastAsia="Calibri"/>
          <w:szCs w:val="21"/>
          <w:lang w:bidi="ne-NP"/>
        </w:rPr>
        <w:t xml:space="preserve">. Interestingly, AapA1 does not significantly impact membrane potential and intracellular ATP content </w:t>
      </w:r>
      <w:r w:rsidRPr="003E0D31">
        <w:rPr>
          <w:rFonts w:eastAsia="Calibri"/>
          <w:noProof/>
          <w:szCs w:val="21"/>
          <w:lang w:bidi="ne-NP"/>
        </w:rPr>
        <w:t>(71)</w:t>
      </w:r>
      <w:r w:rsidRPr="003E0D31">
        <w:rPr>
          <w:rFonts w:eastAsia="Calibri"/>
          <w:szCs w:val="21"/>
          <w:lang w:bidi="ne-NP"/>
        </w:rPr>
        <w:t>.</w:t>
      </w:r>
    </w:p>
    <w:p w14:paraId="630FDFBB" w14:textId="303176DE" w:rsidR="003E0D31" w:rsidRPr="003E0D31" w:rsidRDefault="003E0D31" w:rsidP="00862E05">
      <w:pPr>
        <w:spacing w:line="360" w:lineRule="auto"/>
        <w:ind w:firstLine="720"/>
        <w:rPr>
          <w:rFonts w:eastAsia="Calibri"/>
          <w:szCs w:val="21"/>
          <w:lang w:bidi="ne-NP"/>
        </w:rPr>
      </w:pPr>
      <w:r w:rsidRPr="003E0D31">
        <w:rPr>
          <w:rFonts w:eastAsia="Calibri"/>
          <w:szCs w:val="21"/>
          <w:lang w:bidi="ne-NP"/>
        </w:rPr>
        <w:t xml:space="preserve">Overall, by employing overexpression systems, the toxicity of most type I toxins has been established, demonstrating their effects on vital cellular processes. Although many identified type I toxins have been shown to target the cytoplasmic membrane, other cellular targets such as RNA, DNA and cell envelope are not uncommon. Ectopic overproduction systems have been useful tools for the study of cellular target(s) of toxins, as well as their mechanism of action to cause cell growth inhibition and/or cell death. However, the similarity of those effects compared to whether toxin is produced endogenously remains to be determined. The lack of evidence of cell death by chromosomal expression for many of the characterized toxins, unlike in overproduction, clearly confirms that the effects observed during overproduction cannot be extrapolated to infer effects at the chromosomal level of toxin expression under physiological conditions. Therefore, it is important to investigate the effects and biological roles of type I toxins when expressed from their native regulatory elements. Detailed mechanistic studies of type I toxin action, their endogenous translation, and their direct and downstream effects, together with the strategies utilized by bacteria to “rescue” themselves from these effects, should be expanded. This will lead to a better </w:t>
      </w:r>
      <w:r w:rsidRPr="003E0D31">
        <w:rPr>
          <w:rFonts w:eastAsia="Calibri"/>
          <w:szCs w:val="21"/>
          <w:lang w:bidi="ne-NP"/>
        </w:rPr>
        <w:lastRenderedPageBreak/>
        <w:t>understanding of the cellular pathways affected by these toxins, as well as their true biological roles in bacteria.</w:t>
      </w:r>
    </w:p>
    <w:p w14:paraId="7306F73A" w14:textId="77777777" w:rsidR="003E0D31" w:rsidRPr="003E0D31" w:rsidRDefault="003E0D31" w:rsidP="003E0D31">
      <w:pPr>
        <w:spacing w:line="360" w:lineRule="auto"/>
        <w:ind w:left="142" w:firstLine="720"/>
        <w:rPr>
          <w:rFonts w:eastAsia="Calibri"/>
          <w:szCs w:val="21"/>
          <w:lang w:bidi="ne-NP"/>
        </w:rPr>
      </w:pPr>
    </w:p>
    <w:p w14:paraId="79D7272E" w14:textId="77777777" w:rsidR="00F33FC4" w:rsidRDefault="003E0D31" w:rsidP="00705347">
      <w:pPr>
        <w:numPr>
          <w:ilvl w:val="0"/>
          <w:numId w:val="8"/>
        </w:numPr>
        <w:spacing w:line="360" w:lineRule="auto"/>
        <w:ind w:left="284" w:hanging="284"/>
        <w:contextualSpacing/>
        <w:rPr>
          <w:rFonts w:eastAsia="Calibri"/>
          <w:b/>
          <w:bCs/>
          <w:szCs w:val="21"/>
          <w:lang w:bidi="ne-NP"/>
        </w:rPr>
      </w:pPr>
      <w:r w:rsidRPr="003E0D31">
        <w:rPr>
          <w:rFonts w:eastAsia="Calibri"/>
          <w:b/>
          <w:bCs/>
          <w:szCs w:val="21"/>
          <w:lang w:bidi="ne-NP"/>
        </w:rPr>
        <w:t>Regulation of translation of type I toxin proteins</w:t>
      </w:r>
    </w:p>
    <w:p w14:paraId="16A1C93C" w14:textId="77777777" w:rsidR="00705347" w:rsidRDefault="003E0D31" w:rsidP="00705347">
      <w:pPr>
        <w:spacing w:line="360" w:lineRule="auto"/>
        <w:ind w:firstLine="720"/>
        <w:contextualSpacing/>
        <w:rPr>
          <w:rFonts w:eastAsia="Calibri"/>
          <w:b/>
          <w:bCs/>
          <w:szCs w:val="21"/>
          <w:lang w:bidi="ne-NP"/>
        </w:rPr>
      </w:pPr>
      <w:r w:rsidRPr="003E0D31">
        <w:rPr>
          <w:rFonts w:eastAsia="Calibri"/>
          <w:szCs w:val="21"/>
          <w:lang w:bidi="ne-NP"/>
        </w:rPr>
        <w:t xml:space="preserve">The immediate effects on cell growth inhibition and/or cell lysis after overexpression of type I toxins demonstrates the potentially harmful nature of these proteins. This demands tight, controlled regulation of toxin gene expression. The lack of severe effects at the endogenous level of toxin expression could be the result of condition specific translation and a multi-layered regulation for translation of these proteins. Some type I toxin-encoding genes such as </w:t>
      </w:r>
      <w:proofErr w:type="spellStart"/>
      <w:r w:rsidRPr="003E0D31">
        <w:rPr>
          <w:rFonts w:eastAsia="Calibri"/>
          <w:szCs w:val="21"/>
          <w:lang w:bidi="ne-NP"/>
        </w:rPr>
        <w:t>TisB</w:t>
      </w:r>
      <w:proofErr w:type="spellEnd"/>
      <w:r w:rsidRPr="003E0D31">
        <w:rPr>
          <w:rFonts w:eastAsia="Calibri"/>
          <w:szCs w:val="21"/>
          <w:lang w:bidi="ne-NP"/>
        </w:rPr>
        <w:t xml:space="preserve">, </w:t>
      </w:r>
      <w:proofErr w:type="spellStart"/>
      <w:r w:rsidRPr="003E0D31">
        <w:rPr>
          <w:rFonts w:eastAsia="Calibri"/>
          <w:szCs w:val="21"/>
          <w:lang w:bidi="ne-NP"/>
        </w:rPr>
        <w:t>SymE</w:t>
      </w:r>
      <w:proofErr w:type="spellEnd"/>
      <w:r w:rsidRPr="003E0D31">
        <w:rPr>
          <w:rFonts w:eastAsia="Calibri"/>
          <w:szCs w:val="21"/>
          <w:lang w:bidi="ne-NP"/>
        </w:rPr>
        <w:t xml:space="preserve"> and </w:t>
      </w:r>
      <w:proofErr w:type="spellStart"/>
      <w:r w:rsidRPr="003E0D31">
        <w:rPr>
          <w:rFonts w:eastAsia="Calibri"/>
          <w:szCs w:val="21"/>
          <w:lang w:bidi="ne-NP"/>
        </w:rPr>
        <w:t>DinQ</w:t>
      </w:r>
      <w:proofErr w:type="spellEnd"/>
      <w:r w:rsidRPr="003E0D31">
        <w:rPr>
          <w:rFonts w:eastAsia="Calibri"/>
          <w:szCs w:val="21"/>
          <w:lang w:bidi="ne-NP"/>
        </w:rPr>
        <w:t xml:space="preserve"> are shown to be controlled by a transcriptional regulator </w:t>
      </w:r>
      <w:r w:rsidRPr="003E0D31">
        <w:rPr>
          <w:rFonts w:eastAsia="Calibri"/>
          <w:noProof/>
          <w:szCs w:val="21"/>
          <w:lang w:bidi="ne-NP"/>
        </w:rPr>
        <w:t>(53,55,82)</w:t>
      </w:r>
      <w:r w:rsidRPr="003E0D31">
        <w:rPr>
          <w:rFonts w:eastAsia="Calibri"/>
          <w:szCs w:val="21"/>
          <w:lang w:bidi="ne-NP"/>
        </w:rPr>
        <w:t xml:space="preserve">. For the </w:t>
      </w:r>
      <w:proofErr w:type="spellStart"/>
      <w:r w:rsidRPr="003E0D31">
        <w:rPr>
          <w:rFonts w:eastAsia="Calibri"/>
          <w:i/>
          <w:iCs/>
          <w:szCs w:val="21"/>
          <w:lang w:bidi="ne-NP"/>
        </w:rPr>
        <w:t>tisB</w:t>
      </w:r>
      <w:proofErr w:type="spellEnd"/>
      <w:r w:rsidRPr="003E0D31">
        <w:rPr>
          <w:rFonts w:eastAsia="Calibri"/>
          <w:szCs w:val="21"/>
          <w:lang w:bidi="ne-NP"/>
        </w:rPr>
        <w:t xml:space="preserve">/Istr-1 gene pair, the IstR-1 antitoxin is constitutively expressed whereas the promoter of </w:t>
      </w:r>
      <w:proofErr w:type="spellStart"/>
      <w:r w:rsidRPr="003E0D31">
        <w:rPr>
          <w:rFonts w:eastAsia="Calibri"/>
          <w:i/>
          <w:szCs w:val="21"/>
          <w:lang w:bidi="ne-NP"/>
        </w:rPr>
        <w:t>tisB</w:t>
      </w:r>
      <w:proofErr w:type="spellEnd"/>
      <w:r w:rsidRPr="003E0D31">
        <w:rPr>
          <w:rFonts w:eastAsia="Calibri"/>
          <w:szCs w:val="21"/>
          <w:lang w:bidi="ne-NP"/>
        </w:rPr>
        <w:t xml:space="preserve"> is repressed by </w:t>
      </w:r>
      <w:proofErr w:type="spellStart"/>
      <w:r w:rsidRPr="003E0D31">
        <w:rPr>
          <w:rFonts w:eastAsia="Calibri"/>
          <w:szCs w:val="21"/>
          <w:lang w:bidi="ne-NP"/>
        </w:rPr>
        <w:t>LexA</w:t>
      </w:r>
      <w:proofErr w:type="spellEnd"/>
      <w:r w:rsidRPr="003E0D31">
        <w:rPr>
          <w:rFonts w:eastAsia="Calibri"/>
          <w:szCs w:val="21"/>
          <w:lang w:bidi="ne-NP"/>
        </w:rPr>
        <w:t xml:space="preserve"> and is transcribed upon DNA damage </w:t>
      </w:r>
      <w:r w:rsidRPr="003E0D31">
        <w:rPr>
          <w:rFonts w:eastAsia="Calibri"/>
          <w:noProof/>
          <w:szCs w:val="21"/>
          <w:lang w:bidi="ne-NP"/>
        </w:rPr>
        <w:t>(66)</w:t>
      </w:r>
      <w:r w:rsidRPr="003E0D31">
        <w:rPr>
          <w:rFonts w:eastAsia="Calibri"/>
          <w:szCs w:val="21"/>
          <w:lang w:bidi="ne-NP"/>
        </w:rPr>
        <w:t xml:space="preserve">. </w:t>
      </w:r>
      <w:proofErr w:type="spellStart"/>
      <w:r w:rsidRPr="003E0D31">
        <w:rPr>
          <w:rFonts w:eastAsia="Calibri"/>
          <w:szCs w:val="21"/>
          <w:lang w:bidi="ne-NP"/>
        </w:rPr>
        <w:t>LexA</w:t>
      </w:r>
      <w:proofErr w:type="spellEnd"/>
      <w:r w:rsidRPr="003E0D31">
        <w:rPr>
          <w:rFonts w:eastAsia="Calibri"/>
          <w:szCs w:val="21"/>
          <w:lang w:bidi="ne-NP"/>
        </w:rPr>
        <w:t xml:space="preserve"> is a major SOS response regulator and has also been observed to repress the transcription of </w:t>
      </w:r>
      <w:proofErr w:type="spellStart"/>
      <w:r w:rsidRPr="003E0D31">
        <w:rPr>
          <w:rFonts w:eastAsia="Calibri"/>
          <w:i/>
          <w:iCs/>
          <w:szCs w:val="21"/>
          <w:lang w:bidi="ne-NP"/>
        </w:rPr>
        <w:t>symE</w:t>
      </w:r>
      <w:proofErr w:type="spellEnd"/>
      <w:r w:rsidRPr="003E0D31">
        <w:rPr>
          <w:rFonts w:eastAsia="Calibri"/>
          <w:szCs w:val="21"/>
          <w:lang w:bidi="ne-NP"/>
        </w:rPr>
        <w:t xml:space="preserve"> and </w:t>
      </w:r>
      <w:proofErr w:type="spellStart"/>
      <w:r w:rsidRPr="003E0D31">
        <w:rPr>
          <w:rFonts w:eastAsia="Calibri"/>
          <w:i/>
          <w:iCs/>
          <w:szCs w:val="21"/>
          <w:lang w:bidi="ne-NP"/>
        </w:rPr>
        <w:t>dinQ</w:t>
      </w:r>
      <w:proofErr w:type="spellEnd"/>
      <w:r w:rsidRPr="003E0D31">
        <w:rPr>
          <w:rFonts w:eastAsia="Calibri"/>
          <w:i/>
          <w:iCs/>
          <w:szCs w:val="21"/>
          <w:lang w:bidi="ne-NP"/>
        </w:rPr>
        <w:t xml:space="preserve"> </w:t>
      </w:r>
      <w:r w:rsidRPr="003E0D31">
        <w:rPr>
          <w:rFonts w:eastAsia="Calibri"/>
          <w:noProof/>
          <w:szCs w:val="21"/>
          <w:lang w:bidi="ne-NP"/>
        </w:rPr>
        <w:t>(53,55)</w:t>
      </w:r>
      <w:r w:rsidRPr="003E0D31">
        <w:rPr>
          <w:rFonts w:eastAsia="Calibri"/>
          <w:szCs w:val="21"/>
          <w:lang w:bidi="ne-NP"/>
        </w:rPr>
        <w:t xml:space="preserve">. For some of the other toxins, such as </w:t>
      </w:r>
      <w:proofErr w:type="spellStart"/>
      <w:r w:rsidRPr="003E0D31">
        <w:rPr>
          <w:rFonts w:eastAsia="Calibri"/>
          <w:szCs w:val="21"/>
          <w:lang w:bidi="ne-NP"/>
        </w:rPr>
        <w:t>ShoB</w:t>
      </w:r>
      <w:proofErr w:type="spellEnd"/>
      <w:r w:rsidRPr="003E0D31">
        <w:rPr>
          <w:rFonts w:eastAsia="Calibri"/>
          <w:szCs w:val="21"/>
          <w:lang w:bidi="ne-NP"/>
        </w:rPr>
        <w:t xml:space="preserve">, </w:t>
      </w:r>
      <w:proofErr w:type="spellStart"/>
      <w:r w:rsidRPr="003E0D31">
        <w:rPr>
          <w:rFonts w:eastAsia="Calibri"/>
          <w:szCs w:val="21"/>
          <w:lang w:bidi="ne-NP"/>
        </w:rPr>
        <w:t>ZorO</w:t>
      </w:r>
      <w:proofErr w:type="spellEnd"/>
      <w:r w:rsidRPr="003E0D31">
        <w:rPr>
          <w:rFonts w:eastAsia="Calibri"/>
          <w:szCs w:val="21"/>
          <w:lang w:bidi="ne-NP"/>
        </w:rPr>
        <w:t xml:space="preserve">, </w:t>
      </w:r>
      <w:proofErr w:type="spellStart"/>
      <w:r w:rsidRPr="003E0D31">
        <w:rPr>
          <w:rFonts w:eastAsia="Calibri"/>
          <w:szCs w:val="21"/>
          <w:lang w:bidi="ne-NP"/>
        </w:rPr>
        <w:t>ZorP</w:t>
      </w:r>
      <w:proofErr w:type="spellEnd"/>
      <w:r w:rsidRPr="003E0D31">
        <w:rPr>
          <w:rFonts w:eastAsia="Calibri"/>
          <w:szCs w:val="21"/>
          <w:lang w:bidi="ne-NP"/>
        </w:rPr>
        <w:t xml:space="preserve">, </w:t>
      </w:r>
      <w:proofErr w:type="spellStart"/>
      <w:r w:rsidRPr="003E0D31">
        <w:rPr>
          <w:rFonts w:eastAsia="Calibri"/>
          <w:szCs w:val="21"/>
          <w:lang w:bidi="ne-NP"/>
        </w:rPr>
        <w:t>IbsC</w:t>
      </w:r>
      <w:proofErr w:type="spellEnd"/>
      <w:r w:rsidRPr="003E0D31">
        <w:rPr>
          <w:rFonts w:eastAsia="Calibri"/>
          <w:szCs w:val="21"/>
          <w:lang w:bidi="ne-NP"/>
        </w:rPr>
        <w:t xml:space="preserve"> </w:t>
      </w:r>
      <w:proofErr w:type="spellStart"/>
      <w:r w:rsidRPr="003E0D31">
        <w:rPr>
          <w:rFonts w:eastAsia="Calibri"/>
          <w:szCs w:val="21"/>
          <w:lang w:bidi="ne-NP"/>
        </w:rPr>
        <w:t>TxpA</w:t>
      </w:r>
      <w:proofErr w:type="spellEnd"/>
      <w:r w:rsidRPr="003E0D31">
        <w:rPr>
          <w:rFonts w:eastAsia="Calibri"/>
          <w:szCs w:val="21"/>
          <w:lang w:bidi="ne-NP"/>
        </w:rPr>
        <w:t xml:space="preserve">, </w:t>
      </w:r>
      <w:proofErr w:type="spellStart"/>
      <w:r w:rsidRPr="003E0D31">
        <w:rPr>
          <w:rFonts w:eastAsia="Calibri"/>
          <w:szCs w:val="21"/>
          <w:lang w:bidi="ne-NP"/>
        </w:rPr>
        <w:t>BsrG</w:t>
      </w:r>
      <w:proofErr w:type="spellEnd"/>
      <w:r w:rsidRPr="003E0D31">
        <w:rPr>
          <w:rFonts w:eastAsia="Calibri"/>
          <w:szCs w:val="21"/>
          <w:lang w:bidi="ne-NP"/>
        </w:rPr>
        <w:t xml:space="preserve"> and </w:t>
      </w:r>
      <w:proofErr w:type="spellStart"/>
      <w:r w:rsidRPr="003E0D31">
        <w:rPr>
          <w:rFonts w:eastAsia="Calibri"/>
          <w:szCs w:val="21"/>
          <w:lang w:bidi="ne-NP"/>
        </w:rPr>
        <w:t>YonT</w:t>
      </w:r>
      <w:proofErr w:type="spellEnd"/>
      <w:r w:rsidRPr="003E0D31">
        <w:rPr>
          <w:rFonts w:eastAsia="Calibri"/>
          <w:szCs w:val="21"/>
          <w:lang w:bidi="ne-NP"/>
        </w:rPr>
        <w:t xml:space="preserve">, transcripts have been detected by northern blot analysis in varying levels depending on the growth phase and laboratory growth conditions </w:t>
      </w:r>
      <w:r w:rsidRPr="003E0D31">
        <w:rPr>
          <w:rFonts w:eastAsia="Calibri"/>
          <w:noProof/>
          <w:szCs w:val="21"/>
          <w:lang w:bidi="ne-NP"/>
        </w:rPr>
        <w:t>(9,12,59)</w:t>
      </w:r>
      <w:r w:rsidRPr="003E0D31">
        <w:rPr>
          <w:rFonts w:eastAsia="Calibri"/>
          <w:szCs w:val="21"/>
          <w:lang w:bidi="ne-NP"/>
        </w:rPr>
        <w:t>.</w:t>
      </w:r>
    </w:p>
    <w:p w14:paraId="422E5901" w14:textId="77777777" w:rsidR="00705347" w:rsidRDefault="003E0D31" w:rsidP="00705347">
      <w:pPr>
        <w:spacing w:line="360" w:lineRule="auto"/>
        <w:ind w:firstLine="720"/>
        <w:contextualSpacing/>
        <w:rPr>
          <w:rFonts w:eastAsia="Calibri"/>
          <w:b/>
          <w:bCs/>
          <w:szCs w:val="21"/>
          <w:lang w:bidi="ne-NP"/>
        </w:rPr>
      </w:pPr>
      <w:r w:rsidRPr="003E0D31">
        <w:rPr>
          <w:rFonts w:eastAsia="Calibri"/>
          <w:szCs w:val="21"/>
          <w:lang w:bidi="ne-NP"/>
        </w:rPr>
        <w:t xml:space="preserve">Coupling of transcription with translation is common in prokaryotes as they lack nuclear compartmentalization </w:t>
      </w:r>
      <w:r w:rsidRPr="003E0D31">
        <w:rPr>
          <w:rFonts w:eastAsia="Calibri"/>
          <w:noProof/>
          <w:szCs w:val="21"/>
          <w:lang w:bidi="ne-NP"/>
        </w:rPr>
        <w:t>(89)</w:t>
      </w:r>
      <w:r w:rsidRPr="003E0D31">
        <w:rPr>
          <w:rFonts w:eastAsia="Calibri"/>
          <w:szCs w:val="21"/>
          <w:lang w:bidi="ne-NP"/>
        </w:rPr>
        <w:t xml:space="preserve">. This is problematic in the instance of a toxin-encoding mRNA since the translated protein can be detrimental to the cell. The coupled transcription/translation of the toxin protein would also allow toxin encoding mRNA to escape regulation by the antitoxin sRNA </w:t>
      </w:r>
      <w:r w:rsidRPr="003E0D31">
        <w:rPr>
          <w:rFonts w:eastAsia="Calibri"/>
          <w:noProof/>
          <w:szCs w:val="21"/>
          <w:lang w:bidi="ne-NP"/>
        </w:rPr>
        <w:t>(41)</w:t>
      </w:r>
      <w:r w:rsidRPr="003E0D31">
        <w:rPr>
          <w:rFonts w:eastAsia="Calibri"/>
          <w:szCs w:val="21"/>
          <w:lang w:bidi="ne-NP"/>
        </w:rPr>
        <w:t xml:space="preserve">. Thus, transcription-translation coupling is often prevented by controlling ribosomal access to the transcript </w:t>
      </w:r>
      <w:r w:rsidRPr="003E0D31">
        <w:rPr>
          <w:rFonts w:eastAsia="Calibri"/>
          <w:noProof/>
          <w:szCs w:val="21"/>
          <w:lang w:bidi="ne-NP"/>
        </w:rPr>
        <w:t>(65,66,90)</w:t>
      </w:r>
      <w:r w:rsidRPr="003E0D31">
        <w:rPr>
          <w:rFonts w:eastAsia="Calibri"/>
          <w:szCs w:val="21"/>
          <w:lang w:bidi="ne-NP"/>
        </w:rPr>
        <w:t>. The toxin encoding transcripts usually have a long untranslated region (UTR) with sequence complementarity that can base pair to sequester the ribosomal binding site (RBS) of the mRNA and block translation initiation.</w:t>
      </w:r>
    </w:p>
    <w:p w14:paraId="04BB8787" w14:textId="77777777" w:rsidR="00705347" w:rsidRDefault="003E0D31" w:rsidP="00705347">
      <w:pPr>
        <w:spacing w:line="360" w:lineRule="auto"/>
        <w:ind w:firstLine="720"/>
        <w:contextualSpacing/>
        <w:rPr>
          <w:rFonts w:eastAsia="Calibri"/>
          <w:b/>
          <w:bCs/>
          <w:szCs w:val="21"/>
          <w:lang w:bidi="ne-NP"/>
        </w:rPr>
      </w:pPr>
      <w:r w:rsidRPr="003E0D31">
        <w:rPr>
          <w:rFonts w:eastAsia="Calibri"/>
          <w:szCs w:val="21"/>
          <w:lang w:bidi="ne-NP"/>
        </w:rPr>
        <w:t xml:space="preserve">As is evident by the definition of a type I TA system, another repressive mechanism of toxin translation is via antitoxin sRNA. These sRNAs are encoded antisense to their cognate toxins and have nucleotides that can base pair with their toxin </w:t>
      </w:r>
      <w:r w:rsidRPr="003E0D31">
        <w:rPr>
          <w:rFonts w:eastAsia="Calibri"/>
          <w:szCs w:val="21"/>
          <w:lang w:bidi="ne-NP"/>
        </w:rPr>
        <w:lastRenderedPageBreak/>
        <w:t xml:space="preserve">mRNA </w:t>
      </w:r>
      <w:r w:rsidRPr="003E0D31">
        <w:rPr>
          <w:rFonts w:eastAsia="Calibri"/>
          <w:noProof/>
          <w:szCs w:val="21"/>
          <w:lang w:bidi="ne-NP"/>
        </w:rPr>
        <w:t>(31)</w:t>
      </w:r>
      <w:r w:rsidRPr="003E0D31">
        <w:rPr>
          <w:rFonts w:eastAsia="Calibri"/>
          <w:szCs w:val="21"/>
          <w:lang w:bidi="ne-NP"/>
        </w:rPr>
        <w:t xml:space="preserve">. The complementarity base pairing to an antitoxin can stimulate its degradation by ribonucleases and/or prevent translation. </w:t>
      </w:r>
    </w:p>
    <w:p w14:paraId="787961DC" w14:textId="08043696" w:rsidR="003E0D31" w:rsidRPr="003E0D31" w:rsidRDefault="003E0D31" w:rsidP="00705347">
      <w:pPr>
        <w:spacing w:line="360" w:lineRule="auto"/>
        <w:ind w:firstLine="720"/>
        <w:contextualSpacing/>
        <w:rPr>
          <w:rFonts w:eastAsia="Calibri"/>
          <w:b/>
          <w:bCs/>
          <w:szCs w:val="21"/>
          <w:lang w:bidi="ne-NP"/>
        </w:rPr>
      </w:pPr>
      <w:r w:rsidRPr="003E0D31">
        <w:rPr>
          <w:rFonts w:eastAsia="Calibri"/>
          <w:szCs w:val="21"/>
          <w:lang w:bidi="ne-NP"/>
        </w:rPr>
        <w:t xml:space="preserve">While in most instances type I toxin effects cannot be prevented, for the type I toxin protein, </w:t>
      </w:r>
      <w:proofErr w:type="spellStart"/>
      <w:r w:rsidRPr="003E0D31">
        <w:rPr>
          <w:rFonts w:eastAsia="Calibri"/>
          <w:szCs w:val="21"/>
          <w:lang w:bidi="ne-NP"/>
        </w:rPr>
        <w:t>SymE</w:t>
      </w:r>
      <w:proofErr w:type="spellEnd"/>
      <w:r w:rsidRPr="003E0D31">
        <w:rPr>
          <w:rFonts w:eastAsia="Calibri"/>
          <w:szCs w:val="21"/>
          <w:lang w:bidi="ne-NP"/>
        </w:rPr>
        <w:t xml:space="preserve">, if it escapes the tight post-transcriptional regulation and is translated, post-translational regulation is observed: specifically, it is degraded by Lon protease </w:t>
      </w:r>
      <w:r w:rsidRPr="003E0D31">
        <w:rPr>
          <w:rFonts w:eastAsia="Calibri"/>
          <w:noProof/>
          <w:szCs w:val="21"/>
          <w:lang w:bidi="ne-NP"/>
        </w:rPr>
        <w:t>(53)</w:t>
      </w:r>
      <w:r w:rsidRPr="003E0D31">
        <w:rPr>
          <w:rFonts w:eastAsia="Calibri"/>
          <w:szCs w:val="21"/>
          <w:lang w:bidi="ne-NP"/>
        </w:rPr>
        <w:t>. Lon protease has been shown to play a significant role in type II TA systems.</w:t>
      </w:r>
      <w:r w:rsidR="000725B7">
        <w:rPr>
          <w:rFonts w:eastAsia="Calibri"/>
          <w:szCs w:val="21"/>
          <w:lang w:bidi="ne-NP"/>
        </w:rPr>
        <w:t xml:space="preserve"> </w:t>
      </w:r>
      <w:r w:rsidRPr="003E0D31">
        <w:rPr>
          <w:rFonts w:eastAsia="Calibri"/>
          <w:szCs w:val="21"/>
          <w:lang w:bidi="ne-NP"/>
        </w:rPr>
        <w:t xml:space="preserve">However, degradation of “traditional” type I toxins, </w:t>
      </w:r>
      <w:r w:rsidRPr="003E0D31">
        <w:rPr>
          <w:rFonts w:eastAsia="Calibri"/>
          <w:i/>
          <w:iCs/>
          <w:szCs w:val="21"/>
          <w:lang w:bidi="ne-NP"/>
        </w:rPr>
        <w:t>i.e.</w:t>
      </w:r>
      <w:r w:rsidRPr="003E0D31">
        <w:rPr>
          <w:rFonts w:eastAsia="Calibri"/>
          <w:szCs w:val="21"/>
          <w:lang w:bidi="ne-NP"/>
        </w:rPr>
        <w:t>, those under 60 amino acids and highly hydrophobic, have not been well-documented nor have the effects of toxin protein post-modification, and thus requires further investigation.</w:t>
      </w:r>
    </w:p>
    <w:p w14:paraId="63AC1F51" w14:textId="77777777" w:rsidR="003E0D31" w:rsidRPr="003E0D31" w:rsidRDefault="003E0D31" w:rsidP="003E0D31">
      <w:pPr>
        <w:spacing w:line="360" w:lineRule="auto"/>
        <w:ind w:left="720" w:firstLine="720"/>
        <w:rPr>
          <w:rFonts w:eastAsia="Calibri"/>
          <w:szCs w:val="21"/>
          <w:lang w:bidi="ne-NP"/>
        </w:rPr>
      </w:pPr>
    </w:p>
    <w:p w14:paraId="5D3A63EE" w14:textId="77777777" w:rsidR="003E0D31" w:rsidRPr="003E0D31" w:rsidRDefault="003E0D31" w:rsidP="00705347">
      <w:pPr>
        <w:numPr>
          <w:ilvl w:val="0"/>
          <w:numId w:val="15"/>
        </w:numPr>
        <w:spacing w:line="360" w:lineRule="auto"/>
        <w:ind w:left="357" w:hanging="357"/>
        <w:contextualSpacing/>
        <w:rPr>
          <w:rFonts w:eastAsia="Calibri"/>
          <w:b/>
          <w:bCs/>
          <w:szCs w:val="21"/>
          <w:lang w:bidi="ne-NP"/>
        </w:rPr>
      </w:pPr>
      <w:r w:rsidRPr="003E0D31">
        <w:rPr>
          <w:rFonts w:eastAsia="Calibri"/>
          <w:b/>
          <w:bCs/>
          <w:szCs w:val="21"/>
          <w:lang w:bidi="ne-NP"/>
        </w:rPr>
        <w:t>Translation inhibition mediated by untranslated regions</w:t>
      </w:r>
    </w:p>
    <w:p w14:paraId="2141A6E1" w14:textId="77777777" w:rsidR="00705347" w:rsidRDefault="003E0D31" w:rsidP="00705347">
      <w:pPr>
        <w:spacing w:line="360" w:lineRule="auto"/>
        <w:ind w:firstLine="720"/>
        <w:rPr>
          <w:rFonts w:eastAsia="Calibri"/>
          <w:szCs w:val="21"/>
          <w:lang w:bidi="ne-NP"/>
        </w:rPr>
      </w:pPr>
      <w:r w:rsidRPr="003E0D31">
        <w:rPr>
          <w:rFonts w:eastAsia="Calibri"/>
          <w:szCs w:val="21"/>
          <w:lang w:bidi="ne-NP"/>
        </w:rPr>
        <w:t xml:space="preserve">The type I toxin mRNAs are usually far longer than the coding region with additional UTRs at the 5’ or 3’ end </w:t>
      </w:r>
      <w:r w:rsidRPr="003E0D31">
        <w:rPr>
          <w:rFonts w:eastAsia="Calibri"/>
          <w:noProof/>
          <w:szCs w:val="21"/>
          <w:lang w:bidi="ne-NP"/>
        </w:rPr>
        <w:t>(56,67,91)</w:t>
      </w:r>
      <w:r w:rsidRPr="003E0D31">
        <w:rPr>
          <w:rFonts w:eastAsia="Calibri"/>
          <w:szCs w:val="21"/>
          <w:lang w:bidi="ne-NP"/>
        </w:rPr>
        <w:t xml:space="preserve">. These long UTRs will form secondary structures via complementary base pairs and often sequester the Shine Dalgarno (SD) sequence. The role of these UTRs in keeping the toxin encoding mRNA translationally inert has been experimentally validated in many type I TA systems encoded in Gram-negative and Gram-positive bacteria. These UTRs can also function to maintain the stability of the toxin encoding mRNA as their processing has been shown to reduce mRNA stability </w:t>
      </w:r>
      <w:r w:rsidRPr="003E0D31">
        <w:rPr>
          <w:rFonts w:eastAsia="Calibri"/>
          <w:noProof/>
          <w:szCs w:val="21"/>
          <w:lang w:bidi="ne-NP"/>
        </w:rPr>
        <w:t>(65)</w:t>
      </w:r>
      <w:r w:rsidRPr="003E0D31">
        <w:rPr>
          <w:rFonts w:eastAsia="Calibri"/>
          <w:szCs w:val="21"/>
          <w:lang w:bidi="ne-NP"/>
        </w:rPr>
        <w:t xml:space="preserve">. </w:t>
      </w:r>
    </w:p>
    <w:p w14:paraId="1FD749B7" w14:textId="77777777" w:rsidR="00705347" w:rsidRDefault="003E0D31" w:rsidP="00705347">
      <w:pPr>
        <w:spacing w:line="360" w:lineRule="auto"/>
        <w:ind w:firstLine="720"/>
        <w:rPr>
          <w:rFonts w:eastAsia="Calibri"/>
          <w:szCs w:val="21"/>
          <w:lang w:bidi="ne-NP"/>
        </w:rPr>
      </w:pPr>
      <w:r w:rsidRPr="003E0D31">
        <w:rPr>
          <w:rFonts w:eastAsia="Calibri"/>
          <w:szCs w:val="21"/>
          <w:lang w:bidi="ne-NP"/>
        </w:rPr>
        <w:t xml:space="preserve">The full-length </w:t>
      </w:r>
      <w:proofErr w:type="spellStart"/>
      <w:r w:rsidRPr="003E0D31">
        <w:rPr>
          <w:rFonts w:eastAsia="Calibri"/>
          <w:i/>
          <w:iCs/>
          <w:szCs w:val="21"/>
          <w:lang w:bidi="ne-NP"/>
        </w:rPr>
        <w:t>hok</w:t>
      </w:r>
      <w:proofErr w:type="spellEnd"/>
      <w:r w:rsidRPr="003E0D31">
        <w:rPr>
          <w:rFonts w:eastAsia="Calibri"/>
          <w:szCs w:val="21"/>
          <w:lang w:bidi="ne-NP"/>
        </w:rPr>
        <w:t xml:space="preserve"> mRNA is not translated due </w:t>
      </w:r>
      <w:r w:rsidRPr="003E0D31">
        <w:rPr>
          <w:rFonts w:eastAsia="Calibri"/>
          <w:color w:val="000000"/>
          <w:szCs w:val="21"/>
          <w:lang w:bidi="ne-NP"/>
        </w:rPr>
        <w:t>to sequestration of its RBS</w:t>
      </w:r>
      <w:r w:rsidRPr="003E0D31">
        <w:rPr>
          <w:rFonts w:eastAsia="Calibri"/>
          <w:color w:val="FF0000"/>
          <w:szCs w:val="21"/>
          <w:lang w:bidi="ne-NP"/>
        </w:rPr>
        <w:t xml:space="preserve"> </w:t>
      </w:r>
      <w:r w:rsidRPr="003E0D31">
        <w:rPr>
          <w:rFonts w:eastAsia="Calibri"/>
          <w:szCs w:val="21"/>
          <w:lang w:bidi="ne-NP"/>
        </w:rPr>
        <w:t xml:space="preserve">by an interaction between the translational activator element at the 5’-end and the fold-back-inhibitory element located at the 3’-end </w:t>
      </w:r>
      <w:r w:rsidRPr="003E0D31">
        <w:rPr>
          <w:rFonts w:eastAsia="Calibri"/>
          <w:noProof/>
          <w:szCs w:val="21"/>
          <w:lang w:bidi="ne-NP"/>
        </w:rPr>
        <w:t>(92)</w:t>
      </w:r>
      <w:r w:rsidRPr="003E0D31">
        <w:rPr>
          <w:rFonts w:eastAsia="Calibri"/>
          <w:szCs w:val="21"/>
          <w:lang w:bidi="ne-NP"/>
        </w:rPr>
        <w:t>. This long distance interaction between the two ends of the mRNA is disrupted after RNase III and polynucleotide phosphorylase (</w:t>
      </w:r>
      <w:proofErr w:type="spellStart"/>
      <w:r w:rsidRPr="003E0D31">
        <w:rPr>
          <w:rFonts w:eastAsia="Calibri"/>
          <w:szCs w:val="21"/>
          <w:lang w:bidi="ne-NP"/>
        </w:rPr>
        <w:t>PNPase</w:t>
      </w:r>
      <w:proofErr w:type="spellEnd"/>
      <w:r w:rsidRPr="003E0D31">
        <w:rPr>
          <w:rFonts w:eastAsia="Calibri"/>
          <w:szCs w:val="21"/>
          <w:lang w:bidi="ne-NP"/>
        </w:rPr>
        <w:t xml:space="preserve">, via 3’-5’ exonuclease activity) processes the 3’ end that leads to mRNA structural rearrangements at the 5’ UTR </w:t>
      </w:r>
      <w:r w:rsidRPr="003E0D31">
        <w:rPr>
          <w:rFonts w:eastAsia="Calibri"/>
          <w:noProof/>
          <w:szCs w:val="21"/>
          <w:lang w:bidi="ne-NP"/>
        </w:rPr>
        <w:t>(92,93)</w:t>
      </w:r>
      <w:r w:rsidRPr="003E0D31">
        <w:rPr>
          <w:rFonts w:eastAsia="Calibri"/>
          <w:szCs w:val="21"/>
          <w:lang w:bidi="ne-NP"/>
        </w:rPr>
        <w:t xml:space="preserve">. Similar 3’ processing (cleaving 25 nucleotides) is required for the activation of </w:t>
      </w:r>
      <w:r w:rsidRPr="003E0D31">
        <w:rPr>
          <w:rFonts w:eastAsia="Calibri"/>
          <w:i/>
          <w:iCs/>
          <w:szCs w:val="21"/>
          <w:lang w:bidi="ne-NP"/>
        </w:rPr>
        <w:t>aapA1</w:t>
      </w:r>
      <w:r w:rsidRPr="003E0D31">
        <w:rPr>
          <w:rFonts w:eastAsia="Calibri"/>
          <w:szCs w:val="21"/>
          <w:lang w:bidi="ne-NP"/>
        </w:rPr>
        <w:t xml:space="preserve"> mRNA in </w:t>
      </w:r>
      <w:r w:rsidRPr="003E0D31">
        <w:rPr>
          <w:rFonts w:eastAsia="Calibri"/>
          <w:i/>
          <w:iCs/>
          <w:szCs w:val="21"/>
          <w:lang w:bidi="ne-NP"/>
        </w:rPr>
        <w:t>H. pylori</w:t>
      </w:r>
      <w:r w:rsidRPr="003E0D31">
        <w:rPr>
          <w:rFonts w:eastAsia="Calibri"/>
          <w:szCs w:val="21"/>
          <w:lang w:bidi="ne-NP"/>
        </w:rPr>
        <w:t xml:space="preserve"> </w:t>
      </w:r>
      <w:r w:rsidRPr="003E0D31">
        <w:rPr>
          <w:rFonts w:eastAsia="Calibri"/>
          <w:noProof/>
          <w:szCs w:val="21"/>
          <w:lang w:bidi="ne-NP"/>
        </w:rPr>
        <w:t>(57)</w:t>
      </w:r>
      <w:r w:rsidRPr="003E0D31">
        <w:rPr>
          <w:rFonts w:eastAsia="Calibri"/>
          <w:szCs w:val="21"/>
          <w:lang w:bidi="ne-NP"/>
        </w:rPr>
        <w:t xml:space="preserve">. The processing event opens the sequestered SD sequence in </w:t>
      </w:r>
      <w:r w:rsidRPr="003E0D31">
        <w:rPr>
          <w:rFonts w:eastAsia="Calibri"/>
          <w:i/>
          <w:iCs/>
          <w:szCs w:val="21"/>
          <w:lang w:bidi="ne-NP"/>
        </w:rPr>
        <w:t>aapA1</w:t>
      </w:r>
      <w:r w:rsidRPr="003E0D31">
        <w:rPr>
          <w:rFonts w:eastAsia="Calibri"/>
          <w:szCs w:val="21"/>
          <w:lang w:bidi="ne-NP"/>
        </w:rPr>
        <w:t xml:space="preserve"> and makes it available to interact with 16s rRNA and to initiate translation. </w:t>
      </w:r>
    </w:p>
    <w:p w14:paraId="7476BD71" w14:textId="4E01383D" w:rsidR="003E0D31" w:rsidRPr="003E0D31" w:rsidRDefault="003E0D31" w:rsidP="00705347">
      <w:pPr>
        <w:spacing w:line="360" w:lineRule="auto"/>
        <w:ind w:firstLine="720"/>
        <w:rPr>
          <w:rFonts w:eastAsia="Calibri"/>
          <w:szCs w:val="21"/>
          <w:lang w:bidi="ne-NP"/>
        </w:rPr>
      </w:pPr>
      <w:r w:rsidRPr="003E0D31">
        <w:rPr>
          <w:rFonts w:eastAsia="Calibri"/>
          <w:szCs w:val="21"/>
          <w:lang w:bidi="ne-NP"/>
        </w:rPr>
        <w:t xml:space="preserve">The 5’UTR of </w:t>
      </w:r>
      <w:proofErr w:type="spellStart"/>
      <w:r w:rsidRPr="003E0D31">
        <w:rPr>
          <w:rFonts w:eastAsia="Calibri"/>
          <w:i/>
          <w:iCs/>
          <w:szCs w:val="21"/>
          <w:lang w:bidi="ne-NP"/>
        </w:rPr>
        <w:t>tisB</w:t>
      </w:r>
      <w:proofErr w:type="spellEnd"/>
      <w:r w:rsidRPr="003E0D31">
        <w:rPr>
          <w:rFonts w:eastAsia="Calibri"/>
          <w:szCs w:val="21"/>
          <w:lang w:bidi="ne-NP"/>
        </w:rPr>
        <w:t xml:space="preserve"> makes it translationally inert and requires processing of the first 41 nucleotides </w:t>
      </w:r>
      <w:r w:rsidRPr="003E0D31">
        <w:rPr>
          <w:rFonts w:eastAsia="Calibri"/>
          <w:noProof/>
          <w:szCs w:val="21"/>
          <w:lang w:bidi="ne-NP"/>
        </w:rPr>
        <w:t>(94,95)</w:t>
      </w:r>
      <w:r w:rsidRPr="003E0D31">
        <w:rPr>
          <w:rFonts w:eastAsia="Calibri"/>
          <w:szCs w:val="21"/>
          <w:lang w:bidi="ne-NP"/>
        </w:rPr>
        <w:t xml:space="preserve">. This processing however does not open up the SD </w:t>
      </w:r>
      <w:r w:rsidRPr="003E0D31">
        <w:rPr>
          <w:rFonts w:eastAsia="Calibri"/>
          <w:szCs w:val="21"/>
          <w:lang w:bidi="ne-NP"/>
        </w:rPr>
        <w:lastRenderedPageBreak/>
        <w:t xml:space="preserve">sequence but changes the structure, thus opening the so-called ribosome standby site, and making it available for the 30S ribosomal subunit to bind </w:t>
      </w:r>
      <w:r w:rsidRPr="003E0D31">
        <w:rPr>
          <w:rFonts w:eastAsia="Calibri"/>
          <w:noProof/>
          <w:szCs w:val="21"/>
          <w:lang w:bidi="ne-NP"/>
        </w:rPr>
        <w:t>(90)</w:t>
      </w:r>
      <w:r w:rsidRPr="003E0D31">
        <w:rPr>
          <w:rFonts w:eastAsia="Calibri"/>
          <w:szCs w:val="21"/>
          <w:lang w:bidi="ne-NP"/>
        </w:rPr>
        <w:t xml:space="preserve">. This binding is further enhanced by a pseudoknot at the 5’ end of the processed mRNA (+42) and ribosomal protein S1, therefore enabling the standby-dependent translation of the </w:t>
      </w:r>
      <w:proofErr w:type="spellStart"/>
      <w:r w:rsidRPr="003E0D31">
        <w:rPr>
          <w:rFonts w:eastAsia="Calibri"/>
          <w:szCs w:val="21"/>
          <w:lang w:bidi="ne-NP"/>
        </w:rPr>
        <w:t>TisB</w:t>
      </w:r>
      <w:proofErr w:type="spellEnd"/>
      <w:r w:rsidRPr="003E0D31">
        <w:rPr>
          <w:rFonts w:eastAsia="Calibri"/>
          <w:szCs w:val="21"/>
          <w:lang w:bidi="ne-NP"/>
        </w:rPr>
        <w:t xml:space="preserve"> toxin </w:t>
      </w:r>
      <w:r w:rsidRPr="003E0D31">
        <w:rPr>
          <w:rFonts w:eastAsia="Calibri"/>
          <w:noProof/>
          <w:szCs w:val="21"/>
          <w:lang w:bidi="ne-NP"/>
        </w:rPr>
        <w:t>(90,94)</w:t>
      </w:r>
      <w:r w:rsidRPr="003E0D31">
        <w:rPr>
          <w:rFonts w:eastAsia="Calibri"/>
          <w:szCs w:val="21"/>
          <w:lang w:bidi="ne-NP"/>
        </w:rPr>
        <w:t xml:space="preserve">. The 5’ UTR processing of </w:t>
      </w:r>
      <w:proofErr w:type="spellStart"/>
      <w:r w:rsidRPr="003E0D31">
        <w:rPr>
          <w:rFonts w:eastAsia="Calibri"/>
          <w:i/>
          <w:iCs/>
          <w:szCs w:val="21"/>
          <w:lang w:bidi="ne-NP"/>
        </w:rPr>
        <w:t>zorO</w:t>
      </w:r>
      <w:proofErr w:type="spellEnd"/>
      <w:r w:rsidRPr="003E0D31">
        <w:rPr>
          <w:rFonts w:eastAsia="Calibri"/>
          <w:szCs w:val="21"/>
          <w:lang w:bidi="ne-NP"/>
        </w:rPr>
        <w:t xml:space="preserve"> (</w:t>
      </w:r>
      <w:r w:rsidRPr="003E0D31">
        <w:rPr>
          <w:rFonts w:eastAsia="Calibri"/>
          <w:szCs w:val="21"/>
          <w:lang w:bidi="ne-NP"/>
        </w:rPr>
        <w:sym w:font="Symbol" w:char="F044"/>
      </w:r>
      <w:r w:rsidRPr="003E0D31">
        <w:rPr>
          <w:rFonts w:eastAsia="Calibri"/>
          <w:szCs w:val="21"/>
          <w:lang w:bidi="ne-NP"/>
        </w:rPr>
        <w:t xml:space="preserve">28) also does not open the SD sequence but exposes a probable standby region as observed with </w:t>
      </w:r>
      <w:proofErr w:type="spellStart"/>
      <w:r w:rsidRPr="003E0D31">
        <w:rPr>
          <w:rFonts w:eastAsia="Calibri"/>
          <w:i/>
          <w:iCs/>
          <w:szCs w:val="21"/>
          <w:lang w:bidi="ne-NP"/>
        </w:rPr>
        <w:t>tisB</w:t>
      </w:r>
      <w:proofErr w:type="spellEnd"/>
      <w:r w:rsidRPr="003E0D31">
        <w:rPr>
          <w:rFonts w:eastAsia="Calibri"/>
          <w:szCs w:val="21"/>
          <w:lang w:bidi="ne-NP"/>
        </w:rPr>
        <w:t xml:space="preserve"> </w:t>
      </w:r>
      <w:r w:rsidRPr="003E0D31">
        <w:rPr>
          <w:rFonts w:eastAsia="Calibri"/>
          <w:noProof/>
          <w:szCs w:val="21"/>
          <w:lang w:bidi="ne-NP"/>
        </w:rPr>
        <w:t>(65)</w:t>
      </w:r>
      <w:r w:rsidRPr="003E0D31">
        <w:rPr>
          <w:rFonts w:eastAsia="Calibri"/>
          <w:szCs w:val="21"/>
          <w:lang w:bidi="ne-NP"/>
        </w:rPr>
        <w:t xml:space="preserve">. Transcripts of different sizes, indicating processing at 5’ ends, have also been observed with </w:t>
      </w:r>
      <w:proofErr w:type="spellStart"/>
      <w:r w:rsidRPr="003E0D31">
        <w:rPr>
          <w:rFonts w:eastAsia="Calibri"/>
          <w:i/>
          <w:iCs/>
          <w:szCs w:val="21"/>
          <w:lang w:bidi="ne-NP"/>
        </w:rPr>
        <w:t>dinQ</w:t>
      </w:r>
      <w:proofErr w:type="spellEnd"/>
      <w:r w:rsidRPr="003E0D31">
        <w:rPr>
          <w:rFonts w:eastAsia="Calibri"/>
          <w:szCs w:val="21"/>
          <w:lang w:bidi="ne-NP"/>
        </w:rPr>
        <w:t xml:space="preserve"> and </w:t>
      </w:r>
      <w:proofErr w:type="spellStart"/>
      <w:r w:rsidRPr="003E0D31">
        <w:rPr>
          <w:rFonts w:eastAsia="Calibri"/>
          <w:i/>
          <w:iCs/>
          <w:szCs w:val="21"/>
          <w:lang w:bidi="ne-NP"/>
        </w:rPr>
        <w:t>shoB</w:t>
      </w:r>
      <w:proofErr w:type="spellEnd"/>
      <w:r w:rsidRPr="003E0D31">
        <w:rPr>
          <w:rFonts w:eastAsia="Calibri"/>
          <w:szCs w:val="21"/>
          <w:lang w:bidi="ne-NP"/>
        </w:rPr>
        <w:t xml:space="preserve"> </w:t>
      </w:r>
      <w:r w:rsidRPr="003E0D31">
        <w:rPr>
          <w:rFonts w:eastAsia="Calibri"/>
          <w:noProof/>
          <w:szCs w:val="21"/>
          <w:lang w:bidi="ne-NP"/>
        </w:rPr>
        <w:t>(55,96)</w:t>
      </w:r>
      <w:r w:rsidRPr="003E0D31">
        <w:rPr>
          <w:rFonts w:eastAsia="Calibri"/>
          <w:szCs w:val="21"/>
          <w:lang w:bidi="ne-NP"/>
        </w:rPr>
        <w:t xml:space="preserve">. An </w:t>
      </w:r>
      <w:r w:rsidRPr="003E0D31">
        <w:rPr>
          <w:rFonts w:eastAsia="Calibri"/>
          <w:i/>
          <w:szCs w:val="21"/>
          <w:lang w:bidi="ne-NP"/>
        </w:rPr>
        <w:t>in vitro</w:t>
      </w:r>
      <w:r w:rsidRPr="003E0D31">
        <w:rPr>
          <w:rFonts w:eastAsia="Calibri"/>
          <w:szCs w:val="21"/>
          <w:lang w:bidi="ne-NP"/>
        </w:rPr>
        <w:t xml:space="preserve"> translation of </w:t>
      </w:r>
      <w:proofErr w:type="spellStart"/>
      <w:r w:rsidRPr="003E0D31">
        <w:rPr>
          <w:rFonts w:eastAsia="Calibri"/>
          <w:i/>
          <w:iCs/>
          <w:szCs w:val="21"/>
          <w:lang w:bidi="ne-NP"/>
        </w:rPr>
        <w:t>dinQ</w:t>
      </w:r>
      <w:proofErr w:type="spellEnd"/>
      <w:r w:rsidRPr="003E0D31">
        <w:rPr>
          <w:rFonts w:eastAsia="Calibri"/>
          <w:szCs w:val="21"/>
          <w:lang w:bidi="ne-NP"/>
        </w:rPr>
        <w:t xml:space="preserve"> was rapid and robust with the +44 </w:t>
      </w:r>
      <w:proofErr w:type="spellStart"/>
      <w:r w:rsidRPr="003E0D31">
        <w:rPr>
          <w:rFonts w:eastAsia="Calibri"/>
          <w:i/>
          <w:iCs/>
          <w:szCs w:val="21"/>
          <w:lang w:bidi="ne-NP"/>
        </w:rPr>
        <w:t>dinQ</w:t>
      </w:r>
      <w:proofErr w:type="spellEnd"/>
      <w:r w:rsidRPr="003E0D31">
        <w:rPr>
          <w:rFonts w:eastAsia="Calibri"/>
          <w:i/>
          <w:iCs/>
          <w:szCs w:val="21"/>
          <w:lang w:bidi="ne-NP"/>
        </w:rPr>
        <w:t xml:space="preserve"> </w:t>
      </w:r>
      <w:r w:rsidRPr="003E0D31">
        <w:rPr>
          <w:rFonts w:eastAsia="Calibri"/>
          <w:szCs w:val="21"/>
          <w:lang w:bidi="ne-NP"/>
        </w:rPr>
        <w:t xml:space="preserve">mRNA compared to that from the +1 mRNA </w:t>
      </w:r>
      <w:r w:rsidRPr="003E0D31">
        <w:rPr>
          <w:rFonts w:eastAsia="Calibri"/>
          <w:noProof/>
          <w:szCs w:val="21"/>
          <w:lang w:bidi="ne-NP"/>
        </w:rPr>
        <w:t>(97)</w:t>
      </w:r>
      <w:r w:rsidRPr="003E0D31">
        <w:rPr>
          <w:rFonts w:eastAsia="Calibri"/>
          <w:szCs w:val="21"/>
          <w:lang w:bidi="ne-NP"/>
        </w:rPr>
        <w:t xml:space="preserve">. In case of </w:t>
      </w:r>
      <w:proofErr w:type="spellStart"/>
      <w:r w:rsidRPr="003E0D31">
        <w:rPr>
          <w:rFonts w:eastAsia="Calibri"/>
          <w:i/>
          <w:iCs/>
          <w:szCs w:val="21"/>
          <w:lang w:bidi="ne-NP"/>
        </w:rPr>
        <w:t>shoB</w:t>
      </w:r>
      <w:proofErr w:type="spellEnd"/>
      <w:r w:rsidRPr="003E0D31">
        <w:rPr>
          <w:rFonts w:eastAsia="Calibri"/>
          <w:szCs w:val="21"/>
          <w:lang w:bidi="ne-NP"/>
        </w:rPr>
        <w:t xml:space="preserve">, of the two transcripts that were mapped 40 </w:t>
      </w:r>
      <w:proofErr w:type="spellStart"/>
      <w:r w:rsidRPr="003E0D31">
        <w:rPr>
          <w:rFonts w:eastAsia="Calibri"/>
          <w:szCs w:val="21"/>
          <w:lang w:bidi="ne-NP"/>
        </w:rPr>
        <w:t>nts</w:t>
      </w:r>
      <w:proofErr w:type="spellEnd"/>
      <w:r w:rsidRPr="003E0D31">
        <w:rPr>
          <w:rFonts w:eastAsia="Calibri"/>
          <w:szCs w:val="21"/>
          <w:lang w:bidi="ne-NP"/>
        </w:rPr>
        <w:t xml:space="preserve"> apart at the 5’ end, the expression was observed only from the shorter 5’ UTR indicating translational regulation and need of 5’ processing </w:t>
      </w:r>
      <w:r w:rsidRPr="003E0D31">
        <w:rPr>
          <w:rFonts w:eastAsia="Calibri"/>
          <w:noProof/>
          <w:szCs w:val="21"/>
          <w:lang w:bidi="ne-NP"/>
        </w:rPr>
        <w:t>(12,96)</w:t>
      </w:r>
      <w:r w:rsidRPr="003E0D31">
        <w:rPr>
          <w:rFonts w:eastAsia="Calibri"/>
          <w:szCs w:val="21"/>
          <w:lang w:bidi="ne-NP"/>
        </w:rPr>
        <w:t>. The nucleases involved in the 5’ end processing for any of these mRNAs remain unknown.</w:t>
      </w:r>
    </w:p>
    <w:p w14:paraId="0A4E95DC" w14:textId="77777777" w:rsidR="003E0D31" w:rsidRPr="003E0D31" w:rsidRDefault="003E0D31" w:rsidP="003E0D31">
      <w:pPr>
        <w:spacing w:line="360" w:lineRule="auto"/>
        <w:ind w:firstLine="720"/>
        <w:rPr>
          <w:rFonts w:eastAsia="Calibri"/>
          <w:szCs w:val="21"/>
          <w:lang w:bidi="ne-NP"/>
        </w:rPr>
      </w:pPr>
      <w:r w:rsidRPr="003E0D31">
        <w:rPr>
          <w:rFonts w:eastAsia="Calibri"/>
          <w:szCs w:val="21"/>
          <w:lang w:bidi="ne-NP"/>
        </w:rPr>
        <w:t xml:space="preserve">UTRs that sequester the SD sequences of toxin mRNAs in Gram-positive bacteria have been observed, however, the processing events and their significance in these bacteria require further examination </w:t>
      </w:r>
      <w:r w:rsidRPr="003E0D31">
        <w:rPr>
          <w:rFonts w:eastAsia="Calibri"/>
          <w:noProof/>
          <w:szCs w:val="21"/>
          <w:lang w:bidi="ne-NP"/>
        </w:rPr>
        <w:t>(41)</w:t>
      </w:r>
      <w:r w:rsidRPr="003E0D31">
        <w:rPr>
          <w:rFonts w:eastAsia="Calibri"/>
          <w:szCs w:val="21"/>
          <w:lang w:bidi="ne-NP"/>
        </w:rPr>
        <w:t xml:space="preserve">. RNA I that encodes the </w:t>
      </w:r>
      <w:proofErr w:type="spellStart"/>
      <w:r w:rsidRPr="003E0D31">
        <w:rPr>
          <w:rFonts w:eastAsia="Calibri"/>
          <w:szCs w:val="21"/>
          <w:lang w:bidi="ne-NP"/>
        </w:rPr>
        <w:t>Fst</w:t>
      </w:r>
      <w:proofErr w:type="spellEnd"/>
      <w:r w:rsidRPr="003E0D31">
        <w:rPr>
          <w:rFonts w:eastAsia="Calibri"/>
          <w:szCs w:val="21"/>
          <w:lang w:bidi="ne-NP"/>
        </w:rPr>
        <w:t xml:space="preserve"> toxin (part of </w:t>
      </w:r>
      <w:r w:rsidRPr="003E0D31">
        <w:rPr>
          <w:rFonts w:eastAsia="Calibri"/>
          <w:i/>
          <w:iCs/>
          <w:szCs w:val="21"/>
          <w:lang w:bidi="ne-NP"/>
        </w:rPr>
        <w:t>par</w:t>
      </w:r>
      <w:r w:rsidRPr="003E0D31">
        <w:rPr>
          <w:rFonts w:eastAsia="Calibri"/>
          <w:szCs w:val="21"/>
          <w:lang w:bidi="ne-NP"/>
        </w:rPr>
        <w:t xml:space="preserve"> locus of the pAD1 plasmid in </w:t>
      </w:r>
      <w:r w:rsidRPr="003E0D31">
        <w:rPr>
          <w:rFonts w:eastAsia="Calibri"/>
          <w:i/>
          <w:szCs w:val="21"/>
          <w:lang w:bidi="ne-NP"/>
        </w:rPr>
        <w:t>E. faecalis</w:t>
      </w:r>
      <w:r w:rsidRPr="003E0D31">
        <w:rPr>
          <w:rFonts w:eastAsia="Calibri"/>
          <w:szCs w:val="21"/>
          <w:lang w:bidi="ne-NP"/>
        </w:rPr>
        <w:t xml:space="preserve">), inhibits its own translation via an interaction between an upstream helix and a small stem-loop at the 5’ UTR, restricting access of the SD sequence to the ribosomes </w:t>
      </w:r>
      <w:r w:rsidRPr="003E0D31">
        <w:rPr>
          <w:rFonts w:eastAsia="Calibri"/>
          <w:noProof/>
          <w:szCs w:val="21"/>
          <w:lang w:bidi="ne-NP"/>
        </w:rPr>
        <w:t>(98)</w:t>
      </w:r>
      <w:r w:rsidRPr="003E0D31">
        <w:rPr>
          <w:rFonts w:eastAsia="Calibri"/>
          <w:szCs w:val="21"/>
          <w:lang w:bidi="ne-NP"/>
        </w:rPr>
        <w:t xml:space="preserve">. The stem-loop region was later discovered to be critical in preventing translation as its disruption leads to an increase in </w:t>
      </w:r>
      <w:proofErr w:type="spellStart"/>
      <w:r w:rsidRPr="003E0D31">
        <w:rPr>
          <w:rFonts w:eastAsia="Calibri"/>
          <w:szCs w:val="21"/>
          <w:lang w:bidi="ne-NP"/>
        </w:rPr>
        <w:t>Fst</w:t>
      </w:r>
      <w:proofErr w:type="spellEnd"/>
      <w:r w:rsidRPr="003E0D31">
        <w:rPr>
          <w:rFonts w:eastAsia="Calibri"/>
          <w:szCs w:val="21"/>
          <w:lang w:bidi="ne-NP"/>
        </w:rPr>
        <w:t xml:space="preserve"> translation </w:t>
      </w:r>
      <w:r w:rsidRPr="003E0D31">
        <w:rPr>
          <w:rFonts w:eastAsia="Calibri"/>
          <w:i/>
          <w:szCs w:val="21"/>
          <w:lang w:bidi="ne-NP"/>
        </w:rPr>
        <w:t>in vitro</w:t>
      </w:r>
      <w:r w:rsidRPr="003E0D31">
        <w:rPr>
          <w:rFonts w:eastAsia="Calibri"/>
          <w:szCs w:val="21"/>
          <w:lang w:bidi="ne-NP"/>
        </w:rPr>
        <w:t xml:space="preserve"> </w:t>
      </w:r>
      <w:r w:rsidRPr="003E0D31">
        <w:rPr>
          <w:rFonts w:eastAsia="Calibri"/>
          <w:noProof/>
          <w:szCs w:val="21"/>
          <w:lang w:bidi="ne-NP"/>
        </w:rPr>
        <w:t>(99)</w:t>
      </w:r>
      <w:r w:rsidRPr="003E0D31">
        <w:rPr>
          <w:rFonts w:eastAsia="Calibri"/>
          <w:szCs w:val="21"/>
          <w:lang w:bidi="ne-NP"/>
        </w:rPr>
        <w:t xml:space="preserve">. The </w:t>
      </w:r>
      <w:proofErr w:type="spellStart"/>
      <w:r w:rsidRPr="003E0D31">
        <w:rPr>
          <w:rFonts w:eastAsia="Calibri"/>
          <w:i/>
          <w:iCs/>
          <w:szCs w:val="21"/>
          <w:lang w:bidi="ne-NP"/>
        </w:rPr>
        <w:t>bsrG</w:t>
      </w:r>
      <w:proofErr w:type="spellEnd"/>
      <w:r w:rsidRPr="003E0D31">
        <w:rPr>
          <w:rFonts w:eastAsia="Calibri"/>
          <w:szCs w:val="21"/>
          <w:lang w:bidi="ne-NP"/>
        </w:rPr>
        <w:t xml:space="preserve"> mRNA in </w:t>
      </w:r>
      <w:r w:rsidRPr="003E0D31">
        <w:rPr>
          <w:rFonts w:eastAsia="Calibri"/>
          <w:i/>
          <w:iCs/>
          <w:szCs w:val="21"/>
          <w:lang w:bidi="ne-NP"/>
        </w:rPr>
        <w:t>B. subtilis</w:t>
      </w:r>
      <w:r w:rsidRPr="003E0D31">
        <w:rPr>
          <w:rFonts w:eastAsia="Calibri"/>
          <w:szCs w:val="21"/>
          <w:lang w:bidi="ne-NP"/>
        </w:rPr>
        <w:t xml:space="preserve"> forms a highly structured double-stranded regions with multiple stem-loops and one of these stem-loops blocks the SD sequence, thus preventing its translation </w:t>
      </w:r>
      <w:r w:rsidRPr="003E0D31">
        <w:rPr>
          <w:rFonts w:eastAsia="Calibri"/>
          <w:noProof/>
          <w:szCs w:val="21"/>
          <w:lang w:bidi="ne-NP"/>
        </w:rPr>
        <w:t>(100)</w:t>
      </w:r>
      <w:r w:rsidRPr="003E0D31">
        <w:rPr>
          <w:rFonts w:eastAsia="Calibri"/>
          <w:szCs w:val="21"/>
          <w:lang w:bidi="ne-NP"/>
        </w:rPr>
        <w:t xml:space="preserve">. </w:t>
      </w:r>
    </w:p>
    <w:p w14:paraId="03D7CB81" w14:textId="77777777" w:rsidR="003E0D31" w:rsidRPr="003E0D31" w:rsidRDefault="003E0D31" w:rsidP="003E0D31">
      <w:pPr>
        <w:spacing w:line="360" w:lineRule="auto"/>
        <w:ind w:firstLine="501"/>
        <w:rPr>
          <w:rFonts w:eastAsia="Calibri"/>
          <w:b/>
          <w:bCs/>
          <w:szCs w:val="21"/>
          <w:lang w:bidi="ne-NP"/>
        </w:rPr>
      </w:pPr>
    </w:p>
    <w:p w14:paraId="08A6B848" w14:textId="77777777" w:rsidR="003E0D31" w:rsidRPr="003E0D31" w:rsidRDefault="003E0D31" w:rsidP="003E0D31">
      <w:pPr>
        <w:numPr>
          <w:ilvl w:val="0"/>
          <w:numId w:val="15"/>
        </w:numPr>
        <w:spacing w:line="360" w:lineRule="auto"/>
        <w:contextualSpacing/>
        <w:rPr>
          <w:rFonts w:eastAsia="Calibri"/>
          <w:szCs w:val="21"/>
          <w:lang w:bidi="ne-NP"/>
        </w:rPr>
      </w:pPr>
      <w:r w:rsidRPr="003E0D31">
        <w:rPr>
          <w:rFonts w:eastAsia="Calibri"/>
          <w:b/>
          <w:bCs/>
          <w:szCs w:val="21"/>
          <w:lang w:bidi="ne-NP"/>
        </w:rPr>
        <w:t>Translation inhibition mediated by antitoxin sRNA</w:t>
      </w:r>
    </w:p>
    <w:p w14:paraId="7EF86045" w14:textId="77777777" w:rsidR="003E0D31" w:rsidRPr="003E0D31" w:rsidRDefault="003E0D31" w:rsidP="003E0D31">
      <w:pPr>
        <w:spacing w:line="360" w:lineRule="auto"/>
        <w:ind w:firstLine="720"/>
        <w:rPr>
          <w:rFonts w:eastAsia="Calibri"/>
          <w:szCs w:val="21"/>
          <w:lang w:bidi="ne-NP"/>
        </w:rPr>
      </w:pPr>
      <w:r w:rsidRPr="003E0D31">
        <w:rPr>
          <w:rFonts w:eastAsia="Calibri"/>
          <w:szCs w:val="21"/>
          <w:lang w:bidi="ne-NP"/>
        </w:rPr>
        <w:t xml:space="preserve">The antitoxin of a type I TA system is encoded antisense to the toxin and can be organized at different positions relative to its toxin target (Table 1.2). While other sRNAs from Gram-negative bacteria require an RNA chaperone (such as </w:t>
      </w:r>
      <w:proofErr w:type="spellStart"/>
      <w:r w:rsidRPr="003E0D31">
        <w:rPr>
          <w:rFonts w:eastAsia="Calibri"/>
          <w:szCs w:val="21"/>
          <w:lang w:bidi="ne-NP"/>
        </w:rPr>
        <w:t>Hfq</w:t>
      </w:r>
      <w:proofErr w:type="spellEnd"/>
      <w:r w:rsidRPr="003E0D31">
        <w:rPr>
          <w:rFonts w:eastAsia="Calibri"/>
          <w:szCs w:val="21"/>
          <w:lang w:bidi="ne-NP"/>
        </w:rPr>
        <w:t xml:space="preserve">) to effectively bind to their targets, it is not required for the function of most antitoxin sRNAs studied to date. Using overexpression systems, the growth effects observed from the toxin encoding gene does not appear if the antitoxin is co-expressed </w:t>
      </w:r>
      <w:r w:rsidRPr="003E0D31">
        <w:rPr>
          <w:rFonts w:eastAsia="Calibri"/>
          <w:noProof/>
          <w:szCs w:val="21"/>
          <w:lang w:bidi="ne-NP"/>
        </w:rPr>
        <w:t>(9,49,56)</w:t>
      </w:r>
      <w:r w:rsidRPr="003E0D31">
        <w:rPr>
          <w:rFonts w:eastAsia="Calibri"/>
          <w:szCs w:val="21"/>
          <w:lang w:bidi="ne-NP"/>
        </w:rPr>
        <w:t xml:space="preserve">. This </w:t>
      </w:r>
      <w:r w:rsidRPr="003E0D31">
        <w:rPr>
          <w:rFonts w:eastAsia="Calibri"/>
          <w:szCs w:val="21"/>
          <w:lang w:bidi="ne-NP"/>
        </w:rPr>
        <w:lastRenderedPageBreak/>
        <w:t xml:space="preserve">illustrates the robustness of antitoxin mediated neutralization of their cognate type I toxins. To prevent toxicity, several of the described antitoxin sRNAs (such as IsoA1, </w:t>
      </w:r>
      <w:proofErr w:type="spellStart"/>
      <w:r w:rsidRPr="003E0D31">
        <w:rPr>
          <w:rFonts w:eastAsia="Calibri"/>
          <w:szCs w:val="21"/>
          <w:lang w:bidi="ne-NP"/>
        </w:rPr>
        <w:t>SymR</w:t>
      </w:r>
      <w:proofErr w:type="spellEnd"/>
      <w:r w:rsidRPr="003E0D31">
        <w:rPr>
          <w:rFonts w:eastAsia="Calibri"/>
          <w:szCs w:val="21"/>
          <w:lang w:bidi="ne-NP"/>
        </w:rPr>
        <w:t xml:space="preserve">, </w:t>
      </w:r>
      <w:proofErr w:type="spellStart"/>
      <w:r w:rsidRPr="003E0D31">
        <w:rPr>
          <w:rFonts w:eastAsia="Calibri"/>
          <w:szCs w:val="21"/>
          <w:lang w:bidi="ne-NP"/>
        </w:rPr>
        <w:t>SibC</w:t>
      </w:r>
      <w:proofErr w:type="spellEnd"/>
      <w:r w:rsidRPr="003E0D31">
        <w:rPr>
          <w:rFonts w:eastAsia="Calibri"/>
          <w:szCs w:val="21"/>
          <w:lang w:bidi="ne-NP"/>
        </w:rPr>
        <w:t xml:space="preserve">, </w:t>
      </w:r>
      <w:proofErr w:type="spellStart"/>
      <w:r w:rsidRPr="003E0D31">
        <w:rPr>
          <w:rFonts w:eastAsia="Calibri"/>
          <w:szCs w:val="21"/>
          <w:lang w:bidi="ne-NP"/>
        </w:rPr>
        <w:t>RalA</w:t>
      </w:r>
      <w:proofErr w:type="spellEnd"/>
      <w:r w:rsidRPr="003E0D31">
        <w:rPr>
          <w:rFonts w:eastAsia="Calibri"/>
          <w:szCs w:val="21"/>
          <w:lang w:bidi="ne-NP"/>
        </w:rPr>
        <w:t xml:space="preserve">) base pair such that they occlude the ribosome binding site of the toxin mRNA </w:t>
      </w:r>
      <w:r w:rsidRPr="003E0D31">
        <w:rPr>
          <w:rFonts w:eastAsia="Calibri"/>
          <w:noProof/>
          <w:szCs w:val="21"/>
          <w:lang w:bidi="ne-NP"/>
        </w:rPr>
        <w:t>(45,54,57,58)</w:t>
      </w:r>
      <w:r w:rsidRPr="003E0D31">
        <w:rPr>
          <w:rFonts w:eastAsia="Calibri"/>
          <w:szCs w:val="21"/>
          <w:lang w:bidi="ne-NP"/>
        </w:rPr>
        <w:t xml:space="preserve">. In some cases, however, sRNA base pairing can occur outside the RBS, such as within the toxin encoding mRNA or in other locations of the 5’ or 3’ UTR </w:t>
      </w:r>
      <w:r w:rsidRPr="003E0D31">
        <w:rPr>
          <w:rFonts w:eastAsia="Calibri"/>
          <w:noProof/>
          <w:szCs w:val="21"/>
          <w:lang w:bidi="ne-NP"/>
        </w:rPr>
        <w:t>(7,52,53,65)</w:t>
      </w:r>
      <w:r w:rsidRPr="003E0D31">
        <w:rPr>
          <w:rFonts w:eastAsia="Calibri"/>
          <w:szCs w:val="21"/>
          <w:lang w:bidi="ne-NP"/>
        </w:rPr>
        <w:t xml:space="preserve">. Some toxins require translation of an upstream leader sequence and thus their translation can be prevented by antitoxin sRNAs binding to these leader sequences. This has been observed in </w:t>
      </w:r>
      <w:proofErr w:type="spellStart"/>
      <w:r w:rsidRPr="003E0D31">
        <w:rPr>
          <w:rFonts w:eastAsia="Calibri"/>
          <w:i/>
          <w:iCs/>
          <w:szCs w:val="21"/>
          <w:lang w:bidi="ne-NP"/>
        </w:rPr>
        <w:t>hok</w:t>
      </w:r>
      <w:proofErr w:type="spellEnd"/>
      <w:r w:rsidRPr="003E0D31">
        <w:rPr>
          <w:rFonts w:eastAsia="Calibri"/>
          <w:i/>
          <w:iCs/>
          <w:szCs w:val="21"/>
          <w:lang w:bidi="ne-NP"/>
        </w:rPr>
        <w:t>/</w:t>
      </w:r>
      <w:proofErr w:type="spellStart"/>
      <w:r w:rsidRPr="003E0D31">
        <w:rPr>
          <w:rFonts w:eastAsia="Calibri"/>
          <w:i/>
          <w:iCs/>
          <w:szCs w:val="21"/>
          <w:lang w:bidi="ne-NP"/>
        </w:rPr>
        <w:t>sok</w:t>
      </w:r>
      <w:proofErr w:type="spellEnd"/>
      <w:r w:rsidRPr="003E0D31">
        <w:rPr>
          <w:rFonts w:eastAsia="Calibri"/>
          <w:szCs w:val="21"/>
          <w:lang w:bidi="ne-NP"/>
        </w:rPr>
        <w:t xml:space="preserve"> and </w:t>
      </w:r>
      <w:proofErr w:type="spellStart"/>
      <w:r w:rsidRPr="003E0D31">
        <w:rPr>
          <w:rFonts w:eastAsia="Calibri"/>
          <w:i/>
          <w:iCs/>
          <w:szCs w:val="21"/>
          <w:lang w:bidi="ne-NP"/>
        </w:rPr>
        <w:t>ldrD</w:t>
      </w:r>
      <w:proofErr w:type="spellEnd"/>
      <w:r w:rsidRPr="003E0D31">
        <w:rPr>
          <w:rFonts w:eastAsia="Calibri"/>
          <w:i/>
          <w:iCs/>
          <w:szCs w:val="21"/>
          <w:lang w:bidi="ne-NP"/>
        </w:rPr>
        <w:t>/</w:t>
      </w:r>
      <w:proofErr w:type="spellStart"/>
      <w:r w:rsidRPr="003E0D31">
        <w:rPr>
          <w:rFonts w:eastAsia="Calibri"/>
          <w:i/>
          <w:iCs/>
          <w:szCs w:val="21"/>
          <w:lang w:bidi="ne-NP"/>
        </w:rPr>
        <w:t>rdlD</w:t>
      </w:r>
      <w:proofErr w:type="spellEnd"/>
      <w:r w:rsidRPr="003E0D31">
        <w:rPr>
          <w:rFonts w:eastAsia="Calibri"/>
          <w:szCs w:val="21"/>
          <w:lang w:bidi="ne-NP"/>
        </w:rPr>
        <w:t xml:space="preserve"> where the antitoxin prevents translation of the leader peptide </w:t>
      </w:r>
      <w:r w:rsidRPr="003E0D31">
        <w:rPr>
          <w:rFonts w:eastAsia="Calibri"/>
          <w:noProof/>
          <w:szCs w:val="21"/>
          <w:lang w:bidi="ne-NP"/>
        </w:rPr>
        <w:t>(7,53)</w:t>
      </w:r>
      <w:r w:rsidRPr="003E0D31">
        <w:rPr>
          <w:rFonts w:eastAsia="Calibri"/>
          <w:szCs w:val="21"/>
          <w:lang w:bidi="ne-NP"/>
        </w:rPr>
        <w:t xml:space="preserve">. </w:t>
      </w:r>
    </w:p>
    <w:p w14:paraId="19922729" w14:textId="77777777" w:rsidR="003E0D31" w:rsidRPr="003E0D31" w:rsidRDefault="003E0D31" w:rsidP="003E0D31">
      <w:pPr>
        <w:spacing w:line="360" w:lineRule="auto"/>
        <w:ind w:firstLine="720"/>
        <w:rPr>
          <w:rFonts w:eastAsia="Calibri"/>
          <w:szCs w:val="21"/>
          <w:lang w:bidi="ne-NP"/>
        </w:rPr>
      </w:pPr>
      <w:r w:rsidRPr="003E0D31">
        <w:rPr>
          <w:rFonts w:eastAsia="Calibri"/>
          <w:szCs w:val="21"/>
          <w:lang w:bidi="ne-NP"/>
        </w:rPr>
        <w:t xml:space="preserve">For the </w:t>
      </w:r>
      <w:proofErr w:type="spellStart"/>
      <w:r w:rsidRPr="003E0D31">
        <w:rPr>
          <w:rFonts w:eastAsia="Calibri"/>
          <w:i/>
          <w:iCs/>
          <w:szCs w:val="21"/>
          <w:lang w:bidi="ne-NP"/>
        </w:rPr>
        <w:t>tisB</w:t>
      </w:r>
      <w:proofErr w:type="spellEnd"/>
      <w:r w:rsidRPr="003E0D31">
        <w:rPr>
          <w:rFonts w:eastAsia="Calibri"/>
          <w:i/>
          <w:iCs/>
          <w:szCs w:val="21"/>
          <w:lang w:bidi="ne-NP"/>
        </w:rPr>
        <w:t>/istR-1</w:t>
      </w:r>
      <w:r w:rsidRPr="003E0D31">
        <w:rPr>
          <w:rFonts w:eastAsia="Calibri"/>
          <w:szCs w:val="21"/>
          <w:lang w:bidi="ne-NP"/>
        </w:rPr>
        <w:t xml:space="preserve"> gene pair, the </w:t>
      </w:r>
      <w:proofErr w:type="spellStart"/>
      <w:r w:rsidRPr="003E0D31">
        <w:rPr>
          <w:rFonts w:eastAsia="Calibri"/>
          <w:i/>
          <w:iCs/>
          <w:szCs w:val="21"/>
          <w:lang w:bidi="ne-NP"/>
        </w:rPr>
        <w:t>tisB</w:t>
      </w:r>
      <w:proofErr w:type="spellEnd"/>
      <w:r w:rsidRPr="003E0D31">
        <w:rPr>
          <w:rFonts w:eastAsia="Calibri"/>
          <w:szCs w:val="21"/>
          <w:lang w:bidi="ne-NP"/>
        </w:rPr>
        <w:t xml:space="preserve"> mRNA is not available for the ribosomes because of a stem structure formed at the RBS </w:t>
      </w:r>
      <w:r w:rsidRPr="003E0D31">
        <w:rPr>
          <w:rFonts w:eastAsia="Calibri"/>
          <w:noProof/>
          <w:szCs w:val="21"/>
          <w:lang w:bidi="ne-NP"/>
        </w:rPr>
        <w:t>(101)</w:t>
      </w:r>
      <w:r w:rsidRPr="003E0D31">
        <w:rPr>
          <w:rFonts w:eastAsia="Calibri"/>
          <w:szCs w:val="21"/>
          <w:lang w:bidi="ne-NP"/>
        </w:rPr>
        <w:t xml:space="preserve">. A preloading event of ribosomes occurs at the nucleotide sequence upstream of RBS known as a “standby region”. An initial binding to this region is essential in this case before the ribosomes can bind to the RBS and initiate translation. This “standby region” also consists of sequence complementary to the antitoxin IstR-1. The 5’ UTR processing of </w:t>
      </w:r>
      <w:proofErr w:type="spellStart"/>
      <w:r w:rsidRPr="003E0D31">
        <w:rPr>
          <w:rFonts w:eastAsia="Calibri"/>
          <w:i/>
          <w:iCs/>
          <w:szCs w:val="21"/>
          <w:lang w:bidi="ne-NP"/>
        </w:rPr>
        <w:t>tisB</w:t>
      </w:r>
      <w:proofErr w:type="spellEnd"/>
      <w:r w:rsidRPr="003E0D31">
        <w:rPr>
          <w:rFonts w:eastAsia="Calibri"/>
          <w:szCs w:val="21"/>
          <w:lang w:bidi="ne-NP"/>
        </w:rPr>
        <w:t xml:space="preserve"> mRNA (</w:t>
      </w:r>
      <w:r w:rsidRPr="003E0D31">
        <w:rPr>
          <w:rFonts w:eastAsia="Calibri"/>
          <w:szCs w:val="21"/>
          <w:lang w:bidi="ne-NP"/>
        </w:rPr>
        <w:sym w:font="Symbol" w:char="F044"/>
      </w:r>
      <w:r w:rsidRPr="003E0D31">
        <w:rPr>
          <w:rFonts w:eastAsia="Calibri"/>
          <w:szCs w:val="21"/>
          <w:lang w:bidi="ne-NP"/>
        </w:rPr>
        <w:t xml:space="preserve">1-41) opens the “standby region” for ribosomes and the antitoxin sRNA </w:t>
      </w:r>
      <w:r w:rsidRPr="003E0D31">
        <w:rPr>
          <w:rFonts w:eastAsia="Calibri"/>
          <w:noProof/>
          <w:szCs w:val="21"/>
          <w:lang w:bidi="ne-NP"/>
        </w:rPr>
        <w:t>(101)</w:t>
      </w:r>
      <w:r w:rsidRPr="003E0D31">
        <w:rPr>
          <w:rFonts w:eastAsia="Calibri"/>
          <w:szCs w:val="21"/>
          <w:lang w:bidi="ne-NP"/>
        </w:rPr>
        <w:t xml:space="preserve">. IstR-1 binding prevents the preloading of ribosomes on the toxin-encoding mRNA, and this binding is followed by cleavage of the double stranded RNA by RNase III </w:t>
      </w:r>
      <w:r w:rsidRPr="003E0D31">
        <w:rPr>
          <w:rFonts w:eastAsia="Calibri"/>
          <w:noProof/>
          <w:szCs w:val="21"/>
          <w:lang w:bidi="ne-NP"/>
        </w:rPr>
        <w:t>(90,101)</w:t>
      </w:r>
      <w:r w:rsidRPr="003E0D31">
        <w:rPr>
          <w:rFonts w:eastAsia="Calibri"/>
          <w:szCs w:val="21"/>
          <w:lang w:bidi="ne-NP"/>
        </w:rPr>
        <w:t xml:space="preserve">. The regulation by </w:t>
      </w:r>
      <w:proofErr w:type="spellStart"/>
      <w:r w:rsidRPr="003E0D31">
        <w:rPr>
          <w:rFonts w:eastAsia="Calibri"/>
          <w:szCs w:val="21"/>
          <w:lang w:bidi="ne-NP"/>
        </w:rPr>
        <w:t>OrzO</w:t>
      </w:r>
      <w:proofErr w:type="spellEnd"/>
      <w:r w:rsidRPr="003E0D31">
        <w:rPr>
          <w:rFonts w:eastAsia="Calibri"/>
          <w:szCs w:val="21"/>
          <w:lang w:bidi="ne-NP"/>
        </w:rPr>
        <w:t xml:space="preserve"> sRNA also occurs by base pairing at the region distal to the RBS and is proposed to follow a similar mechanism- cleavage of the “standby region” within the </w:t>
      </w:r>
      <w:proofErr w:type="spellStart"/>
      <w:r w:rsidRPr="003E0D31">
        <w:rPr>
          <w:rFonts w:eastAsia="Calibri"/>
          <w:i/>
          <w:iCs/>
          <w:szCs w:val="21"/>
          <w:lang w:bidi="ne-NP"/>
        </w:rPr>
        <w:t>zorO</w:t>
      </w:r>
      <w:proofErr w:type="spellEnd"/>
      <w:r w:rsidRPr="003E0D31">
        <w:rPr>
          <w:rFonts w:eastAsia="Calibri"/>
          <w:szCs w:val="21"/>
          <w:lang w:bidi="ne-NP"/>
        </w:rPr>
        <w:t xml:space="preserve"> mRNA to prevent its translation </w:t>
      </w:r>
      <w:r w:rsidRPr="003E0D31">
        <w:rPr>
          <w:rFonts w:eastAsia="Calibri"/>
          <w:noProof/>
          <w:szCs w:val="21"/>
          <w:lang w:bidi="ne-NP"/>
        </w:rPr>
        <w:t>(65)</w:t>
      </w:r>
      <w:r w:rsidRPr="003E0D31">
        <w:rPr>
          <w:rFonts w:eastAsia="Calibri"/>
          <w:szCs w:val="21"/>
          <w:lang w:bidi="ne-NP"/>
        </w:rPr>
        <w:t>.</w:t>
      </w:r>
    </w:p>
    <w:p w14:paraId="16F51F8C" w14:textId="77777777" w:rsidR="003E0D31" w:rsidRPr="003E0D31" w:rsidRDefault="003E0D31" w:rsidP="003E0D31">
      <w:pPr>
        <w:spacing w:line="360" w:lineRule="auto"/>
        <w:ind w:firstLine="720"/>
        <w:rPr>
          <w:rFonts w:eastAsia="Calibri"/>
          <w:szCs w:val="21"/>
          <w:lang w:bidi="ne-NP"/>
        </w:rPr>
      </w:pPr>
      <w:r w:rsidRPr="003E0D31">
        <w:rPr>
          <w:rFonts w:eastAsia="Calibri"/>
          <w:szCs w:val="21"/>
          <w:lang w:bidi="ne-NP"/>
        </w:rPr>
        <w:t xml:space="preserve">The </w:t>
      </w:r>
      <w:r w:rsidRPr="003E0D31">
        <w:rPr>
          <w:rFonts w:eastAsia="Calibri"/>
          <w:i/>
          <w:iCs/>
          <w:szCs w:val="21"/>
          <w:lang w:bidi="ne-NP"/>
        </w:rPr>
        <w:t>aapA1</w:t>
      </w:r>
      <w:r w:rsidRPr="003E0D31">
        <w:rPr>
          <w:rFonts w:eastAsia="Calibri"/>
          <w:szCs w:val="21"/>
          <w:lang w:bidi="ne-NP"/>
        </w:rPr>
        <w:t xml:space="preserve"> mRNA in </w:t>
      </w:r>
      <w:r w:rsidRPr="003E0D31">
        <w:rPr>
          <w:rFonts w:eastAsia="Calibri"/>
          <w:i/>
          <w:iCs/>
          <w:szCs w:val="21"/>
          <w:lang w:bidi="ne-NP"/>
        </w:rPr>
        <w:t>H. pylori</w:t>
      </w:r>
      <w:r w:rsidRPr="003E0D31">
        <w:rPr>
          <w:rFonts w:eastAsia="Calibri"/>
          <w:szCs w:val="21"/>
          <w:lang w:bidi="ne-NP"/>
        </w:rPr>
        <w:t xml:space="preserve"> is available for interaction with the antitoxin IsoA1 after the mRNA is processed at the 3’ end and undergoes structural arrangement allowing IsoA1 to form a duplex </w:t>
      </w:r>
      <w:r w:rsidRPr="003E0D31">
        <w:rPr>
          <w:rFonts w:eastAsia="Calibri"/>
          <w:noProof/>
          <w:szCs w:val="21"/>
          <w:lang w:bidi="ne-NP"/>
        </w:rPr>
        <w:t>(57)</w:t>
      </w:r>
      <w:r w:rsidRPr="003E0D31">
        <w:rPr>
          <w:rFonts w:eastAsia="Calibri"/>
          <w:szCs w:val="21"/>
          <w:lang w:bidi="ne-NP"/>
        </w:rPr>
        <w:t xml:space="preserve">. This results in translation inhibition of the AapA1 and RNase III mediated degradation of the </w:t>
      </w:r>
      <w:r w:rsidRPr="003E0D31">
        <w:rPr>
          <w:rFonts w:eastAsia="Calibri"/>
          <w:i/>
          <w:iCs/>
          <w:szCs w:val="21"/>
          <w:lang w:bidi="ne-NP"/>
        </w:rPr>
        <w:t>aapA1</w:t>
      </w:r>
      <w:r w:rsidRPr="003E0D31">
        <w:rPr>
          <w:rFonts w:eastAsia="Calibri"/>
          <w:szCs w:val="21"/>
          <w:lang w:bidi="ne-NP"/>
        </w:rPr>
        <w:t xml:space="preserve">/IsoA1 complex </w:t>
      </w:r>
      <w:r w:rsidRPr="003E0D31">
        <w:rPr>
          <w:rFonts w:eastAsia="Calibri"/>
          <w:noProof/>
          <w:szCs w:val="21"/>
          <w:lang w:bidi="ne-NP"/>
        </w:rPr>
        <w:t>(57)</w:t>
      </w:r>
      <w:r w:rsidRPr="003E0D31">
        <w:rPr>
          <w:rFonts w:eastAsia="Calibri"/>
          <w:szCs w:val="21"/>
          <w:lang w:bidi="ne-NP"/>
        </w:rPr>
        <w:t>.</w:t>
      </w:r>
    </w:p>
    <w:p w14:paraId="54C7F48E" w14:textId="77777777" w:rsidR="003E0D31" w:rsidRPr="003E0D31" w:rsidRDefault="003E0D31" w:rsidP="003E0D31">
      <w:pPr>
        <w:spacing w:line="360" w:lineRule="auto"/>
        <w:ind w:firstLine="720"/>
        <w:rPr>
          <w:rFonts w:eastAsia="Calibri"/>
          <w:szCs w:val="21"/>
          <w:lang w:bidi="ne-NP"/>
        </w:rPr>
      </w:pPr>
      <w:r w:rsidRPr="003E0D31">
        <w:rPr>
          <w:rFonts w:eastAsia="Calibri"/>
          <w:szCs w:val="21"/>
          <w:lang w:bidi="ne-NP"/>
        </w:rPr>
        <w:t xml:space="preserve">Translation of the leader peptide encoded within and overlapping the toxin genes is required for the translation of some type I toxin proteins: these studies have demonstrated that the antitoxins function by preventing the translation of such leader peptides </w:t>
      </w:r>
      <w:r w:rsidRPr="003E0D31">
        <w:rPr>
          <w:rFonts w:eastAsia="Calibri"/>
          <w:noProof/>
          <w:szCs w:val="21"/>
          <w:lang w:bidi="ne-NP"/>
        </w:rPr>
        <w:t>(53)</w:t>
      </w:r>
      <w:r w:rsidRPr="003E0D31">
        <w:rPr>
          <w:rFonts w:eastAsia="Calibri"/>
          <w:szCs w:val="21"/>
          <w:lang w:bidi="ne-NP"/>
        </w:rPr>
        <w:t xml:space="preserve">. The </w:t>
      </w:r>
      <w:proofErr w:type="spellStart"/>
      <w:r w:rsidRPr="003E0D31">
        <w:rPr>
          <w:rFonts w:eastAsia="Calibri"/>
          <w:szCs w:val="21"/>
          <w:lang w:bidi="ne-NP"/>
        </w:rPr>
        <w:t>Sok</w:t>
      </w:r>
      <w:proofErr w:type="spellEnd"/>
      <w:r w:rsidRPr="003E0D31">
        <w:rPr>
          <w:rFonts w:eastAsia="Calibri"/>
          <w:szCs w:val="21"/>
          <w:lang w:bidi="ne-NP"/>
        </w:rPr>
        <w:t xml:space="preserve"> antitoxin of the </w:t>
      </w:r>
      <w:proofErr w:type="spellStart"/>
      <w:r w:rsidRPr="003E0D31">
        <w:rPr>
          <w:rFonts w:eastAsia="Calibri"/>
          <w:i/>
          <w:iCs/>
          <w:szCs w:val="21"/>
          <w:lang w:bidi="ne-NP"/>
        </w:rPr>
        <w:t>hok</w:t>
      </w:r>
      <w:proofErr w:type="spellEnd"/>
      <w:r w:rsidRPr="003E0D31">
        <w:rPr>
          <w:rFonts w:eastAsia="Calibri"/>
          <w:i/>
          <w:iCs/>
          <w:szCs w:val="21"/>
          <w:lang w:bidi="ne-NP"/>
        </w:rPr>
        <w:t>/</w:t>
      </w:r>
      <w:proofErr w:type="spellStart"/>
      <w:r w:rsidRPr="003E0D31">
        <w:rPr>
          <w:rFonts w:eastAsia="Calibri"/>
          <w:i/>
          <w:iCs/>
          <w:szCs w:val="21"/>
          <w:lang w:bidi="ne-NP"/>
        </w:rPr>
        <w:t>sok</w:t>
      </w:r>
      <w:proofErr w:type="spellEnd"/>
      <w:r w:rsidRPr="003E0D31">
        <w:rPr>
          <w:rFonts w:eastAsia="Calibri"/>
          <w:szCs w:val="21"/>
          <w:lang w:bidi="ne-NP"/>
        </w:rPr>
        <w:t xml:space="preserve"> TA system base pairs with the RBS and part of the coding sequence of a leader peptide </w:t>
      </w:r>
      <w:proofErr w:type="spellStart"/>
      <w:r w:rsidRPr="003E0D31">
        <w:rPr>
          <w:rFonts w:eastAsia="Calibri"/>
          <w:szCs w:val="21"/>
          <w:lang w:bidi="ne-NP"/>
        </w:rPr>
        <w:t>Mok</w:t>
      </w:r>
      <w:proofErr w:type="spellEnd"/>
      <w:r w:rsidRPr="003E0D31">
        <w:rPr>
          <w:rFonts w:eastAsia="Calibri"/>
          <w:szCs w:val="21"/>
          <w:lang w:bidi="ne-NP"/>
        </w:rPr>
        <w:t xml:space="preserve"> </w:t>
      </w:r>
      <w:r w:rsidRPr="003E0D31">
        <w:rPr>
          <w:rFonts w:eastAsia="Calibri"/>
          <w:noProof/>
          <w:szCs w:val="21"/>
          <w:lang w:bidi="ne-NP"/>
        </w:rPr>
        <w:t>(102)</w:t>
      </w:r>
      <w:r w:rsidRPr="003E0D31">
        <w:rPr>
          <w:rFonts w:eastAsia="Calibri"/>
          <w:szCs w:val="21"/>
          <w:lang w:bidi="ne-NP"/>
        </w:rPr>
        <w:t xml:space="preserve">. This prevents ribosomal </w:t>
      </w:r>
      <w:r w:rsidRPr="003E0D31">
        <w:rPr>
          <w:rFonts w:eastAsia="Calibri"/>
          <w:szCs w:val="21"/>
          <w:lang w:bidi="ne-NP"/>
        </w:rPr>
        <w:lastRenderedPageBreak/>
        <w:t xml:space="preserve">access to the </w:t>
      </w:r>
      <w:proofErr w:type="spellStart"/>
      <w:r w:rsidRPr="003E0D31">
        <w:rPr>
          <w:rFonts w:eastAsia="Calibri"/>
          <w:i/>
          <w:iCs/>
          <w:szCs w:val="21"/>
          <w:lang w:bidi="ne-NP"/>
        </w:rPr>
        <w:t>mok</w:t>
      </w:r>
      <w:proofErr w:type="spellEnd"/>
      <w:r w:rsidRPr="003E0D31">
        <w:rPr>
          <w:rFonts w:eastAsia="Calibri"/>
          <w:szCs w:val="21"/>
          <w:lang w:bidi="ne-NP"/>
        </w:rPr>
        <w:t xml:space="preserve"> RBS. Since </w:t>
      </w:r>
      <w:proofErr w:type="spellStart"/>
      <w:r w:rsidRPr="003E0D31">
        <w:rPr>
          <w:rFonts w:eastAsia="Calibri"/>
          <w:i/>
          <w:iCs/>
          <w:szCs w:val="21"/>
          <w:lang w:bidi="ne-NP"/>
        </w:rPr>
        <w:t>hok</w:t>
      </w:r>
      <w:proofErr w:type="spellEnd"/>
      <w:r w:rsidRPr="003E0D31">
        <w:rPr>
          <w:rFonts w:eastAsia="Calibri"/>
          <w:szCs w:val="21"/>
          <w:lang w:bidi="ne-NP"/>
        </w:rPr>
        <w:t xml:space="preserve"> translation is coupled with </w:t>
      </w:r>
      <w:proofErr w:type="spellStart"/>
      <w:r w:rsidRPr="003E0D31">
        <w:rPr>
          <w:rFonts w:eastAsia="Calibri"/>
          <w:i/>
          <w:iCs/>
          <w:szCs w:val="21"/>
          <w:lang w:bidi="ne-NP"/>
        </w:rPr>
        <w:t>mok</w:t>
      </w:r>
      <w:proofErr w:type="spellEnd"/>
      <w:r w:rsidRPr="003E0D31">
        <w:rPr>
          <w:rFonts w:eastAsia="Calibri"/>
          <w:i/>
          <w:iCs/>
          <w:szCs w:val="21"/>
          <w:lang w:bidi="ne-NP"/>
        </w:rPr>
        <w:t xml:space="preserve"> </w:t>
      </w:r>
      <w:r w:rsidRPr="003E0D31">
        <w:rPr>
          <w:rFonts w:eastAsia="Calibri"/>
          <w:szCs w:val="21"/>
          <w:lang w:bidi="ne-NP"/>
        </w:rPr>
        <w:t xml:space="preserve">translation, inhibition of </w:t>
      </w:r>
      <w:proofErr w:type="spellStart"/>
      <w:r w:rsidRPr="003E0D31">
        <w:rPr>
          <w:rFonts w:eastAsia="Calibri"/>
          <w:szCs w:val="21"/>
          <w:lang w:bidi="ne-NP"/>
        </w:rPr>
        <w:t>Mok</w:t>
      </w:r>
      <w:proofErr w:type="spellEnd"/>
      <w:r w:rsidRPr="003E0D31">
        <w:rPr>
          <w:rFonts w:eastAsia="Calibri"/>
          <w:szCs w:val="21"/>
          <w:lang w:bidi="ne-NP"/>
        </w:rPr>
        <w:t xml:space="preserve"> translation subsequently prevents translation of the </w:t>
      </w:r>
      <w:proofErr w:type="spellStart"/>
      <w:r w:rsidRPr="003E0D31">
        <w:rPr>
          <w:rFonts w:eastAsia="Calibri"/>
          <w:szCs w:val="21"/>
          <w:lang w:bidi="ne-NP"/>
        </w:rPr>
        <w:t>Hok</w:t>
      </w:r>
      <w:proofErr w:type="spellEnd"/>
      <w:r w:rsidRPr="003E0D31">
        <w:rPr>
          <w:rFonts w:eastAsia="Calibri"/>
          <w:szCs w:val="21"/>
          <w:lang w:bidi="ne-NP"/>
        </w:rPr>
        <w:t xml:space="preserve"> toxin. The </w:t>
      </w:r>
      <w:proofErr w:type="spellStart"/>
      <w:r w:rsidRPr="003E0D31">
        <w:rPr>
          <w:rFonts w:eastAsia="Calibri"/>
          <w:i/>
          <w:iCs/>
          <w:szCs w:val="21"/>
          <w:lang w:bidi="ne-NP"/>
        </w:rPr>
        <w:t>ldrD</w:t>
      </w:r>
      <w:proofErr w:type="spellEnd"/>
      <w:r w:rsidRPr="003E0D31">
        <w:rPr>
          <w:rFonts w:eastAsia="Calibri"/>
          <w:i/>
          <w:iCs/>
          <w:szCs w:val="21"/>
          <w:lang w:bidi="ne-NP"/>
        </w:rPr>
        <w:t>/</w:t>
      </w:r>
      <w:proofErr w:type="spellStart"/>
      <w:r w:rsidRPr="003E0D31">
        <w:rPr>
          <w:rFonts w:eastAsia="Calibri"/>
          <w:i/>
          <w:iCs/>
          <w:szCs w:val="21"/>
          <w:lang w:bidi="ne-NP"/>
        </w:rPr>
        <w:t>rdl</w:t>
      </w:r>
      <w:r w:rsidRPr="003E0D31">
        <w:rPr>
          <w:rFonts w:eastAsia="Calibri"/>
          <w:szCs w:val="21"/>
          <w:lang w:bidi="ne-NP"/>
        </w:rPr>
        <w:t>D</w:t>
      </w:r>
      <w:proofErr w:type="spellEnd"/>
      <w:r w:rsidRPr="003E0D31">
        <w:rPr>
          <w:rFonts w:eastAsia="Calibri"/>
          <w:szCs w:val="21"/>
          <w:lang w:bidi="ne-NP"/>
        </w:rPr>
        <w:t xml:space="preserve"> system also consists of an additional open reading frame (</w:t>
      </w:r>
      <w:proofErr w:type="spellStart"/>
      <w:r w:rsidRPr="003E0D31">
        <w:rPr>
          <w:rFonts w:eastAsia="Calibri"/>
          <w:i/>
          <w:iCs/>
          <w:szCs w:val="21"/>
          <w:lang w:bidi="ne-NP"/>
        </w:rPr>
        <w:t>ldrX</w:t>
      </w:r>
      <w:proofErr w:type="spellEnd"/>
      <w:r w:rsidRPr="003E0D31">
        <w:rPr>
          <w:rFonts w:eastAsia="Calibri"/>
          <w:i/>
          <w:iCs/>
          <w:szCs w:val="21"/>
          <w:lang w:bidi="ne-NP"/>
        </w:rPr>
        <w:t>)</w:t>
      </w:r>
      <w:r w:rsidRPr="003E0D31">
        <w:rPr>
          <w:rFonts w:eastAsia="Calibri"/>
          <w:szCs w:val="21"/>
          <w:lang w:bidi="ne-NP"/>
        </w:rPr>
        <w:t xml:space="preserve"> that starts upstream of the </w:t>
      </w:r>
      <w:proofErr w:type="spellStart"/>
      <w:r w:rsidRPr="003E0D31">
        <w:rPr>
          <w:rFonts w:eastAsia="Calibri"/>
          <w:szCs w:val="21"/>
          <w:lang w:bidi="ne-NP"/>
        </w:rPr>
        <w:t>LdrD</w:t>
      </w:r>
      <w:proofErr w:type="spellEnd"/>
      <w:r w:rsidRPr="003E0D31">
        <w:rPr>
          <w:rFonts w:eastAsia="Calibri"/>
          <w:szCs w:val="21"/>
          <w:lang w:bidi="ne-NP"/>
        </w:rPr>
        <w:t xml:space="preserve"> coding sequence </w:t>
      </w:r>
      <w:r w:rsidRPr="003E0D31">
        <w:rPr>
          <w:rFonts w:eastAsia="Calibri"/>
          <w:noProof/>
          <w:szCs w:val="21"/>
          <w:lang w:bidi="ne-NP"/>
        </w:rPr>
        <w:t>(103)</w:t>
      </w:r>
      <w:r w:rsidRPr="003E0D31">
        <w:rPr>
          <w:rFonts w:eastAsia="Calibri"/>
          <w:szCs w:val="21"/>
          <w:lang w:bidi="ne-NP"/>
        </w:rPr>
        <w:t xml:space="preserve">. Although not experimentally validated, </w:t>
      </w:r>
      <w:proofErr w:type="spellStart"/>
      <w:r w:rsidRPr="003E0D31">
        <w:rPr>
          <w:rFonts w:eastAsia="Calibri"/>
          <w:szCs w:val="21"/>
          <w:lang w:bidi="ne-NP"/>
        </w:rPr>
        <w:t>LdrD</w:t>
      </w:r>
      <w:proofErr w:type="spellEnd"/>
      <w:r w:rsidRPr="003E0D31">
        <w:rPr>
          <w:rFonts w:eastAsia="Calibri"/>
          <w:szCs w:val="21"/>
          <w:lang w:bidi="ne-NP"/>
        </w:rPr>
        <w:t xml:space="preserve"> is proposed to be co-translated with the </w:t>
      </w:r>
      <w:proofErr w:type="spellStart"/>
      <w:r w:rsidRPr="003E0D31">
        <w:rPr>
          <w:rFonts w:eastAsia="Calibri"/>
          <w:szCs w:val="21"/>
          <w:lang w:bidi="ne-NP"/>
        </w:rPr>
        <w:t>LdrX</w:t>
      </w:r>
      <w:proofErr w:type="spellEnd"/>
      <w:r w:rsidRPr="003E0D31">
        <w:rPr>
          <w:rFonts w:eastAsia="Calibri"/>
          <w:szCs w:val="21"/>
          <w:lang w:bidi="ne-NP"/>
        </w:rPr>
        <w:t xml:space="preserve">, and the </w:t>
      </w:r>
      <w:proofErr w:type="spellStart"/>
      <w:r w:rsidRPr="003E0D31">
        <w:rPr>
          <w:rFonts w:eastAsia="Calibri"/>
          <w:szCs w:val="21"/>
          <w:lang w:bidi="ne-NP"/>
        </w:rPr>
        <w:t>RdlD</w:t>
      </w:r>
      <w:proofErr w:type="spellEnd"/>
      <w:r w:rsidRPr="003E0D31">
        <w:rPr>
          <w:rFonts w:eastAsia="Calibri"/>
          <w:szCs w:val="21"/>
          <w:lang w:bidi="ne-NP"/>
        </w:rPr>
        <w:t xml:space="preserve"> antitoxin, which contains the sequence that overlaps the </w:t>
      </w:r>
      <w:proofErr w:type="spellStart"/>
      <w:r w:rsidRPr="003E0D31">
        <w:rPr>
          <w:rFonts w:eastAsia="Calibri"/>
          <w:i/>
          <w:iCs/>
          <w:szCs w:val="21"/>
          <w:lang w:bidi="ne-NP"/>
        </w:rPr>
        <w:t>ldrX</w:t>
      </w:r>
      <w:proofErr w:type="spellEnd"/>
      <w:r w:rsidRPr="003E0D31">
        <w:rPr>
          <w:rFonts w:eastAsia="Calibri"/>
          <w:szCs w:val="21"/>
          <w:lang w:bidi="ne-NP"/>
        </w:rPr>
        <w:t xml:space="preserve"> RBS. This stops translation of </w:t>
      </w:r>
      <w:proofErr w:type="spellStart"/>
      <w:r w:rsidRPr="003E0D31">
        <w:rPr>
          <w:rFonts w:eastAsia="Calibri"/>
          <w:szCs w:val="21"/>
          <w:lang w:bidi="ne-NP"/>
        </w:rPr>
        <w:t>LdrD</w:t>
      </w:r>
      <w:proofErr w:type="spellEnd"/>
      <w:r w:rsidRPr="003E0D31">
        <w:rPr>
          <w:rFonts w:eastAsia="Calibri"/>
          <w:szCs w:val="21"/>
          <w:lang w:bidi="ne-NP"/>
        </w:rPr>
        <w:t xml:space="preserve"> by binding to and preventing the translation of </w:t>
      </w:r>
      <w:proofErr w:type="spellStart"/>
      <w:r w:rsidRPr="003E0D31">
        <w:rPr>
          <w:rFonts w:eastAsia="Calibri"/>
          <w:szCs w:val="21"/>
          <w:lang w:bidi="ne-NP"/>
        </w:rPr>
        <w:t>LdrX</w:t>
      </w:r>
      <w:proofErr w:type="spellEnd"/>
      <w:r w:rsidRPr="003E0D31">
        <w:rPr>
          <w:rFonts w:eastAsia="Calibri"/>
          <w:szCs w:val="21"/>
          <w:lang w:bidi="ne-NP"/>
        </w:rPr>
        <w:t xml:space="preserve"> </w:t>
      </w:r>
      <w:r w:rsidRPr="003E0D31">
        <w:rPr>
          <w:rFonts w:eastAsia="Calibri"/>
          <w:noProof/>
          <w:szCs w:val="21"/>
          <w:lang w:bidi="ne-NP"/>
        </w:rPr>
        <w:t>(53,54,103)</w:t>
      </w:r>
      <w:r w:rsidRPr="003E0D31">
        <w:rPr>
          <w:rFonts w:eastAsia="Calibri"/>
          <w:szCs w:val="21"/>
          <w:lang w:bidi="ne-NP"/>
        </w:rPr>
        <w:t xml:space="preserve">. </w:t>
      </w:r>
    </w:p>
    <w:p w14:paraId="15FDDC5B" w14:textId="77777777" w:rsidR="003E0D31" w:rsidRPr="003E0D31" w:rsidRDefault="003E0D31" w:rsidP="003E0D31">
      <w:pPr>
        <w:spacing w:line="360" w:lineRule="auto"/>
        <w:ind w:firstLine="720"/>
        <w:rPr>
          <w:rFonts w:eastAsia="Calibri"/>
          <w:szCs w:val="21"/>
          <w:lang w:bidi="ne-NP"/>
        </w:rPr>
      </w:pPr>
      <w:r w:rsidRPr="003E0D31">
        <w:rPr>
          <w:rFonts w:eastAsia="Calibri"/>
          <w:szCs w:val="21"/>
          <w:lang w:bidi="ne-NP"/>
        </w:rPr>
        <w:t xml:space="preserve">The type I antitoxins studied in Gram-positive bacteria to date are often encoded antisense to the 3’ end of their toxin mRNAs </w:t>
      </w:r>
      <w:r w:rsidRPr="003E0D31">
        <w:rPr>
          <w:rFonts w:eastAsia="Calibri"/>
          <w:noProof/>
          <w:szCs w:val="21"/>
          <w:lang w:bidi="ne-NP"/>
        </w:rPr>
        <w:t>(48)</w:t>
      </w:r>
      <w:r w:rsidRPr="003E0D31">
        <w:rPr>
          <w:rFonts w:eastAsia="Calibri"/>
          <w:szCs w:val="21"/>
          <w:lang w:bidi="ne-NP"/>
        </w:rPr>
        <w:t xml:space="preserve">. However, they can have sequence complementary to the 5’ ends of their respective toxin </w:t>
      </w:r>
      <w:r w:rsidRPr="003E0D31">
        <w:rPr>
          <w:rFonts w:eastAsia="Calibri"/>
          <w:noProof/>
          <w:szCs w:val="21"/>
          <w:lang w:bidi="ne-NP"/>
        </w:rPr>
        <w:t>(58,60)</w:t>
      </w:r>
      <w:r w:rsidRPr="003E0D31">
        <w:rPr>
          <w:rFonts w:eastAsia="Calibri"/>
          <w:szCs w:val="21"/>
          <w:lang w:bidi="ne-NP"/>
        </w:rPr>
        <w:t xml:space="preserve">. The </w:t>
      </w:r>
      <w:proofErr w:type="spellStart"/>
      <w:r w:rsidRPr="003E0D31">
        <w:rPr>
          <w:rFonts w:eastAsia="Calibri"/>
          <w:szCs w:val="21"/>
          <w:lang w:bidi="ne-NP"/>
        </w:rPr>
        <w:t>Fst</w:t>
      </w:r>
      <w:proofErr w:type="spellEnd"/>
      <w:r w:rsidRPr="003E0D31">
        <w:rPr>
          <w:rFonts w:eastAsia="Calibri"/>
          <w:szCs w:val="21"/>
          <w:lang w:bidi="ne-NP"/>
        </w:rPr>
        <w:t xml:space="preserve">/RNAII system was observed in both the plasmid pAD1 and the chromosome of </w:t>
      </w:r>
      <w:r w:rsidRPr="003E0D31">
        <w:rPr>
          <w:rFonts w:eastAsia="Calibri"/>
          <w:i/>
          <w:iCs/>
          <w:szCs w:val="21"/>
          <w:lang w:bidi="ne-NP"/>
        </w:rPr>
        <w:t xml:space="preserve">E. faecalis </w:t>
      </w:r>
      <w:r w:rsidRPr="003E0D31">
        <w:rPr>
          <w:rFonts w:eastAsia="Calibri"/>
          <w:noProof/>
          <w:szCs w:val="21"/>
          <w:lang w:bidi="ne-NP"/>
        </w:rPr>
        <w:t>(38,42)</w:t>
      </w:r>
      <w:r w:rsidRPr="003E0D31">
        <w:rPr>
          <w:rFonts w:eastAsia="Calibri"/>
          <w:szCs w:val="21"/>
          <w:lang w:bidi="ne-NP"/>
        </w:rPr>
        <w:t xml:space="preserve">. The RNA II antitoxin interacts with </w:t>
      </w:r>
      <w:proofErr w:type="spellStart"/>
      <w:r w:rsidRPr="003E0D31">
        <w:rPr>
          <w:rFonts w:eastAsia="Calibri"/>
          <w:i/>
          <w:iCs/>
          <w:szCs w:val="21"/>
          <w:lang w:bidi="ne-NP"/>
        </w:rPr>
        <w:t>fst</w:t>
      </w:r>
      <w:proofErr w:type="spellEnd"/>
      <w:r w:rsidRPr="003E0D31">
        <w:rPr>
          <w:rFonts w:eastAsia="Calibri"/>
          <w:szCs w:val="21"/>
          <w:lang w:bidi="ne-NP"/>
        </w:rPr>
        <w:t xml:space="preserve"> (also referred to as RNAI) via several complementary regions and is accomplished in two subsequent steps- </w:t>
      </w:r>
      <w:proofErr w:type="spellStart"/>
      <w:r w:rsidRPr="003E0D31">
        <w:rPr>
          <w:rFonts w:eastAsia="Calibri"/>
          <w:szCs w:val="21"/>
          <w:lang w:bidi="ne-NP"/>
        </w:rPr>
        <w:t>i</w:t>
      </w:r>
      <w:proofErr w:type="spellEnd"/>
      <w:r w:rsidRPr="003E0D31">
        <w:rPr>
          <w:rFonts w:eastAsia="Calibri"/>
          <w:szCs w:val="21"/>
          <w:lang w:bidi="ne-NP"/>
        </w:rPr>
        <w:t xml:space="preserve">) formation of an initial reversible “kissing complex” as a result of interactions between the complementary regions at the 3’ end followed by ii) base pairing of two direct repeats at the 5’ end that sequesters the translation initiation site </w:t>
      </w:r>
      <w:r w:rsidRPr="003E0D31">
        <w:rPr>
          <w:rFonts w:eastAsia="Calibri"/>
          <w:noProof/>
          <w:szCs w:val="21"/>
          <w:lang w:bidi="ne-NP"/>
        </w:rPr>
        <w:t>(60)</w:t>
      </w:r>
      <w:r w:rsidRPr="003E0D31">
        <w:rPr>
          <w:rFonts w:eastAsia="Calibri"/>
          <w:szCs w:val="21"/>
          <w:lang w:bidi="ne-NP"/>
        </w:rPr>
        <w:t xml:space="preserve">. Interestingly, the disruption of the stem-loop region within the </w:t>
      </w:r>
      <w:proofErr w:type="spellStart"/>
      <w:r w:rsidRPr="003E0D31">
        <w:rPr>
          <w:rFonts w:eastAsia="Calibri"/>
          <w:i/>
          <w:iCs/>
          <w:szCs w:val="21"/>
          <w:lang w:bidi="ne-NP"/>
        </w:rPr>
        <w:t>fst</w:t>
      </w:r>
      <w:proofErr w:type="spellEnd"/>
      <w:r w:rsidRPr="003E0D31">
        <w:rPr>
          <w:rFonts w:eastAsia="Calibri"/>
          <w:szCs w:val="21"/>
          <w:lang w:bidi="ne-NP"/>
        </w:rPr>
        <w:t xml:space="preserve"> mRNA (RNA I; that regulates its own translation), prevented the neutralization of the </w:t>
      </w:r>
      <w:proofErr w:type="spellStart"/>
      <w:r w:rsidRPr="003E0D31">
        <w:rPr>
          <w:rFonts w:eastAsia="Calibri"/>
          <w:szCs w:val="21"/>
          <w:lang w:bidi="ne-NP"/>
        </w:rPr>
        <w:t>Fst</w:t>
      </w:r>
      <w:proofErr w:type="spellEnd"/>
      <w:r w:rsidRPr="003E0D31">
        <w:rPr>
          <w:rFonts w:eastAsia="Calibri"/>
          <w:szCs w:val="21"/>
          <w:lang w:bidi="ne-NP"/>
        </w:rPr>
        <w:t xml:space="preserve"> toxicity when both toxin (RNAI) and antitoxin (RNAII) were expressed in </w:t>
      </w:r>
      <w:r w:rsidRPr="003E0D31">
        <w:rPr>
          <w:rFonts w:eastAsia="Calibri"/>
          <w:i/>
          <w:iCs/>
          <w:szCs w:val="21"/>
          <w:lang w:bidi="ne-NP"/>
        </w:rPr>
        <w:t>E. coli</w:t>
      </w:r>
      <w:r w:rsidRPr="003E0D31">
        <w:rPr>
          <w:rFonts w:eastAsia="Calibri"/>
          <w:szCs w:val="21"/>
          <w:lang w:bidi="ne-NP"/>
        </w:rPr>
        <w:t xml:space="preserve"> </w:t>
      </w:r>
      <w:r w:rsidRPr="003E0D31">
        <w:rPr>
          <w:rFonts w:eastAsia="Calibri"/>
          <w:noProof/>
          <w:szCs w:val="21"/>
          <w:lang w:bidi="ne-NP"/>
        </w:rPr>
        <w:t>(99)</w:t>
      </w:r>
      <w:r w:rsidRPr="003E0D31">
        <w:rPr>
          <w:rFonts w:eastAsia="Calibri"/>
          <w:szCs w:val="21"/>
          <w:lang w:bidi="ne-NP"/>
        </w:rPr>
        <w:t xml:space="preserve">. The RNA II from the pAD1 encoded </w:t>
      </w:r>
      <w:proofErr w:type="spellStart"/>
      <w:r w:rsidRPr="003E0D31">
        <w:rPr>
          <w:rFonts w:eastAsia="Calibri"/>
          <w:szCs w:val="21"/>
          <w:lang w:bidi="ne-NP"/>
        </w:rPr>
        <w:t>Fst</w:t>
      </w:r>
      <w:proofErr w:type="spellEnd"/>
      <w:r w:rsidRPr="003E0D31">
        <w:rPr>
          <w:rFonts w:eastAsia="Calibri"/>
          <w:szCs w:val="21"/>
          <w:lang w:bidi="ne-NP"/>
        </w:rPr>
        <w:t xml:space="preserve">/RNAII system cannot neutralize </w:t>
      </w:r>
      <w:proofErr w:type="spellStart"/>
      <w:r w:rsidRPr="003E0D31">
        <w:rPr>
          <w:rFonts w:eastAsia="Calibri"/>
          <w:i/>
          <w:iCs/>
          <w:szCs w:val="21"/>
          <w:lang w:bidi="ne-NP"/>
        </w:rPr>
        <w:t>fst</w:t>
      </w:r>
      <w:proofErr w:type="spellEnd"/>
      <w:r w:rsidRPr="003E0D31">
        <w:rPr>
          <w:rFonts w:eastAsia="Calibri"/>
          <w:szCs w:val="21"/>
          <w:lang w:bidi="ne-NP"/>
        </w:rPr>
        <w:t xml:space="preserve"> mRNA when produced from the chromosomal copy and is presumably the result of differences in the sequences within the direct repeats </w:t>
      </w:r>
      <w:r w:rsidRPr="003E0D31">
        <w:rPr>
          <w:rFonts w:eastAsia="Calibri"/>
          <w:noProof/>
          <w:szCs w:val="21"/>
          <w:lang w:bidi="ne-NP"/>
        </w:rPr>
        <w:t>(104)</w:t>
      </w:r>
      <w:r w:rsidRPr="003E0D31">
        <w:rPr>
          <w:rFonts w:eastAsia="Calibri"/>
          <w:szCs w:val="21"/>
          <w:lang w:bidi="ne-NP"/>
        </w:rPr>
        <w:t xml:space="preserve">. The antitoxin of the </w:t>
      </w:r>
      <w:proofErr w:type="spellStart"/>
      <w:r w:rsidRPr="003E0D31">
        <w:rPr>
          <w:rFonts w:eastAsia="Calibri"/>
          <w:szCs w:val="21"/>
          <w:lang w:bidi="ne-NP"/>
        </w:rPr>
        <w:t>Fst</w:t>
      </w:r>
      <w:proofErr w:type="spellEnd"/>
      <w:r w:rsidRPr="003E0D31">
        <w:rPr>
          <w:rFonts w:eastAsia="Calibri"/>
          <w:szCs w:val="21"/>
          <w:lang w:bidi="ne-NP"/>
        </w:rPr>
        <w:t xml:space="preserve"> homolog in </w:t>
      </w:r>
      <w:r w:rsidRPr="003E0D31">
        <w:rPr>
          <w:rFonts w:eastAsia="Calibri"/>
          <w:i/>
          <w:iCs/>
          <w:szCs w:val="21"/>
          <w:lang w:bidi="ne-NP"/>
        </w:rPr>
        <w:t>S. aureus</w:t>
      </w:r>
      <w:r w:rsidRPr="003E0D31">
        <w:rPr>
          <w:rFonts w:eastAsia="Calibri"/>
          <w:szCs w:val="21"/>
          <w:lang w:bidi="ne-NP"/>
        </w:rPr>
        <w:t xml:space="preserve">, </w:t>
      </w:r>
      <w:proofErr w:type="spellStart"/>
      <w:r w:rsidRPr="003E0D31">
        <w:rPr>
          <w:rFonts w:eastAsia="Calibri"/>
          <w:szCs w:val="21"/>
          <w:lang w:bidi="ne-NP"/>
        </w:rPr>
        <w:t>SprA</w:t>
      </w:r>
      <w:r w:rsidRPr="003E0D31">
        <w:rPr>
          <w:rFonts w:eastAsia="Calibri"/>
          <w:szCs w:val="21"/>
          <w:vertAlign w:val="subscript"/>
          <w:lang w:bidi="ne-NP"/>
        </w:rPr>
        <w:t>AS</w:t>
      </w:r>
      <w:proofErr w:type="spellEnd"/>
      <w:r w:rsidRPr="003E0D31">
        <w:rPr>
          <w:rFonts w:eastAsia="Calibri"/>
          <w:szCs w:val="21"/>
          <w:lang w:bidi="ne-NP"/>
        </w:rPr>
        <w:t xml:space="preserve"> also has overlapping bidirectional transcriptional terminator sequence. However, the interaction occurs between the non-overlapping regions of the 5’ UTR and represses the translation of SprA1(PepA1) toxin </w:t>
      </w:r>
      <w:r w:rsidRPr="003E0D31">
        <w:rPr>
          <w:rFonts w:eastAsia="Calibri"/>
          <w:noProof/>
          <w:szCs w:val="21"/>
          <w:lang w:bidi="ne-NP"/>
        </w:rPr>
        <w:t>(105)</w:t>
      </w:r>
      <w:r w:rsidRPr="003E0D31">
        <w:rPr>
          <w:rFonts w:eastAsia="Calibri"/>
          <w:szCs w:val="21"/>
          <w:lang w:bidi="ne-NP"/>
        </w:rPr>
        <w:t xml:space="preserve">. </w:t>
      </w:r>
    </w:p>
    <w:p w14:paraId="46FB50B2" w14:textId="6D2C835B" w:rsidR="003E0D31" w:rsidRPr="003E0D31" w:rsidRDefault="003E0D31" w:rsidP="003E0D31">
      <w:pPr>
        <w:spacing w:line="360" w:lineRule="auto"/>
        <w:ind w:firstLine="720"/>
        <w:rPr>
          <w:rFonts w:eastAsia="Calibri"/>
          <w:szCs w:val="21"/>
          <w:lang w:bidi="ne-NP"/>
        </w:rPr>
      </w:pPr>
      <w:r w:rsidRPr="003E0D31">
        <w:rPr>
          <w:rFonts w:eastAsia="Calibri"/>
          <w:szCs w:val="21"/>
          <w:lang w:bidi="ne-NP"/>
        </w:rPr>
        <w:t xml:space="preserve">Other Gram-positive antitoxins located antisense to the 3’ end of their toxin mRNAs are SR4, </w:t>
      </w:r>
      <w:proofErr w:type="spellStart"/>
      <w:r w:rsidRPr="003E0D31">
        <w:rPr>
          <w:rFonts w:eastAsia="Calibri"/>
          <w:szCs w:val="21"/>
          <w:lang w:bidi="ne-NP"/>
        </w:rPr>
        <w:t>RatA</w:t>
      </w:r>
      <w:proofErr w:type="spellEnd"/>
      <w:r w:rsidRPr="003E0D31">
        <w:rPr>
          <w:rFonts w:eastAsia="Calibri"/>
          <w:szCs w:val="21"/>
          <w:lang w:bidi="ne-NP"/>
        </w:rPr>
        <w:t xml:space="preserve">, and </w:t>
      </w:r>
      <w:proofErr w:type="spellStart"/>
      <w:r w:rsidRPr="003E0D31">
        <w:rPr>
          <w:rFonts w:eastAsia="Calibri"/>
          <w:szCs w:val="21"/>
          <w:lang w:bidi="ne-NP"/>
        </w:rPr>
        <w:t>BsrH</w:t>
      </w:r>
      <w:proofErr w:type="spellEnd"/>
      <w:r w:rsidRPr="003E0D31">
        <w:rPr>
          <w:rFonts w:eastAsia="Calibri"/>
          <w:szCs w:val="21"/>
          <w:lang w:bidi="ne-NP"/>
        </w:rPr>
        <w:t xml:space="preserve">. SR4 is unique as it binds to the 3’ end of the </w:t>
      </w:r>
      <w:proofErr w:type="spellStart"/>
      <w:r w:rsidRPr="003E0D31">
        <w:rPr>
          <w:rFonts w:eastAsia="Calibri"/>
          <w:i/>
          <w:iCs/>
          <w:szCs w:val="21"/>
          <w:lang w:bidi="ne-NP"/>
        </w:rPr>
        <w:t>bsrG</w:t>
      </w:r>
      <w:proofErr w:type="spellEnd"/>
      <w:r w:rsidRPr="003E0D31">
        <w:rPr>
          <w:rFonts w:eastAsia="Calibri"/>
          <w:szCs w:val="21"/>
          <w:lang w:bidi="ne-NP"/>
        </w:rPr>
        <w:t xml:space="preserve"> toxin mRNA leading to structural rearrangement of RBS at the 5’ region </w:t>
      </w:r>
      <w:r w:rsidRPr="003E0D31">
        <w:rPr>
          <w:rFonts w:eastAsia="Calibri"/>
          <w:noProof/>
          <w:szCs w:val="21"/>
          <w:lang w:bidi="ne-NP"/>
        </w:rPr>
        <w:t>(100)</w:t>
      </w:r>
      <w:r w:rsidRPr="003E0D31">
        <w:rPr>
          <w:rFonts w:eastAsia="Calibri"/>
          <w:szCs w:val="21"/>
          <w:lang w:bidi="ne-NP"/>
        </w:rPr>
        <w:t xml:space="preserve">. Before SR4 base pairing, the secondary structure of </w:t>
      </w:r>
      <w:proofErr w:type="spellStart"/>
      <w:r w:rsidRPr="003E0D31">
        <w:rPr>
          <w:rFonts w:eastAsia="Calibri"/>
          <w:i/>
          <w:iCs/>
          <w:szCs w:val="21"/>
          <w:lang w:bidi="ne-NP"/>
        </w:rPr>
        <w:t>bsrG</w:t>
      </w:r>
      <w:proofErr w:type="spellEnd"/>
      <w:r w:rsidRPr="003E0D31">
        <w:rPr>
          <w:rFonts w:eastAsia="Calibri"/>
          <w:i/>
          <w:iCs/>
          <w:szCs w:val="21"/>
          <w:lang w:bidi="ne-NP"/>
        </w:rPr>
        <w:t xml:space="preserve"> </w:t>
      </w:r>
      <w:r w:rsidRPr="003E0D31">
        <w:rPr>
          <w:rFonts w:eastAsia="Calibri"/>
          <w:szCs w:val="21"/>
          <w:lang w:bidi="ne-NP"/>
        </w:rPr>
        <w:t xml:space="preserve">forms a 4nt-stem at the RBS and inhibits its translation. This 4nt-stem is extended to 8 </w:t>
      </w:r>
      <w:proofErr w:type="spellStart"/>
      <w:r w:rsidRPr="003E0D31">
        <w:rPr>
          <w:rFonts w:eastAsia="Calibri"/>
          <w:szCs w:val="21"/>
          <w:lang w:bidi="ne-NP"/>
        </w:rPr>
        <w:t>nt</w:t>
      </w:r>
      <w:proofErr w:type="spellEnd"/>
      <w:r w:rsidRPr="003E0D31">
        <w:rPr>
          <w:rFonts w:eastAsia="Calibri"/>
          <w:szCs w:val="21"/>
          <w:lang w:bidi="ne-NP"/>
        </w:rPr>
        <w:t xml:space="preserve"> upon formation of the </w:t>
      </w:r>
      <w:proofErr w:type="spellStart"/>
      <w:r w:rsidRPr="003E0D31">
        <w:rPr>
          <w:rFonts w:eastAsia="Calibri"/>
          <w:i/>
          <w:iCs/>
          <w:szCs w:val="21"/>
          <w:lang w:bidi="ne-NP"/>
        </w:rPr>
        <w:t>bsrG</w:t>
      </w:r>
      <w:proofErr w:type="spellEnd"/>
      <w:r w:rsidR="00D25092">
        <w:rPr>
          <w:rFonts w:eastAsia="Calibri"/>
          <w:i/>
          <w:iCs/>
          <w:szCs w:val="21"/>
          <w:lang w:bidi="ne-NP"/>
        </w:rPr>
        <w:t>/</w:t>
      </w:r>
      <w:r w:rsidR="00D25092" w:rsidRPr="00D25092">
        <w:rPr>
          <w:rFonts w:eastAsia="Calibri"/>
          <w:szCs w:val="21"/>
          <w:lang w:bidi="ne-NP"/>
        </w:rPr>
        <w:t>SR4</w:t>
      </w:r>
      <w:r w:rsidRPr="003E0D31">
        <w:rPr>
          <w:rFonts w:eastAsia="Calibri"/>
          <w:i/>
          <w:iCs/>
          <w:szCs w:val="21"/>
          <w:lang w:bidi="ne-NP"/>
        </w:rPr>
        <w:t xml:space="preserve"> </w:t>
      </w:r>
      <w:r w:rsidRPr="003E0D31">
        <w:rPr>
          <w:rFonts w:eastAsia="Calibri"/>
          <w:szCs w:val="21"/>
          <w:lang w:bidi="ne-NP"/>
        </w:rPr>
        <w:lastRenderedPageBreak/>
        <w:t xml:space="preserve">complex. Binding of the SR4 sRNA not only inhibits translation by sequestering the SD sequence, but also affects </w:t>
      </w:r>
      <w:proofErr w:type="spellStart"/>
      <w:r w:rsidRPr="003E0D31">
        <w:rPr>
          <w:rFonts w:eastAsia="Calibri"/>
          <w:i/>
          <w:iCs/>
          <w:szCs w:val="21"/>
          <w:lang w:bidi="ne-NP"/>
        </w:rPr>
        <w:t>bsrG</w:t>
      </w:r>
      <w:proofErr w:type="spellEnd"/>
      <w:r w:rsidRPr="003E0D31">
        <w:rPr>
          <w:rFonts w:eastAsia="Calibri"/>
          <w:szCs w:val="21"/>
          <w:lang w:bidi="ne-NP"/>
        </w:rPr>
        <w:t xml:space="preserve"> stability as the </w:t>
      </w:r>
      <w:proofErr w:type="spellStart"/>
      <w:r w:rsidRPr="003E0D31">
        <w:rPr>
          <w:rFonts w:eastAsia="Calibri"/>
          <w:i/>
          <w:iCs/>
          <w:szCs w:val="21"/>
          <w:lang w:bidi="ne-NP"/>
        </w:rPr>
        <w:t>bsrG</w:t>
      </w:r>
      <w:proofErr w:type="spellEnd"/>
      <w:r w:rsidRPr="003E0D31">
        <w:rPr>
          <w:rFonts w:eastAsia="Calibri"/>
          <w:szCs w:val="21"/>
          <w:lang w:bidi="ne-NP"/>
        </w:rPr>
        <w:t xml:space="preserve">/SR4 duplex is degraded by </w:t>
      </w:r>
      <w:proofErr w:type="spellStart"/>
      <w:r w:rsidRPr="003E0D31">
        <w:rPr>
          <w:rFonts w:eastAsia="Calibri"/>
          <w:szCs w:val="21"/>
          <w:lang w:bidi="ne-NP"/>
        </w:rPr>
        <w:t>RNAse</w:t>
      </w:r>
      <w:proofErr w:type="spellEnd"/>
      <w:r w:rsidRPr="003E0D31">
        <w:rPr>
          <w:rFonts w:eastAsia="Calibri"/>
          <w:szCs w:val="21"/>
          <w:lang w:bidi="ne-NP"/>
        </w:rPr>
        <w:t xml:space="preserve"> III </w:t>
      </w:r>
      <w:r w:rsidRPr="003E0D31">
        <w:rPr>
          <w:rFonts w:eastAsia="Calibri"/>
          <w:noProof/>
          <w:szCs w:val="21"/>
          <w:lang w:bidi="ne-NP"/>
        </w:rPr>
        <w:t>(100)</w:t>
      </w:r>
      <w:r w:rsidRPr="003E0D31">
        <w:rPr>
          <w:rFonts w:eastAsia="Calibri"/>
          <w:szCs w:val="21"/>
          <w:lang w:bidi="ne-NP"/>
        </w:rPr>
        <w:t xml:space="preserve">. The </w:t>
      </w:r>
      <w:proofErr w:type="spellStart"/>
      <w:r w:rsidRPr="003E0D31">
        <w:rPr>
          <w:rFonts w:eastAsia="Calibri"/>
          <w:i/>
          <w:iCs/>
          <w:szCs w:val="21"/>
          <w:lang w:bidi="ne-NP"/>
        </w:rPr>
        <w:t>txpA</w:t>
      </w:r>
      <w:proofErr w:type="spellEnd"/>
      <w:r w:rsidRPr="003E0D31">
        <w:rPr>
          <w:rFonts w:eastAsia="Calibri"/>
          <w:szCs w:val="21"/>
          <w:lang w:bidi="ne-NP"/>
        </w:rPr>
        <w:t xml:space="preserve"> and </w:t>
      </w:r>
      <w:proofErr w:type="spellStart"/>
      <w:r w:rsidRPr="003E0D31">
        <w:rPr>
          <w:rFonts w:eastAsia="Calibri"/>
          <w:i/>
          <w:iCs/>
          <w:szCs w:val="21"/>
          <w:lang w:bidi="ne-NP"/>
        </w:rPr>
        <w:t>bsrH</w:t>
      </w:r>
      <w:proofErr w:type="spellEnd"/>
      <w:r w:rsidRPr="003E0D31">
        <w:rPr>
          <w:rFonts w:eastAsia="Calibri"/>
          <w:szCs w:val="21"/>
          <w:lang w:bidi="ne-NP"/>
        </w:rPr>
        <w:t xml:space="preserve"> toxin mRNAs are also cleaved by exoribonucleases after </w:t>
      </w:r>
      <w:proofErr w:type="spellStart"/>
      <w:r w:rsidRPr="003E0D31">
        <w:rPr>
          <w:rFonts w:eastAsia="Calibri"/>
          <w:szCs w:val="21"/>
          <w:lang w:bidi="ne-NP"/>
        </w:rPr>
        <w:t>RatA</w:t>
      </w:r>
      <w:proofErr w:type="spellEnd"/>
      <w:r w:rsidRPr="003E0D31">
        <w:rPr>
          <w:rFonts w:eastAsia="Calibri"/>
          <w:szCs w:val="21"/>
          <w:lang w:bidi="ne-NP"/>
        </w:rPr>
        <w:t xml:space="preserve"> and as-</w:t>
      </w:r>
      <w:proofErr w:type="spellStart"/>
      <w:r w:rsidRPr="003E0D31">
        <w:rPr>
          <w:rFonts w:eastAsia="Calibri"/>
          <w:szCs w:val="21"/>
          <w:lang w:bidi="ne-NP"/>
        </w:rPr>
        <w:t>BsrH</w:t>
      </w:r>
      <w:proofErr w:type="spellEnd"/>
      <w:r w:rsidRPr="003E0D31">
        <w:rPr>
          <w:rFonts w:eastAsia="Calibri"/>
          <w:szCs w:val="21"/>
          <w:lang w:bidi="ne-NP"/>
        </w:rPr>
        <w:t xml:space="preserve"> respectively bind to their 3’ end </w:t>
      </w:r>
      <w:r w:rsidRPr="003E0D31">
        <w:rPr>
          <w:rFonts w:eastAsia="Calibri"/>
          <w:noProof/>
          <w:szCs w:val="21"/>
          <w:lang w:bidi="ne-NP"/>
        </w:rPr>
        <w:t>(13,100,106)</w:t>
      </w:r>
      <w:r w:rsidRPr="003E0D31">
        <w:rPr>
          <w:rFonts w:eastAsia="Calibri"/>
          <w:szCs w:val="21"/>
          <w:lang w:bidi="ne-NP"/>
        </w:rPr>
        <w:t xml:space="preserve">. RNase III is also critical to prevent type I toxin translation in B. subtilis: deletion of </w:t>
      </w:r>
      <w:proofErr w:type="spellStart"/>
      <w:r w:rsidRPr="003E0D31">
        <w:rPr>
          <w:rFonts w:eastAsia="Calibri"/>
          <w:szCs w:val="21"/>
          <w:lang w:bidi="ne-NP"/>
        </w:rPr>
        <w:t>rnc</w:t>
      </w:r>
      <w:proofErr w:type="spellEnd"/>
      <w:r w:rsidRPr="003E0D31">
        <w:rPr>
          <w:rFonts w:eastAsia="Calibri"/>
          <w:szCs w:val="21"/>
          <w:lang w:bidi="ne-NP"/>
        </w:rPr>
        <w:t xml:space="preserve"> (encodes RNase II) is lethal in </w:t>
      </w:r>
      <w:r w:rsidRPr="003E0D31">
        <w:rPr>
          <w:rFonts w:eastAsia="Calibri"/>
          <w:i/>
          <w:iCs/>
          <w:szCs w:val="21"/>
          <w:lang w:bidi="ne-NP"/>
        </w:rPr>
        <w:t>B. subtilis</w:t>
      </w:r>
      <w:r w:rsidRPr="003E0D31">
        <w:rPr>
          <w:rFonts w:eastAsia="Calibri"/>
          <w:szCs w:val="21"/>
          <w:lang w:bidi="ne-NP"/>
        </w:rPr>
        <w:t xml:space="preserve"> due to the inability of the antitoxins (such as </w:t>
      </w:r>
      <w:proofErr w:type="spellStart"/>
      <w:r w:rsidRPr="003E0D31">
        <w:rPr>
          <w:rFonts w:eastAsia="Calibri"/>
          <w:szCs w:val="21"/>
          <w:lang w:bidi="ne-NP"/>
        </w:rPr>
        <w:t>RatA</w:t>
      </w:r>
      <w:proofErr w:type="spellEnd"/>
      <w:r w:rsidRPr="003E0D31">
        <w:rPr>
          <w:rFonts w:eastAsia="Calibri"/>
          <w:szCs w:val="21"/>
          <w:lang w:bidi="ne-NP"/>
        </w:rPr>
        <w:t xml:space="preserve"> and </w:t>
      </w:r>
      <w:proofErr w:type="spellStart"/>
      <w:r w:rsidRPr="003E0D31">
        <w:rPr>
          <w:rFonts w:eastAsia="Calibri"/>
          <w:szCs w:val="21"/>
          <w:lang w:bidi="ne-NP"/>
        </w:rPr>
        <w:t>YonT</w:t>
      </w:r>
      <w:proofErr w:type="spellEnd"/>
      <w:r w:rsidRPr="003E0D31">
        <w:rPr>
          <w:rFonts w:eastAsia="Calibri"/>
          <w:szCs w:val="21"/>
          <w:lang w:bidi="ne-NP"/>
        </w:rPr>
        <w:t xml:space="preserve">) to effectively neutralize their cognate toxin mRNAs </w:t>
      </w:r>
      <w:r w:rsidRPr="003E0D31">
        <w:rPr>
          <w:rFonts w:eastAsia="Calibri"/>
          <w:noProof/>
          <w:szCs w:val="21"/>
          <w:lang w:bidi="ne-NP"/>
        </w:rPr>
        <w:t>(13)</w:t>
      </w:r>
      <w:r w:rsidRPr="003E0D31">
        <w:rPr>
          <w:rFonts w:eastAsia="Calibri"/>
          <w:szCs w:val="21"/>
          <w:lang w:bidi="ne-NP"/>
        </w:rPr>
        <w:t>.</w:t>
      </w:r>
    </w:p>
    <w:p w14:paraId="32539B00" w14:textId="39EF2BB1" w:rsidR="003E0D31" w:rsidRPr="003E0D31" w:rsidRDefault="003E0D31" w:rsidP="003E0D31">
      <w:pPr>
        <w:spacing w:line="360" w:lineRule="auto"/>
        <w:ind w:firstLine="720"/>
        <w:rPr>
          <w:rFonts w:eastAsia="Calibri"/>
          <w:szCs w:val="21"/>
          <w:lang w:bidi="ne-NP"/>
        </w:rPr>
      </w:pPr>
      <w:r w:rsidRPr="003E0D31">
        <w:rPr>
          <w:rFonts w:eastAsia="Calibri"/>
          <w:szCs w:val="21"/>
          <w:lang w:bidi="ne-NP"/>
        </w:rPr>
        <w:t xml:space="preserve">While the repression of most type I toxin genes by the antitoxin sRNA is specific, a few instances exist where cross talk between the homologous TA gene pairs has been reported. In the </w:t>
      </w:r>
      <w:proofErr w:type="spellStart"/>
      <w:r w:rsidRPr="003E0D31">
        <w:rPr>
          <w:rFonts w:eastAsia="Calibri"/>
          <w:i/>
          <w:iCs/>
          <w:szCs w:val="21"/>
          <w:lang w:bidi="ne-NP"/>
        </w:rPr>
        <w:t>zor-orz</w:t>
      </w:r>
      <w:proofErr w:type="spellEnd"/>
      <w:r w:rsidRPr="003E0D31">
        <w:rPr>
          <w:rFonts w:eastAsia="Calibri"/>
          <w:szCs w:val="21"/>
          <w:lang w:bidi="ne-NP"/>
        </w:rPr>
        <w:t xml:space="preserve"> locus which consists of two homologous gene pairs, </w:t>
      </w:r>
      <w:proofErr w:type="spellStart"/>
      <w:r w:rsidRPr="003E0D31">
        <w:rPr>
          <w:rFonts w:eastAsia="Calibri"/>
          <w:i/>
          <w:iCs/>
          <w:szCs w:val="21"/>
          <w:lang w:bidi="ne-NP"/>
        </w:rPr>
        <w:t>zorO-orzO</w:t>
      </w:r>
      <w:proofErr w:type="spellEnd"/>
      <w:r w:rsidRPr="003E0D31">
        <w:rPr>
          <w:rFonts w:eastAsia="Calibri"/>
          <w:szCs w:val="21"/>
          <w:lang w:bidi="ne-NP"/>
        </w:rPr>
        <w:t xml:space="preserve"> and </w:t>
      </w:r>
      <w:proofErr w:type="spellStart"/>
      <w:r w:rsidRPr="003E0D31">
        <w:rPr>
          <w:rFonts w:eastAsia="Calibri"/>
          <w:i/>
          <w:iCs/>
          <w:szCs w:val="21"/>
          <w:lang w:bidi="ne-NP"/>
        </w:rPr>
        <w:t>zorP-orzP</w:t>
      </w:r>
      <w:proofErr w:type="spellEnd"/>
      <w:r w:rsidRPr="003E0D31">
        <w:rPr>
          <w:rFonts w:eastAsia="Calibri"/>
          <w:szCs w:val="21"/>
          <w:lang w:bidi="ne-NP"/>
        </w:rPr>
        <w:t xml:space="preserve">, the </w:t>
      </w:r>
      <w:proofErr w:type="spellStart"/>
      <w:r w:rsidRPr="003E0D31">
        <w:rPr>
          <w:rFonts w:eastAsia="Calibri"/>
          <w:szCs w:val="21"/>
          <w:lang w:bidi="ne-NP"/>
        </w:rPr>
        <w:t>OrzP</w:t>
      </w:r>
      <w:proofErr w:type="spellEnd"/>
      <w:r w:rsidRPr="003E0D31">
        <w:rPr>
          <w:rFonts w:eastAsia="Calibri"/>
          <w:szCs w:val="21"/>
          <w:lang w:bidi="ne-NP"/>
        </w:rPr>
        <w:t xml:space="preserve"> sRNA is unable to neutralize the </w:t>
      </w:r>
      <w:proofErr w:type="spellStart"/>
      <w:r w:rsidRPr="003E0D31">
        <w:rPr>
          <w:rFonts w:eastAsia="Calibri"/>
          <w:i/>
          <w:iCs/>
          <w:szCs w:val="21"/>
          <w:lang w:bidi="ne-NP"/>
        </w:rPr>
        <w:t>zorO</w:t>
      </w:r>
      <w:proofErr w:type="spellEnd"/>
      <w:r w:rsidRPr="003E0D31">
        <w:rPr>
          <w:rFonts w:eastAsia="Calibri"/>
          <w:szCs w:val="21"/>
          <w:lang w:bidi="ne-NP"/>
        </w:rPr>
        <w:t xml:space="preserve"> mRNA, showing very high specificity </w:t>
      </w:r>
      <w:r w:rsidRPr="003E0D31">
        <w:rPr>
          <w:rFonts w:eastAsia="Calibri"/>
          <w:noProof/>
          <w:szCs w:val="21"/>
          <w:lang w:bidi="ne-NP"/>
        </w:rPr>
        <w:t>(56)</w:t>
      </w:r>
      <w:r w:rsidRPr="003E0D31">
        <w:rPr>
          <w:rFonts w:eastAsia="Calibri"/>
          <w:szCs w:val="21"/>
          <w:lang w:bidi="ne-NP"/>
        </w:rPr>
        <w:t xml:space="preserve">. Similar specificity of the TA interactions are also maintained in the </w:t>
      </w:r>
      <w:r w:rsidRPr="003E0D31">
        <w:rPr>
          <w:rFonts w:eastAsia="Calibri"/>
          <w:i/>
          <w:iCs/>
          <w:szCs w:val="21"/>
          <w:lang w:bidi="ne-NP"/>
        </w:rPr>
        <w:t xml:space="preserve">H. pylori </w:t>
      </w:r>
      <w:proofErr w:type="spellStart"/>
      <w:r w:rsidRPr="003E0D31">
        <w:rPr>
          <w:rFonts w:eastAsia="Calibri"/>
          <w:i/>
          <w:iCs/>
          <w:szCs w:val="21"/>
          <w:lang w:bidi="ne-NP"/>
        </w:rPr>
        <w:t>aapA</w:t>
      </w:r>
      <w:proofErr w:type="spellEnd"/>
      <w:r w:rsidRPr="003E0D31">
        <w:rPr>
          <w:rFonts w:eastAsia="Calibri"/>
          <w:i/>
          <w:iCs/>
          <w:szCs w:val="21"/>
          <w:lang w:bidi="ne-NP"/>
        </w:rPr>
        <w:t>/</w:t>
      </w:r>
      <w:proofErr w:type="spellStart"/>
      <w:r w:rsidRPr="003E0D31">
        <w:rPr>
          <w:rFonts w:eastAsia="Calibri"/>
          <w:i/>
          <w:iCs/>
          <w:szCs w:val="21"/>
          <w:lang w:bidi="ne-NP"/>
        </w:rPr>
        <w:t>IsoA</w:t>
      </w:r>
      <w:proofErr w:type="spellEnd"/>
      <w:r w:rsidRPr="003E0D31">
        <w:rPr>
          <w:rFonts w:eastAsia="Calibri"/>
          <w:szCs w:val="21"/>
          <w:lang w:bidi="ne-NP"/>
        </w:rPr>
        <w:t xml:space="preserve"> and </w:t>
      </w:r>
      <w:r w:rsidRPr="003E0D31">
        <w:rPr>
          <w:rFonts w:eastAsia="Calibri"/>
          <w:i/>
          <w:iCs/>
          <w:szCs w:val="21"/>
          <w:lang w:bidi="ne-NP"/>
        </w:rPr>
        <w:t>S. aureus</w:t>
      </w:r>
      <w:r w:rsidRPr="003E0D31">
        <w:rPr>
          <w:rFonts w:eastAsia="Calibri"/>
          <w:szCs w:val="21"/>
          <w:lang w:bidi="ne-NP"/>
        </w:rPr>
        <w:t xml:space="preserve"> </w:t>
      </w:r>
      <w:proofErr w:type="spellStart"/>
      <w:r w:rsidRPr="003E0D31">
        <w:rPr>
          <w:rFonts w:eastAsia="Calibri"/>
          <w:i/>
          <w:iCs/>
          <w:szCs w:val="21"/>
          <w:lang w:bidi="ne-NP"/>
        </w:rPr>
        <w:t>sprA</w:t>
      </w:r>
      <w:proofErr w:type="spellEnd"/>
      <w:r w:rsidRPr="003E0D31">
        <w:rPr>
          <w:rFonts w:eastAsia="Calibri"/>
          <w:i/>
          <w:iCs/>
          <w:szCs w:val="21"/>
          <w:lang w:bidi="ne-NP"/>
        </w:rPr>
        <w:t>/</w:t>
      </w:r>
      <w:proofErr w:type="spellStart"/>
      <w:r w:rsidRPr="003E0D31">
        <w:rPr>
          <w:rFonts w:eastAsia="Calibri"/>
          <w:i/>
          <w:iCs/>
          <w:szCs w:val="21"/>
          <w:lang w:bidi="ne-NP"/>
        </w:rPr>
        <w:t>sprA</w:t>
      </w:r>
      <w:r w:rsidRPr="003E0D31">
        <w:rPr>
          <w:rFonts w:eastAsia="Calibri"/>
          <w:i/>
          <w:iCs/>
          <w:szCs w:val="21"/>
          <w:vertAlign w:val="subscript"/>
          <w:lang w:bidi="ne-NP"/>
        </w:rPr>
        <w:t>AS</w:t>
      </w:r>
      <w:proofErr w:type="spellEnd"/>
      <w:r w:rsidRPr="003E0D31">
        <w:rPr>
          <w:rFonts w:eastAsia="Calibri"/>
          <w:szCs w:val="21"/>
          <w:lang w:bidi="ne-NP"/>
        </w:rPr>
        <w:t xml:space="preserve"> systems </w:t>
      </w:r>
      <w:r w:rsidRPr="003E0D31">
        <w:rPr>
          <w:rFonts w:eastAsia="Calibri"/>
          <w:noProof/>
          <w:szCs w:val="21"/>
          <w:lang w:bidi="ne-NP"/>
        </w:rPr>
        <w:t>(57,105)</w:t>
      </w:r>
      <w:r w:rsidRPr="003E0D31">
        <w:rPr>
          <w:rFonts w:eastAsia="Calibri"/>
          <w:szCs w:val="21"/>
          <w:lang w:bidi="ne-NP"/>
        </w:rPr>
        <w:t xml:space="preserve">. The </w:t>
      </w:r>
      <w:proofErr w:type="spellStart"/>
      <w:r w:rsidRPr="003E0D31">
        <w:rPr>
          <w:rFonts w:eastAsia="Calibri"/>
          <w:i/>
          <w:iCs/>
          <w:szCs w:val="21"/>
          <w:lang w:bidi="ne-NP"/>
        </w:rPr>
        <w:t>txpA</w:t>
      </w:r>
      <w:proofErr w:type="spellEnd"/>
      <w:r w:rsidRPr="003E0D31">
        <w:rPr>
          <w:rFonts w:eastAsia="Calibri"/>
          <w:i/>
          <w:iCs/>
          <w:szCs w:val="21"/>
          <w:lang w:bidi="ne-NP"/>
        </w:rPr>
        <w:t>/</w:t>
      </w:r>
      <w:proofErr w:type="spellStart"/>
      <w:r w:rsidRPr="003E0D31">
        <w:rPr>
          <w:rFonts w:eastAsia="Calibri"/>
          <w:i/>
          <w:iCs/>
          <w:szCs w:val="21"/>
          <w:lang w:bidi="ne-NP"/>
        </w:rPr>
        <w:t>ratA</w:t>
      </w:r>
      <w:proofErr w:type="spellEnd"/>
      <w:r w:rsidRPr="003E0D31">
        <w:rPr>
          <w:rFonts w:eastAsia="Calibri"/>
          <w:szCs w:val="21"/>
          <w:lang w:bidi="ne-NP"/>
        </w:rPr>
        <w:t xml:space="preserve"> homologous locus </w:t>
      </w:r>
      <w:proofErr w:type="spellStart"/>
      <w:r w:rsidRPr="003E0D31">
        <w:rPr>
          <w:rFonts w:eastAsia="Calibri"/>
          <w:i/>
          <w:iCs/>
          <w:szCs w:val="21"/>
          <w:lang w:bidi="ne-NP"/>
        </w:rPr>
        <w:t>sprG</w:t>
      </w:r>
      <w:proofErr w:type="spellEnd"/>
      <w:r w:rsidRPr="003E0D31">
        <w:rPr>
          <w:rFonts w:eastAsia="Calibri"/>
          <w:i/>
          <w:iCs/>
          <w:szCs w:val="21"/>
          <w:lang w:bidi="ne-NP"/>
        </w:rPr>
        <w:t>/</w:t>
      </w:r>
      <w:proofErr w:type="spellStart"/>
      <w:r w:rsidRPr="003E0D31">
        <w:rPr>
          <w:rFonts w:eastAsia="Calibri"/>
          <w:i/>
          <w:iCs/>
          <w:szCs w:val="21"/>
          <w:lang w:bidi="ne-NP"/>
        </w:rPr>
        <w:t>sprF</w:t>
      </w:r>
      <w:proofErr w:type="spellEnd"/>
      <w:r w:rsidRPr="003E0D31">
        <w:rPr>
          <w:rFonts w:eastAsia="Calibri"/>
          <w:szCs w:val="21"/>
          <w:lang w:bidi="ne-NP"/>
        </w:rPr>
        <w:t xml:space="preserve"> system (with 4 homologs in </w:t>
      </w:r>
      <w:r w:rsidRPr="003E0D31">
        <w:rPr>
          <w:rFonts w:eastAsia="Calibri"/>
          <w:i/>
          <w:iCs/>
          <w:szCs w:val="21"/>
          <w:lang w:bidi="ne-NP"/>
        </w:rPr>
        <w:t>S. aureus</w:t>
      </w:r>
      <w:r w:rsidRPr="003E0D31">
        <w:rPr>
          <w:rFonts w:eastAsia="Calibri"/>
          <w:szCs w:val="21"/>
          <w:lang w:bidi="ne-NP"/>
        </w:rPr>
        <w:t xml:space="preserve">), however, exhibits </w:t>
      </w:r>
      <w:r w:rsidRPr="003E0D31">
        <w:rPr>
          <w:rFonts w:eastAsia="Calibri"/>
          <w:i/>
          <w:iCs/>
          <w:szCs w:val="21"/>
          <w:lang w:bidi="ne-NP"/>
        </w:rPr>
        <w:t>in vitro</w:t>
      </w:r>
      <w:r w:rsidRPr="003E0D31">
        <w:rPr>
          <w:rFonts w:eastAsia="Calibri"/>
          <w:szCs w:val="21"/>
          <w:lang w:bidi="ne-NP"/>
        </w:rPr>
        <w:t xml:space="preserve"> interaction of </w:t>
      </w:r>
      <w:r w:rsidRPr="003E0D31">
        <w:rPr>
          <w:rFonts w:eastAsia="Calibri"/>
          <w:i/>
          <w:iCs/>
          <w:szCs w:val="21"/>
          <w:lang w:bidi="ne-NP"/>
        </w:rPr>
        <w:t>sprG3</w:t>
      </w:r>
      <w:r w:rsidRPr="003E0D31">
        <w:rPr>
          <w:rFonts w:eastAsia="Calibri"/>
          <w:szCs w:val="21"/>
          <w:lang w:bidi="ne-NP"/>
        </w:rPr>
        <w:t xml:space="preserve"> with SprF1 and </w:t>
      </w:r>
      <w:r w:rsidRPr="003E0D31">
        <w:rPr>
          <w:rFonts w:eastAsia="Calibri"/>
          <w:i/>
          <w:iCs/>
          <w:szCs w:val="21"/>
          <w:lang w:bidi="ne-NP"/>
        </w:rPr>
        <w:t>sprG2</w:t>
      </w:r>
      <w:r w:rsidRPr="003E0D31">
        <w:rPr>
          <w:rFonts w:eastAsia="Calibri"/>
          <w:szCs w:val="21"/>
          <w:lang w:bidi="ne-NP"/>
        </w:rPr>
        <w:t xml:space="preserve"> with SprF4 indicating a possible </w:t>
      </w:r>
      <w:r w:rsidRPr="003E0D31">
        <w:rPr>
          <w:rFonts w:eastAsia="Calibri"/>
          <w:i/>
          <w:iCs/>
          <w:szCs w:val="21"/>
          <w:lang w:bidi="ne-NP"/>
        </w:rPr>
        <w:t>in vivo</w:t>
      </w:r>
      <w:r w:rsidRPr="003E0D31">
        <w:rPr>
          <w:rFonts w:eastAsia="Calibri"/>
          <w:szCs w:val="21"/>
          <w:lang w:bidi="ne-NP"/>
        </w:rPr>
        <w:t xml:space="preserve"> </w:t>
      </w:r>
      <w:r w:rsidR="00D25092" w:rsidRPr="003E0D31">
        <w:rPr>
          <w:rFonts w:eastAsia="Calibri"/>
          <w:szCs w:val="21"/>
          <w:lang w:bidi="ne-NP"/>
        </w:rPr>
        <w:t>cross</w:t>
      </w:r>
      <w:r w:rsidR="00D25092">
        <w:rPr>
          <w:rFonts w:eastAsia="Calibri"/>
          <w:szCs w:val="21"/>
          <w:lang w:bidi="ne-NP"/>
        </w:rPr>
        <w:t>-</w:t>
      </w:r>
      <w:r w:rsidR="00D25092" w:rsidRPr="003E0D31">
        <w:rPr>
          <w:rFonts w:eastAsia="Calibri"/>
          <w:szCs w:val="21"/>
          <w:lang w:bidi="ne-NP"/>
        </w:rPr>
        <w:t>talk</w:t>
      </w:r>
      <w:r w:rsidRPr="003E0D31">
        <w:rPr>
          <w:rFonts w:eastAsia="Calibri"/>
          <w:szCs w:val="21"/>
          <w:lang w:bidi="ne-NP"/>
        </w:rPr>
        <w:t xml:space="preserve"> </w:t>
      </w:r>
      <w:r w:rsidRPr="003E0D31">
        <w:rPr>
          <w:rFonts w:eastAsia="Calibri"/>
          <w:noProof/>
          <w:szCs w:val="21"/>
          <w:lang w:bidi="ne-NP"/>
        </w:rPr>
        <w:t>(107)</w:t>
      </w:r>
      <w:r w:rsidRPr="003E0D31">
        <w:rPr>
          <w:rFonts w:eastAsia="Calibri"/>
          <w:szCs w:val="21"/>
          <w:lang w:bidi="ne-NP"/>
        </w:rPr>
        <w:t xml:space="preserve">. Research addressing the </w:t>
      </w:r>
      <w:proofErr w:type="spellStart"/>
      <w:r w:rsidRPr="003E0D31">
        <w:rPr>
          <w:rFonts w:eastAsia="Calibri"/>
          <w:i/>
          <w:iCs/>
          <w:szCs w:val="21"/>
          <w:lang w:bidi="ne-NP"/>
        </w:rPr>
        <w:t>ibs</w:t>
      </w:r>
      <w:proofErr w:type="spellEnd"/>
      <w:r w:rsidRPr="003E0D31">
        <w:rPr>
          <w:rFonts w:eastAsia="Calibri"/>
          <w:i/>
          <w:iCs/>
          <w:szCs w:val="21"/>
          <w:lang w:bidi="ne-NP"/>
        </w:rPr>
        <w:t>/sib</w:t>
      </w:r>
      <w:r w:rsidRPr="003E0D31">
        <w:rPr>
          <w:rFonts w:eastAsia="Calibri"/>
          <w:szCs w:val="21"/>
          <w:lang w:bidi="ne-NP"/>
        </w:rPr>
        <w:t xml:space="preserve"> system, which has five homologs, suggests some evidence of cross-talk as </w:t>
      </w:r>
      <w:proofErr w:type="spellStart"/>
      <w:r w:rsidRPr="003E0D31">
        <w:rPr>
          <w:rFonts w:eastAsia="Calibri"/>
          <w:i/>
          <w:iCs/>
          <w:szCs w:val="21"/>
          <w:lang w:bidi="ne-NP"/>
        </w:rPr>
        <w:t>ibsA</w:t>
      </w:r>
      <w:proofErr w:type="spellEnd"/>
      <w:r w:rsidRPr="003E0D31">
        <w:rPr>
          <w:rFonts w:eastAsia="Calibri"/>
          <w:i/>
          <w:iCs/>
          <w:szCs w:val="21"/>
          <w:lang w:bidi="ne-NP"/>
        </w:rPr>
        <w:t xml:space="preserve"> </w:t>
      </w:r>
      <w:r w:rsidRPr="003E0D31">
        <w:rPr>
          <w:rFonts w:eastAsia="Calibri"/>
          <w:szCs w:val="21"/>
          <w:lang w:bidi="ne-NP"/>
        </w:rPr>
        <w:t xml:space="preserve">overexpression was not toxic in </w:t>
      </w:r>
      <w:proofErr w:type="spellStart"/>
      <w:r w:rsidRPr="003E0D31">
        <w:rPr>
          <w:rFonts w:eastAsia="Calibri"/>
          <w:i/>
          <w:iCs/>
          <w:szCs w:val="21"/>
          <w:lang w:bidi="ne-NP"/>
        </w:rPr>
        <w:t>sibA</w:t>
      </w:r>
      <w:proofErr w:type="spellEnd"/>
      <w:r w:rsidRPr="003E0D31">
        <w:rPr>
          <w:rFonts w:eastAsia="Calibri"/>
          <w:szCs w:val="21"/>
          <w:lang w:bidi="ne-NP"/>
        </w:rPr>
        <w:t xml:space="preserve"> deleted strains </w:t>
      </w:r>
      <w:r w:rsidRPr="003E0D31">
        <w:rPr>
          <w:rFonts w:eastAsia="Calibri"/>
          <w:noProof/>
          <w:szCs w:val="21"/>
          <w:lang w:bidi="ne-NP"/>
        </w:rPr>
        <w:t>(12)</w:t>
      </w:r>
      <w:r w:rsidRPr="003E0D31">
        <w:rPr>
          <w:rFonts w:eastAsia="Calibri"/>
          <w:szCs w:val="21"/>
          <w:lang w:bidi="ne-NP"/>
        </w:rPr>
        <w:t xml:space="preserve">. </w:t>
      </w:r>
      <w:proofErr w:type="spellStart"/>
      <w:r w:rsidRPr="003E0D31">
        <w:rPr>
          <w:rFonts w:eastAsia="Calibri"/>
          <w:szCs w:val="21"/>
          <w:lang w:bidi="ne-NP"/>
        </w:rPr>
        <w:t>SibA</w:t>
      </w:r>
      <w:proofErr w:type="spellEnd"/>
      <w:r w:rsidRPr="003E0D31">
        <w:rPr>
          <w:rFonts w:eastAsia="Calibri"/>
          <w:szCs w:val="21"/>
          <w:lang w:bidi="ne-NP"/>
        </w:rPr>
        <w:t xml:space="preserve"> has identical domains with </w:t>
      </w:r>
      <w:proofErr w:type="spellStart"/>
      <w:r w:rsidRPr="003E0D31">
        <w:rPr>
          <w:rFonts w:eastAsia="Calibri"/>
          <w:szCs w:val="21"/>
          <w:lang w:bidi="ne-NP"/>
        </w:rPr>
        <w:t>SibE</w:t>
      </w:r>
      <w:proofErr w:type="spellEnd"/>
      <w:r w:rsidRPr="003E0D31">
        <w:rPr>
          <w:rFonts w:eastAsia="Calibri"/>
          <w:szCs w:val="21"/>
          <w:lang w:bidi="ne-NP"/>
        </w:rPr>
        <w:t xml:space="preserve">, which likely neutralized the toxicity of </w:t>
      </w:r>
      <w:proofErr w:type="spellStart"/>
      <w:r w:rsidRPr="003E0D31">
        <w:rPr>
          <w:rFonts w:eastAsia="Calibri"/>
          <w:i/>
          <w:iCs/>
          <w:szCs w:val="21"/>
          <w:lang w:bidi="ne-NP"/>
        </w:rPr>
        <w:t>ibsA</w:t>
      </w:r>
      <w:proofErr w:type="spellEnd"/>
      <w:r w:rsidRPr="003E0D31">
        <w:rPr>
          <w:rFonts w:eastAsia="Calibri"/>
          <w:szCs w:val="21"/>
          <w:lang w:bidi="ne-NP"/>
        </w:rPr>
        <w:t xml:space="preserve"> </w:t>
      </w:r>
      <w:r w:rsidRPr="003E0D31">
        <w:rPr>
          <w:rFonts w:eastAsia="Calibri"/>
          <w:noProof/>
          <w:szCs w:val="21"/>
          <w:lang w:bidi="ne-NP"/>
        </w:rPr>
        <w:t>(108)</w:t>
      </w:r>
      <w:r w:rsidRPr="003E0D31">
        <w:rPr>
          <w:rFonts w:eastAsia="Calibri"/>
          <w:szCs w:val="21"/>
          <w:lang w:bidi="ne-NP"/>
        </w:rPr>
        <w:t>.</w:t>
      </w:r>
    </w:p>
    <w:p w14:paraId="68220DD0" w14:textId="7D78D8EC" w:rsidR="00D25092" w:rsidRPr="003E0D31" w:rsidRDefault="003E0D31" w:rsidP="003E0D31">
      <w:pPr>
        <w:spacing w:line="360" w:lineRule="auto"/>
        <w:ind w:firstLine="720"/>
        <w:rPr>
          <w:rFonts w:eastAsia="Calibri"/>
          <w:szCs w:val="21"/>
          <w:lang w:bidi="ne-NP"/>
        </w:rPr>
      </w:pPr>
      <w:r w:rsidRPr="003E0D31">
        <w:rPr>
          <w:rFonts w:eastAsia="Calibri"/>
          <w:szCs w:val="21"/>
          <w:lang w:bidi="ne-NP"/>
        </w:rPr>
        <w:t xml:space="preserve">Besides UTRs and antitoxins, there are other factors that can determine the fate of toxic gene translation. The two main factors impacting this are the abundance of transcripts for each of the TA gene pair and their relative half-life. The abundance of toxin and antitoxin RNAs can vary based on growth conditions and growth phase. For some of those examined, the antitoxins are constitutively transcribed and are less stable with shorter half-lives compared to that of the toxin mRNA </w:t>
      </w:r>
      <w:r w:rsidRPr="003E0D31">
        <w:rPr>
          <w:rFonts w:eastAsia="Calibri"/>
          <w:noProof/>
          <w:szCs w:val="21"/>
          <w:lang w:bidi="ne-NP"/>
        </w:rPr>
        <w:t>(57,92)</w:t>
      </w:r>
      <w:r w:rsidRPr="003E0D31">
        <w:rPr>
          <w:rFonts w:eastAsia="Calibri"/>
          <w:szCs w:val="21"/>
          <w:lang w:bidi="ne-NP"/>
        </w:rPr>
        <w:t xml:space="preserve">. For example, </w:t>
      </w:r>
      <w:proofErr w:type="spellStart"/>
      <w:r w:rsidRPr="003E0D31">
        <w:rPr>
          <w:rFonts w:eastAsia="Calibri"/>
          <w:i/>
          <w:iCs/>
          <w:szCs w:val="21"/>
          <w:lang w:bidi="ne-NP"/>
        </w:rPr>
        <w:t>hokB</w:t>
      </w:r>
      <w:proofErr w:type="spellEnd"/>
      <w:r w:rsidRPr="003E0D31">
        <w:rPr>
          <w:rFonts w:eastAsia="Calibri"/>
          <w:szCs w:val="21"/>
          <w:lang w:bidi="ne-NP"/>
        </w:rPr>
        <w:t xml:space="preserve"> and </w:t>
      </w:r>
      <w:proofErr w:type="spellStart"/>
      <w:r w:rsidRPr="003E0D31">
        <w:rPr>
          <w:rFonts w:eastAsia="Calibri"/>
          <w:i/>
          <w:iCs/>
          <w:szCs w:val="21"/>
          <w:lang w:bidi="ne-NP"/>
        </w:rPr>
        <w:t>ldrD</w:t>
      </w:r>
      <w:proofErr w:type="spellEnd"/>
      <w:r w:rsidRPr="003E0D31">
        <w:rPr>
          <w:rFonts w:eastAsia="Calibri"/>
          <w:szCs w:val="21"/>
          <w:lang w:bidi="ne-NP"/>
        </w:rPr>
        <w:t xml:space="preserve"> mRNA have been experimentally shown to have longer half-lives than their cognate antitoxin </w:t>
      </w:r>
      <w:r w:rsidRPr="003E0D31">
        <w:rPr>
          <w:rFonts w:eastAsia="Calibri"/>
          <w:noProof/>
          <w:szCs w:val="21"/>
          <w:lang w:bidi="ne-NP"/>
        </w:rPr>
        <w:t>(32,54)</w:t>
      </w:r>
      <w:r w:rsidRPr="003E0D31">
        <w:rPr>
          <w:rFonts w:eastAsia="Calibri"/>
          <w:szCs w:val="21"/>
          <w:lang w:bidi="ne-NP"/>
        </w:rPr>
        <w:t xml:space="preserve">. The half-life of </w:t>
      </w:r>
      <w:proofErr w:type="spellStart"/>
      <w:r w:rsidRPr="003E0D31">
        <w:rPr>
          <w:rFonts w:eastAsia="Calibri"/>
          <w:i/>
          <w:iCs/>
          <w:szCs w:val="21"/>
          <w:lang w:bidi="ne-NP"/>
        </w:rPr>
        <w:t>hok</w:t>
      </w:r>
      <w:proofErr w:type="spellEnd"/>
      <w:r w:rsidRPr="003E0D31">
        <w:rPr>
          <w:rFonts w:eastAsia="Calibri"/>
          <w:szCs w:val="21"/>
          <w:lang w:bidi="ne-NP"/>
        </w:rPr>
        <w:t xml:space="preserve"> mRNA from the </w:t>
      </w:r>
      <w:proofErr w:type="spellStart"/>
      <w:r w:rsidRPr="003E0D31">
        <w:rPr>
          <w:rFonts w:eastAsia="Calibri"/>
          <w:i/>
          <w:iCs/>
          <w:szCs w:val="21"/>
          <w:lang w:bidi="ne-NP"/>
        </w:rPr>
        <w:t>parB</w:t>
      </w:r>
      <w:proofErr w:type="spellEnd"/>
      <w:r w:rsidRPr="003E0D31">
        <w:rPr>
          <w:rFonts w:eastAsia="Calibri"/>
          <w:szCs w:val="21"/>
          <w:lang w:bidi="ne-NP"/>
        </w:rPr>
        <w:t xml:space="preserve"> locus of plasmid R1 was 20 minutes </w:t>
      </w:r>
      <w:r w:rsidRPr="003E0D31">
        <w:rPr>
          <w:rFonts w:eastAsia="Calibri"/>
          <w:noProof/>
          <w:szCs w:val="21"/>
          <w:lang w:bidi="ne-NP"/>
        </w:rPr>
        <w:t>(109)</w:t>
      </w:r>
      <w:r w:rsidRPr="003E0D31">
        <w:rPr>
          <w:rFonts w:eastAsia="Calibri"/>
          <w:szCs w:val="21"/>
          <w:lang w:bidi="ne-NP"/>
        </w:rPr>
        <w:t xml:space="preserve">, and that of </w:t>
      </w:r>
      <w:proofErr w:type="spellStart"/>
      <w:r w:rsidRPr="003E0D31">
        <w:rPr>
          <w:rFonts w:eastAsia="Calibri"/>
          <w:i/>
          <w:iCs/>
          <w:szCs w:val="21"/>
          <w:lang w:bidi="ne-NP"/>
        </w:rPr>
        <w:t>ldrD</w:t>
      </w:r>
      <w:proofErr w:type="spellEnd"/>
      <w:r w:rsidRPr="003E0D31">
        <w:rPr>
          <w:rFonts w:eastAsia="Calibri"/>
          <w:szCs w:val="21"/>
          <w:lang w:bidi="ne-NP"/>
        </w:rPr>
        <w:t xml:space="preserve"> from the chromosomal expression was 30 minutes compared to its antitoxin </w:t>
      </w:r>
      <w:proofErr w:type="spellStart"/>
      <w:r w:rsidRPr="003E0D31">
        <w:rPr>
          <w:rFonts w:eastAsia="Calibri"/>
          <w:szCs w:val="21"/>
          <w:lang w:bidi="ne-NP"/>
        </w:rPr>
        <w:t>RdlD</w:t>
      </w:r>
      <w:proofErr w:type="spellEnd"/>
      <w:r w:rsidRPr="003E0D31">
        <w:rPr>
          <w:rFonts w:eastAsia="Calibri"/>
          <w:szCs w:val="21"/>
          <w:lang w:bidi="ne-NP"/>
        </w:rPr>
        <w:t xml:space="preserve"> which was only 2 minutes </w:t>
      </w:r>
      <w:r w:rsidRPr="003E0D31">
        <w:rPr>
          <w:rFonts w:eastAsia="Calibri"/>
          <w:noProof/>
          <w:szCs w:val="21"/>
          <w:lang w:bidi="ne-NP"/>
        </w:rPr>
        <w:t>(54)</w:t>
      </w:r>
      <w:r w:rsidRPr="003E0D31">
        <w:rPr>
          <w:rFonts w:eastAsia="Calibri"/>
          <w:szCs w:val="21"/>
          <w:lang w:bidi="ne-NP"/>
        </w:rPr>
        <w:t xml:space="preserve">. In an unusual type I TA system, </w:t>
      </w:r>
      <w:proofErr w:type="spellStart"/>
      <w:r w:rsidRPr="003E0D31">
        <w:rPr>
          <w:rFonts w:eastAsia="Calibri"/>
          <w:i/>
          <w:iCs/>
          <w:szCs w:val="21"/>
          <w:lang w:bidi="ne-NP"/>
        </w:rPr>
        <w:t>symE</w:t>
      </w:r>
      <w:proofErr w:type="spellEnd"/>
      <w:r w:rsidRPr="003E0D31">
        <w:rPr>
          <w:rFonts w:eastAsia="Calibri"/>
          <w:i/>
          <w:iCs/>
          <w:szCs w:val="21"/>
          <w:lang w:bidi="ne-NP"/>
        </w:rPr>
        <w:t>/</w:t>
      </w:r>
      <w:proofErr w:type="spellStart"/>
      <w:r w:rsidRPr="003E0D31">
        <w:rPr>
          <w:rFonts w:eastAsia="Calibri"/>
          <w:i/>
          <w:iCs/>
          <w:szCs w:val="21"/>
          <w:lang w:bidi="ne-NP"/>
        </w:rPr>
        <w:t>symR</w:t>
      </w:r>
      <w:proofErr w:type="spellEnd"/>
      <w:r w:rsidRPr="003E0D31">
        <w:rPr>
          <w:rFonts w:eastAsia="Calibri"/>
          <w:szCs w:val="21"/>
          <w:lang w:bidi="ne-NP"/>
        </w:rPr>
        <w:t xml:space="preserve">, the antitoxin sRNA levels were 10-fold higher than the </w:t>
      </w:r>
      <w:r w:rsidRPr="003E0D31">
        <w:rPr>
          <w:rFonts w:eastAsia="Calibri"/>
          <w:szCs w:val="21"/>
          <w:lang w:bidi="ne-NP"/>
        </w:rPr>
        <w:lastRenderedPageBreak/>
        <w:t xml:space="preserve">toxin mRNA when expressed from the native chromosomal locus, as observed via northern blot analyses in </w:t>
      </w:r>
      <w:r w:rsidRPr="003E0D31">
        <w:rPr>
          <w:rFonts w:eastAsia="Calibri"/>
          <w:i/>
          <w:iCs/>
          <w:szCs w:val="21"/>
          <w:lang w:bidi="ne-NP"/>
        </w:rPr>
        <w:t>E. coli</w:t>
      </w:r>
      <w:r w:rsidRPr="003E0D31">
        <w:rPr>
          <w:rFonts w:eastAsia="Calibri"/>
          <w:szCs w:val="21"/>
          <w:lang w:bidi="ne-NP"/>
        </w:rPr>
        <w:t xml:space="preserve"> MG1655 </w:t>
      </w:r>
      <w:r w:rsidRPr="003E0D31">
        <w:rPr>
          <w:rFonts w:eastAsia="Calibri"/>
          <w:noProof/>
          <w:szCs w:val="21"/>
          <w:lang w:bidi="ne-NP"/>
        </w:rPr>
        <w:t>(45)</w:t>
      </w:r>
      <w:r w:rsidRPr="003E0D31">
        <w:rPr>
          <w:rFonts w:eastAsia="Calibri"/>
          <w:szCs w:val="21"/>
          <w:lang w:bidi="ne-NP"/>
        </w:rPr>
        <w:t>.</w:t>
      </w:r>
    </w:p>
    <w:p w14:paraId="7D99C048" w14:textId="77777777" w:rsidR="003E0D31" w:rsidRPr="003E0D31" w:rsidRDefault="003E0D31" w:rsidP="003E0D31">
      <w:pPr>
        <w:spacing w:line="360" w:lineRule="auto"/>
        <w:ind w:firstLine="720"/>
        <w:rPr>
          <w:rFonts w:eastAsia="Calibri"/>
          <w:strike/>
          <w:color w:val="C00000"/>
          <w:szCs w:val="21"/>
          <w:lang w:bidi="ne-NP"/>
        </w:rPr>
      </w:pPr>
      <w:r w:rsidRPr="003E0D31">
        <w:rPr>
          <w:rFonts w:eastAsia="Calibri"/>
          <w:szCs w:val="21"/>
          <w:lang w:bidi="ne-NP"/>
        </w:rPr>
        <w:t>It can be concluded that the cell has equipped itself with multiple ways to regulate the translation of the toxin, which suggests the occurrence of their translation in a specific environment to adjust cellular physiology accordingly. While using overexpression systems to establish the toxic effects of these genes, the field should allocate increased focus on the impacts observed during the expression at the chromosomal level, together with the function of these chromosomally encoded type I TA systems.</w:t>
      </w:r>
    </w:p>
    <w:p w14:paraId="0E728F28" w14:textId="77777777" w:rsidR="003E0D31" w:rsidRPr="003E0D31" w:rsidRDefault="003E0D31" w:rsidP="003E0D31">
      <w:pPr>
        <w:spacing w:line="360" w:lineRule="auto"/>
        <w:ind w:left="501" w:firstLine="720"/>
        <w:rPr>
          <w:rFonts w:eastAsia="Calibri"/>
          <w:szCs w:val="21"/>
          <w:lang w:bidi="ne-NP"/>
        </w:rPr>
      </w:pPr>
    </w:p>
    <w:p w14:paraId="5BEAB4E4" w14:textId="77777777" w:rsidR="003E0D31" w:rsidRPr="003E0D31" w:rsidRDefault="003E0D31" w:rsidP="00705347">
      <w:pPr>
        <w:numPr>
          <w:ilvl w:val="0"/>
          <w:numId w:val="8"/>
        </w:numPr>
        <w:spacing w:line="360" w:lineRule="auto"/>
        <w:ind w:left="284" w:hanging="284"/>
        <w:contextualSpacing/>
        <w:rPr>
          <w:rFonts w:eastAsia="Calibri"/>
          <w:b/>
          <w:bCs/>
          <w:szCs w:val="21"/>
          <w:lang w:bidi="ne-NP"/>
        </w:rPr>
      </w:pPr>
      <w:r w:rsidRPr="003E0D31">
        <w:rPr>
          <w:rFonts w:eastAsia="Calibri"/>
          <w:b/>
          <w:bCs/>
          <w:szCs w:val="21"/>
          <w:lang w:bidi="ne-NP"/>
        </w:rPr>
        <w:t xml:space="preserve"> Function and global impacts of type I TA systems</w:t>
      </w:r>
    </w:p>
    <w:p w14:paraId="562A73FB" w14:textId="77777777" w:rsidR="003E0D31" w:rsidRPr="003E0D31" w:rsidRDefault="003E0D31" w:rsidP="003E0D31">
      <w:pPr>
        <w:spacing w:line="360" w:lineRule="auto"/>
        <w:ind w:firstLine="720"/>
        <w:rPr>
          <w:rFonts w:eastAsia="Calibri"/>
          <w:szCs w:val="21"/>
          <w:lang w:bidi="ne-NP"/>
        </w:rPr>
      </w:pPr>
      <w:r w:rsidRPr="003E0D31">
        <w:rPr>
          <w:rFonts w:eastAsia="Calibri"/>
          <w:szCs w:val="21"/>
          <w:lang w:bidi="ne-NP"/>
        </w:rPr>
        <w:t>Although type I toxins encoded in plasmids function for plasmid maintenance in dividing cells via the post-</w:t>
      </w:r>
      <w:proofErr w:type="spellStart"/>
      <w:r w:rsidRPr="003E0D31">
        <w:rPr>
          <w:rFonts w:eastAsia="Calibri"/>
          <w:szCs w:val="21"/>
          <w:lang w:bidi="ne-NP"/>
        </w:rPr>
        <w:t>segregational</w:t>
      </w:r>
      <w:proofErr w:type="spellEnd"/>
      <w:r w:rsidRPr="003E0D31">
        <w:rPr>
          <w:rFonts w:eastAsia="Calibri"/>
          <w:szCs w:val="21"/>
          <w:lang w:bidi="ne-NP"/>
        </w:rPr>
        <w:t xml:space="preserve"> killing mechanism </w:t>
      </w:r>
      <w:r w:rsidRPr="003E0D31">
        <w:rPr>
          <w:rFonts w:eastAsia="Calibri"/>
          <w:noProof/>
          <w:szCs w:val="21"/>
          <w:lang w:bidi="ne-NP"/>
        </w:rPr>
        <w:t>(33,110)</w:t>
      </w:r>
      <w:r w:rsidRPr="003E0D31">
        <w:rPr>
          <w:rFonts w:eastAsia="Calibri"/>
          <w:szCs w:val="21"/>
          <w:lang w:bidi="ne-NP"/>
        </w:rPr>
        <w:t xml:space="preserve">, the biological function of only a few chromosomally encoded type I TA systems have been determined. Homologs of plasmid encoded TA systems in the chromosome have been noted for a few type I TA systems. For example, the plasmid encoded </w:t>
      </w:r>
      <w:proofErr w:type="spellStart"/>
      <w:r w:rsidRPr="003E0D31">
        <w:rPr>
          <w:rFonts w:eastAsia="Calibri"/>
          <w:i/>
          <w:iCs/>
          <w:szCs w:val="21"/>
          <w:lang w:bidi="ne-NP"/>
        </w:rPr>
        <w:t>hok</w:t>
      </w:r>
      <w:proofErr w:type="spellEnd"/>
      <w:r w:rsidRPr="003E0D31">
        <w:rPr>
          <w:rFonts w:eastAsia="Calibri"/>
          <w:i/>
          <w:iCs/>
          <w:szCs w:val="21"/>
          <w:lang w:bidi="ne-NP"/>
        </w:rPr>
        <w:t>/</w:t>
      </w:r>
      <w:proofErr w:type="spellStart"/>
      <w:r w:rsidRPr="003E0D31">
        <w:rPr>
          <w:rFonts w:eastAsia="Calibri"/>
          <w:i/>
          <w:iCs/>
          <w:szCs w:val="21"/>
          <w:lang w:bidi="ne-NP"/>
        </w:rPr>
        <w:t>sok</w:t>
      </w:r>
      <w:proofErr w:type="spellEnd"/>
      <w:r w:rsidRPr="003E0D31">
        <w:rPr>
          <w:rFonts w:eastAsia="Calibri"/>
          <w:szCs w:val="21"/>
          <w:lang w:bidi="ne-NP"/>
        </w:rPr>
        <w:t xml:space="preserve"> system has five homologs in the </w:t>
      </w:r>
      <w:r w:rsidRPr="003E0D31">
        <w:rPr>
          <w:rFonts w:eastAsia="Calibri"/>
          <w:i/>
          <w:iCs/>
          <w:szCs w:val="21"/>
          <w:lang w:bidi="ne-NP"/>
        </w:rPr>
        <w:t>E. coli</w:t>
      </w:r>
      <w:r w:rsidRPr="003E0D31">
        <w:rPr>
          <w:rFonts w:eastAsia="Calibri"/>
          <w:szCs w:val="21"/>
          <w:lang w:bidi="ne-NP"/>
        </w:rPr>
        <w:t xml:space="preserve"> MG1655 chromosome (up to 15 in some strains), three of which are inactivated by insertion elements </w:t>
      </w:r>
      <w:r w:rsidRPr="003E0D31">
        <w:rPr>
          <w:rFonts w:eastAsia="Calibri"/>
          <w:noProof/>
          <w:szCs w:val="21"/>
          <w:lang w:bidi="ne-NP"/>
        </w:rPr>
        <w:t>(11,111)</w:t>
      </w:r>
      <w:r w:rsidRPr="003E0D31">
        <w:rPr>
          <w:rFonts w:eastAsia="Calibri"/>
          <w:szCs w:val="21"/>
          <w:lang w:bidi="ne-NP"/>
        </w:rPr>
        <w:t>. This led investigations to suggest that these systems are just remnants from plasmid integration. However, most type I TA system are highly conserved in relation to bacterial species, and have been proposed to be less mobile than other TA systems (43). The protein coding sequences of the toxin do not contain premature stop codons or frame shifts (40), suggesting that the toxin proteins are endogenously expressed. The presence of multiple layers of regulation for toxin translation ensures that there is no leaky expression of these toxins when not essential.</w:t>
      </w:r>
    </w:p>
    <w:p w14:paraId="35B04644" w14:textId="77777777" w:rsidR="003E0D31" w:rsidRPr="003E0D31" w:rsidRDefault="003E0D31" w:rsidP="003E0D31">
      <w:pPr>
        <w:spacing w:line="360" w:lineRule="auto"/>
        <w:ind w:firstLine="720"/>
        <w:rPr>
          <w:rFonts w:eastAsia="Calibri"/>
          <w:szCs w:val="21"/>
          <w:lang w:bidi="ne-NP"/>
        </w:rPr>
      </w:pPr>
      <w:r w:rsidRPr="003E0D31">
        <w:rPr>
          <w:rFonts w:eastAsia="Calibri"/>
          <w:szCs w:val="21"/>
          <w:lang w:bidi="ne-NP"/>
        </w:rPr>
        <w:t xml:space="preserve">Chromosomally encoded type I toxins (which lack homology to mobile elements), can have multiple homologs that encode similar small proteins. Bacterial chromosomes can encode up to ten </w:t>
      </w:r>
      <w:proofErr w:type="spellStart"/>
      <w:r w:rsidRPr="003E0D31">
        <w:rPr>
          <w:rFonts w:eastAsia="Calibri"/>
          <w:i/>
          <w:iCs/>
          <w:szCs w:val="21"/>
          <w:lang w:bidi="ne-NP"/>
        </w:rPr>
        <w:t>ldrd</w:t>
      </w:r>
      <w:proofErr w:type="spellEnd"/>
      <w:r w:rsidRPr="003E0D31">
        <w:rPr>
          <w:rFonts w:eastAsia="Calibri"/>
          <w:i/>
          <w:iCs/>
          <w:szCs w:val="21"/>
          <w:lang w:bidi="ne-NP"/>
        </w:rPr>
        <w:t>/</w:t>
      </w:r>
      <w:proofErr w:type="spellStart"/>
      <w:r w:rsidRPr="003E0D31">
        <w:rPr>
          <w:rFonts w:eastAsia="Calibri"/>
          <w:i/>
          <w:iCs/>
          <w:szCs w:val="21"/>
          <w:lang w:bidi="ne-NP"/>
        </w:rPr>
        <w:t>rdl</w:t>
      </w:r>
      <w:proofErr w:type="spellEnd"/>
      <w:r w:rsidRPr="003E0D31">
        <w:rPr>
          <w:rFonts w:eastAsia="Calibri"/>
          <w:szCs w:val="21"/>
          <w:lang w:bidi="ne-NP"/>
        </w:rPr>
        <w:t xml:space="preserve"> and up to seven </w:t>
      </w:r>
      <w:proofErr w:type="spellStart"/>
      <w:r w:rsidRPr="003E0D31">
        <w:rPr>
          <w:rFonts w:eastAsia="Calibri"/>
          <w:i/>
          <w:iCs/>
          <w:szCs w:val="21"/>
          <w:lang w:bidi="ne-NP"/>
        </w:rPr>
        <w:t>ibs</w:t>
      </w:r>
      <w:proofErr w:type="spellEnd"/>
      <w:r w:rsidRPr="003E0D31">
        <w:rPr>
          <w:rFonts w:eastAsia="Calibri"/>
          <w:i/>
          <w:iCs/>
          <w:szCs w:val="21"/>
          <w:lang w:bidi="ne-NP"/>
        </w:rPr>
        <w:t xml:space="preserve">/sib </w:t>
      </w:r>
      <w:r w:rsidRPr="003E0D31">
        <w:rPr>
          <w:rFonts w:eastAsia="Calibri"/>
          <w:szCs w:val="21"/>
          <w:lang w:bidi="ne-NP"/>
        </w:rPr>
        <w:t xml:space="preserve">homologs </w:t>
      </w:r>
      <w:r w:rsidRPr="003E0D31">
        <w:rPr>
          <w:rFonts w:eastAsia="Calibri"/>
          <w:noProof/>
          <w:szCs w:val="21"/>
          <w:lang w:bidi="ne-NP"/>
        </w:rPr>
        <w:t>(12,54)</w:t>
      </w:r>
      <w:r w:rsidRPr="003E0D31">
        <w:rPr>
          <w:rFonts w:eastAsia="Calibri"/>
          <w:szCs w:val="21"/>
          <w:lang w:bidi="ne-NP"/>
        </w:rPr>
        <w:t xml:space="preserve">. Similarly, six homologs for </w:t>
      </w:r>
      <w:proofErr w:type="spellStart"/>
      <w:r w:rsidRPr="003E0D31">
        <w:rPr>
          <w:rFonts w:eastAsia="Calibri"/>
          <w:i/>
          <w:iCs/>
          <w:szCs w:val="21"/>
          <w:lang w:bidi="ne-NP"/>
        </w:rPr>
        <w:t>aapA</w:t>
      </w:r>
      <w:proofErr w:type="spellEnd"/>
      <w:r w:rsidRPr="003E0D31">
        <w:rPr>
          <w:rFonts w:eastAsia="Calibri"/>
          <w:i/>
          <w:iCs/>
          <w:szCs w:val="21"/>
          <w:lang w:bidi="ne-NP"/>
        </w:rPr>
        <w:t>/</w:t>
      </w:r>
      <w:proofErr w:type="spellStart"/>
      <w:r w:rsidRPr="003E0D31">
        <w:rPr>
          <w:rFonts w:eastAsia="Calibri"/>
          <w:i/>
          <w:iCs/>
          <w:szCs w:val="21"/>
          <w:lang w:bidi="ne-NP"/>
        </w:rPr>
        <w:t>isoA</w:t>
      </w:r>
      <w:proofErr w:type="spellEnd"/>
      <w:r w:rsidRPr="003E0D31">
        <w:rPr>
          <w:rFonts w:eastAsia="Calibri"/>
          <w:szCs w:val="21"/>
          <w:lang w:bidi="ne-NP"/>
        </w:rPr>
        <w:t xml:space="preserve"> have been identified in </w:t>
      </w:r>
      <w:r w:rsidRPr="003E0D31">
        <w:rPr>
          <w:rFonts w:eastAsia="Calibri"/>
          <w:i/>
          <w:iCs/>
          <w:szCs w:val="21"/>
          <w:lang w:bidi="ne-NP"/>
        </w:rPr>
        <w:t>H. pylori</w:t>
      </w:r>
      <w:r w:rsidRPr="003E0D31">
        <w:rPr>
          <w:rFonts w:eastAsia="Calibri"/>
          <w:szCs w:val="21"/>
          <w:lang w:bidi="ne-NP"/>
        </w:rPr>
        <w:t xml:space="preserve"> and two for </w:t>
      </w:r>
      <w:proofErr w:type="spellStart"/>
      <w:r w:rsidRPr="003E0D31">
        <w:rPr>
          <w:rFonts w:eastAsia="Calibri"/>
          <w:i/>
          <w:iCs/>
          <w:szCs w:val="21"/>
          <w:lang w:bidi="ne-NP"/>
        </w:rPr>
        <w:t>zor</w:t>
      </w:r>
      <w:proofErr w:type="spellEnd"/>
      <w:r w:rsidRPr="003E0D31">
        <w:rPr>
          <w:rFonts w:eastAsia="Calibri"/>
          <w:i/>
          <w:iCs/>
          <w:szCs w:val="21"/>
          <w:lang w:bidi="ne-NP"/>
        </w:rPr>
        <w:t>/</w:t>
      </w:r>
      <w:proofErr w:type="spellStart"/>
      <w:r w:rsidRPr="003E0D31">
        <w:rPr>
          <w:rFonts w:eastAsia="Calibri"/>
          <w:i/>
          <w:iCs/>
          <w:szCs w:val="21"/>
          <w:lang w:bidi="ne-NP"/>
        </w:rPr>
        <w:t>orz</w:t>
      </w:r>
      <w:proofErr w:type="spellEnd"/>
      <w:r w:rsidRPr="003E0D31">
        <w:rPr>
          <w:rFonts w:eastAsia="Calibri"/>
          <w:szCs w:val="21"/>
          <w:lang w:bidi="ne-NP"/>
        </w:rPr>
        <w:t xml:space="preserve"> in </w:t>
      </w:r>
      <w:r w:rsidRPr="003E0D31">
        <w:rPr>
          <w:rFonts w:eastAsia="Calibri"/>
          <w:i/>
          <w:iCs/>
          <w:szCs w:val="21"/>
          <w:lang w:bidi="ne-NP"/>
        </w:rPr>
        <w:t xml:space="preserve">E. coli </w:t>
      </w:r>
      <w:r w:rsidRPr="003E0D31">
        <w:rPr>
          <w:rFonts w:eastAsia="Calibri"/>
          <w:iCs/>
          <w:noProof/>
          <w:szCs w:val="21"/>
          <w:lang w:bidi="ne-NP"/>
        </w:rPr>
        <w:t>(44,56,57)</w:t>
      </w:r>
      <w:r w:rsidRPr="003E0D31">
        <w:rPr>
          <w:rFonts w:eastAsia="Calibri"/>
          <w:szCs w:val="21"/>
          <w:lang w:bidi="ne-NP"/>
        </w:rPr>
        <w:t xml:space="preserve">. This evidence leads to a question of the function of their redundancy. It </w:t>
      </w:r>
      <w:r w:rsidRPr="003E0D31">
        <w:rPr>
          <w:rFonts w:eastAsia="Calibri"/>
          <w:szCs w:val="21"/>
          <w:lang w:bidi="ne-NP"/>
        </w:rPr>
        <w:lastRenderedPageBreak/>
        <w:t xml:space="preserve">remains unknown whether these homologs work together in a specific growth environment or have separate functions, and if one antitoxin homolog has the capability to neutralize multiple homologs of the toxin mRNA. The specificity of the sRNA to the toxin mRNA has been determined for the </w:t>
      </w:r>
      <w:proofErr w:type="spellStart"/>
      <w:r w:rsidRPr="003E0D31">
        <w:rPr>
          <w:rFonts w:eastAsia="Calibri"/>
          <w:i/>
          <w:iCs/>
          <w:szCs w:val="21"/>
          <w:lang w:bidi="ne-NP"/>
        </w:rPr>
        <w:t>ibs</w:t>
      </w:r>
      <w:proofErr w:type="spellEnd"/>
      <w:r w:rsidRPr="003E0D31">
        <w:rPr>
          <w:rFonts w:eastAsia="Calibri"/>
          <w:i/>
          <w:iCs/>
          <w:szCs w:val="21"/>
          <w:lang w:bidi="ne-NP"/>
        </w:rPr>
        <w:t xml:space="preserve">/sib, </w:t>
      </w:r>
      <w:proofErr w:type="spellStart"/>
      <w:r w:rsidRPr="003E0D31">
        <w:rPr>
          <w:rFonts w:eastAsia="Calibri"/>
          <w:i/>
          <w:iCs/>
          <w:szCs w:val="21"/>
          <w:lang w:bidi="ne-NP"/>
        </w:rPr>
        <w:t>zor-orz</w:t>
      </w:r>
      <w:proofErr w:type="spellEnd"/>
      <w:r w:rsidRPr="003E0D31">
        <w:rPr>
          <w:rFonts w:eastAsia="Calibri"/>
          <w:szCs w:val="21"/>
          <w:lang w:bidi="ne-NP"/>
        </w:rPr>
        <w:t xml:space="preserve"> and </w:t>
      </w:r>
      <w:proofErr w:type="spellStart"/>
      <w:r w:rsidRPr="003E0D31">
        <w:rPr>
          <w:rFonts w:eastAsia="Calibri"/>
          <w:i/>
          <w:iCs/>
          <w:szCs w:val="21"/>
          <w:lang w:bidi="ne-NP"/>
        </w:rPr>
        <w:t>aapA</w:t>
      </w:r>
      <w:proofErr w:type="spellEnd"/>
      <w:r w:rsidRPr="003E0D31">
        <w:rPr>
          <w:rFonts w:eastAsia="Calibri"/>
          <w:i/>
          <w:iCs/>
          <w:szCs w:val="21"/>
          <w:lang w:bidi="ne-NP"/>
        </w:rPr>
        <w:t>/</w:t>
      </w:r>
      <w:proofErr w:type="spellStart"/>
      <w:r w:rsidRPr="003E0D31">
        <w:rPr>
          <w:rFonts w:eastAsia="Calibri"/>
          <w:i/>
          <w:iCs/>
          <w:szCs w:val="21"/>
          <w:lang w:bidi="ne-NP"/>
        </w:rPr>
        <w:t>isoA</w:t>
      </w:r>
      <w:proofErr w:type="spellEnd"/>
      <w:r w:rsidRPr="003E0D31">
        <w:rPr>
          <w:rFonts w:eastAsia="Calibri"/>
          <w:szCs w:val="21"/>
          <w:lang w:bidi="ne-NP"/>
        </w:rPr>
        <w:t xml:space="preserve"> homologs </w:t>
      </w:r>
      <w:r w:rsidRPr="003E0D31">
        <w:rPr>
          <w:rFonts w:eastAsia="Calibri"/>
          <w:noProof/>
          <w:szCs w:val="21"/>
          <w:lang w:bidi="ne-NP"/>
        </w:rPr>
        <w:t>(12,56,57)</w:t>
      </w:r>
      <w:r w:rsidRPr="003E0D31">
        <w:rPr>
          <w:rFonts w:eastAsia="Calibri"/>
          <w:szCs w:val="21"/>
          <w:lang w:bidi="ne-NP"/>
        </w:rPr>
        <w:t xml:space="preserve">. For the </w:t>
      </w:r>
      <w:proofErr w:type="spellStart"/>
      <w:r w:rsidRPr="003E0D31">
        <w:rPr>
          <w:rFonts w:eastAsia="Calibri"/>
          <w:i/>
          <w:iCs/>
          <w:szCs w:val="21"/>
          <w:lang w:bidi="ne-NP"/>
        </w:rPr>
        <w:t>ibs</w:t>
      </w:r>
      <w:proofErr w:type="spellEnd"/>
      <w:r w:rsidRPr="003E0D31">
        <w:rPr>
          <w:rFonts w:eastAsia="Calibri"/>
          <w:i/>
          <w:iCs/>
          <w:szCs w:val="21"/>
          <w:lang w:bidi="ne-NP"/>
        </w:rPr>
        <w:t>/sib</w:t>
      </w:r>
      <w:r w:rsidRPr="003E0D31">
        <w:rPr>
          <w:rFonts w:eastAsia="Calibri"/>
          <w:szCs w:val="21"/>
          <w:lang w:bidi="ne-NP"/>
        </w:rPr>
        <w:t xml:space="preserve"> gene pair, the deletion of the antitoxin genes halted growth of cells expressing the toxins from plasmids, whereas the chromosomal copy of the antitoxin (</w:t>
      </w:r>
      <w:r w:rsidRPr="003E0D31">
        <w:rPr>
          <w:rFonts w:eastAsia="Calibri"/>
          <w:i/>
          <w:iCs/>
          <w:szCs w:val="21"/>
          <w:lang w:bidi="ne-NP"/>
        </w:rPr>
        <w:t>sib</w:t>
      </w:r>
      <w:r w:rsidRPr="003E0D31">
        <w:rPr>
          <w:rFonts w:eastAsia="Calibri"/>
          <w:szCs w:val="21"/>
          <w:lang w:bidi="ne-NP"/>
        </w:rPr>
        <w:t xml:space="preserve">) was sufficient to repress toxic effects of low </w:t>
      </w:r>
      <w:proofErr w:type="spellStart"/>
      <w:r w:rsidRPr="003E0D31">
        <w:rPr>
          <w:rFonts w:eastAsia="Calibri"/>
          <w:i/>
          <w:iCs/>
          <w:szCs w:val="21"/>
          <w:lang w:bidi="ne-NP"/>
        </w:rPr>
        <w:t>ibs</w:t>
      </w:r>
      <w:proofErr w:type="spellEnd"/>
      <w:r w:rsidRPr="003E0D31">
        <w:rPr>
          <w:rFonts w:eastAsia="Calibri"/>
          <w:szCs w:val="21"/>
          <w:lang w:bidi="ne-NP"/>
        </w:rPr>
        <w:t xml:space="preserve"> expression from plasmids </w:t>
      </w:r>
      <w:r w:rsidRPr="003E0D31">
        <w:rPr>
          <w:rFonts w:eastAsia="Calibri"/>
          <w:noProof/>
          <w:szCs w:val="21"/>
          <w:lang w:bidi="ne-NP"/>
        </w:rPr>
        <w:t>(12)</w:t>
      </w:r>
      <w:r w:rsidRPr="003E0D31">
        <w:rPr>
          <w:rFonts w:eastAsia="Calibri"/>
          <w:szCs w:val="21"/>
          <w:lang w:bidi="ne-NP"/>
        </w:rPr>
        <w:t>.</w:t>
      </w:r>
    </w:p>
    <w:p w14:paraId="46846FA0" w14:textId="77777777" w:rsidR="003E0D31" w:rsidRPr="003E0D31" w:rsidRDefault="003E0D31" w:rsidP="003E0D31">
      <w:pPr>
        <w:spacing w:line="360" w:lineRule="auto"/>
        <w:ind w:firstLine="720"/>
        <w:rPr>
          <w:rFonts w:eastAsia="Calibri"/>
          <w:szCs w:val="21"/>
          <w:lang w:bidi="ne-NP"/>
        </w:rPr>
      </w:pPr>
      <w:r w:rsidRPr="003E0D31">
        <w:rPr>
          <w:rFonts w:eastAsia="Calibri"/>
          <w:szCs w:val="21"/>
          <w:lang w:bidi="ne-NP"/>
        </w:rPr>
        <w:t xml:space="preserve">Using the conventional method of identification and characterization of TA systems, overproduction of toxins clearly demonstrates bacterial cell growth inhibition and/or cell lysis. We questioned why a bacterial cell would maintain such self-toxins encoded in the chromosomes (as observed with most type I TA systems). Unlike our laboratory conditions with toxin overproduction, bacterial cells are expected to rely on the chromosomal regulation of these genes. The deletion of the TA systems does not show differences in the optical density during growth in laboratory conditions </w:t>
      </w:r>
      <w:r w:rsidRPr="003E0D31">
        <w:rPr>
          <w:rFonts w:eastAsia="Calibri"/>
          <w:noProof/>
          <w:szCs w:val="21"/>
          <w:lang w:bidi="ne-NP"/>
        </w:rPr>
        <w:t>(49)</w:t>
      </w:r>
      <w:r w:rsidRPr="003E0D31">
        <w:rPr>
          <w:rFonts w:eastAsia="Calibri"/>
          <w:szCs w:val="21"/>
          <w:lang w:bidi="ne-NP"/>
        </w:rPr>
        <w:t xml:space="preserve">. In the </w:t>
      </w:r>
      <w:proofErr w:type="spellStart"/>
      <w:r w:rsidRPr="003E0D31">
        <w:rPr>
          <w:rFonts w:eastAsia="Calibri"/>
          <w:i/>
          <w:iCs/>
          <w:szCs w:val="21"/>
          <w:lang w:bidi="ne-NP"/>
        </w:rPr>
        <w:t>tisAB</w:t>
      </w:r>
      <w:proofErr w:type="spellEnd"/>
      <w:r w:rsidRPr="003E0D31">
        <w:rPr>
          <w:rFonts w:eastAsia="Calibri"/>
          <w:i/>
          <w:iCs/>
          <w:szCs w:val="21"/>
          <w:lang w:bidi="ne-NP"/>
        </w:rPr>
        <w:t>/</w:t>
      </w:r>
      <w:proofErr w:type="spellStart"/>
      <w:r w:rsidRPr="003E0D31">
        <w:rPr>
          <w:rFonts w:eastAsia="Calibri"/>
          <w:i/>
          <w:iCs/>
          <w:szCs w:val="21"/>
          <w:lang w:bidi="ne-NP"/>
        </w:rPr>
        <w:t>istR</w:t>
      </w:r>
      <w:proofErr w:type="spellEnd"/>
      <w:r w:rsidRPr="003E0D31">
        <w:rPr>
          <w:rFonts w:eastAsia="Calibri"/>
          <w:szCs w:val="21"/>
          <w:lang w:bidi="ne-NP"/>
        </w:rPr>
        <w:t xml:space="preserve"> system, the transfer of the </w:t>
      </w:r>
      <w:proofErr w:type="spellStart"/>
      <w:r w:rsidRPr="003E0D31">
        <w:rPr>
          <w:rFonts w:eastAsia="Calibri"/>
          <w:i/>
          <w:iCs/>
          <w:szCs w:val="21"/>
          <w:lang w:bidi="ne-NP"/>
        </w:rPr>
        <w:t>tisAB</w:t>
      </w:r>
      <w:proofErr w:type="spellEnd"/>
      <w:r w:rsidRPr="003E0D31">
        <w:rPr>
          <w:rFonts w:eastAsia="Calibri"/>
          <w:szCs w:val="21"/>
          <w:lang w:bidi="ne-NP"/>
        </w:rPr>
        <w:t xml:space="preserve"> gene via P1 transduction into an SOS-on strain was not successful, indicating its ability to be lethal to the cells in a specific growth conditions </w:t>
      </w:r>
      <w:r w:rsidRPr="003E0D31">
        <w:rPr>
          <w:rFonts w:eastAsia="Calibri"/>
          <w:noProof/>
          <w:szCs w:val="21"/>
          <w:lang w:bidi="ne-NP"/>
        </w:rPr>
        <w:t>(52)</w:t>
      </w:r>
      <w:r w:rsidRPr="003E0D31">
        <w:rPr>
          <w:rFonts w:eastAsia="Calibri"/>
          <w:szCs w:val="21"/>
          <w:lang w:bidi="ne-NP"/>
        </w:rPr>
        <w:t xml:space="preserve">. The P1 transduction was achieved if the SOS-on strain had </w:t>
      </w:r>
      <w:proofErr w:type="spellStart"/>
      <w:r w:rsidRPr="003E0D31">
        <w:rPr>
          <w:rFonts w:eastAsia="Calibri"/>
          <w:i/>
          <w:iCs/>
          <w:szCs w:val="21"/>
          <w:lang w:bidi="ne-NP"/>
        </w:rPr>
        <w:t>istR</w:t>
      </w:r>
      <w:proofErr w:type="spellEnd"/>
      <w:r w:rsidRPr="003E0D31">
        <w:rPr>
          <w:rFonts w:eastAsia="Calibri"/>
          <w:i/>
          <w:iCs/>
          <w:szCs w:val="21"/>
          <w:lang w:bidi="ne-NP"/>
        </w:rPr>
        <w:t xml:space="preserve"> </w:t>
      </w:r>
      <w:r w:rsidRPr="003E0D31">
        <w:rPr>
          <w:rFonts w:eastAsia="Calibri"/>
          <w:szCs w:val="21"/>
          <w:lang w:bidi="ne-NP"/>
        </w:rPr>
        <w:t xml:space="preserve">expressed on a plasmid </w:t>
      </w:r>
      <w:r w:rsidRPr="003E0D31">
        <w:rPr>
          <w:rFonts w:eastAsia="Calibri"/>
          <w:noProof/>
          <w:szCs w:val="21"/>
          <w:lang w:bidi="ne-NP"/>
        </w:rPr>
        <w:t>(52)</w:t>
      </w:r>
      <w:r w:rsidRPr="003E0D31">
        <w:rPr>
          <w:rFonts w:eastAsia="Calibri"/>
          <w:szCs w:val="21"/>
          <w:lang w:bidi="ne-NP"/>
        </w:rPr>
        <w:t xml:space="preserve">. No other evidence has been reported which demonstrates cell death caused by toxin from the TA system when endogenously translated from the chromosome </w:t>
      </w:r>
      <w:r w:rsidRPr="003E0D31">
        <w:rPr>
          <w:rFonts w:eastAsia="Calibri"/>
          <w:noProof/>
          <w:szCs w:val="21"/>
          <w:lang w:bidi="ne-NP"/>
        </w:rPr>
        <w:t>(69)</w:t>
      </w:r>
      <w:r w:rsidRPr="003E0D31">
        <w:rPr>
          <w:rFonts w:eastAsia="Calibri"/>
          <w:szCs w:val="21"/>
          <w:lang w:bidi="ne-NP"/>
        </w:rPr>
        <w:t>. Some overproduction studies have linked the type I toxins to benefit bacterial cells in a variety of ways. These benefits include protection from bacteriophages (</w:t>
      </w:r>
      <w:proofErr w:type="spellStart"/>
      <w:r w:rsidRPr="003E0D31">
        <w:rPr>
          <w:rFonts w:eastAsia="Calibri"/>
          <w:szCs w:val="21"/>
          <w:lang w:bidi="ne-NP"/>
        </w:rPr>
        <w:t>Hok</w:t>
      </w:r>
      <w:proofErr w:type="spellEnd"/>
      <w:r w:rsidRPr="003E0D31">
        <w:rPr>
          <w:rFonts w:eastAsia="Calibri"/>
          <w:szCs w:val="21"/>
          <w:lang w:bidi="ne-NP"/>
        </w:rPr>
        <w:t>), increase in virulence by cytotoxic effects (PepA1, PepA2) or improved survival in intracellular environments (</w:t>
      </w:r>
      <w:proofErr w:type="spellStart"/>
      <w:r w:rsidRPr="003E0D31">
        <w:rPr>
          <w:rFonts w:eastAsia="Calibri"/>
          <w:szCs w:val="21"/>
          <w:lang w:bidi="ne-NP"/>
        </w:rPr>
        <w:t>TisB</w:t>
      </w:r>
      <w:proofErr w:type="spellEnd"/>
      <w:r w:rsidRPr="003E0D31">
        <w:rPr>
          <w:rFonts w:eastAsia="Calibri"/>
          <w:szCs w:val="21"/>
          <w:lang w:bidi="ne-NP"/>
        </w:rPr>
        <w:t xml:space="preserve">, </w:t>
      </w:r>
      <w:proofErr w:type="spellStart"/>
      <w:r w:rsidRPr="003E0D31">
        <w:rPr>
          <w:rFonts w:eastAsia="Calibri"/>
          <w:szCs w:val="21"/>
          <w:lang w:bidi="ne-NP"/>
        </w:rPr>
        <w:t>HokB</w:t>
      </w:r>
      <w:proofErr w:type="spellEnd"/>
      <w:r w:rsidRPr="003E0D31">
        <w:rPr>
          <w:rFonts w:eastAsia="Calibri"/>
          <w:szCs w:val="21"/>
          <w:lang w:bidi="ne-NP"/>
        </w:rPr>
        <w:t xml:space="preserve">, </w:t>
      </w:r>
      <w:proofErr w:type="spellStart"/>
      <w:r w:rsidRPr="003E0D31">
        <w:rPr>
          <w:rFonts w:eastAsia="Calibri"/>
          <w:szCs w:val="21"/>
          <w:lang w:bidi="ne-NP"/>
        </w:rPr>
        <w:t>Ldr</w:t>
      </w:r>
      <w:proofErr w:type="spellEnd"/>
      <w:r w:rsidRPr="003E0D31">
        <w:rPr>
          <w:rFonts w:eastAsia="Calibri"/>
          <w:szCs w:val="21"/>
          <w:lang w:bidi="ne-NP"/>
        </w:rPr>
        <w:t>), cleavage and recycling of RNA (</w:t>
      </w:r>
      <w:proofErr w:type="spellStart"/>
      <w:r w:rsidRPr="003E0D31">
        <w:rPr>
          <w:rFonts w:eastAsia="Calibri"/>
          <w:szCs w:val="21"/>
          <w:lang w:bidi="ne-NP"/>
        </w:rPr>
        <w:t>SymE</w:t>
      </w:r>
      <w:proofErr w:type="spellEnd"/>
      <w:r w:rsidRPr="003E0D31">
        <w:rPr>
          <w:rFonts w:eastAsia="Calibri"/>
          <w:szCs w:val="21"/>
          <w:lang w:bidi="ne-NP"/>
        </w:rPr>
        <w:t>), cleavage of DNA (</w:t>
      </w:r>
      <w:proofErr w:type="spellStart"/>
      <w:r w:rsidRPr="003E0D31">
        <w:rPr>
          <w:rFonts w:eastAsia="Calibri"/>
          <w:szCs w:val="21"/>
          <w:lang w:bidi="ne-NP"/>
        </w:rPr>
        <w:t>RalR</w:t>
      </w:r>
      <w:proofErr w:type="spellEnd"/>
      <w:r w:rsidRPr="003E0D31">
        <w:rPr>
          <w:rFonts w:eastAsia="Calibri"/>
          <w:szCs w:val="21"/>
          <w:lang w:bidi="ne-NP"/>
        </w:rPr>
        <w:t>), defense against competing bacteria (</w:t>
      </w:r>
      <w:proofErr w:type="spellStart"/>
      <w:r w:rsidRPr="003E0D31">
        <w:rPr>
          <w:rFonts w:eastAsia="Calibri"/>
          <w:szCs w:val="21"/>
          <w:lang w:bidi="ne-NP"/>
        </w:rPr>
        <w:t>SprG</w:t>
      </w:r>
      <w:proofErr w:type="spellEnd"/>
      <w:r w:rsidRPr="003E0D31">
        <w:rPr>
          <w:rFonts w:eastAsia="Calibri"/>
          <w:szCs w:val="21"/>
          <w:lang w:bidi="ne-NP"/>
        </w:rPr>
        <w:t>), chromosomal stabilization (</w:t>
      </w:r>
      <w:proofErr w:type="spellStart"/>
      <w:r w:rsidRPr="003E0D31">
        <w:rPr>
          <w:rFonts w:eastAsia="Calibri"/>
          <w:szCs w:val="21"/>
          <w:lang w:bidi="ne-NP"/>
        </w:rPr>
        <w:t>BsrG</w:t>
      </w:r>
      <w:proofErr w:type="spellEnd"/>
      <w:r w:rsidRPr="003E0D31">
        <w:rPr>
          <w:rFonts w:eastAsia="Calibri"/>
          <w:szCs w:val="21"/>
          <w:lang w:bidi="ne-NP"/>
        </w:rPr>
        <w:t xml:space="preserve">, </w:t>
      </w:r>
      <w:proofErr w:type="spellStart"/>
      <w:r w:rsidRPr="003E0D31">
        <w:rPr>
          <w:rFonts w:eastAsia="Calibri"/>
          <w:szCs w:val="21"/>
          <w:lang w:bidi="ne-NP"/>
        </w:rPr>
        <w:t>YonT</w:t>
      </w:r>
      <w:proofErr w:type="spellEnd"/>
      <w:r w:rsidRPr="003E0D31">
        <w:rPr>
          <w:rFonts w:eastAsia="Calibri"/>
          <w:szCs w:val="21"/>
          <w:lang w:bidi="ne-NP"/>
        </w:rPr>
        <w:t>) and persistence (</w:t>
      </w:r>
      <w:proofErr w:type="spellStart"/>
      <w:r w:rsidRPr="003E0D31">
        <w:rPr>
          <w:rFonts w:eastAsia="Calibri"/>
          <w:szCs w:val="21"/>
          <w:lang w:bidi="ne-NP"/>
        </w:rPr>
        <w:t>TisB</w:t>
      </w:r>
      <w:proofErr w:type="spellEnd"/>
      <w:r w:rsidRPr="003E0D31">
        <w:rPr>
          <w:rFonts w:eastAsia="Calibri"/>
          <w:szCs w:val="21"/>
          <w:lang w:bidi="ne-NP"/>
        </w:rPr>
        <w:t xml:space="preserve">, </w:t>
      </w:r>
      <w:proofErr w:type="spellStart"/>
      <w:r w:rsidRPr="003E0D31">
        <w:rPr>
          <w:rFonts w:eastAsia="Calibri"/>
          <w:szCs w:val="21"/>
          <w:lang w:bidi="ne-NP"/>
        </w:rPr>
        <w:t>HokB</w:t>
      </w:r>
      <w:proofErr w:type="spellEnd"/>
      <w:r w:rsidRPr="003E0D31">
        <w:rPr>
          <w:rFonts w:eastAsia="Calibri"/>
          <w:szCs w:val="21"/>
          <w:lang w:bidi="ne-NP"/>
        </w:rPr>
        <w:t xml:space="preserve">, </w:t>
      </w:r>
      <w:proofErr w:type="spellStart"/>
      <w:r w:rsidRPr="003E0D31">
        <w:rPr>
          <w:rFonts w:eastAsia="Calibri"/>
          <w:szCs w:val="21"/>
          <w:lang w:bidi="ne-NP"/>
        </w:rPr>
        <w:t>RalR</w:t>
      </w:r>
      <w:proofErr w:type="spellEnd"/>
      <w:r w:rsidRPr="003E0D31">
        <w:rPr>
          <w:rFonts w:eastAsia="Calibri"/>
          <w:szCs w:val="21"/>
          <w:lang w:bidi="ne-NP"/>
        </w:rPr>
        <w:t xml:space="preserve">) </w:t>
      </w:r>
      <w:r w:rsidRPr="003E0D31">
        <w:rPr>
          <w:rFonts w:eastAsia="Calibri"/>
          <w:noProof/>
          <w:szCs w:val="21"/>
          <w:lang w:bidi="ne-NP"/>
        </w:rPr>
        <w:t>(112)</w:t>
      </w:r>
      <w:r w:rsidRPr="003E0D31">
        <w:rPr>
          <w:rFonts w:eastAsia="Calibri"/>
          <w:szCs w:val="21"/>
          <w:lang w:bidi="ne-NP"/>
        </w:rPr>
        <w:t xml:space="preserve">. While the role of some type I TA systems in increasing the number of persister cells has been examined in detail, an unusual case of TA system reducing the number of persister cells has been reported with the </w:t>
      </w:r>
      <w:proofErr w:type="spellStart"/>
      <w:r w:rsidRPr="003E0D31">
        <w:rPr>
          <w:rFonts w:eastAsia="Calibri"/>
          <w:i/>
          <w:iCs/>
          <w:szCs w:val="21"/>
          <w:lang w:bidi="ne-NP"/>
        </w:rPr>
        <w:t>fst-Sm</w:t>
      </w:r>
      <w:proofErr w:type="spellEnd"/>
      <w:r w:rsidRPr="003E0D31">
        <w:rPr>
          <w:rFonts w:eastAsia="Calibri"/>
          <w:i/>
          <w:iCs/>
          <w:szCs w:val="21"/>
          <w:lang w:bidi="ne-NP"/>
        </w:rPr>
        <w:t>/</w:t>
      </w:r>
      <w:proofErr w:type="spellStart"/>
      <w:r w:rsidRPr="003E0D31">
        <w:rPr>
          <w:rFonts w:eastAsia="Calibri"/>
          <w:i/>
          <w:iCs/>
          <w:szCs w:val="21"/>
          <w:lang w:bidi="ne-NP"/>
        </w:rPr>
        <w:t>sr-Sm</w:t>
      </w:r>
      <w:proofErr w:type="spellEnd"/>
      <w:r w:rsidRPr="003E0D31">
        <w:rPr>
          <w:rFonts w:eastAsia="Calibri"/>
          <w:szCs w:val="21"/>
          <w:lang w:bidi="ne-NP"/>
        </w:rPr>
        <w:t xml:space="preserve"> gene pair in </w:t>
      </w:r>
      <w:r w:rsidRPr="003E0D31">
        <w:rPr>
          <w:rFonts w:eastAsia="Calibri"/>
          <w:i/>
          <w:iCs/>
          <w:szCs w:val="21"/>
          <w:lang w:bidi="ne-NP"/>
        </w:rPr>
        <w:t>Streptococcus mutants</w:t>
      </w:r>
      <w:r w:rsidRPr="003E0D31">
        <w:rPr>
          <w:rFonts w:eastAsia="Calibri"/>
          <w:szCs w:val="21"/>
          <w:lang w:bidi="ne-NP"/>
        </w:rPr>
        <w:t xml:space="preserve">. Specifically, a significant decrease in persister cells occurred upon treatment </w:t>
      </w:r>
      <w:r w:rsidRPr="003E0D31">
        <w:rPr>
          <w:rFonts w:eastAsia="Calibri"/>
          <w:szCs w:val="21"/>
          <w:lang w:bidi="ne-NP"/>
        </w:rPr>
        <w:lastRenderedPageBreak/>
        <w:t xml:space="preserve">with the antibiotics vancomycin, cefotaxime, and oxacillin after mild-overproduction of the entire </w:t>
      </w:r>
      <w:proofErr w:type="spellStart"/>
      <w:r w:rsidRPr="003E0D31">
        <w:rPr>
          <w:rFonts w:eastAsia="Calibri"/>
          <w:i/>
          <w:iCs/>
          <w:szCs w:val="21"/>
          <w:lang w:bidi="ne-NP"/>
        </w:rPr>
        <w:t>fst-Sm</w:t>
      </w:r>
      <w:proofErr w:type="spellEnd"/>
      <w:r w:rsidRPr="003E0D31">
        <w:rPr>
          <w:rFonts w:eastAsia="Calibri"/>
          <w:i/>
          <w:iCs/>
          <w:szCs w:val="21"/>
          <w:lang w:bidi="ne-NP"/>
        </w:rPr>
        <w:t>/</w:t>
      </w:r>
      <w:proofErr w:type="spellStart"/>
      <w:r w:rsidRPr="003E0D31">
        <w:rPr>
          <w:rFonts w:eastAsia="Calibri"/>
          <w:i/>
          <w:iCs/>
          <w:szCs w:val="21"/>
          <w:lang w:bidi="ne-NP"/>
        </w:rPr>
        <w:t>sr-Sm</w:t>
      </w:r>
      <w:proofErr w:type="spellEnd"/>
      <w:r w:rsidRPr="003E0D31">
        <w:rPr>
          <w:rFonts w:eastAsia="Calibri"/>
          <w:i/>
          <w:iCs/>
          <w:szCs w:val="21"/>
          <w:lang w:bidi="ne-NP"/>
        </w:rPr>
        <w:t xml:space="preserve"> </w:t>
      </w:r>
      <w:r w:rsidRPr="003E0D31">
        <w:rPr>
          <w:rFonts w:eastAsia="Calibri"/>
          <w:noProof/>
          <w:szCs w:val="21"/>
          <w:lang w:bidi="ne-NP"/>
        </w:rPr>
        <w:t>(113)</w:t>
      </w:r>
      <w:r w:rsidRPr="003E0D31">
        <w:rPr>
          <w:rFonts w:eastAsia="Calibri"/>
          <w:szCs w:val="21"/>
          <w:lang w:bidi="ne-NP"/>
        </w:rPr>
        <w:t>.</w:t>
      </w:r>
    </w:p>
    <w:p w14:paraId="61BB2D8E" w14:textId="77777777" w:rsidR="003E0D31" w:rsidRPr="003E0D31" w:rsidRDefault="003E0D31" w:rsidP="003E0D31">
      <w:pPr>
        <w:spacing w:line="360" w:lineRule="auto"/>
        <w:ind w:firstLine="720"/>
        <w:rPr>
          <w:rFonts w:eastAsia="Calibri"/>
          <w:szCs w:val="21"/>
          <w:lang w:bidi="ne-NP"/>
        </w:rPr>
      </w:pPr>
      <w:r w:rsidRPr="003E0D31">
        <w:rPr>
          <w:rFonts w:eastAsia="Calibri"/>
          <w:szCs w:val="21"/>
          <w:lang w:bidi="ne-NP"/>
        </w:rPr>
        <w:t xml:space="preserve">The type I toxins which have been determined to confer a role in persistence are </w:t>
      </w:r>
      <w:proofErr w:type="spellStart"/>
      <w:r w:rsidRPr="003E0D31">
        <w:rPr>
          <w:rFonts w:eastAsia="Calibri"/>
          <w:szCs w:val="21"/>
          <w:lang w:bidi="ne-NP"/>
        </w:rPr>
        <w:t>TisB</w:t>
      </w:r>
      <w:proofErr w:type="spellEnd"/>
      <w:r w:rsidRPr="003E0D31">
        <w:rPr>
          <w:rFonts w:eastAsia="Calibri"/>
          <w:szCs w:val="21"/>
          <w:lang w:bidi="ne-NP"/>
        </w:rPr>
        <w:t xml:space="preserve"> and </w:t>
      </w:r>
      <w:proofErr w:type="spellStart"/>
      <w:r w:rsidRPr="003E0D31">
        <w:rPr>
          <w:rFonts w:eastAsia="Calibri"/>
          <w:szCs w:val="21"/>
          <w:lang w:bidi="ne-NP"/>
        </w:rPr>
        <w:t>HokB</w:t>
      </w:r>
      <w:proofErr w:type="spellEnd"/>
      <w:r w:rsidRPr="003E0D31">
        <w:rPr>
          <w:rFonts w:eastAsia="Calibri"/>
          <w:szCs w:val="21"/>
          <w:lang w:bidi="ne-NP"/>
        </w:rPr>
        <w:t xml:space="preserve">. </w:t>
      </w:r>
      <w:proofErr w:type="spellStart"/>
      <w:r w:rsidRPr="003E0D31">
        <w:rPr>
          <w:rFonts w:eastAsia="Calibri"/>
          <w:szCs w:val="21"/>
          <w:lang w:bidi="ne-NP"/>
        </w:rPr>
        <w:t>TisB</w:t>
      </w:r>
      <w:proofErr w:type="spellEnd"/>
      <w:r w:rsidRPr="003E0D31">
        <w:rPr>
          <w:rFonts w:eastAsia="Calibri"/>
          <w:szCs w:val="21"/>
          <w:lang w:bidi="ne-NP"/>
        </w:rPr>
        <w:t xml:space="preserve"> is capable of inducing persistence by causing membrane depolarization and ATP depletion, thus leading the cells into a transient dormancy which is tolerant to the antibiotics. Deletion of the </w:t>
      </w:r>
      <w:r w:rsidRPr="003E0D31">
        <w:rPr>
          <w:rFonts w:eastAsia="Calibri"/>
          <w:i/>
          <w:iCs/>
          <w:szCs w:val="21"/>
          <w:lang w:bidi="ne-NP"/>
        </w:rPr>
        <w:t xml:space="preserve">istR1 </w:t>
      </w:r>
      <w:r w:rsidRPr="003E0D31">
        <w:rPr>
          <w:rFonts w:eastAsia="Calibri"/>
          <w:szCs w:val="21"/>
          <w:lang w:bidi="ne-NP"/>
        </w:rPr>
        <w:t xml:space="preserve">antitoxin significantly increased (~4-10-fold) the number of persister cells against ciprofloxacin, while deletion of </w:t>
      </w:r>
      <w:proofErr w:type="spellStart"/>
      <w:r w:rsidRPr="003E0D31">
        <w:rPr>
          <w:rFonts w:eastAsia="Calibri"/>
          <w:i/>
          <w:iCs/>
          <w:szCs w:val="21"/>
          <w:lang w:bidi="ne-NP"/>
        </w:rPr>
        <w:t>tisB</w:t>
      </w:r>
      <w:proofErr w:type="spellEnd"/>
      <w:r w:rsidRPr="003E0D31">
        <w:rPr>
          <w:rFonts w:eastAsia="Calibri"/>
          <w:i/>
          <w:iCs/>
          <w:szCs w:val="21"/>
          <w:lang w:bidi="ne-NP"/>
        </w:rPr>
        <w:t xml:space="preserve"> </w:t>
      </w:r>
      <w:r w:rsidRPr="003E0D31">
        <w:rPr>
          <w:rFonts w:eastAsia="Calibri"/>
          <w:szCs w:val="21"/>
          <w:lang w:bidi="ne-NP"/>
        </w:rPr>
        <w:t xml:space="preserve">showed a consistent (~10-fold) decrease in persister cell number (66,114). Furthermore, deletion of the regulatory element in the 5’ UTR </w:t>
      </w:r>
      <w:r w:rsidRPr="003E0D31">
        <w:rPr>
          <w:rFonts w:eastAsia="Calibri"/>
          <w:lang w:bidi="ne-NP"/>
        </w:rPr>
        <w:t>(</w:t>
      </w:r>
      <w:r w:rsidRPr="003E0D31">
        <w:rPr>
          <w:rFonts w:eastAsia="Calibri"/>
          <w:lang w:bidi="ne-NP"/>
        </w:rPr>
        <w:sym w:font="Symbol" w:char="F044"/>
      </w:r>
      <w:r w:rsidRPr="003E0D31">
        <w:rPr>
          <w:rFonts w:eastAsia="Calibri"/>
          <w:lang w:bidi="ne-NP"/>
        </w:rPr>
        <w:t xml:space="preserve">1-41; note this processed form is translationally active </w:t>
      </w:r>
      <w:r w:rsidRPr="003E0D31">
        <w:rPr>
          <w:rFonts w:eastAsia="Calibri"/>
          <w:noProof/>
          <w:lang w:bidi="ne-NP"/>
        </w:rPr>
        <w:t>(66)</w:t>
      </w:r>
      <w:r w:rsidRPr="003E0D31">
        <w:rPr>
          <w:rFonts w:eastAsia="Calibri"/>
          <w:lang w:bidi="ne-NP"/>
        </w:rPr>
        <w:t xml:space="preserve">) increased persister cells by 11-fold, and deletion of both the 5’UTR and antitoxin </w:t>
      </w:r>
      <w:proofErr w:type="spellStart"/>
      <w:r w:rsidRPr="003E0D31">
        <w:rPr>
          <w:rFonts w:eastAsia="Calibri"/>
          <w:i/>
          <w:iCs/>
          <w:lang w:bidi="ne-NP"/>
        </w:rPr>
        <w:t>istR</w:t>
      </w:r>
      <w:proofErr w:type="spellEnd"/>
      <w:r w:rsidRPr="003E0D31">
        <w:rPr>
          <w:rFonts w:eastAsia="Calibri"/>
          <w:lang w:bidi="ne-NP"/>
        </w:rPr>
        <w:t xml:space="preserve"> (double deletion) increased that by more than 100-fold against ciprofloxacin </w:t>
      </w:r>
      <w:r w:rsidRPr="003E0D31">
        <w:rPr>
          <w:rFonts w:eastAsia="Calibri"/>
          <w:noProof/>
          <w:lang w:bidi="ne-NP"/>
        </w:rPr>
        <w:t>(66)</w:t>
      </w:r>
      <w:r w:rsidRPr="003E0D31">
        <w:rPr>
          <w:rFonts w:eastAsia="Calibri"/>
          <w:lang w:bidi="ne-NP"/>
        </w:rPr>
        <w:t xml:space="preserve">. The double deletion strain also had an observed increase in lag time with a delayed appearance of the colonies, which is often associated with persister cells as they are metabolically “slow.” The persistence phenomenon as seen in the double deletion strain was also very distinct (increase by &gt;200-fold) in response to the cell wall inhibiting antibiotic, ampicillin </w:t>
      </w:r>
      <w:r w:rsidRPr="003E0D31">
        <w:rPr>
          <w:rFonts w:eastAsia="Calibri"/>
          <w:noProof/>
          <w:lang w:bidi="ne-NP"/>
        </w:rPr>
        <w:t>(66)</w:t>
      </w:r>
      <w:r w:rsidRPr="003E0D31">
        <w:rPr>
          <w:rFonts w:eastAsia="Calibri"/>
          <w:lang w:bidi="ne-NP"/>
        </w:rPr>
        <w:t>.</w:t>
      </w:r>
      <w:r w:rsidRPr="003E0D31">
        <w:rPr>
          <w:rFonts w:eastAsia="Calibri"/>
          <w:szCs w:val="21"/>
          <w:lang w:bidi="ne-NP"/>
        </w:rPr>
        <w:t xml:space="preserve"> Unlike </w:t>
      </w:r>
      <w:proofErr w:type="spellStart"/>
      <w:r w:rsidRPr="003E0D31">
        <w:rPr>
          <w:rFonts w:eastAsia="Calibri"/>
          <w:i/>
          <w:iCs/>
          <w:szCs w:val="21"/>
          <w:lang w:bidi="ne-NP"/>
        </w:rPr>
        <w:t>tisB</w:t>
      </w:r>
      <w:proofErr w:type="spellEnd"/>
      <w:r w:rsidRPr="003E0D31">
        <w:rPr>
          <w:rFonts w:eastAsia="Calibri"/>
          <w:szCs w:val="21"/>
          <w:lang w:bidi="ne-NP"/>
        </w:rPr>
        <w:t xml:space="preserve">, deletion of </w:t>
      </w:r>
      <w:proofErr w:type="spellStart"/>
      <w:r w:rsidRPr="003E0D31">
        <w:rPr>
          <w:rFonts w:eastAsia="Calibri"/>
          <w:i/>
          <w:iCs/>
          <w:szCs w:val="21"/>
          <w:lang w:bidi="ne-NP"/>
        </w:rPr>
        <w:t>hokB</w:t>
      </w:r>
      <w:proofErr w:type="spellEnd"/>
      <w:r w:rsidRPr="003E0D31">
        <w:rPr>
          <w:rFonts w:eastAsia="Calibri"/>
          <w:szCs w:val="21"/>
          <w:lang w:bidi="ne-NP"/>
        </w:rPr>
        <w:t xml:space="preserve"> does not decrease the number of persister cells. Overexpression of </w:t>
      </w:r>
      <w:proofErr w:type="spellStart"/>
      <w:r w:rsidRPr="003E0D31">
        <w:rPr>
          <w:rFonts w:eastAsia="Calibri"/>
          <w:szCs w:val="21"/>
          <w:lang w:bidi="ne-NP"/>
        </w:rPr>
        <w:t>HokB</w:t>
      </w:r>
      <w:proofErr w:type="spellEnd"/>
      <w:r w:rsidRPr="003E0D31">
        <w:rPr>
          <w:rFonts w:eastAsia="Calibri"/>
          <w:szCs w:val="21"/>
          <w:lang w:bidi="ne-NP"/>
        </w:rPr>
        <w:t xml:space="preserve">, however, results in an increase in the persister cells against ofloxacin and tobramycin </w:t>
      </w:r>
      <w:r w:rsidRPr="003E0D31">
        <w:rPr>
          <w:rFonts w:eastAsia="Calibri"/>
          <w:noProof/>
          <w:szCs w:val="21"/>
          <w:lang w:bidi="ne-NP"/>
        </w:rPr>
        <w:t>(3)</w:t>
      </w:r>
      <w:r w:rsidRPr="003E0D31">
        <w:rPr>
          <w:rFonts w:eastAsia="Calibri"/>
          <w:szCs w:val="21"/>
          <w:lang w:bidi="ne-NP"/>
        </w:rPr>
        <w:t>.</w:t>
      </w:r>
    </w:p>
    <w:p w14:paraId="64CF9805" w14:textId="77777777" w:rsidR="003E0D31" w:rsidRPr="003E0D31" w:rsidRDefault="003E0D31" w:rsidP="003E0D31">
      <w:pPr>
        <w:spacing w:line="360" w:lineRule="auto"/>
        <w:ind w:firstLine="720"/>
        <w:rPr>
          <w:rFonts w:eastAsia="Calibri"/>
          <w:szCs w:val="21"/>
          <w:lang w:bidi="ne-NP"/>
        </w:rPr>
      </w:pPr>
      <w:proofErr w:type="spellStart"/>
      <w:r w:rsidRPr="003E0D31">
        <w:rPr>
          <w:rFonts w:eastAsia="Calibri"/>
          <w:szCs w:val="21"/>
          <w:lang w:bidi="ne-NP"/>
        </w:rPr>
        <w:t>HokB</w:t>
      </w:r>
      <w:proofErr w:type="spellEnd"/>
      <w:r w:rsidRPr="003E0D31">
        <w:rPr>
          <w:rFonts w:eastAsia="Calibri"/>
          <w:szCs w:val="21"/>
          <w:lang w:bidi="ne-NP"/>
        </w:rPr>
        <w:t xml:space="preserve"> also follows a similar mechanism of growth stasis by membrane depolarization and ATP depletion. </w:t>
      </w:r>
      <w:proofErr w:type="spellStart"/>
      <w:r w:rsidRPr="003E0D31">
        <w:rPr>
          <w:rFonts w:eastAsia="Calibri"/>
          <w:szCs w:val="21"/>
          <w:lang w:bidi="ne-NP"/>
        </w:rPr>
        <w:t>HokB</w:t>
      </w:r>
      <w:proofErr w:type="spellEnd"/>
      <w:r w:rsidRPr="003E0D31">
        <w:rPr>
          <w:rFonts w:eastAsia="Calibri"/>
          <w:szCs w:val="21"/>
          <w:lang w:bidi="ne-NP"/>
        </w:rPr>
        <w:t xml:space="preserve"> monomers are dimerized by an enzyme </w:t>
      </w:r>
      <w:proofErr w:type="spellStart"/>
      <w:r w:rsidRPr="003E0D31">
        <w:rPr>
          <w:rFonts w:eastAsia="Calibri"/>
          <w:szCs w:val="21"/>
          <w:lang w:bidi="ne-NP"/>
        </w:rPr>
        <w:t>DsbA</w:t>
      </w:r>
      <w:proofErr w:type="spellEnd"/>
      <w:r w:rsidRPr="003E0D31">
        <w:rPr>
          <w:rFonts w:eastAsia="Calibri"/>
          <w:szCs w:val="21"/>
          <w:lang w:bidi="ne-NP"/>
        </w:rPr>
        <w:t xml:space="preserve">, that forms a disulfide bridge between the cysteine residues (C46) in the periplasm </w:t>
      </w:r>
      <w:r w:rsidRPr="003E0D31">
        <w:rPr>
          <w:rFonts w:eastAsia="Calibri"/>
          <w:noProof/>
          <w:szCs w:val="21"/>
          <w:lang w:bidi="ne-NP"/>
        </w:rPr>
        <w:t>(78)</w:t>
      </w:r>
      <w:r w:rsidRPr="003E0D31">
        <w:rPr>
          <w:rFonts w:eastAsia="Calibri"/>
          <w:szCs w:val="21"/>
          <w:lang w:bidi="ne-NP"/>
        </w:rPr>
        <w:t xml:space="preserve">. This results in pores within the membrane, which affect membrane potential and even cause ATP leakage into the extracellular medium, which leads the cells into dormancy and persistence </w:t>
      </w:r>
      <w:r w:rsidRPr="003E0D31">
        <w:rPr>
          <w:rFonts w:eastAsia="Calibri"/>
          <w:noProof/>
          <w:szCs w:val="21"/>
          <w:lang w:bidi="ne-NP"/>
        </w:rPr>
        <w:t>(76,78)</w:t>
      </w:r>
      <w:r w:rsidRPr="003E0D31">
        <w:rPr>
          <w:rFonts w:eastAsia="Calibri"/>
          <w:szCs w:val="21"/>
          <w:lang w:bidi="ne-NP"/>
        </w:rPr>
        <w:t xml:space="preserve">. The awakening of persister cells has also been studied with the </w:t>
      </w:r>
      <w:proofErr w:type="spellStart"/>
      <w:r w:rsidRPr="003E0D31">
        <w:rPr>
          <w:rFonts w:eastAsia="Calibri"/>
          <w:szCs w:val="21"/>
          <w:lang w:bidi="ne-NP"/>
        </w:rPr>
        <w:t>HokB</w:t>
      </w:r>
      <w:proofErr w:type="spellEnd"/>
      <w:r w:rsidRPr="003E0D31">
        <w:rPr>
          <w:rFonts w:eastAsia="Calibri"/>
          <w:szCs w:val="21"/>
          <w:lang w:bidi="ne-NP"/>
        </w:rPr>
        <w:t xml:space="preserve"> toxin. Another periplasmic enzyme </w:t>
      </w:r>
      <w:proofErr w:type="spellStart"/>
      <w:r w:rsidRPr="003E0D31">
        <w:rPr>
          <w:rFonts w:eastAsia="Calibri"/>
          <w:szCs w:val="21"/>
          <w:lang w:bidi="ne-NP"/>
        </w:rPr>
        <w:t>DsbC</w:t>
      </w:r>
      <w:proofErr w:type="spellEnd"/>
      <w:r w:rsidRPr="003E0D31">
        <w:rPr>
          <w:rFonts w:eastAsia="Calibri"/>
          <w:szCs w:val="21"/>
          <w:lang w:bidi="ne-NP"/>
        </w:rPr>
        <w:t xml:space="preserve">, acts on disulfide bridges and dissembles the pore formed by </w:t>
      </w:r>
      <w:proofErr w:type="spellStart"/>
      <w:r w:rsidRPr="003E0D31">
        <w:rPr>
          <w:rFonts w:eastAsia="Calibri"/>
          <w:szCs w:val="21"/>
          <w:lang w:bidi="ne-NP"/>
        </w:rPr>
        <w:t>HokB</w:t>
      </w:r>
      <w:proofErr w:type="spellEnd"/>
      <w:r w:rsidRPr="003E0D31">
        <w:rPr>
          <w:rFonts w:eastAsia="Calibri"/>
          <w:szCs w:val="21"/>
          <w:lang w:bidi="ne-NP"/>
        </w:rPr>
        <w:t xml:space="preserve">, after which </w:t>
      </w:r>
      <w:proofErr w:type="spellStart"/>
      <w:r w:rsidRPr="003E0D31">
        <w:rPr>
          <w:rFonts w:eastAsia="Calibri"/>
          <w:szCs w:val="21"/>
          <w:lang w:bidi="ne-NP"/>
        </w:rPr>
        <w:t>HokB</w:t>
      </w:r>
      <w:proofErr w:type="spellEnd"/>
      <w:r w:rsidRPr="003E0D31">
        <w:rPr>
          <w:rFonts w:eastAsia="Calibri"/>
          <w:szCs w:val="21"/>
          <w:lang w:bidi="ne-NP"/>
        </w:rPr>
        <w:t xml:space="preserve"> monomers are degraded by the protease </w:t>
      </w:r>
      <w:proofErr w:type="spellStart"/>
      <w:r w:rsidRPr="003E0D31">
        <w:rPr>
          <w:rFonts w:eastAsia="Calibri"/>
          <w:szCs w:val="21"/>
          <w:lang w:bidi="ne-NP"/>
        </w:rPr>
        <w:t>DegQ</w:t>
      </w:r>
      <w:proofErr w:type="spellEnd"/>
      <w:r w:rsidRPr="003E0D31">
        <w:rPr>
          <w:rFonts w:eastAsia="Calibri"/>
          <w:szCs w:val="21"/>
          <w:lang w:bidi="ne-NP"/>
        </w:rPr>
        <w:t xml:space="preserve"> </w:t>
      </w:r>
      <w:r w:rsidRPr="003E0D31">
        <w:rPr>
          <w:rFonts w:eastAsia="Calibri"/>
          <w:noProof/>
          <w:szCs w:val="21"/>
          <w:lang w:bidi="ne-NP"/>
        </w:rPr>
        <w:t>(78)</w:t>
      </w:r>
      <w:r w:rsidRPr="003E0D31">
        <w:rPr>
          <w:rFonts w:eastAsia="Calibri"/>
          <w:szCs w:val="21"/>
          <w:lang w:bidi="ne-NP"/>
        </w:rPr>
        <w:t xml:space="preserve">. This results in the repolarization of the cell so that it can function normally and grow. All these analyses on the </w:t>
      </w:r>
      <w:proofErr w:type="spellStart"/>
      <w:r w:rsidRPr="003E0D31">
        <w:rPr>
          <w:rFonts w:eastAsia="Calibri"/>
          <w:szCs w:val="21"/>
          <w:lang w:bidi="ne-NP"/>
        </w:rPr>
        <w:t>HokB</w:t>
      </w:r>
      <w:proofErr w:type="spellEnd"/>
      <w:r w:rsidRPr="003E0D31">
        <w:rPr>
          <w:rFonts w:eastAsia="Calibri"/>
          <w:szCs w:val="21"/>
          <w:lang w:bidi="ne-NP"/>
        </w:rPr>
        <w:t xml:space="preserve"> toxin, however, have been conducted by using overexpression plasmids.</w:t>
      </w:r>
    </w:p>
    <w:p w14:paraId="0B07E630" w14:textId="77777777" w:rsidR="003E0D31" w:rsidRPr="003E0D31" w:rsidRDefault="003E0D31" w:rsidP="003E0D31">
      <w:pPr>
        <w:spacing w:line="360" w:lineRule="auto"/>
        <w:ind w:firstLine="720"/>
        <w:rPr>
          <w:rFonts w:eastAsia="Calibri"/>
          <w:szCs w:val="21"/>
          <w:lang w:bidi="ne-NP"/>
        </w:rPr>
      </w:pPr>
      <w:r w:rsidRPr="003E0D31">
        <w:rPr>
          <w:rFonts w:eastAsia="Calibri"/>
          <w:szCs w:val="21"/>
          <w:lang w:bidi="ne-NP"/>
        </w:rPr>
        <w:lastRenderedPageBreak/>
        <w:t xml:space="preserve">Many studies have investigated the possible target-based effects of type I toxins, while few of them have assessed the global impacts. Incorporation of omics-based experiments in an effort to determine global impacts of a specific toxin may help specify the cellular pathways that it impacts within the cell. Using microarrays, global transcription was assessed after overexpression of </w:t>
      </w:r>
      <w:proofErr w:type="spellStart"/>
      <w:r w:rsidRPr="003E0D31">
        <w:rPr>
          <w:rFonts w:eastAsia="Calibri"/>
          <w:szCs w:val="21"/>
          <w:lang w:bidi="ne-NP"/>
        </w:rPr>
        <w:t>LdrD</w:t>
      </w:r>
      <w:proofErr w:type="spellEnd"/>
      <w:r w:rsidRPr="003E0D31">
        <w:rPr>
          <w:rFonts w:eastAsia="Calibri"/>
          <w:szCs w:val="21"/>
          <w:lang w:bidi="ne-NP"/>
        </w:rPr>
        <w:t xml:space="preserve"> </w:t>
      </w:r>
      <w:r w:rsidRPr="003E0D31">
        <w:rPr>
          <w:rFonts w:eastAsia="Calibri"/>
          <w:noProof/>
          <w:szCs w:val="21"/>
          <w:lang w:bidi="ne-NP"/>
        </w:rPr>
        <w:t>(54)</w:t>
      </w:r>
      <w:r w:rsidRPr="003E0D31">
        <w:rPr>
          <w:rFonts w:eastAsia="Calibri"/>
          <w:szCs w:val="21"/>
          <w:lang w:bidi="ne-NP"/>
        </w:rPr>
        <w:t xml:space="preserve">. Several genes were found to be differentially expressed. Genes involved in purine metabolism were upregulated at least 3-fold, which can be linked to the nucleoid condensation observed during </w:t>
      </w:r>
      <w:proofErr w:type="spellStart"/>
      <w:r w:rsidRPr="003E0D31">
        <w:rPr>
          <w:rFonts w:eastAsia="Calibri"/>
          <w:szCs w:val="21"/>
          <w:lang w:bidi="ne-NP"/>
        </w:rPr>
        <w:t>LdrD</w:t>
      </w:r>
      <w:proofErr w:type="spellEnd"/>
      <w:r w:rsidRPr="003E0D31">
        <w:rPr>
          <w:rFonts w:eastAsia="Calibri"/>
          <w:szCs w:val="21"/>
          <w:lang w:bidi="ne-NP"/>
        </w:rPr>
        <w:t xml:space="preserve"> overproduction. Another study investigated the cellular global effects by observing changes in whole genome expression after overexpression of </w:t>
      </w:r>
      <w:proofErr w:type="spellStart"/>
      <w:r w:rsidRPr="003E0D31">
        <w:rPr>
          <w:rFonts w:eastAsia="Calibri"/>
          <w:szCs w:val="21"/>
          <w:lang w:bidi="ne-NP"/>
        </w:rPr>
        <w:t>TisB</w:t>
      </w:r>
      <w:proofErr w:type="spellEnd"/>
      <w:r w:rsidRPr="003E0D31">
        <w:rPr>
          <w:rFonts w:eastAsia="Calibri"/>
          <w:szCs w:val="21"/>
          <w:lang w:bidi="ne-NP"/>
        </w:rPr>
        <w:t xml:space="preserve">, </w:t>
      </w:r>
      <w:proofErr w:type="spellStart"/>
      <w:r w:rsidRPr="003E0D31">
        <w:rPr>
          <w:rFonts w:eastAsia="Calibri"/>
          <w:szCs w:val="21"/>
          <w:lang w:bidi="ne-NP"/>
        </w:rPr>
        <w:t>IbsC</w:t>
      </w:r>
      <w:proofErr w:type="spellEnd"/>
      <w:r w:rsidRPr="003E0D31">
        <w:rPr>
          <w:rFonts w:eastAsia="Calibri"/>
          <w:szCs w:val="21"/>
          <w:lang w:bidi="ne-NP"/>
        </w:rPr>
        <w:t xml:space="preserve">, </w:t>
      </w:r>
      <w:proofErr w:type="spellStart"/>
      <w:r w:rsidRPr="003E0D31">
        <w:rPr>
          <w:rFonts w:eastAsia="Calibri"/>
          <w:szCs w:val="21"/>
          <w:lang w:bidi="ne-NP"/>
        </w:rPr>
        <w:t>LdrD</w:t>
      </w:r>
      <w:proofErr w:type="spellEnd"/>
      <w:r w:rsidRPr="003E0D31">
        <w:rPr>
          <w:rFonts w:eastAsia="Calibri"/>
          <w:szCs w:val="21"/>
          <w:lang w:bidi="ne-NP"/>
        </w:rPr>
        <w:t xml:space="preserve">, or </w:t>
      </w:r>
      <w:proofErr w:type="spellStart"/>
      <w:r w:rsidRPr="003E0D31">
        <w:rPr>
          <w:rFonts w:eastAsia="Calibri"/>
          <w:szCs w:val="21"/>
          <w:lang w:bidi="ne-NP"/>
        </w:rPr>
        <w:t>ShoB</w:t>
      </w:r>
      <w:proofErr w:type="spellEnd"/>
      <w:r w:rsidRPr="003E0D31">
        <w:rPr>
          <w:rFonts w:eastAsia="Calibri"/>
          <w:szCs w:val="21"/>
          <w:lang w:bidi="ne-NP"/>
        </w:rPr>
        <w:t xml:space="preserve"> </w:t>
      </w:r>
      <w:r w:rsidRPr="003E0D31">
        <w:rPr>
          <w:rFonts w:eastAsia="Calibri"/>
          <w:noProof/>
          <w:szCs w:val="21"/>
          <w:lang w:bidi="ne-NP"/>
        </w:rPr>
        <w:t>(12)</w:t>
      </w:r>
      <w:r w:rsidRPr="003E0D31">
        <w:rPr>
          <w:rFonts w:eastAsia="Calibri"/>
          <w:szCs w:val="21"/>
          <w:lang w:bidi="ne-NP"/>
        </w:rPr>
        <w:t xml:space="preserve">. Several genes were induced during overexpression of each of these toxins. A superoxide stress response regulator </w:t>
      </w:r>
      <w:proofErr w:type="spellStart"/>
      <w:r w:rsidRPr="003E0D31">
        <w:rPr>
          <w:rFonts w:eastAsia="Calibri"/>
          <w:i/>
          <w:iCs/>
          <w:szCs w:val="21"/>
          <w:lang w:bidi="ne-NP"/>
        </w:rPr>
        <w:t>soxS</w:t>
      </w:r>
      <w:proofErr w:type="spellEnd"/>
      <w:r w:rsidRPr="003E0D31">
        <w:rPr>
          <w:rFonts w:eastAsia="Calibri"/>
          <w:szCs w:val="21"/>
          <w:lang w:bidi="ne-NP"/>
        </w:rPr>
        <w:t xml:space="preserve"> was induced by all four of the studied toxins </w:t>
      </w:r>
      <w:r w:rsidRPr="003E0D31">
        <w:rPr>
          <w:rFonts w:eastAsia="Calibri"/>
          <w:noProof/>
          <w:szCs w:val="21"/>
          <w:lang w:bidi="ne-NP"/>
        </w:rPr>
        <w:t>(12)</w:t>
      </w:r>
      <w:r w:rsidRPr="003E0D31">
        <w:rPr>
          <w:rFonts w:eastAsia="Calibri"/>
          <w:szCs w:val="21"/>
          <w:lang w:bidi="ne-NP"/>
        </w:rPr>
        <w:t xml:space="preserve">. Other significantly upregulated genes which were common to four toxins included those encoding membrane proteins, those involved in heat shock or cell envelope stress-related genes </w:t>
      </w:r>
      <w:r w:rsidRPr="003E0D31">
        <w:rPr>
          <w:rFonts w:eastAsia="Calibri"/>
          <w:noProof/>
          <w:szCs w:val="21"/>
          <w:lang w:bidi="ne-NP"/>
        </w:rPr>
        <w:t>(12)</w:t>
      </w:r>
      <w:r w:rsidRPr="003E0D31">
        <w:rPr>
          <w:rFonts w:eastAsia="Calibri"/>
          <w:szCs w:val="21"/>
          <w:lang w:bidi="ne-NP"/>
        </w:rPr>
        <w:t xml:space="preserve">. There were genes, however, that were induced in specific response to the overexpression of each of the toxin. As an example, only </w:t>
      </w:r>
      <w:proofErr w:type="spellStart"/>
      <w:r w:rsidRPr="003E0D31">
        <w:rPr>
          <w:rFonts w:eastAsia="Calibri"/>
          <w:szCs w:val="21"/>
          <w:lang w:bidi="ne-NP"/>
        </w:rPr>
        <w:t>IbsC</w:t>
      </w:r>
      <w:proofErr w:type="spellEnd"/>
      <w:r w:rsidRPr="003E0D31">
        <w:rPr>
          <w:rFonts w:eastAsia="Calibri"/>
          <w:szCs w:val="21"/>
          <w:lang w:bidi="ne-NP"/>
        </w:rPr>
        <w:t xml:space="preserve"> overexpression (no other toxins) showed induction of phage shock proteins </w:t>
      </w:r>
      <w:r w:rsidRPr="003E0D31">
        <w:rPr>
          <w:rFonts w:eastAsia="Calibri"/>
          <w:noProof/>
          <w:szCs w:val="21"/>
          <w:lang w:bidi="ne-NP"/>
        </w:rPr>
        <w:t>(12)</w:t>
      </w:r>
      <w:r w:rsidRPr="003E0D31">
        <w:rPr>
          <w:rFonts w:eastAsia="Calibri"/>
          <w:szCs w:val="21"/>
          <w:lang w:bidi="ne-NP"/>
        </w:rPr>
        <w:t>.</w:t>
      </w:r>
    </w:p>
    <w:p w14:paraId="49168844" w14:textId="77777777" w:rsidR="003E0D31" w:rsidRPr="003E0D31" w:rsidRDefault="003E0D31" w:rsidP="003E0D31">
      <w:pPr>
        <w:spacing w:line="360" w:lineRule="auto"/>
        <w:ind w:firstLine="720"/>
        <w:rPr>
          <w:rFonts w:eastAsia="Calibri"/>
          <w:szCs w:val="21"/>
          <w:lang w:bidi="ne-NP"/>
        </w:rPr>
      </w:pPr>
      <w:r w:rsidRPr="003E0D31">
        <w:rPr>
          <w:rFonts w:eastAsia="Calibri"/>
          <w:szCs w:val="21"/>
          <w:lang w:bidi="ne-NP"/>
        </w:rPr>
        <w:t xml:space="preserve">The proteome (both intracellular and extracellular) of </w:t>
      </w:r>
      <w:r w:rsidRPr="003E0D31">
        <w:rPr>
          <w:rFonts w:eastAsia="Calibri"/>
          <w:i/>
          <w:iCs/>
          <w:szCs w:val="21"/>
          <w:lang w:bidi="ne-NP"/>
        </w:rPr>
        <w:t>S. aureus</w:t>
      </w:r>
      <w:r w:rsidRPr="003E0D31">
        <w:rPr>
          <w:rFonts w:eastAsia="Calibri"/>
          <w:szCs w:val="21"/>
          <w:lang w:bidi="ne-NP"/>
        </w:rPr>
        <w:t xml:space="preserve"> in relation to the TA system </w:t>
      </w:r>
      <w:r w:rsidRPr="003E0D31">
        <w:rPr>
          <w:rFonts w:eastAsia="Calibri"/>
          <w:i/>
          <w:iCs/>
          <w:szCs w:val="21"/>
          <w:lang w:bidi="ne-NP"/>
        </w:rPr>
        <w:t>sprG1/sprF1</w:t>
      </w:r>
      <w:r w:rsidRPr="003E0D31">
        <w:rPr>
          <w:rFonts w:eastAsia="Calibri"/>
          <w:szCs w:val="21"/>
          <w:lang w:bidi="ne-NP"/>
        </w:rPr>
        <w:t xml:space="preserve"> (homolog of the </w:t>
      </w:r>
      <w:proofErr w:type="spellStart"/>
      <w:r w:rsidRPr="003E0D31">
        <w:rPr>
          <w:rFonts w:eastAsia="Calibri"/>
          <w:i/>
          <w:iCs/>
          <w:szCs w:val="21"/>
          <w:lang w:bidi="ne-NP"/>
        </w:rPr>
        <w:t>txpA</w:t>
      </w:r>
      <w:proofErr w:type="spellEnd"/>
      <w:r w:rsidRPr="003E0D31">
        <w:rPr>
          <w:rFonts w:eastAsia="Calibri"/>
          <w:i/>
          <w:iCs/>
          <w:szCs w:val="21"/>
          <w:lang w:bidi="ne-NP"/>
        </w:rPr>
        <w:t>/</w:t>
      </w:r>
      <w:proofErr w:type="spellStart"/>
      <w:r w:rsidRPr="003E0D31">
        <w:rPr>
          <w:rFonts w:eastAsia="Calibri"/>
          <w:i/>
          <w:iCs/>
          <w:szCs w:val="21"/>
          <w:lang w:bidi="ne-NP"/>
        </w:rPr>
        <w:t>ratA</w:t>
      </w:r>
      <w:proofErr w:type="spellEnd"/>
      <w:r w:rsidRPr="003E0D31">
        <w:rPr>
          <w:rFonts w:eastAsia="Calibri"/>
          <w:szCs w:val="21"/>
          <w:lang w:bidi="ne-NP"/>
        </w:rPr>
        <w:t>) was recently studied using the wild type, a strain with the gene pair deleted and the deletion strain complemented only for the antitoxin (</w:t>
      </w:r>
      <w:r w:rsidRPr="003E0D31">
        <w:rPr>
          <w:rFonts w:eastAsia="Calibri"/>
          <w:i/>
          <w:iCs/>
          <w:szCs w:val="21"/>
          <w:lang w:bidi="ne-NP"/>
        </w:rPr>
        <w:t>sprF1</w:t>
      </w:r>
      <w:r w:rsidRPr="003E0D31">
        <w:rPr>
          <w:rFonts w:eastAsia="Calibri"/>
          <w:szCs w:val="21"/>
          <w:lang w:bidi="ne-NP"/>
        </w:rPr>
        <w:t xml:space="preserve">). While the strain with </w:t>
      </w:r>
      <w:r w:rsidRPr="003E0D31">
        <w:rPr>
          <w:rFonts w:eastAsia="Calibri"/>
          <w:i/>
          <w:iCs/>
          <w:szCs w:val="21"/>
          <w:lang w:bidi="ne-NP"/>
        </w:rPr>
        <w:t>sprG1/sprF</w:t>
      </w:r>
      <w:r w:rsidRPr="003E0D31">
        <w:rPr>
          <w:rFonts w:eastAsia="Calibri"/>
          <w:szCs w:val="21"/>
          <w:lang w:bidi="ne-NP"/>
        </w:rPr>
        <w:t xml:space="preserve">1 had an increased number of proteins secreted into the extracellular space, the </w:t>
      </w:r>
      <w:r w:rsidRPr="003E0D31">
        <w:rPr>
          <w:rFonts w:eastAsia="Calibri"/>
          <w:i/>
          <w:iCs/>
          <w:szCs w:val="21"/>
          <w:lang w:bidi="ne-NP"/>
        </w:rPr>
        <w:t>sprF1</w:t>
      </w:r>
      <w:r w:rsidRPr="003E0D31">
        <w:rPr>
          <w:rFonts w:eastAsia="Calibri"/>
          <w:szCs w:val="21"/>
          <w:lang w:bidi="ne-NP"/>
        </w:rPr>
        <w:t xml:space="preserve"> complemented strain had its protein expression moderately down regulated in compared to the deletion strain (</w:t>
      </w:r>
      <w:r w:rsidRPr="003E0D31">
        <w:rPr>
          <w:rFonts w:eastAsia="Calibri"/>
          <w:lang w:bidi="ne-NP"/>
        </w:rPr>
        <w:sym w:font="Symbol" w:char="F044"/>
      </w:r>
      <w:r w:rsidRPr="003E0D31">
        <w:rPr>
          <w:rFonts w:eastAsia="Calibri"/>
          <w:i/>
          <w:iCs/>
          <w:szCs w:val="21"/>
          <w:lang w:bidi="ne-NP"/>
        </w:rPr>
        <w:t>sprG1/</w:t>
      </w:r>
      <w:proofErr w:type="spellStart"/>
      <w:r w:rsidRPr="003E0D31">
        <w:rPr>
          <w:rFonts w:eastAsia="Calibri"/>
          <w:i/>
          <w:iCs/>
          <w:szCs w:val="21"/>
          <w:lang w:bidi="ne-NP"/>
        </w:rPr>
        <w:t>sprF</w:t>
      </w:r>
      <w:proofErr w:type="spellEnd"/>
      <w:r w:rsidRPr="003E0D31">
        <w:rPr>
          <w:rFonts w:eastAsia="Calibri"/>
          <w:i/>
          <w:iCs/>
          <w:szCs w:val="21"/>
          <w:lang w:bidi="ne-NP"/>
        </w:rPr>
        <w:t xml:space="preserve">) </w:t>
      </w:r>
      <w:r w:rsidRPr="003E0D31">
        <w:rPr>
          <w:rFonts w:eastAsia="Calibri"/>
          <w:iCs/>
          <w:noProof/>
          <w:szCs w:val="21"/>
          <w:lang w:bidi="ne-NP"/>
        </w:rPr>
        <w:t>(115)</w:t>
      </w:r>
      <w:r w:rsidRPr="003E0D31">
        <w:rPr>
          <w:rFonts w:eastAsia="Calibri"/>
          <w:szCs w:val="21"/>
          <w:lang w:bidi="ne-NP"/>
        </w:rPr>
        <w:t>. This kind of investigation helps in the generation and testing of research questions that aimed to determine whether SprG1 has role in the secretion of specific proteins onto the extracellular space. It also further helped elaborate on the mechanisms by which SprF1 modulates the intracellular downregulation of specific proteins.</w:t>
      </w:r>
    </w:p>
    <w:p w14:paraId="007687D3" w14:textId="0D5BB66D" w:rsidR="003E0D31" w:rsidRDefault="003E0D31" w:rsidP="003E0D31">
      <w:pPr>
        <w:spacing w:line="360" w:lineRule="auto"/>
        <w:ind w:firstLine="720"/>
        <w:rPr>
          <w:rFonts w:eastAsia="Calibri"/>
          <w:b/>
          <w:bCs/>
          <w:szCs w:val="21"/>
          <w:lang w:bidi="ne-NP"/>
        </w:rPr>
      </w:pPr>
    </w:p>
    <w:p w14:paraId="127234CA" w14:textId="425FDDE8" w:rsidR="00705347" w:rsidRDefault="00705347" w:rsidP="003E0D31">
      <w:pPr>
        <w:spacing w:line="360" w:lineRule="auto"/>
        <w:ind w:firstLine="720"/>
        <w:rPr>
          <w:rFonts w:eastAsia="Calibri"/>
          <w:b/>
          <w:bCs/>
          <w:szCs w:val="21"/>
          <w:lang w:bidi="ne-NP"/>
        </w:rPr>
      </w:pPr>
    </w:p>
    <w:p w14:paraId="72D0F3C8" w14:textId="77777777" w:rsidR="00705347" w:rsidRPr="003E0D31" w:rsidRDefault="00705347" w:rsidP="003E0D31">
      <w:pPr>
        <w:spacing w:line="360" w:lineRule="auto"/>
        <w:ind w:firstLine="720"/>
        <w:rPr>
          <w:rFonts w:eastAsia="Calibri"/>
          <w:b/>
          <w:bCs/>
          <w:szCs w:val="21"/>
          <w:lang w:bidi="ne-NP"/>
        </w:rPr>
      </w:pPr>
    </w:p>
    <w:p w14:paraId="5E456B70" w14:textId="77777777" w:rsidR="003E0D31" w:rsidRPr="003E0D31" w:rsidRDefault="003E0D31" w:rsidP="00933EAD">
      <w:pPr>
        <w:numPr>
          <w:ilvl w:val="0"/>
          <w:numId w:val="8"/>
        </w:numPr>
        <w:spacing w:line="360" w:lineRule="auto"/>
        <w:ind w:left="284" w:hanging="284"/>
        <w:contextualSpacing/>
        <w:rPr>
          <w:rFonts w:eastAsia="Calibri"/>
          <w:b/>
          <w:bCs/>
          <w:szCs w:val="21"/>
          <w:lang w:bidi="ne-NP"/>
        </w:rPr>
      </w:pPr>
      <w:r w:rsidRPr="003E0D31">
        <w:rPr>
          <w:rFonts w:eastAsia="Calibri"/>
          <w:b/>
          <w:bCs/>
          <w:szCs w:val="21"/>
          <w:lang w:bidi="ne-NP"/>
        </w:rPr>
        <w:lastRenderedPageBreak/>
        <w:t>Conclusions</w:t>
      </w:r>
    </w:p>
    <w:p w14:paraId="283793F6" w14:textId="77777777" w:rsidR="003E0D31" w:rsidRPr="003E0D31" w:rsidRDefault="003E0D31" w:rsidP="003E0D31">
      <w:pPr>
        <w:spacing w:line="360" w:lineRule="auto"/>
        <w:ind w:firstLine="720"/>
        <w:rPr>
          <w:rFonts w:eastAsia="Calibri"/>
          <w:szCs w:val="21"/>
          <w:lang w:bidi="ne-NP"/>
        </w:rPr>
      </w:pPr>
      <w:r w:rsidRPr="003E0D31">
        <w:rPr>
          <w:rFonts w:eastAsia="Calibri"/>
          <w:szCs w:val="21"/>
          <w:lang w:bidi="ne-NP"/>
        </w:rPr>
        <w:t>Type I TA systems are increasingly identified in bacterial chromosomes as well as in addition accessory genomes such as phages and plasmids. The existence of multiple mechanisms to regulate translation of the toxin protein demonstrates that the bacterial cell would likely only express the protein when essential. The overexpression of toxin and antitoxin genes, while using ectopic plasmid vectors, is an important tool in aiding to understand the impacts of the toxins and the interaction of the toxin and antitoxin genes. However, caution must be exhibited in extrapolating findings from the overexpression system to the native level expression from the chromosome. Multi-copy plasmid vectors with native regulatory elements can be used as an alternative when chromosomal deletion constructs do not show a strong phenotype. This might be helpful in elucidating the identification of the specific conditions in which the toxins are translated with their own regulatory elements, and the function they provide to the bacterial cell.</w:t>
      </w:r>
    </w:p>
    <w:p w14:paraId="7734155D" w14:textId="77777777" w:rsidR="003E0D31" w:rsidRPr="003E0D31" w:rsidRDefault="003E0D31" w:rsidP="003E0D31">
      <w:pPr>
        <w:spacing w:line="360" w:lineRule="auto"/>
        <w:rPr>
          <w:rFonts w:eastAsia="Calibri"/>
          <w:szCs w:val="21"/>
          <w:lang w:bidi="ne-NP"/>
        </w:rPr>
      </w:pPr>
      <w:r w:rsidRPr="003E0D31">
        <w:rPr>
          <w:rFonts w:eastAsia="Calibri"/>
          <w:szCs w:val="21"/>
          <w:lang w:bidi="ne-NP"/>
        </w:rPr>
        <w:br w:type="page"/>
      </w:r>
    </w:p>
    <w:p w14:paraId="24247830" w14:textId="152B9733" w:rsidR="003E0D31" w:rsidRPr="003E0D31" w:rsidRDefault="003E0D31" w:rsidP="003E0D31">
      <w:pPr>
        <w:spacing w:line="360" w:lineRule="auto"/>
        <w:ind w:firstLine="720"/>
        <w:rPr>
          <w:rFonts w:eastAsia="Calibri"/>
          <w:szCs w:val="21"/>
          <w:lang w:bidi="ne-NP"/>
        </w:rPr>
      </w:pPr>
      <w:r w:rsidRPr="003E0D31">
        <w:rPr>
          <w:rFonts w:eastAsia="Calibri"/>
          <w:szCs w:val="21"/>
          <w:lang w:bidi="ne-NP"/>
        </w:rPr>
        <w:lastRenderedPageBreak/>
        <w:t>This dissertation work combines the commonly employed overexpression tools to study the effects of a type I TA system (</w:t>
      </w:r>
      <w:proofErr w:type="spellStart"/>
      <w:r w:rsidRPr="003E0D31">
        <w:rPr>
          <w:rFonts w:eastAsia="Calibri"/>
          <w:i/>
          <w:iCs/>
          <w:szCs w:val="21"/>
          <w:lang w:bidi="ne-NP"/>
        </w:rPr>
        <w:t>zor-orz</w:t>
      </w:r>
      <w:proofErr w:type="spellEnd"/>
      <w:r w:rsidRPr="003E0D31">
        <w:rPr>
          <w:rFonts w:eastAsia="Calibri"/>
          <w:i/>
          <w:iCs/>
          <w:szCs w:val="21"/>
          <w:lang w:bidi="ne-NP"/>
        </w:rPr>
        <w:t xml:space="preserve"> </w:t>
      </w:r>
      <w:r w:rsidRPr="003E0D31">
        <w:rPr>
          <w:rFonts w:eastAsia="Calibri"/>
          <w:szCs w:val="21"/>
          <w:lang w:bidi="ne-NP"/>
        </w:rPr>
        <w:t xml:space="preserve">locus) and to determine the role of a long 5’UTR in the regulation of </w:t>
      </w:r>
      <w:proofErr w:type="spellStart"/>
      <w:r w:rsidR="006047DE" w:rsidRPr="006047DE">
        <w:rPr>
          <w:rFonts w:eastAsia="Calibri"/>
          <w:i/>
          <w:iCs/>
          <w:szCs w:val="21"/>
          <w:lang w:bidi="ne-NP"/>
        </w:rPr>
        <w:t>z</w:t>
      </w:r>
      <w:r w:rsidRPr="003E0D31">
        <w:rPr>
          <w:rFonts w:eastAsia="Calibri"/>
          <w:i/>
          <w:iCs/>
          <w:szCs w:val="21"/>
          <w:lang w:bidi="ne-NP"/>
        </w:rPr>
        <w:t>orO</w:t>
      </w:r>
      <w:proofErr w:type="spellEnd"/>
      <w:r w:rsidRPr="003E0D31">
        <w:rPr>
          <w:rFonts w:eastAsia="Calibri"/>
          <w:szCs w:val="21"/>
          <w:lang w:bidi="ne-NP"/>
        </w:rPr>
        <w:t xml:space="preserve"> translation and subsequent impacts of </w:t>
      </w:r>
      <w:proofErr w:type="spellStart"/>
      <w:r w:rsidRPr="003E0D31">
        <w:rPr>
          <w:rFonts w:eastAsia="Calibri"/>
          <w:szCs w:val="21"/>
          <w:lang w:bidi="ne-NP"/>
        </w:rPr>
        <w:t>ZorO</w:t>
      </w:r>
      <w:proofErr w:type="spellEnd"/>
      <w:r w:rsidRPr="003E0D31">
        <w:rPr>
          <w:rFonts w:eastAsia="Calibri"/>
          <w:szCs w:val="21"/>
          <w:lang w:bidi="ne-NP"/>
        </w:rPr>
        <w:t xml:space="preserve"> overproduction within the cell. While </w:t>
      </w:r>
      <w:proofErr w:type="spellStart"/>
      <w:r w:rsidRPr="003E0D31">
        <w:rPr>
          <w:rFonts w:eastAsia="Calibri"/>
          <w:szCs w:val="21"/>
          <w:lang w:bidi="ne-NP"/>
        </w:rPr>
        <w:t>ZorO</w:t>
      </w:r>
      <w:proofErr w:type="spellEnd"/>
      <w:r w:rsidRPr="003E0D31">
        <w:rPr>
          <w:rFonts w:eastAsia="Calibri"/>
          <w:szCs w:val="21"/>
          <w:lang w:bidi="ne-NP"/>
        </w:rPr>
        <w:t xml:space="preserve"> overproduction shows immediate and significant impacts in the cells, the chromosomal mutants </w:t>
      </w:r>
      <w:r w:rsidRPr="003E0D31">
        <w:rPr>
          <w:rFonts w:eastAsia="Calibri"/>
          <w:lang w:bidi="ne-NP"/>
        </w:rPr>
        <w:sym w:font="Symbol" w:char="F044"/>
      </w:r>
      <w:proofErr w:type="spellStart"/>
      <w:r w:rsidRPr="003E0D31">
        <w:rPr>
          <w:rFonts w:eastAsia="Calibri"/>
          <w:i/>
          <w:iCs/>
          <w:szCs w:val="21"/>
          <w:lang w:bidi="ne-NP"/>
        </w:rPr>
        <w:t>zor-orz</w:t>
      </w:r>
      <w:proofErr w:type="spellEnd"/>
      <w:r w:rsidRPr="003E0D31">
        <w:rPr>
          <w:rFonts w:eastAsia="Calibri"/>
          <w:szCs w:val="21"/>
          <w:lang w:bidi="ne-NP"/>
        </w:rPr>
        <w:t xml:space="preserve"> (deletion strain) and</w:t>
      </w:r>
      <w:r w:rsidRPr="003E0D31">
        <w:rPr>
          <w:rFonts w:eastAsia="Calibri"/>
          <w:i/>
          <w:iCs/>
          <w:szCs w:val="21"/>
          <w:lang w:bidi="ne-NP"/>
        </w:rPr>
        <w:t xml:space="preserve"> </w:t>
      </w:r>
      <w:r w:rsidRPr="003E0D31">
        <w:rPr>
          <w:rFonts w:eastAsia="Calibri"/>
          <w:lang w:bidi="ne-NP"/>
        </w:rPr>
        <w:sym w:font="Symbol" w:char="F044"/>
      </w:r>
      <w:r w:rsidRPr="003E0D31">
        <w:rPr>
          <w:rFonts w:eastAsia="Calibri"/>
          <w:lang w:bidi="ne-NP"/>
        </w:rPr>
        <w:t>28-</w:t>
      </w:r>
      <w:r w:rsidRPr="003E0D31">
        <w:rPr>
          <w:rFonts w:eastAsia="Calibri"/>
          <w:i/>
          <w:iCs/>
          <w:lang w:bidi="ne-NP"/>
        </w:rPr>
        <w:t>zorO</w:t>
      </w:r>
      <w:r w:rsidRPr="003E0D31">
        <w:rPr>
          <w:rFonts w:eastAsia="Calibri"/>
          <w:szCs w:val="21"/>
          <w:lang w:bidi="ne-NP"/>
        </w:rPr>
        <w:t xml:space="preserve"> (strain deleted for two regulatory elements, antitoxin </w:t>
      </w:r>
      <w:proofErr w:type="spellStart"/>
      <w:r w:rsidRPr="003E0D31">
        <w:rPr>
          <w:rFonts w:eastAsia="Calibri"/>
          <w:i/>
          <w:iCs/>
          <w:szCs w:val="21"/>
          <w:lang w:bidi="ne-NP"/>
        </w:rPr>
        <w:t>orzO</w:t>
      </w:r>
      <w:proofErr w:type="spellEnd"/>
      <w:r w:rsidRPr="003E0D31">
        <w:rPr>
          <w:rFonts w:eastAsia="Calibri"/>
          <w:szCs w:val="21"/>
          <w:lang w:bidi="ne-NP"/>
        </w:rPr>
        <w:t xml:space="preserve"> and the first 28 </w:t>
      </w:r>
      <w:proofErr w:type="spellStart"/>
      <w:r w:rsidRPr="003E0D31">
        <w:rPr>
          <w:rFonts w:eastAsia="Calibri"/>
          <w:szCs w:val="21"/>
          <w:lang w:bidi="ne-NP"/>
        </w:rPr>
        <w:t>nt</w:t>
      </w:r>
      <w:proofErr w:type="spellEnd"/>
      <w:r w:rsidRPr="003E0D31">
        <w:rPr>
          <w:rFonts w:eastAsia="Calibri"/>
          <w:szCs w:val="21"/>
          <w:lang w:bidi="ne-NP"/>
        </w:rPr>
        <w:t xml:space="preserve"> at 5’UTR of </w:t>
      </w:r>
      <w:proofErr w:type="spellStart"/>
      <w:r w:rsidRPr="003E0D31">
        <w:rPr>
          <w:rFonts w:eastAsia="Calibri"/>
          <w:i/>
          <w:iCs/>
          <w:szCs w:val="21"/>
          <w:lang w:bidi="ne-NP"/>
        </w:rPr>
        <w:t>zorO</w:t>
      </w:r>
      <w:proofErr w:type="spellEnd"/>
      <w:r w:rsidRPr="003E0D31">
        <w:rPr>
          <w:rFonts w:eastAsia="Calibri"/>
          <w:szCs w:val="21"/>
          <w:lang w:bidi="ne-NP"/>
        </w:rPr>
        <w:t xml:space="preserve"> gene) do not show significant differences in growth and physiology (in the laboratory conditions tested). The results from the overexpression system, therefore, cannot be extrapolated to infer the effects during native level expression. To address this problem, we incorporated a novel approach of utilizing a medium-copy plasmid vector cloned with the </w:t>
      </w:r>
      <w:proofErr w:type="spellStart"/>
      <w:r w:rsidRPr="003E0D31">
        <w:rPr>
          <w:rFonts w:eastAsia="Calibri"/>
          <w:i/>
          <w:iCs/>
          <w:szCs w:val="21"/>
          <w:lang w:bidi="ne-NP"/>
        </w:rPr>
        <w:t>zor-orz</w:t>
      </w:r>
      <w:proofErr w:type="spellEnd"/>
      <w:r w:rsidRPr="003E0D31">
        <w:rPr>
          <w:rFonts w:eastAsia="Calibri"/>
          <w:szCs w:val="21"/>
          <w:lang w:bidi="ne-NP"/>
        </w:rPr>
        <w:t xml:space="preserve"> locus under its own regulatory elements. Using these plasmid vectors, we implemented a commonly used disc diffusion antibiotic susceptibility assay to screen if the </w:t>
      </w:r>
      <w:proofErr w:type="spellStart"/>
      <w:r w:rsidRPr="003E0D31">
        <w:rPr>
          <w:rFonts w:eastAsia="Calibri"/>
          <w:i/>
          <w:iCs/>
          <w:szCs w:val="21"/>
          <w:lang w:bidi="ne-NP"/>
        </w:rPr>
        <w:t>zor-orz</w:t>
      </w:r>
      <w:proofErr w:type="spellEnd"/>
      <w:r w:rsidRPr="003E0D31">
        <w:rPr>
          <w:rFonts w:eastAsia="Calibri"/>
          <w:szCs w:val="21"/>
          <w:lang w:bidi="ne-NP"/>
        </w:rPr>
        <w:t xml:space="preserve"> locus is protective. In fact</w:t>
      </w:r>
      <w:r w:rsidR="00705347">
        <w:rPr>
          <w:rFonts w:eastAsia="Calibri"/>
          <w:szCs w:val="21"/>
          <w:lang w:bidi="ne-NP"/>
        </w:rPr>
        <w:t>,</w:t>
      </w:r>
      <w:r w:rsidRPr="003E0D31">
        <w:rPr>
          <w:rFonts w:eastAsia="Calibri"/>
          <w:szCs w:val="21"/>
          <w:lang w:bidi="ne-NP"/>
        </w:rPr>
        <w:t xml:space="preserve"> we found that the cells with </w:t>
      </w:r>
      <w:proofErr w:type="spellStart"/>
      <w:r w:rsidRPr="003E0D31">
        <w:rPr>
          <w:rFonts w:eastAsia="Calibri"/>
          <w:i/>
          <w:iCs/>
          <w:szCs w:val="21"/>
          <w:lang w:bidi="ne-NP"/>
        </w:rPr>
        <w:t>zor-orz</w:t>
      </w:r>
      <w:proofErr w:type="spellEnd"/>
      <w:r w:rsidRPr="003E0D31">
        <w:rPr>
          <w:rFonts w:eastAsia="Calibri"/>
          <w:szCs w:val="21"/>
          <w:lang w:bidi="ne-NP"/>
        </w:rPr>
        <w:t xml:space="preserve"> locus in </w:t>
      </w:r>
      <w:proofErr w:type="spellStart"/>
      <w:r w:rsidRPr="003E0D31">
        <w:rPr>
          <w:rFonts w:eastAsia="Calibri"/>
          <w:szCs w:val="21"/>
          <w:lang w:bidi="ne-NP"/>
        </w:rPr>
        <w:t>pBR</w:t>
      </w:r>
      <w:proofErr w:type="spellEnd"/>
      <w:r w:rsidRPr="003E0D31">
        <w:rPr>
          <w:rFonts w:eastAsia="Calibri"/>
          <w:szCs w:val="21"/>
          <w:lang w:bidi="ne-NP"/>
        </w:rPr>
        <w:t xml:space="preserve"> plasmids were more resistant to aminoglycoside antibiotics. As a preliminary step to investigate the mechanism of kanamycin resistance via </w:t>
      </w:r>
      <w:proofErr w:type="spellStart"/>
      <w:r w:rsidRPr="003E0D31">
        <w:rPr>
          <w:rFonts w:eastAsia="Calibri"/>
          <w:i/>
          <w:iCs/>
          <w:szCs w:val="21"/>
          <w:lang w:bidi="ne-NP"/>
        </w:rPr>
        <w:t>zor-orz</w:t>
      </w:r>
      <w:proofErr w:type="spellEnd"/>
      <w:r w:rsidRPr="003E0D31">
        <w:rPr>
          <w:rFonts w:eastAsia="Calibri"/>
          <w:szCs w:val="21"/>
          <w:lang w:bidi="ne-NP"/>
        </w:rPr>
        <w:t xml:space="preserve"> locus, we compare the transcriptome after kanamycin treatment. We also investigated the role of the specific charged amino acids within the </w:t>
      </w:r>
      <w:proofErr w:type="spellStart"/>
      <w:r w:rsidRPr="003E0D31">
        <w:rPr>
          <w:rFonts w:eastAsia="Calibri"/>
          <w:szCs w:val="21"/>
          <w:lang w:bidi="ne-NP"/>
        </w:rPr>
        <w:t>ZorO</w:t>
      </w:r>
      <w:proofErr w:type="spellEnd"/>
      <w:r w:rsidRPr="003E0D31">
        <w:rPr>
          <w:rFonts w:eastAsia="Calibri"/>
          <w:szCs w:val="21"/>
          <w:lang w:bidi="ne-NP"/>
        </w:rPr>
        <w:t xml:space="preserve"> sequence towards </w:t>
      </w:r>
      <w:proofErr w:type="spellStart"/>
      <w:r w:rsidRPr="003E0D31">
        <w:rPr>
          <w:rFonts w:eastAsia="Calibri"/>
          <w:szCs w:val="21"/>
          <w:lang w:bidi="ne-NP"/>
        </w:rPr>
        <w:t>ZorO</w:t>
      </w:r>
      <w:proofErr w:type="spellEnd"/>
      <w:r w:rsidRPr="003E0D31">
        <w:rPr>
          <w:rFonts w:eastAsia="Calibri"/>
          <w:szCs w:val="21"/>
          <w:lang w:bidi="ne-NP"/>
        </w:rPr>
        <w:t xml:space="preserve"> mediated toxicity in the cells. Finally, we identified that even the non-toxic mutant of </w:t>
      </w:r>
      <w:proofErr w:type="spellStart"/>
      <w:r w:rsidRPr="003E0D31">
        <w:rPr>
          <w:rFonts w:eastAsia="Calibri"/>
          <w:szCs w:val="21"/>
          <w:lang w:bidi="ne-NP"/>
        </w:rPr>
        <w:t>ZorO</w:t>
      </w:r>
      <w:proofErr w:type="spellEnd"/>
      <w:r w:rsidRPr="003E0D31">
        <w:rPr>
          <w:rFonts w:eastAsia="Calibri"/>
          <w:szCs w:val="21"/>
          <w:lang w:bidi="ne-NP"/>
        </w:rPr>
        <w:t xml:space="preserve"> that do not show effects on growth inhibition, membrane depolarization and ATP depletion is able to protect cells against kanamycin antibiotics.</w:t>
      </w:r>
    </w:p>
    <w:p w14:paraId="26239664" w14:textId="77777777" w:rsidR="003E0D31" w:rsidRPr="003E0D31" w:rsidRDefault="003E0D31" w:rsidP="003E0D31">
      <w:pPr>
        <w:spacing w:line="360" w:lineRule="auto"/>
        <w:ind w:firstLine="720"/>
        <w:rPr>
          <w:rFonts w:eastAsia="Calibri"/>
          <w:szCs w:val="21"/>
          <w:lang w:bidi="ne-NP"/>
        </w:rPr>
      </w:pPr>
      <w:r w:rsidRPr="003E0D31">
        <w:rPr>
          <w:rFonts w:eastAsia="Calibri"/>
          <w:szCs w:val="21"/>
          <w:lang w:bidi="ne-NP"/>
        </w:rPr>
        <w:t xml:space="preserve">Combining the results from the works in this dissertation, we conclude a possible role of the </w:t>
      </w:r>
      <w:proofErr w:type="spellStart"/>
      <w:r w:rsidRPr="003E0D31">
        <w:rPr>
          <w:rFonts w:eastAsia="Calibri"/>
          <w:i/>
          <w:iCs/>
          <w:szCs w:val="21"/>
          <w:lang w:bidi="ne-NP"/>
        </w:rPr>
        <w:t>zor-orz</w:t>
      </w:r>
      <w:proofErr w:type="spellEnd"/>
      <w:r w:rsidRPr="003E0D31">
        <w:rPr>
          <w:rFonts w:eastAsia="Calibri"/>
          <w:szCs w:val="21"/>
          <w:lang w:bidi="ne-NP"/>
        </w:rPr>
        <w:t xml:space="preserve"> locus in protection of the cells against specific antibiotics. Further, the results from the non-toxic mutants and other preliminary result suggests a possible expansion of the role of type I toxin-encoding RNA in bacterial cells.</w:t>
      </w:r>
    </w:p>
    <w:p w14:paraId="3E4D42B6" w14:textId="77777777" w:rsidR="003E0D31" w:rsidRPr="003E0D31" w:rsidRDefault="003E0D31" w:rsidP="003E0D31">
      <w:pPr>
        <w:rPr>
          <w:rFonts w:eastAsia="Calibri"/>
          <w:szCs w:val="21"/>
          <w:lang w:bidi="ne-NP"/>
        </w:rPr>
      </w:pPr>
      <w:r w:rsidRPr="003E0D31">
        <w:rPr>
          <w:rFonts w:eastAsia="Calibri"/>
          <w:szCs w:val="21"/>
          <w:lang w:bidi="ne-NP"/>
        </w:rPr>
        <w:br w:type="page"/>
      </w:r>
    </w:p>
    <w:p w14:paraId="3505056D" w14:textId="77777777" w:rsidR="003E0D31" w:rsidRPr="003E0D31" w:rsidRDefault="003E0D31" w:rsidP="003E0D31">
      <w:pPr>
        <w:spacing w:line="360" w:lineRule="auto"/>
        <w:ind w:left="284"/>
        <w:contextualSpacing/>
        <w:rPr>
          <w:rFonts w:eastAsia="Calibri"/>
          <w:szCs w:val="21"/>
          <w:lang w:bidi="ne-NP"/>
        </w:rPr>
      </w:pPr>
      <w:r w:rsidRPr="003E0D31">
        <w:rPr>
          <w:rFonts w:eastAsia="Calibri"/>
          <w:szCs w:val="21"/>
          <w:lang w:bidi="ne-NP"/>
        </w:rPr>
        <w:lastRenderedPageBreak/>
        <w:t xml:space="preserve"> </w:t>
      </w:r>
      <w:r w:rsidRPr="003E0D31">
        <w:rPr>
          <w:rFonts w:eastAsia="Calibri"/>
          <w:b/>
          <w:bCs/>
          <w:szCs w:val="21"/>
          <w:lang w:bidi="ne-NP"/>
        </w:rPr>
        <w:t>References</w:t>
      </w:r>
    </w:p>
    <w:p w14:paraId="1CAE011D" w14:textId="77777777" w:rsidR="003E0D31" w:rsidRPr="003E0D31" w:rsidRDefault="003E0D31" w:rsidP="00F33FC4">
      <w:pPr>
        <w:widowControl w:val="0"/>
        <w:autoSpaceDE w:val="0"/>
        <w:autoSpaceDN w:val="0"/>
        <w:adjustRightInd w:val="0"/>
        <w:spacing w:line="360" w:lineRule="auto"/>
        <w:rPr>
          <w:rFonts w:eastAsia="Calibri"/>
          <w:noProof/>
          <w:lang w:bidi="ne-NP"/>
        </w:rPr>
      </w:pPr>
    </w:p>
    <w:p w14:paraId="5A6D7932"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1. </w:t>
      </w:r>
      <w:r w:rsidRPr="003E0D31">
        <w:rPr>
          <w:rFonts w:eastAsia="Calibri"/>
          <w:noProof/>
          <w:lang w:bidi="ne-NP"/>
        </w:rPr>
        <w:tab/>
        <w:t xml:space="preserve">Shao Y, Harrison EM, Bi D, Tai C, He X, Ou H-Y, et al. TADB: a web-based resource for Type 2 toxin-antitoxin loci in bacteria and archaea. Nucleic Acids Res. 2011 Jan;39(Database issue):D606-11. </w:t>
      </w:r>
    </w:p>
    <w:p w14:paraId="34CF4DD4"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2. </w:t>
      </w:r>
      <w:r w:rsidRPr="003E0D31">
        <w:rPr>
          <w:rFonts w:eastAsia="Calibri"/>
          <w:noProof/>
          <w:lang w:bidi="ne-NP"/>
        </w:rPr>
        <w:tab/>
        <w:t xml:space="preserve">Yamaguchi Y, Park J-H, Inouye M. Toxin-antitoxin systems in bacteria and archaea. Annu Rev Genet. 2011;45:61–79. </w:t>
      </w:r>
    </w:p>
    <w:p w14:paraId="0FE98F9E"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3. </w:t>
      </w:r>
      <w:r w:rsidRPr="003E0D31">
        <w:rPr>
          <w:rFonts w:eastAsia="Calibri"/>
          <w:noProof/>
          <w:lang w:bidi="ne-NP"/>
        </w:rPr>
        <w:tab/>
        <w:t xml:space="preserve">Verstraeten N, Knapen WJ, Kint CI, Liebens V, Van den Bergh B, Dewachter L, et al. Obg and membrane depolarization are part of a microbial bet-hedging strategy that leads to antibiotic tolerance. Mol Cell. 2015 Jul 2;59(1):9–21. </w:t>
      </w:r>
    </w:p>
    <w:p w14:paraId="0E374C76"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4. </w:t>
      </w:r>
      <w:r w:rsidRPr="003E0D31">
        <w:rPr>
          <w:rFonts w:eastAsia="Calibri"/>
          <w:noProof/>
          <w:lang w:bidi="ne-NP"/>
        </w:rPr>
        <w:tab/>
        <w:t xml:space="preserve">Hall AM, Gollan B, Helaine S. Toxin-antitoxin systems: reversible toxicity. Curr Opin Microbiol. 2017 Apr;36:102–10. </w:t>
      </w:r>
    </w:p>
    <w:p w14:paraId="7A7CF6D9"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5. </w:t>
      </w:r>
      <w:r w:rsidRPr="003E0D31">
        <w:rPr>
          <w:rFonts w:eastAsia="Calibri"/>
          <w:noProof/>
          <w:lang w:bidi="ne-NP"/>
        </w:rPr>
        <w:tab/>
        <w:t xml:space="preserve">Aakre CD, Phung TN, Huang D, Laub MT. A bacterial toxin inhibits DNA replication elongation through a direct interaction with the β sliding clamp. Mol Cell. 2013 Dec 12;52(5):617–28. </w:t>
      </w:r>
    </w:p>
    <w:p w14:paraId="2716D493"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6. </w:t>
      </w:r>
      <w:r w:rsidRPr="003E0D31">
        <w:rPr>
          <w:rFonts w:eastAsia="Calibri"/>
          <w:noProof/>
          <w:lang w:bidi="ne-NP"/>
        </w:rPr>
        <w:tab/>
        <w:t xml:space="preserve">Ogura T, Hiraga S. Mini-F plasmid genes that couple host cell division to plasmid proliferation. Proc Natl Acad Sci USA. 1983 Aug;80(15):4784–8. </w:t>
      </w:r>
    </w:p>
    <w:p w14:paraId="31E5DB0D"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7. </w:t>
      </w:r>
      <w:r w:rsidRPr="003E0D31">
        <w:rPr>
          <w:rFonts w:eastAsia="Calibri"/>
          <w:noProof/>
          <w:lang w:bidi="ne-NP"/>
        </w:rPr>
        <w:tab/>
        <w:t xml:space="preserve">Gerdes K, Larsen JE, Molin S. Stable inheritance of plasmid R1 requires two different loci. J Bacteriol. 1985 Jan;161(1):292–8. </w:t>
      </w:r>
    </w:p>
    <w:p w14:paraId="5A115EC8"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8. </w:t>
      </w:r>
      <w:r w:rsidRPr="003E0D31">
        <w:rPr>
          <w:rFonts w:eastAsia="Calibri"/>
          <w:noProof/>
          <w:lang w:bidi="ne-NP"/>
        </w:rPr>
        <w:tab/>
        <w:t xml:space="preserve">Unterholzner SJ, Poppenberger B, Rozhon W. Toxin-antitoxin systems: Biology, identification, and application. Mob Genet Elements. 2013 Sep 1;3(5):e26219. </w:t>
      </w:r>
    </w:p>
    <w:p w14:paraId="676E0F6C"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9. </w:t>
      </w:r>
      <w:r w:rsidRPr="003E0D31">
        <w:rPr>
          <w:rFonts w:eastAsia="Calibri"/>
          <w:noProof/>
          <w:lang w:bidi="ne-NP"/>
        </w:rPr>
        <w:tab/>
        <w:t xml:space="preserve">Fozo EM, Makarova KS, Shabalina SA, Yutin N, Koonin EV, Storz G. Abundance of type I toxin-antitoxin systems in bacteria: searches for new candidates and discovery of novel families. Nucleic Acids Res. 2010 Jun;38(11):3743–59. </w:t>
      </w:r>
    </w:p>
    <w:p w14:paraId="04528A3D"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10. </w:t>
      </w:r>
      <w:r w:rsidRPr="003E0D31">
        <w:rPr>
          <w:rFonts w:eastAsia="Calibri"/>
          <w:noProof/>
          <w:lang w:bidi="ne-NP"/>
        </w:rPr>
        <w:tab/>
        <w:t xml:space="preserve">Makarova KS, Wolf YI, Koonin EV. Comprehensive comparative-genomic analysis of type 2 toxin-antitoxin systems and related mobile stress response systems in prokaryotes. Biol Direct. 2009 Jun 3;4:19. </w:t>
      </w:r>
    </w:p>
    <w:p w14:paraId="6D8DFE21"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11. </w:t>
      </w:r>
      <w:r w:rsidRPr="003E0D31">
        <w:rPr>
          <w:rFonts w:eastAsia="Calibri"/>
          <w:noProof/>
          <w:lang w:bidi="ne-NP"/>
        </w:rPr>
        <w:tab/>
        <w:t xml:space="preserve">Pedersen K, Gerdes K. Multiple hok genes on the chromosome of </w:t>
      </w:r>
      <w:r w:rsidRPr="003E0D31">
        <w:rPr>
          <w:rFonts w:eastAsia="Calibri"/>
          <w:i/>
          <w:iCs/>
          <w:noProof/>
          <w:lang w:bidi="ne-NP"/>
        </w:rPr>
        <w:t>Escherichia coli</w:t>
      </w:r>
      <w:r w:rsidRPr="003E0D31">
        <w:rPr>
          <w:rFonts w:eastAsia="Calibri"/>
          <w:noProof/>
          <w:lang w:bidi="ne-NP"/>
        </w:rPr>
        <w:t xml:space="preserve">. Mol Microbiol. 1999 Jun;32(5):1090–102. </w:t>
      </w:r>
    </w:p>
    <w:p w14:paraId="7B5B2C20"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12. </w:t>
      </w:r>
      <w:r w:rsidRPr="003E0D31">
        <w:rPr>
          <w:rFonts w:eastAsia="Calibri"/>
          <w:noProof/>
          <w:lang w:bidi="ne-NP"/>
        </w:rPr>
        <w:tab/>
        <w:t xml:space="preserve">Fozo EM, Kawano M, Fontaine F, Kaya Y, Mendieta KS, Jones KL, et al. </w:t>
      </w:r>
      <w:r w:rsidRPr="003E0D31">
        <w:rPr>
          <w:rFonts w:eastAsia="Calibri"/>
          <w:noProof/>
          <w:lang w:bidi="ne-NP"/>
        </w:rPr>
        <w:lastRenderedPageBreak/>
        <w:t xml:space="preserve">Repression of small toxic protein synthesis by the Sib and OhsC small RNAs. Mol Microbiol. 2008 Dec;70(5):1076–93. </w:t>
      </w:r>
    </w:p>
    <w:p w14:paraId="73B8B671"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13. </w:t>
      </w:r>
      <w:r w:rsidRPr="003E0D31">
        <w:rPr>
          <w:rFonts w:eastAsia="Calibri"/>
          <w:noProof/>
          <w:lang w:bidi="ne-NP"/>
        </w:rPr>
        <w:tab/>
        <w:t xml:space="preserve">Silvaggi JM, Perkins JB, Losick R. Small untranslated RNA antitoxin in </w:t>
      </w:r>
      <w:r w:rsidRPr="003E0D31">
        <w:rPr>
          <w:rFonts w:eastAsia="Calibri"/>
          <w:i/>
          <w:iCs/>
          <w:noProof/>
          <w:lang w:bidi="ne-NP"/>
        </w:rPr>
        <w:t>Bacillus subtilis</w:t>
      </w:r>
      <w:r w:rsidRPr="003E0D31">
        <w:rPr>
          <w:rFonts w:eastAsia="Calibri"/>
          <w:noProof/>
          <w:lang w:bidi="ne-NP"/>
        </w:rPr>
        <w:t xml:space="preserve">. J Bacteriol. 2005 Oct;187(19):6641–50. </w:t>
      </w:r>
    </w:p>
    <w:p w14:paraId="103BFFC5"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14. </w:t>
      </w:r>
      <w:r w:rsidRPr="003E0D31">
        <w:rPr>
          <w:rFonts w:eastAsia="Calibri"/>
          <w:noProof/>
          <w:lang w:bidi="ne-NP"/>
        </w:rPr>
        <w:tab/>
        <w:t xml:space="preserve">Brantl S. Bacterial type I toxin-antitoxin systems. RNA Biol. 2012 Dec 1;9(12):1488–90. </w:t>
      </w:r>
    </w:p>
    <w:p w14:paraId="68CFDFA3"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15. </w:t>
      </w:r>
      <w:r w:rsidRPr="003E0D31">
        <w:rPr>
          <w:rFonts w:eastAsia="Calibri"/>
          <w:noProof/>
          <w:lang w:bidi="ne-NP"/>
        </w:rPr>
        <w:tab/>
        <w:t xml:space="preserve">Côté J-P, French S, Gehrke SS, MacNair CR, Mangat CS, Bharat A, et al. The Genome-Wide Interaction Network of Nutrient Stress Genes in Escherichia coli. MBio. 2016 Nov 22;7(6). </w:t>
      </w:r>
    </w:p>
    <w:p w14:paraId="09C35D77"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16. </w:t>
      </w:r>
      <w:r w:rsidRPr="003E0D31">
        <w:rPr>
          <w:rFonts w:eastAsia="Calibri"/>
          <w:noProof/>
          <w:lang w:bidi="ne-NP"/>
        </w:rPr>
        <w:tab/>
        <w:t xml:space="preserve">Maisonneuve E, Shakespeare LJ, Jørgensen MG, Gerdes K. Bacterial persistence by RNA endonucleases. Proc Natl Acad Sci USA. 2011 Aug 9;108(32):13206–11. </w:t>
      </w:r>
    </w:p>
    <w:p w14:paraId="26E54B44"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17. </w:t>
      </w:r>
      <w:r w:rsidRPr="003E0D31">
        <w:rPr>
          <w:rFonts w:eastAsia="Calibri"/>
          <w:noProof/>
          <w:lang w:bidi="ne-NP"/>
        </w:rPr>
        <w:tab/>
        <w:t xml:space="preserve">Wen Y, Behiels E, Devreese B. Toxin-Antitoxin systems: their role in persistence, biofilm formation, and pathogenicity. Pathog Dis. 2014 Apr;70(3):240–9. </w:t>
      </w:r>
    </w:p>
    <w:p w14:paraId="4585298C"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18. </w:t>
      </w:r>
      <w:r w:rsidRPr="003E0D31">
        <w:rPr>
          <w:rFonts w:eastAsia="Calibri"/>
          <w:noProof/>
          <w:lang w:bidi="ne-NP"/>
        </w:rPr>
        <w:tab/>
        <w:t xml:space="preserve">Lobato-Márquez D, Díaz-Orejas R, García-Del Portillo F. Toxin-antitoxins and bacterial virulence. FEMS Microbiol Rev. 2016 Jul 29;40(5):592–609. </w:t>
      </w:r>
    </w:p>
    <w:p w14:paraId="2097C264"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19. </w:t>
      </w:r>
      <w:r w:rsidRPr="003E0D31">
        <w:rPr>
          <w:rFonts w:eastAsia="Calibri"/>
          <w:noProof/>
          <w:lang w:bidi="ne-NP"/>
        </w:rPr>
        <w:tab/>
        <w:t xml:space="preserve">Wang X, Wood TK. Toxin-antitoxin systems influence biofilm and persister cell formation and the general stress response. Appl Environ Microbiol. 2011 Aug 15;77(16):5577–83. </w:t>
      </w:r>
    </w:p>
    <w:p w14:paraId="79094AB2"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20. </w:t>
      </w:r>
      <w:r w:rsidRPr="003E0D31">
        <w:rPr>
          <w:rFonts w:eastAsia="Calibri"/>
          <w:noProof/>
          <w:lang w:bidi="ne-NP"/>
        </w:rPr>
        <w:tab/>
        <w:t xml:space="preserve">Fernández-García L, Blasco L, Lopez M, Bou G, García-Contreras R, Wood T, et al. Toxin-Antitoxin Systems in Clinical Pathogens. Toxins (Basel). 2016 Jul 20;8(7). </w:t>
      </w:r>
    </w:p>
    <w:p w14:paraId="74837CBB"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21. </w:t>
      </w:r>
      <w:r w:rsidRPr="003E0D31">
        <w:rPr>
          <w:rFonts w:eastAsia="Calibri"/>
          <w:noProof/>
          <w:lang w:bidi="ne-NP"/>
        </w:rPr>
        <w:tab/>
        <w:t xml:space="preserve">Kolodkin-Gal I, Verdiger R, Shlosberg-Fedida A, Engelberg-Kulka H. A differential effect of </w:t>
      </w:r>
      <w:r w:rsidRPr="003E0D31">
        <w:rPr>
          <w:rFonts w:eastAsia="Calibri"/>
          <w:i/>
          <w:iCs/>
          <w:noProof/>
          <w:lang w:bidi="ne-NP"/>
        </w:rPr>
        <w:t>E. coli</w:t>
      </w:r>
      <w:r w:rsidRPr="003E0D31">
        <w:rPr>
          <w:rFonts w:eastAsia="Calibri"/>
          <w:noProof/>
          <w:lang w:bidi="ne-NP"/>
        </w:rPr>
        <w:t xml:space="preserve"> toxin-antitoxin systems on cell death in liquid media and biofilm formation. PLoS One. 2009 Aug 26;4(8):e6785. </w:t>
      </w:r>
    </w:p>
    <w:p w14:paraId="73550BB0"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22. </w:t>
      </w:r>
      <w:r w:rsidRPr="003E0D31">
        <w:rPr>
          <w:rFonts w:eastAsia="Calibri"/>
          <w:noProof/>
          <w:lang w:bidi="ne-NP"/>
        </w:rPr>
        <w:tab/>
        <w:t xml:space="preserve">Bigger J. treatment of staphylococcal infections with penicillin by intermittent sterilisation. Lancet. 1944 Oct;244(6320):497–500. </w:t>
      </w:r>
    </w:p>
    <w:p w14:paraId="20AE6596"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23. </w:t>
      </w:r>
      <w:r w:rsidRPr="003E0D31">
        <w:rPr>
          <w:rFonts w:eastAsia="Calibri"/>
          <w:noProof/>
          <w:lang w:bidi="ne-NP"/>
        </w:rPr>
        <w:tab/>
        <w:t xml:space="preserve">Hobby GL, Meyer K, Chaffee E. Observations on the mechanism of action of penicillin. Exp Biol Med. 1942 Jun 1;50(2):281–5. </w:t>
      </w:r>
    </w:p>
    <w:p w14:paraId="5D7BEEB4"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24. </w:t>
      </w:r>
      <w:r w:rsidRPr="003E0D31">
        <w:rPr>
          <w:rFonts w:eastAsia="Calibri"/>
          <w:noProof/>
          <w:lang w:bidi="ne-NP"/>
        </w:rPr>
        <w:tab/>
        <w:t xml:space="preserve">Harms A, Maisonneuve E, Gerdes K. Mechanisms of bacterial persistence during </w:t>
      </w:r>
      <w:r w:rsidRPr="003E0D31">
        <w:rPr>
          <w:rFonts w:eastAsia="Calibri"/>
          <w:noProof/>
          <w:lang w:bidi="ne-NP"/>
        </w:rPr>
        <w:lastRenderedPageBreak/>
        <w:t xml:space="preserve">stress and antibiotic exposure. Science. 2016 Dec 16;354(6318). </w:t>
      </w:r>
    </w:p>
    <w:p w14:paraId="7681469B"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25. </w:t>
      </w:r>
      <w:r w:rsidRPr="003E0D31">
        <w:rPr>
          <w:rFonts w:eastAsia="Calibri"/>
          <w:noProof/>
          <w:lang w:bidi="ne-NP"/>
        </w:rPr>
        <w:tab/>
        <w:t xml:space="preserve">Chowdhury N, Kwan BW, Wood TK. Persistence increases in the absence of the alarmone guanosine tetraphosphate by reducing cell growth. Sci Rep. 2016 Feb 3;6(1):20519. </w:t>
      </w:r>
    </w:p>
    <w:p w14:paraId="587E92A1"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26. </w:t>
      </w:r>
      <w:r w:rsidRPr="003E0D31">
        <w:rPr>
          <w:rFonts w:eastAsia="Calibri"/>
          <w:noProof/>
          <w:lang w:bidi="ne-NP"/>
        </w:rPr>
        <w:tab/>
        <w:t xml:space="preserve">Page R, Peti W. Toxin-antitoxin systems in bacterial growth arrest and persistence. Nat Chem Biol. 2016 Apr;12(4):208–14. </w:t>
      </w:r>
    </w:p>
    <w:p w14:paraId="0ACC211A"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27. </w:t>
      </w:r>
      <w:r w:rsidRPr="003E0D31">
        <w:rPr>
          <w:rFonts w:eastAsia="Calibri"/>
          <w:noProof/>
          <w:lang w:bidi="ne-NP"/>
        </w:rPr>
        <w:tab/>
        <w:t xml:space="preserve">Van Melderen L, Saavedra De Bast M. Bacterial toxin-antitoxin systems: more than selfish entities? PLoS Genet. 2009 Mar 27;5(3):e1000437. </w:t>
      </w:r>
    </w:p>
    <w:p w14:paraId="541EAA87"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28. </w:t>
      </w:r>
      <w:r w:rsidRPr="003E0D31">
        <w:rPr>
          <w:rFonts w:eastAsia="Calibri"/>
          <w:noProof/>
          <w:lang w:bidi="ne-NP"/>
        </w:rPr>
        <w:tab/>
        <w:t xml:space="preserve">Wang X, Yao J, Sun Y-C, Wood TK. Type VII Toxin/Antitoxin Classification System for Antitoxins that Enzymatically Neutralize Toxins. Trends Microbiol. 2021 May;29(5):388–93. </w:t>
      </w:r>
    </w:p>
    <w:p w14:paraId="3780CCD8"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29. </w:t>
      </w:r>
      <w:r w:rsidRPr="003E0D31">
        <w:rPr>
          <w:rFonts w:eastAsia="Calibri"/>
          <w:noProof/>
          <w:lang w:bidi="ne-NP"/>
        </w:rPr>
        <w:tab/>
        <w:t xml:space="preserve">Choi JS, Kim W, Suk S, Park H, Bak G, Yoon J, et al. The small RNA, SdsR, acts as a novel type of toxin in </w:t>
      </w:r>
      <w:r w:rsidRPr="003E0D31">
        <w:rPr>
          <w:rFonts w:eastAsia="Calibri"/>
          <w:i/>
          <w:iCs/>
          <w:noProof/>
          <w:lang w:bidi="ne-NP"/>
        </w:rPr>
        <w:t>Escherichia coli</w:t>
      </w:r>
      <w:r w:rsidRPr="003E0D31">
        <w:rPr>
          <w:rFonts w:eastAsia="Calibri"/>
          <w:noProof/>
          <w:lang w:bidi="ne-NP"/>
        </w:rPr>
        <w:t xml:space="preserve">. RNA Biol. 2018 Oct 18;15(10):1319–35. </w:t>
      </w:r>
    </w:p>
    <w:p w14:paraId="633F3F1A"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30. </w:t>
      </w:r>
      <w:r w:rsidRPr="003E0D31">
        <w:rPr>
          <w:rFonts w:eastAsia="Calibri"/>
          <w:noProof/>
          <w:lang w:bidi="ne-NP"/>
        </w:rPr>
        <w:tab/>
        <w:t xml:space="preserve">Li M, Gong L, Cheng F, Yu H, Zhao D, Wang R, et al. Toxin-antitoxin RNA pairs safeguard CRISPR-Cas systems. Science. 2021 Apr 30;372(6541). </w:t>
      </w:r>
    </w:p>
    <w:p w14:paraId="0C64B0F9"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31. </w:t>
      </w:r>
      <w:r w:rsidRPr="003E0D31">
        <w:rPr>
          <w:rFonts w:eastAsia="Calibri"/>
          <w:noProof/>
          <w:lang w:bidi="ne-NP"/>
        </w:rPr>
        <w:tab/>
        <w:t xml:space="preserve">Wen J, Fozo EM. sRNA antitoxins: more than one way to repress a toxin. Toxins (Basel). 2014 Aug 4;6(8):2310–35. </w:t>
      </w:r>
    </w:p>
    <w:p w14:paraId="0DE602D9" w14:textId="01975DCC"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32. </w:t>
      </w:r>
      <w:r w:rsidRPr="003E0D31">
        <w:rPr>
          <w:rFonts w:eastAsia="Calibri"/>
          <w:noProof/>
          <w:lang w:bidi="ne-NP"/>
        </w:rPr>
        <w:tab/>
        <w:t xml:space="preserve">Fozo EM, Hemm MR, Storz G. Small toxic proteins and the antisense RNAs that repress them. Microbiol Mol Biol Rev. 2008 Dec;72(4):579–89. </w:t>
      </w:r>
    </w:p>
    <w:p w14:paraId="4C07EFC3"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33. </w:t>
      </w:r>
      <w:r w:rsidRPr="003E0D31">
        <w:rPr>
          <w:rFonts w:eastAsia="Calibri"/>
          <w:noProof/>
          <w:lang w:bidi="ne-NP"/>
        </w:rPr>
        <w:tab/>
        <w:t xml:space="preserve">Gerdes K, Rasmussen PB, Molin S. Unique type of plasmid maintenance function: postsegregational killing of plasmid-free cells. Proc Natl Acad Sci USA. 1986 May;83(10):3116–20. </w:t>
      </w:r>
    </w:p>
    <w:p w14:paraId="6785D6C4"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34. </w:t>
      </w:r>
      <w:r w:rsidRPr="003E0D31">
        <w:rPr>
          <w:rFonts w:eastAsia="Calibri"/>
          <w:noProof/>
          <w:lang w:bidi="ne-NP"/>
        </w:rPr>
        <w:tab/>
        <w:t xml:space="preserve">Fineran PC, Blower TR, Foulds IJ, Humphreys DP, Lilley KS, Salmond GPC. The phage abortive infection system, ToxIN, functions as a protein-RNA toxin-antitoxin pair. Proc Natl Acad Sci USA. 2009 Jan 20;106(3):894–9. </w:t>
      </w:r>
    </w:p>
    <w:p w14:paraId="148D0F9F"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35. </w:t>
      </w:r>
      <w:r w:rsidRPr="003E0D31">
        <w:rPr>
          <w:rFonts w:eastAsia="Calibri"/>
          <w:noProof/>
          <w:lang w:bidi="ne-NP"/>
        </w:rPr>
        <w:tab/>
        <w:t xml:space="preserve">Masuda H, Tan Q, Awano N, Wu K-P, Inouye M. YeeU enhances the bundling of cytoskeletal polymers of MreB and FtsZ, antagonizing the CbtA (YeeV) toxicity in Escherichia coli. Mol Microbiol. 2012 Jun;84(5):979–89. </w:t>
      </w:r>
    </w:p>
    <w:p w14:paraId="029D0841"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36. </w:t>
      </w:r>
      <w:r w:rsidRPr="003E0D31">
        <w:rPr>
          <w:rFonts w:eastAsia="Calibri"/>
          <w:noProof/>
          <w:lang w:bidi="ne-NP"/>
        </w:rPr>
        <w:tab/>
        <w:t xml:space="preserve">Wang X, Lord DM, Cheng H-Y, Osbourne DO, Hong SH, Sanchez-Torres V, et al. </w:t>
      </w:r>
      <w:r w:rsidRPr="003E0D31">
        <w:rPr>
          <w:rFonts w:eastAsia="Calibri"/>
          <w:noProof/>
          <w:lang w:bidi="ne-NP"/>
        </w:rPr>
        <w:lastRenderedPageBreak/>
        <w:t xml:space="preserve">A new type V toxin-antitoxin system where mRNA for toxin GhoT is cleaved by antitoxin GhoS. Nat Chem Biol. 2012 Oct;8(10):855–61. </w:t>
      </w:r>
    </w:p>
    <w:p w14:paraId="5D524FA6"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37. </w:t>
      </w:r>
      <w:r w:rsidRPr="003E0D31">
        <w:rPr>
          <w:rFonts w:eastAsia="Calibri"/>
          <w:noProof/>
          <w:lang w:bidi="ne-NP"/>
        </w:rPr>
        <w:tab/>
        <w:t xml:space="preserve">Marimon O, Teixeira JMC, Cordeiro TN, Soo VWC, Wood TL, Mayzel M, et al. An oxygen-sensitive toxin-antitoxin system. Nat Commun. 2016 Dec 8;7:13634. </w:t>
      </w:r>
    </w:p>
    <w:p w14:paraId="39C66953"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38. </w:t>
      </w:r>
      <w:r w:rsidRPr="003E0D31">
        <w:rPr>
          <w:rFonts w:eastAsia="Calibri"/>
          <w:noProof/>
          <w:lang w:bidi="ne-NP"/>
        </w:rPr>
        <w:tab/>
        <w:t xml:space="preserve">Weaver KE, Tritle DJ. Identification and characterization of an </w:t>
      </w:r>
      <w:r w:rsidRPr="003E0D31">
        <w:rPr>
          <w:rFonts w:eastAsia="Calibri"/>
          <w:i/>
          <w:iCs/>
          <w:noProof/>
          <w:lang w:bidi="ne-NP"/>
        </w:rPr>
        <w:t>Enterococcus faecalis</w:t>
      </w:r>
      <w:r w:rsidRPr="003E0D31">
        <w:rPr>
          <w:rFonts w:eastAsia="Calibri"/>
          <w:noProof/>
          <w:lang w:bidi="ne-NP"/>
        </w:rPr>
        <w:t xml:space="preserve"> plasmid pAD1-encoded stability determinant which produces two small RNA molecules necessary for its function. Plasmid. 1994 Sep;32(2):168–81. </w:t>
      </w:r>
    </w:p>
    <w:p w14:paraId="0BC373B7"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39. </w:t>
      </w:r>
      <w:r w:rsidRPr="003E0D31">
        <w:rPr>
          <w:rFonts w:eastAsia="Calibri"/>
          <w:noProof/>
          <w:lang w:bidi="ne-NP"/>
        </w:rPr>
        <w:tab/>
        <w:t xml:space="preserve">Bustamante P, Vidal R. Repertoire and Diversity of Toxin - Antitoxin systems of crohn’s disease-associated adherent-invasive </w:t>
      </w:r>
      <w:r w:rsidRPr="003E0D31">
        <w:rPr>
          <w:rFonts w:eastAsia="Calibri"/>
          <w:i/>
          <w:iCs/>
          <w:noProof/>
          <w:lang w:bidi="ne-NP"/>
        </w:rPr>
        <w:t>Escherichia coli</w:t>
      </w:r>
      <w:r w:rsidRPr="003E0D31">
        <w:rPr>
          <w:rFonts w:eastAsia="Calibri"/>
          <w:noProof/>
          <w:lang w:bidi="ne-NP"/>
        </w:rPr>
        <w:t xml:space="preserve">. New insight of this emergent </w:t>
      </w:r>
      <w:r w:rsidRPr="003E0D31">
        <w:rPr>
          <w:rFonts w:eastAsia="Calibri"/>
          <w:i/>
          <w:iCs/>
          <w:noProof/>
          <w:lang w:bidi="ne-NP"/>
        </w:rPr>
        <w:t>E. coli</w:t>
      </w:r>
      <w:r w:rsidRPr="003E0D31">
        <w:rPr>
          <w:rFonts w:eastAsia="Calibri"/>
          <w:noProof/>
          <w:lang w:bidi="ne-NP"/>
        </w:rPr>
        <w:t xml:space="preserve"> pathotype. Front Microbiol. 2020 May 6;11:807. </w:t>
      </w:r>
    </w:p>
    <w:p w14:paraId="643AEFCC"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40. </w:t>
      </w:r>
      <w:r w:rsidRPr="003E0D31">
        <w:rPr>
          <w:rFonts w:eastAsia="Calibri"/>
          <w:noProof/>
          <w:lang w:bidi="ne-NP"/>
        </w:rPr>
        <w:tab/>
        <w:t xml:space="preserve">Fozo EM. New type I toxin-antitoxin families from “wild” and laboratory strains of </w:t>
      </w:r>
      <w:r w:rsidRPr="003E0D31">
        <w:rPr>
          <w:rFonts w:eastAsia="Calibri"/>
          <w:i/>
          <w:iCs/>
          <w:noProof/>
          <w:lang w:bidi="ne-NP"/>
        </w:rPr>
        <w:t>E. coli</w:t>
      </w:r>
      <w:r w:rsidRPr="003E0D31">
        <w:rPr>
          <w:rFonts w:eastAsia="Calibri"/>
          <w:noProof/>
          <w:lang w:bidi="ne-NP"/>
        </w:rPr>
        <w:t xml:space="preserve">: Ibs-Sib, ShoB-OhsC and Zor-Orz. RNA Biol. 2012 Dec;9(12):1504–12. </w:t>
      </w:r>
    </w:p>
    <w:p w14:paraId="440E476A"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41. </w:t>
      </w:r>
      <w:r w:rsidRPr="003E0D31">
        <w:rPr>
          <w:rFonts w:eastAsia="Calibri"/>
          <w:noProof/>
          <w:lang w:bidi="ne-NP"/>
        </w:rPr>
        <w:tab/>
        <w:t xml:space="preserve">Masachis S, Darfeuille F. Type I toxin-antitoxin systems: regulating toxin expression via shine-dalgarno sequence sequestration and small RNA binding. Microbiol Spectr. 2018;6(4). </w:t>
      </w:r>
    </w:p>
    <w:p w14:paraId="72D69355"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42. </w:t>
      </w:r>
      <w:r w:rsidRPr="003E0D31">
        <w:rPr>
          <w:rFonts w:eastAsia="Calibri"/>
          <w:noProof/>
          <w:lang w:bidi="ne-NP"/>
        </w:rPr>
        <w:tab/>
        <w:t xml:space="preserve">Weaver K. The </w:t>
      </w:r>
      <w:r w:rsidRPr="003E0D31">
        <w:rPr>
          <w:rFonts w:eastAsia="Calibri"/>
          <w:i/>
          <w:iCs/>
          <w:noProof/>
          <w:lang w:bidi="ne-NP"/>
        </w:rPr>
        <w:t>fst/ldr</w:t>
      </w:r>
      <w:r w:rsidRPr="003E0D31">
        <w:rPr>
          <w:rFonts w:eastAsia="Calibri"/>
          <w:noProof/>
          <w:lang w:bidi="ne-NP"/>
        </w:rPr>
        <w:t xml:space="preserve"> family of type I TA system toxins: potential roles in stress response, metabolism and pathogenesis. Toxins (Basel). 2020 Jul 25;12(8). </w:t>
      </w:r>
    </w:p>
    <w:p w14:paraId="2CDF1E50"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43. </w:t>
      </w:r>
      <w:r w:rsidRPr="003E0D31">
        <w:rPr>
          <w:rFonts w:eastAsia="Calibri"/>
          <w:noProof/>
          <w:lang w:bidi="ne-NP"/>
        </w:rPr>
        <w:tab/>
        <w:t xml:space="preserve">Coray DS, Wheeler NE, Heinemann JA, Gardner PP. Why so narrow: distribution of anti-sense regulated, type I toxin-antitoxin systems compared with type II and type III systems. RNA Biol. 2017 Jan 9;14(3):1–6. </w:t>
      </w:r>
    </w:p>
    <w:p w14:paraId="069AB56A"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44. </w:t>
      </w:r>
      <w:r w:rsidRPr="003E0D31">
        <w:rPr>
          <w:rFonts w:eastAsia="Calibri"/>
          <w:noProof/>
          <w:lang w:bidi="ne-NP"/>
        </w:rPr>
        <w:tab/>
        <w:t xml:space="preserve">Sharma CM, Hoffmann S, Darfeuille F, Reignier J, Findeiss S, Sittka A, et al. The primary transcriptome of the major human pathogen </w:t>
      </w:r>
      <w:r w:rsidRPr="003E0D31">
        <w:rPr>
          <w:rFonts w:eastAsia="Calibri"/>
          <w:i/>
          <w:iCs/>
          <w:noProof/>
          <w:lang w:bidi="ne-NP"/>
        </w:rPr>
        <w:t>Helicobacter pylori</w:t>
      </w:r>
      <w:r w:rsidRPr="003E0D31">
        <w:rPr>
          <w:rFonts w:eastAsia="Calibri"/>
          <w:noProof/>
          <w:lang w:bidi="ne-NP"/>
        </w:rPr>
        <w:t xml:space="preserve">. Nature. 2010 Mar 11;464(7286):250–5. </w:t>
      </w:r>
    </w:p>
    <w:p w14:paraId="782E4885"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45. </w:t>
      </w:r>
      <w:r w:rsidRPr="003E0D31">
        <w:rPr>
          <w:rFonts w:eastAsia="Calibri"/>
          <w:noProof/>
          <w:lang w:bidi="ne-NP"/>
        </w:rPr>
        <w:tab/>
        <w:t xml:space="preserve">Kawano M, Aravind L, Storz G. An antisense RNA controls synthesis of an SOS-induced toxin evolved from an antitoxin. Mol Microbiol. 2007 May;64(3):738–54. </w:t>
      </w:r>
    </w:p>
    <w:p w14:paraId="22A10C2E"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46. </w:t>
      </w:r>
      <w:r w:rsidRPr="003E0D31">
        <w:rPr>
          <w:rFonts w:eastAsia="Calibri"/>
          <w:noProof/>
          <w:lang w:bidi="ne-NP"/>
        </w:rPr>
        <w:tab/>
        <w:t xml:space="preserve">Weaver J, Mohammad F, Buskirk AR, Storz G. Identifying small proteins by ribosome profiling with stalled initiation complexes. MBio. 2019 Mar 5;10(2). </w:t>
      </w:r>
    </w:p>
    <w:p w14:paraId="175D0FEA"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47. </w:t>
      </w:r>
      <w:r w:rsidRPr="003E0D31">
        <w:rPr>
          <w:rFonts w:eastAsia="Calibri"/>
          <w:noProof/>
          <w:lang w:bidi="ne-NP"/>
        </w:rPr>
        <w:tab/>
        <w:t xml:space="preserve">Brar GA, Weissman JS. Ribosome profiling reveals the what, when, where and how of protein synthesis. Nat Rev Mol Cell Biol. 2015 Nov;16(11):651–64. </w:t>
      </w:r>
    </w:p>
    <w:p w14:paraId="68383742"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48. </w:t>
      </w:r>
      <w:r w:rsidRPr="003E0D31">
        <w:rPr>
          <w:rFonts w:eastAsia="Calibri"/>
          <w:noProof/>
          <w:lang w:bidi="ne-NP"/>
        </w:rPr>
        <w:tab/>
        <w:t xml:space="preserve">Brantl S, Müller P. Toxin-antitoxin systems in </w:t>
      </w:r>
      <w:r w:rsidRPr="003E0D31">
        <w:rPr>
          <w:rFonts w:eastAsia="Calibri"/>
          <w:i/>
          <w:iCs/>
          <w:noProof/>
          <w:lang w:bidi="ne-NP"/>
        </w:rPr>
        <w:t>Bacillus subtilis.</w:t>
      </w:r>
      <w:r w:rsidRPr="003E0D31">
        <w:rPr>
          <w:rFonts w:eastAsia="Calibri"/>
          <w:noProof/>
          <w:lang w:bidi="ne-NP"/>
        </w:rPr>
        <w:t xml:space="preserve"> Toxins (Basel). </w:t>
      </w:r>
      <w:r w:rsidRPr="003E0D31">
        <w:rPr>
          <w:rFonts w:eastAsia="Calibri"/>
          <w:noProof/>
          <w:lang w:bidi="ne-NP"/>
        </w:rPr>
        <w:lastRenderedPageBreak/>
        <w:t xml:space="preserve">2019 May 9;11(5). </w:t>
      </w:r>
    </w:p>
    <w:p w14:paraId="4FACC21B"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49. </w:t>
      </w:r>
      <w:r w:rsidRPr="003E0D31">
        <w:rPr>
          <w:rFonts w:eastAsia="Calibri"/>
          <w:noProof/>
          <w:lang w:bidi="ne-NP"/>
        </w:rPr>
        <w:tab/>
        <w:t xml:space="preserve">Andresen L, Martínez-Burgo Y, Nilsson Zangelin J, Rizvanovic A, Holmqvist E. The small toxic </w:t>
      </w:r>
      <w:r w:rsidRPr="003E0D31">
        <w:rPr>
          <w:rFonts w:eastAsia="Calibri"/>
          <w:i/>
          <w:iCs/>
          <w:noProof/>
          <w:lang w:bidi="ne-NP"/>
        </w:rPr>
        <w:t>Salmonella</w:t>
      </w:r>
      <w:r w:rsidRPr="003E0D31">
        <w:rPr>
          <w:rFonts w:eastAsia="Calibri"/>
          <w:noProof/>
          <w:lang w:bidi="ne-NP"/>
        </w:rPr>
        <w:t xml:space="preserve"> protein TimP targets the cytoplasmic membrane and is repressed by the small RNA TimR. MBio. 2020 Nov 10;11(6). </w:t>
      </w:r>
    </w:p>
    <w:p w14:paraId="319F6B90"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50. </w:t>
      </w:r>
      <w:r w:rsidRPr="003E0D31">
        <w:rPr>
          <w:rFonts w:eastAsia="Calibri"/>
          <w:noProof/>
          <w:lang w:bidi="ne-NP"/>
        </w:rPr>
        <w:tab/>
        <w:t xml:space="preserve">Aizenman E, Engelberg-Kulka H, Glaser G. An </w:t>
      </w:r>
      <w:r w:rsidRPr="003E0D31">
        <w:rPr>
          <w:rFonts w:eastAsia="Calibri"/>
          <w:i/>
          <w:iCs/>
          <w:noProof/>
          <w:lang w:bidi="ne-NP"/>
        </w:rPr>
        <w:t>Escherichia coli</w:t>
      </w:r>
      <w:r w:rsidRPr="003E0D31">
        <w:rPr>
          <w:rFonts w:eastAsia="Calibri"/>
          <w:noProof/>
          <w:lang w:bidi="ne-NP"/>
        </w:rPr>
        <w:t xml:space="preserve"> chromosomal “addiction module” regulated by guanosine [corrected] 3’,5’-bispyrophosphate: a model for programmed bacterial cell death. Proc Natl Acad Sci USA. 1996 Jun 11;93(12):6059–63. </w:t>
      </w:r>
    </w:p>
    <w:p w14:paraId="4BEE406A"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51. </w:t>
      </w:r>
      <w:r w:rsidRPr="003E0D31">
        <w:rPr>
          <w:rFonts w:eastAsia="Calibri"/>
          <w:noProof/>
          <w:lang w:bidi="ne-NP"/>
        </w:rPr>
        <w:tab/>
        <w:t xml:space="preserve">Magnuson RD. Hypothetical functions of toxin-antitoxin systems. J Bacteriol. 2007 Sep;189(17):6089–92. </w:t>
      </w:r>
    </w:p>
    <w:p w14:paraId="0E29F8D4"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52. </w:t>
      </w:r>
      <w:r w:rsidRPr="003E0D31">
        <w:rPr>
          <w:rFonts w:eastAsia="Calibri"/>
          <w:noProof/>
          <w:lang w:bidi="ne-NP"/>
        </w:rPr>
        <w:tab/>
        <w:t xml:space="preserve">Vogel J, Argaman L, Wagner EGH, Altuvia S. The small RNA IstR inhibits synthesis of an SOS-induced toxic peptide. Curr Biol. 2004 Dec 29;14(24):2271–6. </w:t>
      </w:r>
    </w:p>
    <w:p w14:paraId="7B3B9A14"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53. </w:t>
      </w:r>
      <w:r w:rsidRPr="003E0D31">
        <w:rPr>
          <w:rFonts w:eastAsia="Calibri"/>
          <w:noProof/>
          <w:lang w:bidi="ne-NP"/>
        </w:rPr>
        <w:tab/>
        <w:t xml:space="preserve">Kawano M. Divergently overlapping cis-encoded antisense RNA regulating toxin-antitoxin systems from </w:t>
      </w:r>
      <w:r w:rsidRPr="003E0D31">
        <w:rPr>
          <w:rFonts w:eastAsia="Calibri"/>
          <w:i/>
          <w:iCs/>
          <w:noProof/>
          <w:lang w:bidi="ne-NP"/>
        </w:rPr>
        <w:t>E. coli</w:t>
      </w:r>
      <w:r w:rsidRPr="003E0D31">
        <w:rPr>
          <w:rFonts w:eastAsia="Calibri"/>
          <w:noProof/>
          <w:lang w:bidi="ne-NP"/>
        </w:rPr>
        <w:t xml:space="preserve">: </w:t>
      </w:r>
      <w:r w:rsidRPr="003E0D31">
        <w:rPr>
          <w:rFonts w:eastAsia="Calibri"/>
          <w:i/>
          <w:iCs/>
          <w:noProof/>
          <w:lang w:bidi="ne-NP"/>
        </w:rPr>
        <w:t>hok/sok, ldr/rdl, symE/symR</w:t>
      </w:r>
      <w:r w:rsidRPr="003E0D31">
        <w:rPr>
          <w:rFonts w:eastAsia="Calibri"/>
          <w:noProof/>
          <w:lang w:bidi="ne-NP"/>
        </w:rPr>
        <w:t xml:space="preserve">. RNA Biol. 2012 Dec;9(12):1520–7. </w:t>
      </w:r>
    </w:p>
    <w:p w14:paraId="3892F2E4"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54. </w:t>
      </w:r>
      <w:r w:rsidRPr="003E0D31">
        <w:rPr>
          <w:rFonts w:eastAsia="Calibri"/>
          <w:noProof/>
          <w:lang w:bidi="ne-NP"/>
        </w:rPr>
        <w:tab/>
        <w:t xml:space="preserve">Kawano M, Oshima T, Kasai H, Mori H. Molecular characterization of long direct repeat (LDR) sequences expressing a stable mRNA encoding for a 35-amino-acid cell-killing peptide and a cis-encoded small antisense RNA in </w:t>
      </w:r>
      <w:r w:rsidRPr="003E0D31">
        <w:rPr>
          <w:rFonts w:eastAsia="Calibri"/>
          <w:i/>
          <w:iCs/>
          <w:noProof/>
          <w:lang w:bidi="ne-NP"/>
        </w:rPr>
        <w:t>Escherichia coli</w:t>
      </w:r>
      <w:r w:rsidRPr="003E0D31">
        <w:rPr>
          <w:rFonts w:eastAsia="Calibri"/>
          <w:noProof/>
          <w:lang w:bidi="ne-NP"/>
        </w:rPr>
        <w:t xml:space="preserve">. Mol Microbiol. 2002 Jul;45(2):333–49. </w:t>
      </w:r>
    </w:p>
    <w:p w14:paraId="787CF7F5"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55. </w:t>
      </w:r>
      <w:r w:rsidRPr="003E0D31">
        <w:rPr>
          <w:rFonts w:eastAsia="Calibri"/>
          <w:noProof/>
          <w:lang w:bidi="ne-NP"/>
        </w:rPr>
        <w:tab/>
        <w:t xml:space="preserve">Weel-Sneve R, Kristiansen KI, Odsbu I, Dalhus B, Booth J, Rognes T, et al. Single transmembrane peptide DinQ modulates membrane-dependent activities. PLoS Genet. 2013 Feb 7;9(2):e1003260. </w:t>
      </w:r>
    </w:p>
    <w:p w14:paraId="6D4157C1"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56. </w:t>
      </w:r>
      <w:r w:rsidRPr="003E0D31">
        <w:rPr>
          <w:rFonts w:eastAsia="Calibri"/>
          <w:noProof/>
          <w:lang w:bidi="ne-NP"/>
        </w:rPr>
        <w:tab/>
        <w:t xml:space="preserve">Wen J, Won D, Fozo EM. The ZorO-OrzO type I toxin-antitoxin locus: repression by the OrzO antitoxin. Nucleic Acids Res. 2014 Feb;42(3):1930–46. </w:t>
      </w:r>
    </w:p>
    <w:p w14:paraId="7ED07AB9"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57. </w:t>
      </w:r>
      <w:r w:rsidRPr="003E0D31">
        <w:rPr>
          <w:rFonts w:eastAsia="Calibri"/>
          <w:noProof/>
          <w:lang w:bidi="ne-NP"/>
        </w:rPr>
        <w:tab/>
        <w:t xml:space="preserve">Arnion H, Korkut DN, Masachis Gelo S, Chabas S, Reignier J, Iost I, et al. Mechanistic insights into type I toxin antitoxin systems in </w:t>
      </w:r>
      <w:r w:rsidRPr="003E0D31">
        <w:rPr>
          <w:rFonts w:eastAsia="Calibri"/>
          <w:i/>
          <w:iCs/>
          <w:noProof/>
          <w:lang w:bidi="ne-NP"/>
        </w:rPr>
        <w:t>Helicobacter pylori</w:t>
      </w:r>
      <w:r w:rsidRPr="003E0D31">
        <w:rPr>
          <w:rFonts w:eastAsia="Calibri"/>
          <w:noProof/>
          <w:lang w:bidi="ne-NP"/>
        </w:rPr>
        <w:t xml:space="preserve">: the importance of mRNA folding in controlling toxin expression. Nucleic Acids Res. 2017 May 5;45(8):4782–95. </w:t>
      </w:r>
    </w:p>
    <w:p w14:paraId="1F0115E7"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58. </w:t>
      </w:r>
      <w:r w:rsidRPr="003E0D31">
        <w:rPr>
          <w:rFonts w:eastAsia="Calibri"/>
          <w:noProof/>
          <w:lang w:bidi="ne-NP"/>
        </w:rPr>
        <w:tab/>
        <w:t xml:space="preserve">Guo Y, Quiroga C, Chen Q, McAnulty MJ, Benedik MJ, Wood TK, et al. RalR (a </w:t>
      </w:r>
      <w:r w:rsidRPr="003E0D31">
        <w:rPr>
          <w:rFonts w:eastAsia="Calibri"/>
          <w:noProof/>
          <w:lang w:bidi="ne-NP"/>
        </w:rPr>
        <w:lastRenderedPageBreak/>
        <w:t xml:space="preserve">DNase) and RalA (a small RNA) form a type I toxin-antitoxin system in </w:t>
      </w:r>
      <w:r w:rsidRPr="003E0D31">
        <w:rPr>
          <w:rFonts w:eastAsia="Calibri"/>
          <w:i/>
          <w:iCs/>
          <w:noProof/>
          <w:lang w:bidi="ne-NP"/>
        </w:rPr>
        <w:t>Escherichia coli</w:t>
      </w:r>
      <w:r w:rsidRPr="003E0D31">
        <w:rPr>
          <w:rFonts w:eastAsia="Calibri"/>
          <w:noProof/>
          <w:lang w:bidi="ne-NP"/>
        </w:rPr>
        <w:t xml:space="preserve">. Nucleic Acids Res. 2014 Jun;42(10):6448–62. </w:t>
      </w:r>
    </w:p>
    <w:p w14:paraId="07B1FACA"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59. </w:t>
      </w:r>
      <w:r w:rsidRPr="003E0D31">
        <w:rPr>
          <w:rFonts w:eastAsia="Calibri"/>
          <w:noProof/>
          <w:lang w:bidi="ne-NP"/>
        </w:rPr>
        <w:tab/>
        <w:t xml:space="preserve">Jahn N, Preis H, Wiedemann C, Brantl S. BsrG/SR4 from Bacillus subtilis--the first temperature-dependent type I toxin-antitoxin system. Mol Microbiol. 2012 Feb;83(3):579–98. </w:t>
      </w:r>
    </w:p>
    <w:p w14:paraId="51EECFE1"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60. </w:t>
      </w:r>
      <w:r w:rsidRPr="003E0D31">
        <w:rPr>
          <w:rFonts w:eastAsia="Calibri"/>
          <w:noProof/>
          <w:lang w:bidi="ne-NP"/>
        </w:rPr>
        <w:tab/>
        <w:t xml:space="preserve">Greenfield TJ, Ehli E, Kirshenmann T, Franch T, Gerdes K, Weaver KE. The antisense RNA of the par locus of pAD1 regulates the expression of a 33-amino-acid toxic peptide by an unusual mechanism. Mol Microbiol. 2000 Aug;37(3):652–60. </w:t>
      </w:r>
    </w:p>
    <w:p w14:paraId="51A9C2EE"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61. </w:t>
      </w:r>
      <w:r w:rsidRPr="003E0D31">
        <w:rPr>
          <w:rFonts w:eastAsia="Calibri"/>
          <w:noProof/>
          <w:lang w:bidi="ne-NP"/>
        </w:rPr>
        <w:tab/>
        <w:t xml:space="preserve">Reif C, Löser C, Brantl S. </w:t>
      </w:r>
      <w:r w:rsidRPr="003E0D31">
        <w:rPr>
          <w:rFonts w:eastAsia="Calibri"/>
          <w:i/>
          <w:iCs/>
          <w:noProof/>
          <w:lang w:bidi="ne-NP"/>
        </w:rPr>
        <w:t>Bacillus subtilis</w:t>
      </w:r>
      <w:r w:rsidRPr="003E0D31">
        <w:rPr>
          <w:rFonts w:eastAsia="Calibri"/>
          <w:noProof/>
          <w:lang w:bidi="ne-NP"/>
        </w:rPr>
        <w:t xml:space="preserve"> Type I antitoxin SR6 promotes degradation of toxin yonT mRNA and Is required to prevent toxic yoyJ overexpression. Toxins (Basel). 2018 Feb 7;10(2). </w:t>
      </w:r>
    </w:p>
    <w:p w14:paraId="78A7F648"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62. </w:t>
      </w:r>
      <w:r w:rsidRPr="003E0D31">
        <w:rPr>
          <w:rFonts w:eastAsia="Calibri"/>
          <w:noProof/>
          <w:lang w:bidi="ne-NP"/>
        </w:rPr>
        <w:tab/>
        <w:t xml:space="preserve">Germain-Amiot N, Augagneur Y, Camberlein E, Nicolas I, Lecureur V, Rouillon A, et al. A novel </w:t>
      </w:r>
      <w:r w:rsidRPr="003E0D31">
        <w:rPr>
          <w:rFonts w:eastAsia="Calibri"/>
          <w:i/>
          <w:iCs/>
          <w:noProof/>
          <w:lang w:bidi="ne-NP"/>
        </w:rPr>
        <w:t>Staphylococcus aureus</w:t>
      </w:r>
      <w:r w:rsidRPr="003E0D31">
        <w:rPr>
          <w:rFonts w:eastAsia="Calibri"/>
          <w:noProof/>
          <w:lang w:bidi="ne-NP"/>
        </w:rPr>
        <w:t xml:space="preserve"> cis-trans type I toxin-antitoxin module with dual effects on bacteria and host cells. Nucleic Acids Res. 2019 Feb 28;47(4):1759–73. </w:t>
      </w:r>
    </w:p>
    <w:p w14:paraId="5EA00F7B"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63. </w:t>
      </w:r>
      <w:r w:rsidRPr="003E0D31">
        <w:rPr>
          <w:rFonts w:eastAsia="Calibri"/>
          <w:noProof/>
          <w:lang w:bidi="ne-NP"/>
        </w:rPr>
        <w:tab/>
        <w:t xml:space="preserve">Pinel-Marie M-L, Brielle R, Felden B. Dual toxic-peptide-coding </w:t>
      </w:r>
      <w:r w:rsidRPr="003E0D31">
        <w:rPr>
          <w:rFonts w:eastAsia="Calibri"/>
          <w:i/>
          <w:iCs/>
          <w:noProof/>
          <w:lang w:bidi="ne-NP"/>
        </w:rPr>
        <w:t>Staphylococcus aureus</w:t>
      </w:r>
      <w:r w:rsidRPr="003E0D31">
        <w:rPr>
          <w:rFonts w:eastAsia="Calibri"/>
          <w:noProof/>
          <w:lang w:bidi="ne-NP"/>
        </w:rPr>
        <w:t xml:space="preserve"> RNA under antisense regulation targets host cells and bacterial rivals unequally. Cell Rep. 2014 Apr 24;7(2):424–35. </w:t>
      </w:r>
    </w:p>
    <w:p w14:paraId="3D7ECE1B"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64. </w:t>
      </w:r>
      <w:r w:rsidRPr="003E0D31">
        <w:rPr>
          <w:rFonts w:eastAsia="Calibri"/>
          <w:noProof/>
          <w:lang w:bidi="ne-NP"/>
        </w:rPr>
        <w:tab/>
        <w:t xml:space="preserve">Gerdes SY, Scholle MD, Campbell JW, Balázsi G, Ravasz E, Daugherty MD, et al. Experimental determination and system level analysis of essential genes in </w:t>
      </w:r>
      <w:r w:rsidRPr="003E0D31">
        <w:rPr>
          <w:rFonts w:eastAsia="Calibri"/>
          <w:i/>
          <w:iCs/>
          <w:noProof/>
          <w:lang w:bidi="ne-NP"/>
        </w:rPr>
        <w:t>Escherichia coli</w:t>
      </w:r>
      <w:r w:rsidRPr="003E0D31">
        <w:rPr>
          <w:rFonts w:eastAsia="Calibri"/>
          <w:noProof/>
          <w:lang w:bidi="ne-NP"/>
        </w:rPr>
        <w:t xml:space="preserve"> MG1655. J Bacteriol. 2003 Oct;185(19):5673–84. </w:t>
      </w:r>
    </w:p>
    <w:p w14:paraId="44B5B547"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65. </w:t>
      </w:r>
      <w:r w:rsidRPr="003E0D31">
        <w:rPr>
          <w:rFonts w:eastAsia="Calibri"/>
          <w:noProof/>
          <w:lang w:bidi="ne-NP"/>
        </w:rPr>
        <w:tab/>
        <w:t xml:space="preserve">Wen J, Harp JR, Fozo EM. The 5΄ UTR of the type I toxin ZorO can both inhibit and enhance translation. Nucleic Acids Res. 2017 Apr 20;45(7):4006–20. </w:t>
      </w:r>
    </w:p>
    <w:p w14:paraId="09F84BF9"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66. </w:t>
      </w:r>
      <w:r w:rsidRPr="003E0D31">
        <w:rPr>
          <w:rFonts w:eastAsia="Calibri"/>
          <w:noProof/>
          <w:lang w:bidi="ne-NP"/>
        </w:rPr>
        <w:tab/>
        <w:t xml:space="preserve">Berghoff BA, Hoekzema M, Aulbach L, Wagner EGH. Two regulatory RNA elements affect TisB-dependent depolarization and persister formation. Mol Microbiol. 2017 Mar;103(6):1020–33. </w:t>
      </w:r>
    </w:p>
    <w:p w14:paraId="15874782"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67. </w:t>
      </w:r>
      <w:r w:rsidRPr="003E0D31">
        <w:rPr>
          <w:rFonts w:eastAsia="Calibri"/>
          <w:noProof/>
          <w:lang w:bidi="ne-NP"/>
        </w:rPr>
        <w:tab/>
        <w:t xml:space="preserve">Brielle R, Pinel-Marie M-L, Felden B. Linking bacterial type I toxins with their actions. Curr Opin Microbiol. 2016 Apr;30:114–21. </w:t>
      </w:r>
    </w:p>
    <w:p w14:paraId="01CEF49C"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68. </w:t>
      </w:r>
      <w:r w:rsidRPr="003E0D31">
        <w:rPr>
          <w:rFonts w:eastAsia="Calibri"/>
          <w:noProof/>
          <w:lang w:bidi="ne-NP"/>
        </w:rPr>
        <w:tab/>
        <w:t xml:space="preserve">Nonin-Lecomte S, Fermon L, Felden B, Pinel-Marie M-L. Bacterial type I toxins: </w:t>
      </w:r>
      <w:r w:rsidRPr="003E0D31">
        <w:rPr>
          <w:rFonts w:eastAsia="Calibri"/>
          <w:noProof/>
          <w:lang w:bidi="ne-NP"/>
        </w:rPr>
        <w:lastRenderedPageBreak/>
        <w:t xml:space="preserve">folding and membrane interactions. Toxins (Basel). 2021 Jul 14;13(7). </w:t>
      </w:r>
    </w:p>
    <w:p w14:paraId="7B8AC8DA"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69. </w:t>
      </w:r>
      <w:r w:rsidRPr="003E0D31">
        <w:rPr>
          <w:rFonts w:eastAsia="Calibri"/>
          <w:noProof/>
          <w:lang w:bidi="ne-NP"/>
        </w:rPr>
        <w:tab/>
        <w:t xml:space="preserve">Song S, Wood TK. Toxin/antitoxin system paradigms: toxins bound to antitoxins are not likely activated by preferential antitoxin degradation. Adv Biosys. 2020 Mar;4(3):e1900290. </w:t>
      </w:r>
    </w:p>
    <w:p w14:paraId="16485EA4"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70. </w:t>
      </w:r>
      <w:r w:rsidRPr="003E0D31">
        <w:rPr>
          <w:rFonts w:eastAsia="Calibri"/>
          <w:noProof/>
          <w:lang w:bidi="ne-NP"/>
        </w:rPr>
        <w:tab/>
        <w:t xml:space="preserve">Jahn N, Brantl S, Strahl H. Against the mainstream: the membrane-associated type I toxin BsrG from </w:t>
      </w:r>
      <w:r w:rsidRPr="003E0D31">
        <w:rPr>
          <w:rFonts w:eastAsia="Calibri"/>
          <w:i/>
          <w:iCs/>
          <w:noProof/>
          <w:lang w:bidi="ne-NP"/>
        </w:rPr>
        <w:t>Bacillus subtilis</w:t>
      </w:r>
      <w:r w:rsidRPr="003E0D31">
        <w:rPr>
          <w:rFonts w:eastAsia="Calibri"/>
          <w:noProof/>
          <w:lang w:bidi="ne-NP"/>
        </w:rPr>
        <w:t xml:space="preserve"> interferes with cell envelope biosynthesis without increasing membrane permeability. Mol Microbiol. 2015 Nov;98(4):651–66. </w:t>
      </w:r>
    </w:p>
    <w:p w14:paraId="71638554"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71. </w:t>
      </w:r>
      <w:r w:rsidRPr="003E0D31">
        <w:rPr>
          <w:rFonts w:eastAsia="Calibri"/>
          <w:noProof/>
          <w:lang w:bidi="ne-NP"/>
        </w:rPr>
        <w:tab/>
        <w:t xml:space="preserve">El Mortaji L, Tejada-Arranz A, Rifflet A, Boneca IG, Pehau-Arnaudet G, Radicella JP, et al. A peptide of a type I toxin-antitoxin system induces </w:t>
      </w:r>
      <w:r w:rsidRPr="003E0D31">
        <w:rPr>
          <w:rFonts w:eastAsia="Calibri"/>
          <w:i/>
          <w:iCs/>
          <w:noProof/>
          <w:lang w:bidi="ne-NP"/>
        </w:rPr>
        <w:t>Helicobacter pylori</w:t>
      </w:r>
      <w:r w:rsidRPr="003E0D31">
        <w:rPr>
          <w:rFonts w:eastAsia="Calibri"/>
          <w:noProof/>
          <w:lang w:bidi="ne-NP"/>
        </w:rPr>
        <w:t xml:space="preserve"> morphological transformation from spiral shape to coccoids. Proc Natl Acad Sci USA. 2020 Dec 8;117(49):31398–409. </w:t>
      </w:r>
    </w:p>
    <w:p w14:paraId="11FED9DC"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72. </w:t>
      </w:r>
      <w:r w:rsidRPr="003E0D31">
        <w:rPr>
          <w:rFonts w:eastAsia="Calibri"/>
          <w:noProof/>
          <w:lang w:bidi="ne-NP"/>
        </w:rPr>
        <w:tab/>
        <w:t xml:space="preserve">Weaver KE, Weaver DM, Wells CL, Waters CM, Gardner ME, Ehli EA. </w:t>
      </w:r>
      <w:r w:rsidRPr="003E0D31">
        <w:rPr>
          <w:rFonts w:eastAsia="Calibri"/>
          <w:i/>
          <w:iCs/>
          <w:noProof/>
          <w:lang w:bidi="ne-NP"/>
        </w:rPr>
        <w:t>Enterococcus faecalis</w:t>
      </w:r>
      <w:r w:rsidRPr="003E0D31">
        <w:rPr>
          <w:rFonts w:eastAsia="Calibri"/>
          <w:noProof/>
          <w:lang w:bidi="ne-NP"/>
        </w:rPr>
        <w:t xml:space="preserve"> plasmid pAD1-encoded Fst toxin affects membrane permeability and alters cellular responses to lantibiotics. J Bacteriol. 2003 Apr;185(7):2169–77. </w:t>
      </w:r>
    </w:p>
    <w:p w14:paraId="78F88796"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73. </w:t>
      </w:r>
      <w:r w:rsidRPr="003E0D31">
        <w:rPr>
          <w:rFonts w:eastAsia="Calibri"/>
          <w:noProof/>
          <w:lang w:bidi="ne-NP"/>
        </w:rPr>
        <w:tab/>
        <w:t xml:space="preserve">Gerdes K, Poulsen LK, Thisted T, Nielsen AK, Martinussen J, Andreasen PH. The hok killer gene family in Gram-negative bacteria. New Biol. 1990 Nov;2(11):946–56. </w:t>
      </w:r>
    </w:p>
    <w:p w14:paraId="71768E4F"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74. </w:t>
      </w:r>
      <w:r w:rsidRPr="003E0D31">
        <w:rPr>
          <w:rFonts w:eastAsia="Calibri"/>
          <w:noProof/>
          <w:lang w:bidi="ne-NP"/>
        </w:rPr>
        <w:tab/>
        <w:t xml:space="preserve">Poulsen, Refn, Molin, Andersson. Topographic analysis of the toxic Gef protein from </w:t>
      </w:r>
      <w:r w:rsidRPr="003E0D31">
        <w:rPr>
          <w:rFonts w:eastAsia="Calibri"/>
          <w:i/>
          <w:iCs/>
          <w:noProof/>
          <w:lang w:bidi="ne-NP"/>
        </w:rPr>
        <w:t>Escherichia coli.</w:t>
      </w:r>
      <w:r w:rsidRPr="003E0D31">
        <w:rPr>
          <w:rFonts w:eastAsia="Calibri"/>
          <w:noProof/>
          <w:lang w:bidi="ne-NP"/>
        </w:rPr>
        <w:t xml:space="preserve"> </w:t>
      </w:r>
    </w:p>
    <w:p w14:paraId="6C3E609C"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75. </w:t>
      </w:r>
      <w:r w:rsidRPr="003E0D31">
        <w:rPr>
          <w:rFonts w:eastAsia="Calibri"/>
          <w:noProof/>
          <w:lang w:bidi="ne-NP"/>
        </w:rPr>
        <w:tab/>
        <w:t xml:space="preserve">Wilmaerts D, De Loose P-J, Vercauteren S, De Smedt S, Verstraeten N, Michiels J. Functional analysis of cysteine residues of the Hok/Gef type I toxins in </w:t>
      </w:r>
      <w:r w:rsidRPr="003E0D31">
        <w:rPr>
          <w:rFonts w:eastAsia="Calibri"/>
          <w:i/>
          <w:iCs/>
          <w:noProof/>
          <w:lang w:bidi="ne-NP"/>
        </w:rPr>
        <w:t xml:space="preserve">Escherichia coli. </w:t>
      </w:r>
      <w:r w:rsidRPr="003E0D31">
        <w:rPr>
          <w:rFonts w:eastAsia="Calibri"/>
          <w:noProof/>
          <w:lang w:bidi="ne-NP"/>
        </w:rPr>
        <w:t xml:space="preserve">FEMS Microbiol Lett. 2021 Jun 22;368(11). </w:t>
      </w:r>
    </w:p>
    <w:p w14:paraId="300D40E0"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76. </w:t>
      </w:r>
      <w:r w:rsidRPr="003E0D31">
        <w:rPr>
          <w:rFonts w:eastAsia="Calibri"/>
          <w:noProof/>
          <w:lang w:bidi="ne-NP"/>
        </w:rPr>
        <w:tab/>
        <w:t xml:space="preserve">Wilmaerts D, Bayoumi M, Dewachter L, Knapen W, Mika JT, Hofkens J, et al. The Persistence-inducing toxin HokB forms dynamic pores that cause ATP leakage. MBio. 2018 Aug 14;9(4). </w:t>
      </w:r>
    </w:p>
    <w:p w14:paraId="077EA320"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77. </w:t>
      </w:r>
      <w:r w:rsidRPr="003E0D31">
        <w:rPr>
          <w:rFonts w:eastAsia="Calibri"/>
          <w:noProof/>
          <w:lang w:bidi="ne-NP"/>
        </w:rPr>
        <w:tab/>
        <w:t xml:space="preserve">Verstraeten N, Knapen WJ, Fauvart M, Michiels J. Membrane depolarization-triggered responsive diversification leads to antibiotic tolerance. Microb Cell. 2015 Jul 24;2(8):299–301. </w:t>
      </w:r>
    </w:p>
    <w:p w14:paraId="2044BC9F"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lastRenderedPageBreak/>
        <w:t xml:space="preserve">78. </w:t>
      </w:r>
      <w:r w:rsidRPr="003E0D31">
        <w:rPr>
          <w:rFonts w:eastAsia="Calibri"/>
          <w:noProof/>
          <w:lang w:bidi="ne-NP"/>
        </w:rPr>
        <w:tab/>
        <w:t xml:space="preserve">Wilmaerts D, Dewachter L, De Loose P-J, Bollen C, Verstraeten N, Michiels J. Hokb monomerization and membrane repolarization control persister awakening. Mol Cell. 2019 Sep 5;75(5):1031–1042.e4. </w:t>
      </w:r>
    </w:p>
    <w:p w14:paraId="0804E9DF"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79. </w:t>
      </w:r>
      <w:r w:rsidRPr="003E0D31">
        <w:rPr>
          <w:rFonts w:eastAsia="Calibri"/>
          <w:noProof/>
          <w:lang w:bidi="ne-NP"/>
        </w:rPr>
        <w:tab/>
        <w:t xml:space="preserve">Peng J, Triplett LR, Schachterle JK, Sundin GW. Chromosomally encoded hok-sok toxin-antitoxin system in the fire blight pathogen </w:t>
      </w:r>
      <w:r w:rsidRPr="003E0D31">
        <w:rPr>
          <w:rFonts w:eastAsia="Calibri"/>
          <w:i/>
          <w:iCs/>
          <w:noProof/>
          <w:lang w:bidi="ne-NP"/>
        </w:rPr>
        <w:t>Erwinia amylovora</w:t>
      </w:r>
      <w:r w:rsidRPr="003E0D31">
        <w:rPr>
          <w:rFonts w:eastAsia="Calibri"/>
          <w:noProof/>
          <w:lang w:bidi="ne-NP"/>
        </w:rPr>
        <w:t xml:space="preserve">: identification and functional characterization. Appl Environ Microbiol. 2019 Aug 1;85(15). </w:t>
      </w:r>
    </w:p>
    <w:p w14:paraId="3F8CB5C7"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80. </w:t>
      </w:r>
      <w:r w:rsidRPr="003E0D31">
        <w:rPr>
          <w:rFonts w:eastAsia="Calibri"/>
          <w:noProof/>
          <w:lang w:bidi="ne-NP"/>
        </w:rPr>
        <w:tab/>
        <w:t xml:space="preserve">Schneider V, Wadhwani P, Reichert J, Bürck J, Elstner M, Ulrich AS, et al. Tetrameric charge-zipper assembly of the TisB peptide in membranes-computer simulation and experiment. J Phys Chem B. 2019 Feb 28;123(8):1770–9. </w:t>
      </w:r>
    </w:p>
    <w:p w14:paraId="14265BC0"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81. </w:t>
      </w:r>
      <w:r w:rsidRPr="003E0D31">
        <w:rPr>
          <w:rFonts w:eastAsia="Calibri"/>
          <w:noProof/>
          <w:lang w:bidi="ne-NP"/>
        </w:rPr>
        <w:tab/>
        <w:t xml:space="preserve">Steinbrecher T, Prock S, Reichert J, Wadhwani P, Zimpfer B, Bürck J, et al. Peptide-lipid interactions of the stress-response peptide TisB that induces bacterial persistence. Biophys J. 2012 Oct 3;103(7):1460–9. </w:t>
      </w:r>
    </w:p>
    <w:p w14:paraId="1E9AA108"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82. </w:t>
      </w:r>
      <w:r w:rsidRPr="003E0D31">
        <w:rPr>
          <w:rFonts w:eastAsia="Calibri"/>
          <w:noProof/>
          <w:lang w:bidi="ne-NP"/>
        </w:rPr>
        <w:tab/>
        <w:t xml:space="preserve">Unoson C, Wagner EGH. A small SOS-induced toxin is targeted against the inner membrane in </w:t>
      </w:r>
      <w:r w:rsidRPr="003E0D31">
        <w:rPr>
          <w:rFonts w:eastAsia="Calibri"/>
          <w:i/>
          <w:iCs/>
          <w:noProof/>
          <w:lang w:bidi="ne-NP"/>
        </w:rPr>
        <w:t>Escherichia coli.</w:t>
      </w:r>
      <w:r w:rsidRPr="003E0D31">
        <w:rPr>
          <w:rFonts w:eastAsia="Calibri"/>
          <w:noProof/>
          <w:lang w:bidi="ne-NP"/>
        </w:rPr>
        <w:t xml:space="preserve"> Mol Microbiol. 2008 Oct;70(1):258–70. </w:t>
      </w:r>
    </w:p>
    <w:p w14:paraId="2D205FF0"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83. </w:t>
      </w:r>
      <w:r w:rsidRPr="003E0D31">
        <w:rPr>
          <w:rFonts w:eastAsia="Calibri"/>
          <w:noProof/>
          <w:lang w:bidi="ne-NP"/>
        </w:rPr>
        <w:tab/>
        <w:t xml:space="preserve">Yamaguchi Y, Tokunaga N, Inouye M, Phadtare S. Characterization of LdrA (long direct repeat A) protein of </w:t>
      </w:r>
      <w:r w:rsidRPr="003E0D31">
        <w:rPr>
          <w:rFonts w:eastAsia="Calibri"/>
          <w:i/>
          <w:iCs/>
          <w:noProof/>
          <w:lang w:bidi="ne-NP"/>
        </w:rPr>
        <w:t>Escherichia coli</w:t>
      </w:r>
      <w:r w:rsidRPr="003E0D31">
        <w:rPr>
          <w:rFonts w:eastAsia="Calibri"/>
          <w:noProof/>
          <w:lang w:bidi="ne-NP"/>
        </w:rPr>
        <w:t xml:space="preserve">. J Mol Microbiol Biotechnol. 2014 Feb 7;24(2):91–7. </w:t>
      </w:r>
    </w:p>
    <w:p w14:paraId="4E0D3E39"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84. </w:t>
      </w:r>
      <w:r w:rsidRPr="003E0D31">
        <w:rPr>
          <w:rFonts w:eastAsia="Calibri"/>
          <w:noProof/>
          <w:lang w:bidi="ne-NP"/>
        </w:rPr>
        <w:tab/>
        <w:t xml:space="preserve">Otsuka Y, Ishikawa T, Takahashi C, Masuda M. A short peptide derived from the ZorO toxin functions as an effective antimicrobial. Toxins (Basel). 2019 Jul 4;11(7). </w:t>
      </w:r>
    </w:p>
    <w:p w14:paraId="6D18E7D9"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85. </w:t>
      </w:r>
      <w:r w:rsidRPr="003E0D31">
        <w:rPr>
          <w:rFonts w:eastAsia="Calibri"/>
          <w:noProof/>
          <w:lang w:bidi="ne-NP"/>
        </w:rPr>
        <w:tab/>
        <w:t xml:space="preserve">Edelmann D, Berghoff BA. Type I toxin-dependent generation of superoxide affects the persister life cycle of </w:t>
      </w:r>
      <w:r w:rsidRPr="003E0D31">
        <w:rPr>
          <w:rFonts w:eastAsia="Calibri"/>
          <w:i/>
          <w:iCs/>
          <w:noProof/>
          <w:lang w:bidi="ne-NP"/>
        </w:rPr>
        <w:t>Escherichia coli</w:t>
      </w:r>
      <w:r w:rsidRPr="003E0D31">
        <w:rPr>
          <w:rFonts w:eastAsia="Calibri"/>
          <w:noProof/>
          <w:lang w:bidi="ne-NP"/>
        </w:rPr>
        <w:t xml:space="preserve">. Sci Rep. 2019 Oct 3;9(1):14256. </w:t>
      </w:r>
    </w:p>
    <w:p w14:paraId="6F83532F"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86. </w:t>
      </w:r>
      <w:r w:rsidRPr="003E0D31">
        <w:rPr>
          <w:rFonts w:eastAsia="Calibri"/>
          <w:noProof/>
          <w:lang w:bidi="ne-NP"/>
        </w:rPr>
        <w:tab/>
        <w:t xml:space="preserve">Patel S, Weaver KE. Addiction toxin Fst has unique effects on chromosome segregation and cell division in </w:t>
      </w:r>
      <w:r w:rsidRPr="003E0D31">
        <w:rPr>
          <w:rFonts w:eastAsia="Calibri"/>
          <w:i/>
          <w:iCs/>
          <w:noProof/>
          <w:lang w:bidi="ne-NP"/>
        </w:rPr>
        <w:t>Enterococcus faecalis</w:t>
      </w:r>
      <w:r w:rsidRPr="003E0D31">
        <w:rPr>
          <w:rFonts w:eastAsia="Calibri"/>
          <w:noProof/>
          <w:lang w:bidi="ne-NP"/>
        </w:rPr>
        <w:t xml:space="preserve"> and </w:t>
      </w:r>
      <w:r w:rsidRPr="003E0D31">
        <w:rPr>
          <w:rFonts w:eastAsia="Calibri"/>
          <w:i/>
          <w:iCs/>
          <w:noProof/>
          <w:lang w:bidi="ne-NP"/>
        </w:rPr>
        <w:t>Bacillus subtilis</w:t>
      </w:r>
      <w:r w:rsidRPr="003E0D31">
        <w:rPr>
          <w:rFonts w:eastAsia="Calibri"/>
          <w:noProof/>
          <w:lang w:bidi="ne-NP"/>
        </w:rPr>
        <w:t xml:space="preserve">. J Bacteriol. 2006 Aug;188(15):5374–84. </w:t>
      </w:r>
    </w:p>
    <w:p w14:paraId="1C1B2CE2"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87. </w:t>
      </w:r>
      <w:r w:rsidRPr="003E0D31">
        <w:rPr>
          <w:rFonts w:eastAsia="Calibri"/>
          <w:noProof/>
          <w:lang w:bidi="ne-NP"/>
        </w:rPr>
        <w:tab/>
        <w:t xml:space="preserve">Maggi S, Yabre K, Ferrari A, Lazzi C, Kawano M, Rivetti C, et al. Functional characterization of the type I toxin Lpt from Lactobacillus rhamnosus by fluorescence and atomic force microscopy. Sci Rep. 2019 Oct 23;9(1):15208. </w:t>
      </w:r>
    </w:p>
    <w:p w14:paraId="5995A8DA"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88. </w:t>
      </w:r>
      <w:r w:rsidRPr="003E0D31">
        <w:rPr>
          <w:rFonts w:eastAsia="Calibri"/>
          <w:noProof/>
          <w:lang w:bidi="ne-NP"/>
        </w:rPr>
        <w:tab/>
        <w:t xml:space="preserve">Sayed N, Nonin-Lecomte S, Réty S, Felden B. Functional and structural insights </w:t>
      </w:r>
      <w:r w:rsidRPr="003E0D31">
        <w:rPr>
          <w:rFonts w:eastAsia="Calibri"/>
          <w:noProof/>
          <w:lang w:bidi="ne-NP"/>
        </w:rPr>
        <w:lastRenderedPageBreak/>
        <w:t xml:space="preserve">of a </w:t>
      </w:r>
      <w:r w:rsidRPr="003E0D31">
        <w:rPr>
          <w:rFonts w:eastAsia="Calibri"/>
          <w:i/>
          <w:iCs/>
          <w:noProof/>
          <w:lang w:bidi="ne-NP"/>
        </w:rPr>
        <w:t>Staphylococcus aureus</w:t>
      </w:r>
      <w:r w:rsidRPr="003E0D31">
        <w:rPr>
          <w:rFonts w:eastAsia="Calibri"/>
          <w:noProof/>
          <w:lang w:bidi="ne-NP"/>
        </w:rPr>
        <w:t xml:space="preserve"> apoptotic-like membrane peptide from a toxin-antitoxin module. J Biol Chem. 2012 Dec 21;287(52):43454–63. </w:t>
      </w:r>
    </w:p>
    <w:p w14:paraId="5D7B895D"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89. </w:t>
      </w:r>
      <w:r w:rsidRPr="003E0D31">
        <w:rPr>
          <w:rFonts w:eastAsia="Calibri"/>
          <w:noProof/>
          <w:lang w:bidi="ne-NP"/>
        </w:rPr>
        <w:tab/>
        <w:t xml:space="preserve">Proshkin S, Rahmouni AR, Mironov A, Nudler E. Cooperation between translating ribosomes and RNA polymerase in transcription elongation. Science. 2010 Apr 23;328(5977):504–8. </w:t>
      </w:r>
    </w:p>
    <w:p w14:paraId="67518A47"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90. </w:t>
      </w:r>
      <w:r w:rsidRPr="003E0D31">
        <w:rPr>
          <w:rFonts w:eastAsia="Calibri"/>
          <w:noProof/>
          <w:lang w:bidi="ne-NP"/>
        </w:rPr>
        <w:tab/>
        <w:t xml:space="preserve">Romilly C, Deindl S, Wagner EGH. The ribosomal protein S1-dependent standby site in tisB mRNA consists of a single-stranded region and a 5’ structure element. Proc Natl Acad Sci USA. 2019 Aug 6;116(32):15901–6. </w:t>
      </w:r>
    </w:p>
    <w:p w14:paraId="3E32A94C"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91. </w:t>
      </w:r>
      <w:r w:rsidRPr="003E0D31">
        <w:rPr>
          <w:rFonts w:eastAsia="Calibri"/>
          <w:noProof/>
          <w:lang w:bidi="ne-NP"/>
        </w:rPr>
        <w:tab/>
        <w:t xml:space="preserve">Lobato-Márquez D, Moreno-Córdoba I, Figueroa V, Díaz-Orejas R, García-del Portillo F. Distinct type I and type II toxin-antitoxin modules control </w:t>
      </w:r>
      <w:r w:rsidRPr="003E0D31">
        <w:rPr>
          <w:rFonts w:eastAsia="Calibri"/>
          <w:i/>
          <w:iCs/>
          <w:noProof/>
          <w:lang w:bidi="ne-NP"/>
        </w:rPr>
        <w:t>Salmonella</w:t>
      </w:r>
      <w:r w:rsidRPr="003E0D31">
        <w:rPr>
          <w:rFonts w:eastAsia="Calibri"/>
          <w:noProof/>
          <w:lang w:bidi="ne-NP"/>
        </w:rPr>
        <w:t xml:space="preserve"> lifestyle inside eukaryotic cells. Sci Rep. 2015 Mar 20;5:9374. </w:t>
      </w:r>
    </w:p>
    <w:p w14:paraId="3895AAD7"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92. </w:t>
      </w:r>
      <w:r w:rsidRPr="003E0D31">
        <w:rPr>
          <w:rFonts w:eastAsia="Calibri"/>
          <w:noProof/>
          <w:lang w:bidi="ne-NP"/>
        </w:rPr>
        <w:tab/>
        <w:t xml:space="preserve">Franch T, Gultyaev AP, Gerdes K. Programmed cell death by hok/sok of plasmid R1: processing at the hok mRNA 3’-end triggers structural rearrangements that allow translation and antisense RNA binding. J Mol Biol. 1997 Oct 17;273(1):38–51. </w:t>
      </w:r>
    </w:p>
    <w:p w14:paraId="60C7D8F7"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93. </w:t>
      </w:r>
      <w:r w:rsidRPr="003E0D31">
        <w:rPr>
          <w:rFonts w:eastAsia="Calibri"/>
          <w:noProof/>
          <w:lang w:bidi="ne-NP"/>
        </w:rPr>
        <w:tab/>
        <w:t xml:space="preserve">Gerdes K, Nielsen A, Thorsted P, Wagner EG. Mechanism of killer gene activation. Antisense RNA-dependent RNase III cleavage ensures rapid turn-over of the stable </w:t>
      </w:r>
      <w:r w:rsidRPr="003E0D31">
        <w:rPr>
          <w:rFonts w:eastAsia="Calibri"/>
          <w:i/>
          <w:iCs/>
          <w:noProof/>
          <w:lang w:bidi="ne-NP"/>
        </w:rPr>
        <w:t>hok</w:t>
      </w:r>
      <w:r w:rsidRPr="003E0D31">
        <w:rPr>
          <w:rFonts w:eastAsia="Calibri"/>
          <w:noProof/>
          <w:lang w:bidi="ne-NP"/>
        </w:rPr>
        <w:t xml:space="preserve">, </w:t>
      </w:r>
      <w:r w:rsidRPr="003E0D31">
        <w:rPr>
          <w:rFonts w:eastAsia="Calibri"/>
          <w:i/>
          <w:iCs/>
          <w:noProof/>
          <w:lang w:bidi="ne-NP"/>
        </w:rPr>
        <w:t>srnB</w:t>
      </w:r>
      <w:r w:rsidRPr="003E0D31">
        <w:rPr>
          <w:rFonts w:eastAsia="Calibri"/>
          <w:noProof/>
          <w:lang w:bidi="ne-NP"/>
        </w:rPr>
        <w:t xml:space="preserve"> and </w:t>
      </w:r>
      <w:r w:rsidRPr="003E0D31">
        <w:rPr>
          <w:rFonts w:eastAsia="Calibri"/>
          <w:i/>
          <w:iCs/>
          <w:noProof/>
          <w:lang w:bidi="ne-NP"/>
        </w:rPr>
        <w:t>pndA</w:t>
      </w:r>
      <w:r w:rsidRPr="003E0D31">
        <w:rPr>
          <w:rFonts w:eastAsia="Calibri"/>
          <w:noProof/>
          <w:lang w:bidi="ne-NP"/>
        </w:rPr>
        <w:t xml:space="preserve"> effector messenger RNAs. J Mol Biol. 1992 Aug 5;226(3):637–49. </w:t>
      </w:r>
    </w:p>
    <w:p w14:paraId="6DDB53EB"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94. </w:t>
      </w:r>
      <w:r w:rsidRPr="003E0D31">
        <w:rPr>
          <w:rFonts w:eastAsia="Calibri"/>
          <w:noProof/>
          <w:lang w:bidi="ne-NP"/>
        </w:rPr>
        <w:tab/>
        <w:t xml:space="preserve">Darfeuille F, Unoson C, Vogel J, Wagner EGH. An antisense RNA inhibits translation by competing with standby ribosomes. Mol Cell. 2007 May 11;26(3):381–92. </w:t>
      </w:r>
    </w:p>
    <w:p w14:paraId="122F568F"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95. </w:t>
      </w:r>
      <w:r w:rsidRPr="003E0D31">
        <w:rPr>
          <w:rFonts w:eastAsia="Calibri"/>
          <w:noProof/>
          <w:lang w:bidi="ne-NP"/>
        </w:rPr>
        <w:tab/>
        <w:t xml:space="preserve">Berghoff BA, Karlsson T, Källman T, Wagner EGH, Grabherr MG. RNA-sequence data normalization through in silico prediction of reference genes: the bacterial response to DNA damage as case study. BioData Min. 2017 Sep 5;10:30. </w:t>
      </w:r>
    </w:p>
    <w:p w14:paraId="3D186CEA"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96. </w:t>
      </w:r>
      <w:r w:rsidRPr="003E0D31">
        <w:rPr>
          <w:rFonts w:eastAsia="Calibri"/>
          <w:noProof/>
          <w:lang w:bidi="ne-NP"/>
        </w:rPr>
        <w:tab/>
        <w:t xml:space="preserve">Kawano M, Reynolds AA, Miranda-Rios J, Storz G. Detection of 5’- and 3’-UTR-derived small RNAs and cis-encoded antisense RNAs in </w:t>
      </w:r>
      <w:r w:rsidRPr="003E0D31">
        <w:rPr>
          <w:rFonts w:eastAsia="Calibri"/>
          <w:i/>
          <w:iCs/>
          <w:noProof/>
          <w:lang w:bidi="ne-NP"/>
        </w:rPr>
        <w:t>Escherichia coli</w:t>
      </w:r>
      <w:r w:rsidRPr="003E0D31">
        <w:rPr>
          <w:rFonts w:eastAsia="Calibri"/>
          <w:noProof/>
          <w:lang w:bidi="ne-NP"/>
        </w:rPr>
        <w:t xml:space="preserve">. Nucleic Acids Res. 2005 Feb 17;33(3):1040–50. </w:t>
      </w:r>
    </w:p>
    <w:p w14:paraId="6D1712FD"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97. </w:t>
      </w:r>
      <w:r w:rsidRPr="003E0D31">
        <w:rPr>
          <w:rFonts w:eastAsia="Calibri"/>
          <w:noProof/>
          <w:lang w:bidi="ne-NP"/>
        </w:rPr>
        <w:tab/>
        <w:t xml:space="preserve">Kristiansen KI, Weel-Sneve R, Booth JA, Bjørås M. Mutually exclusive RNA secondary structures regulate translation initiation of DinQ in </w:t>
      </w:r>
      <w:r w:rsidRPr="003E0D31">
        <w:rPr>
          <w:rFonts w:eastAsia="Calibri"/>
          <w:i/>
          <w:iCs/>
          <w:noProof/>
          <w:lang w:bidi="ne-NP"/>
        </w:rPr>
        <w:t>Escherichia coli</w:t>
      </w:r>
      <w:r w:rsidRPr="003E0D31">
        <w:rPr>
          <w:rFonts w:eastAsia="Calibri"/>
          <w:noProof/>
          <w:lang w:bidi="ne-NP"/>
        </w:rPr>
        <w:t xml:space="preserve">. </w:t>
      </w:r>
      <w:r w:rsidRPr="003E0D31">
        <w:rPr>
          <w:rFonts w:eastAsia="Calibri"/>
          <w:noProof/>
          <w:lang w:bidi="ne-NP"/>
        </w:rPr>
        <w:lastRenderedPageBreak/>
        <w:t xml:space="preserve">RNA. 2016 Nov;22(11):1739–49. </w:t>
      </w:r>
    </w:p>
    <w:p w14:paraId="294066C7"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98. </w:t>
      </w:r>
      <w:r w:rsidRPr="003E0D31">
        <w:rPr>
          <w:rFonts w:eastAsia="Calibri"/>
          <w:noProof/>
          <w:lang w:bidi="ne-NP"/>
        </w:rPr>
        <w:tab/>
        <w:t xml:space="preserve">Greenfield TJ, Franch T, Gerdes K, Weaver KE. Antisense RNA regulation of the par post-segregational killing system: structural analysis and mechanism of binding of the antisense RNA, RNAII and its target, RNAI. Mol Microbiol. 2001 Oct;42(2):527–37. </w:t>
      </w:r>
    </w:p>
    <w:p w14:paraId="26B3A54E"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99. </w:t>
      </w:r>
      <w:r w:rsidRPr="003E0D31">
        <w:rPr>
          <w:rFonts w:eastAsia="Calibri"/>
          <w:noProof/>
          <w:lang w:bidi="ne-NP"/>
        </w:rPr>
        <w:tab/>
        <w:t xml:space="preserve">Shokeen S, Patel S, Greenfield TJ, Brinkman C, Weaver KE. Translational regulation by an intramolecular stem-loop is required for intermolecular RNA regulation of the par addiction module. J Bacteriol. 2008 Sep;190(18):6076–83. </w:t>
      </w:r>
    </w:p>
    <w:p w14:paraId="54D95FFA"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100. </w:t>
      </w:r>
      <w:r w:rsidRPr="003E0D31">
        <w:rPr>
          <w:rFonts w:eastAsia="Calibri"/>
          <w:noProof/>
          <w:lang w:bidi="ne-NP"/>
        </w:rPr>
        <w:tab/>
        <w:t xml:space="preserve">Jahn N, Brantl S. One antitoxin--two functions: SR4 controls toxin mRNA decay and translation. Nucleic Acids Res. 2013 Nov;41(21):9870–80. </w:t>
      </w:r>
    </w:p>
    <w:p w14:paraId="3243CDF7"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101. </w:t>
      </w:r>
      <w:r w:rsidRPr="003E0D31">
        <w:rPr>
          <w:rFonts w:eastAsia="Calibri"/>
          <w:noProof/>
          <w:lang w:bidi="ne-NP"/>
        </w:rPr>
        <w:tab/>
        <w:t xml:space="preserve">Wagner EGH, Unoson C. The toxin-antitoxin system tisB-istR1: expression, regulation, and biological role in persister phenotypes. RNA Biol. 2012 Dec;9(12):1513–9. </w:t>
      </w:r>
    </w:p>
    <w:p w14:paraId="6E4155E5"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102. </w:t>
      </w:r>
      <w:r w:rsidRPr="003E0D31">
        <w:rPr>
          <w:rFonts w:eastAsia="Calibri"/>
          <w:noProof/>
          <w:lang w:bidi="ne-NP"/>
        </w:rPr>
        <w:tab/>
        <w:t xml:space="preserve">Gerdes K, Bech FW, Jørgensen ST, Løbner-Olesen A, Rasmussen PB, Atlung T, et al. Mechanism of postsegregational killing by the hok gene product of the </w:t>
      </w:r>
      <w:r w:rsidRPr="003E0D31">
        <w:rPr>
          <w:rFonts w:eastAsia="Calibri"/>
          <w:i/>
          <w:iCs/>
          <w:noProof/>
          <w:lang w:bidi="ne-NP"/>
        </w:rPr>
        <w:t>parB</w:t>
      </w:r>
      <w:r w:rsidRPr="003E0D31">
        <w:rPr>
          <w:rFonts w:eastAsia="Calibri"/>
          <w:noProof/>
          <w:lang w:bidi="ne-NP"/>
        </w:rPr>
        <w:t xml:space="preserve"> system of plasmid R1 and its homology with the </w:t>
      </w:r>
      <w:r w:rsidRPr="003E0D31">
        <w:rPr>
          <w:rFonts w:eastAsia="Calibri"/>
          <w:i/>
          <w:iCs/>
          <w:noProof/>
          <w:lang w:bidi="ne-NP"/>
        </w:rPr>
        <w:t>relF</w:t>
      </w:r>
      <w:r w:rsidRPr="003E0D31">
        <w:rPr>
          <w:rFonts w:eastAsia="Calibri"/>
          <w:noProof/>
          <w:lang w:bidi="ne-NP"/>
        </w:rPr>
        <w:t xml:space="preserve"> gene product of the </w:t>
      </w:r>
      <w:r w:rsidRPr="003E0D31">
        <w:rPr>
          <w:rFonts w:eastAsia="Calibri"/>
          <w:i/>
          <w:iCs/>
          <w:noProof/>
          <w:lang w:bidi="ne-NP"/>
        </w:rPr>
        <w:t>E. coli relB</w:t>
      </w:r>
      <w:r w:rsidRPr="003E0D31">
        <w:rPr>
          <w:rFonts w:eastAsia="Calibri"/>
          <w:noProof/>
          <w:lang w:bidi="ne-NP"/>
        </w:rPr>
        <w:t xml:space="preserve"> operon. EMBO J. 1986 Aug;5(8):2023–9. </w:t>
      </w:r>
    </w:p>
    <w:p w14:paraId="5B8911E0"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103. </w:t>
      </w:r>
      <w:r w:rsidRPr="003E0D31">
        <w:rPr>
          <w:rFonts w:eastAsia="Calibri"/>
          <w:noProof/>
          <w:lang w:bidi="ne-NP"/>
        </w:rPr>
        <w:tab/>
        <w:t xml:space="preserve">Gerdes K, Wagner EGH. RNA antitoxins. Curr Opin Microbiol. 2007 Apr;10(2):117–24. </w:t>
      </w:r>
    </w:p>
    <w:p w14:paraId="347F9691"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104. </w:t>
      </w:r>
      <w:r w:rsidRPr="003E0D31">
        <w:rPr>
          <w:rFonts w:eastAsia="Calibri"/>
          <w:noProof/>
          <w:lang w:bidi="ne-NP"/>
        </w:rPr>
        <w:tab/>
        <w:t xml:space="preserve">Weaver KE, Chen Y, Miiller EM, Johnson JN, Dangler AA, Manias DA, et al. Examination of </w:t>
      </w:r>
      <w:r w:rsidRPr="003E0D31">
        <w:rPr>
          <w:rFonts w:eastAsia="Calibri"/>
          <w:i/>
          <w:iCs/>
          <w:noProof/>
          <w:lang w:bidi="ne-NP"/>
        </w:rPr>
        <w:t>Enterococcus faecalis</w:t>
      </w:r>
      <w:r w:rsidRPr="003E0D31">
        <w:rPr>
          <w:rFonts w:eastAsia="Calibri"/>
          <w:noProof/>
          <w:lang w:bidi="ne-NP"/>
        </w:rPr>
        <w:t xml:space="preserve"> toxin-antitoxin system toxin Fst function utilizing a pheromone-inducible expression vector with tight repression and broad dynamic range. J Bacteriol. 2017 Jun 15;199(12). </w:t>
      </w:r>
    </w:p>
    <w:p w14:paraId="1DC00A80"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105. </w:t>
      </w:r>
      <w:r w:rsidRPr="003E0D31">
        <w:rPr>
          <w:rFonts w:eastAsia="Calibri"/>
          <w:noProof/>
          <w:lang w:bidi="ne-NP"/>
        </w:rPr>
        <w:tab/>
        <w:t xml:space="preserve">Sayed N, Jousselin A, Felden B. A cis-antisense RNA acts in trans in </w:t>
      </w:r>
      <w:r w:rsidRPr="003E0D31">
        <w:rPr>
          <w:rFonts w:eastAsia="Calibri"/>
          <w:i/>
          <w:iCs/>
          <w:noProof/>
          <w:lang w:bidi="ne-NP"/>
        </w:rPr>
        <w:t xml:space="preserve">Staphylococcus aureus </w:t>
      </w:r>
      <w:r w:rsidRPr="003E0D31">
        <w:rPr>
          <w:rFonts w:eastAsia="Calibri"/>
          <w:noProof/>
          <w:lang w:bidi="ne-NP"/>
        </w:rPr>
        <w:t xml:space="preserve">to control translation of a human cytolytic peptide. Nat Struct Mol Biol. 2011 Dec 25;19(1):105–12. </w:t>
      </w:r>
    </w:p>
    <w:p w14:paraId="6B5F9176"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106. </w:t>
      </w:r>
      <w:r w:rsidRPr="003E0D31">
        <w:rPr>
          <w:rFonts w:eastAsia="Calibri"/>
          <w:noProof/>
          <w:lang w:bidi="ne-NP"/>
        </w:rPr>
        <w:tab/>
        <w:t xml:space="preserve">Durand S, Jahn N, Condon C, Brantl S. Type I toxin-antitoxin systems in </w:t>
      </w:r>
      <w:r w:rsidRPr="003E0D31">
        <w:rPr>
          <w:rFonts w:eastAsia="Calibri"/>
          <w:i/>
          <w:iCs/>
          <w:noProof/>
          <w:lang w:bidi="ne-NP"/>
        </w:rPr>
        <w:t>Bacillus subtilis.</w:t>
      </w:r>
      <w:r w:rsidRPr="003E0D31">
        <w:rPr>
          <w:rFonts w:eastAsia="Calibri"/>
          <w:noProof/>
          <w:lang w:bidi="ne-NP"/>
        </w:rPr>
        <w:t xml:space="preserve"> RNA Biol. 2012 Dec;9(12):1491–7. </w:t>
      </w:r>
    </w:p>
    <w:p w14:paraId="4C5C4837"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107. </w:t>
      </w:r>
      <w:r w:rsidRPr="003E0D31">
        <w:rPr>
          <w:rFonts w:eastAsia="Calibri"/>
          <w:noProof/>
          <w:lang w:bidi="ne-NP"/>
        </w:rPr>
        <w:tab/>
        <w:t xml:space="preserve">Riffaud C, Pinel-Marie M-L, Pascreau G, Felden B. Functionality and cross-regulation of the four SprG/SprF type I toxin-antitoxin systems in </w:t>
      </w:r>
      <w:r w:rsidRPr="003E0D31">
        <w:rPr>
          <w:rFonts w:eastAsia="Calibri"/>
          <w:i/>
          <w:iCs/>
          <w:noProof/>
          <w:lang w:bidi="ne-NP"/>
        </w:rPr>
        <w:t xml:space="preserve">Staphylococcus </w:t>
      </w:r>
      <w:r w:rsidRPr="003E0D31">
        <w:rPr>
          <w:rFonts w:eastAsia="Calibri"/>
          <w:i/>
          <w:iCs/>
          <w:noProof/>
          <w:lang w:bidi="ne-NP"/>
        </w:rPr>
        <w:lastRenderedPageBreak/>
        <w:t>aureus</w:t>
      </w:r>
      <w:r w:rsidRPr="003E0D31">
        <w:rPr>
          <w:rFonts w:eastAsia="Calibri"/>
          <w:noProof/>
          <w:lang w:bidi="ne-NP"/>
        </w:rPr>
        <w:t xml:space="preserve">. Nucleic Acids Res. 2019 Feb 28;47(4):1740–58. </w:t>
      </w:r>
    </w:p>
    <w:p w14:paraId="0B4B32A3"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108. </w:t>
      </w:r>
      <w:r w:rsidRPr="003E0D31">
        <w:rPr>
          <w:rFonts w:eastAsia="Calibri"/>
          <w:noProof/>
          <w:lang w:bidi="ne-NP"/>
        </w:rPr>
        <w:tab/>
        <w:t xml:space="preserve">Han K, Kim K-S, Bak G, Park H, Lee Y. Recognition and discrimination of target mRNAs by Sib RNAs, a cis-encoded sRNA family. Nucleic Acids Res. 2010 Sep;38(17):5851–66. </w:t>
      </w:r>
    </w:p>
    <w:p w14:paraId="5EE243B8"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109. </w:t>
      </w:r>
      <w:r w:rsidRPr="003E0D31">
        <w:rPr>
          <w:rFonts w:eastAsia="Calibri"/>
          <w:noProof/>
          <w:lang w:bidi="ne-NP"/>
        </w:rPr>
        <w:tab/>
        <w:t xml:space="preserve">Gerdes K, Helin K, Christensen OW, Løbner-Olesen A. Translational control and differential RNA decay are key elements regulating postsegregational expression of the killer protein encoded by the parB locus of plasmid R1. J Mol Biol. 1988 Sep 5;203(1):119–29. </w:t>
      </w:r>
    </w:p>
    <w:p w14:paraId="294CE600"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110. </w:t>
      </w:r>
      <w:r w:rsidRPr="003E0D31">
        <w:rPr>
          <w:rFonts w:eastAsia="Calibri"/>
          <w:noProof/>
          <w:lang w:bidi="ne-NP"/>
        </w:rPr>
        <w:tab/>
        <w:t xml:space="preserve">Song S, Wood TK. Post-segregational killing and phage inhibition are not mediated by cell death through toxin/antitoxin systems. Front Microbiol. 2018 Apr 25;9:814. </w:t>
      </w:r>
    </w:p>
    <w:p w14:paraId="06206705"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111. </w:t>
      </w:r>
      <w:r w:rsidRPr="003E0D31">
        <w:rPr>
          <w:rFonts w:eastAsia="Calibri"/>
          <w:noProof/>
          <w:lang w:bidi="ne-NP"/>
        </w:rPr>
        <w:tab/>
        <w:t xml:space="preserve">Riffaud C, Pinel-Marie M-L, Felden B. Cross-regulations between bacterial toxin-antitoxin systems: evidence of an interconnected regulatory network? Trends Microbiol. 2020 Oct;28(10):851–66. </w:t>
      </w:r>
    </w:p>
    <w:p w14:paraId="241CD634"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112. </w:t>
      </w:r>
      <w:r w:rsidRPr="003E0D31">
        <w:rPr>
          <w:rFonts w:eastAsia="Calibri"/>
          <w:noProof/>
          <w:lang w:bidi="ne-NP"/>
        </w:rPr>
        <w:tab/>
        <w:t xml:space="preserve">Sarpong DD, Murphy ER. RNA Regulated Toxin-antitoxin systems in pathogenic bacteria. Front Cell Infect Microbiol. 2021 May 18;11:661026. </w:t>
      </w:r>
    </w:p>
    <w:p w14:paraId="015242E4"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113. </w:t>
      </w:r>
      <w:r w:rsidRPr="003E0D31">
        <w:rPr>
          <w:rFonts w:eastAsia="Calibri"/>
          <w:noProof/>
          <w:lang w:bidi="ne-NP"/>
        </w:rPr>
        <w:tab/>
        <w:t xml:space="preserve">Koyanagi S, Lévesque CM. Characterization of a </w:t>
      </w:r>
      <w:r w:rsidRPr="003E0D31">
        <w:rPr>
          <w:rFonts w:eastAsia="Calibri"/>
          <w:i/>
          <w:iCs/>
          <w:noProof/>
          <w:lang w:bidi="ne-NP"/>
        </w:rPr>
        <w:t>Streptococcus mutans</w:t>
      </w:r>
      <w:r w:rsidRPr="003E0D31">
        <w:rPr>
          <w:rFonts w:eastAsia="Calibri"/>
          <w:noProof/>
          <w:lang w:bidi="ne-NP"/>
        </w:rPr>
        <w:t xml:space="preserve"> intergenic region containing a small toxic peptide and its cis-encoded antisense small RNA antitoxin. PLoS One. 2013 Jan 11;8(1):e54291. </w:t>
      </w:r>
    </w:p>
    <w:p w14:paraId="4BDCC892" w14:textId="77777777" w:rsidR="003E0D31" w:rsidRPr="003E0D31" w:rsidRDefault="003E0D31" w:rsidP="00F33FC4">
      <w:pPr>
        <w:widowControl w:val="0"/>
        <w:autoSpaceDE w:val="0"/>
        <w:autoSpaceDN w:val="0"/>
        <w:adjustRightInd w:val="0"/>
        <w:spacing w:line="360" w:lineRule="auto"/>
        <w:ind w:left="680" w:hanging="680"/>
        <w:rPr>
          <w:rFonts w:eastAsia="Calibri"/>
          <w:noProof/>
          <w:lang w:bidi="ne-NP"/>
        </w:rPr>
      </w:pPr>
      <w:r w:rsidRPr="003E0D31">
        <w:rPr>
          <w:rFonts w:eastAsia="Calibri"/>
          <w:noProof/>
          <w:lang w:bidi="ne-NP"/>
        </w:rPr>
        <w:t xml:space="preserve">114. </w:t>
      </w:r>
      <w:r w:rsidRPr="003E0D31">
        <w:rPr>
          <w:rFonts w:eastAsia="Calibri"/>
          <w:noProof/>
          <w:lang w:bidi="ne-NP"/>
        </w:rPr>
        <w:tab/>
        <w:t xml:space="preserve">Dörr T, Vulić M, Lewis K. Ciprofloxacin causes persister formation by inducing the TisB toxin in </w:t>
      </w:r>
      <w:r w:rsidRPr="003E0D31">
        <w:rPr>
          <w:rFonts w:eastAsia="Calibri"/>
          <w:i/>
          <w:iCs/>
          <w:noProof/>
          <w:lang w:bidi="ne-NP"/>
        </w:rPr>
        <w:t>Escherichia coli</w:t>
      </w:r>
      <w:r w:rsidRPr="003E0D31">
        <w:rPr>
          <w:rFonts w:eastAsia="Calibri"/>
          <w:noProof/>
          <w:lang w:bidi="ne-NP"/>
        </w:rPr>
        <w:t xml:space="preserve">. PLoS Biol. 2010 Feb 23;8(2):e1000317. </w:t>
      </w:r>
    </w:p>
    <w:p w14:paraId="7007552A" w14:textId="77777777" w:rsidR="003E0D31" w:rsidRPr="003E0D31" w:rsidRDefault="003E0D31" w:rsidP="00F33FC4">
      <w:pPr>
        <w:widowControl w:val="0"/>
        <w:autoSpaceDE w:val="0"/>
        <w:autoSpaceDN w:val="0"/>
        <w:adjustRightInd w:val="0"/>
        <w:spacing w:line="360" w:lineRule="auto"/>
        <w:ind w:left="680" w:hanging="680"/>
        <w:rPr>
          <w:rFonts w:eastAsia="Calibri"/>
          <w:noProof/>
          <w:szCs w:val="21"/>
          <w:lang w:bidi="ne-NP"/>
        </w:rPr>
      </w:pPr>
      <w:r w:rsidRPr="003E0D31">
        <w:rPr>
          <w:rFonts w:eastAsia="Calibri"/>
          <w:noProof/>
          <w:lang w:bidi="ne-NP"/>
        </w:rPr>
        <w:t xml:space="preserve">115. </w:t>
      </w:r>
      <w:r w:rsidRPr="003E0D31">
        <w:rPr>
          <w:rFonts w:eastAsia="Calibri"/>
          <w:noProof/>
          <w:lang w:bidi="ne-NP"/>
        </w:rPr>
        <w:tab/>
        <w:t xml:space="preserve">Chlebicka K, Bonar E, Suder P, Ostyn E, Felden B, Wladyka B, et al. Impacts of the type I toxin-antitoxin system, SprG1/SprF1, on </w:t>
      </w:r>
      <w:r w:rsidRPr="003E0D31">
        <w:rPr>
          <w:rFonts w:eastAsia="Calibri"/>
          <w:i/>
          <w:iCs/>
          <w:noProof/>
          <w:lang w:bidi="ne-NP"/>
        </w:rPr>
        <w:t>Staphylococcus aureus</w:t>
      </w:r>
      <w:r w:rsidRPr="003E0D31">
        <w:rPr>
          <w:rFonts w:eastAsia="Calibri"/>
          <w:noProof/>
          <w:lang w:bidi="ne-NP"/>
        </w:rPr>
        <w:t xml:space="preserve"> Gene Expression. Genes (Basel). 2021 May 18;12(5). </w:t>
      </w:r>
    </w:p>
    <w:p w14:paraId="645B268A" w14:textId="77777777" w:rsidR="003E0D31" w:rsidRPr="003E0D31" w:rsidRDefault="003E0D31" w:rsidP="00F33FC4">
      <w:pPr>
        <w:widowControl w:val="0"/>
        <w:autoSpaceDE w:val="0"/>
        <w:autoSpaceDN w:val="0"/>
        <w:adjustRightInd w:val="0"/>
        <w:spacing w:line="360" w:lineRule="auto"/>
        <w:rPr>
          <w:rFonts w:eastAsia="Calibri"/>
          <w:b/>
          <w:bCs/>
          <w:szCs w:val="21"/>
          <w:lang w:bidi="ne-NP"/>
        </w:rPr>
      </w:pPr>
    </w:p>
    <w:p w14:paraId="17E266C2" w14:textId="77777777" w:rsidR="003E0D31" w:rsidRPr="003E0D31" w:rsidRDefault="003E0D31" w:rsidP="003E0D31">
      <w:pPr>
        <w:spacing w:line="360" w:lineRule="auto"/>
        <w:rPr>
          <w:rFonts w:eastAsia="Calibri"/>
          <w:szCs w:val="21"/>
          <w:lang w:bidi="ne-NP"/>
        </w:rPr>
      </w:pPr>
    </w:p>
    <w:p w14:paraId="638CE628" w14:textId="77777777" w:rsidR="003E0D31" w:rsidRPr="003E0D31" w:rsidRDefault="003E0D31" w:rsidP="003E0D31">
      <w:pPr>
        <w:spacing w:line="360" w:lineRule="auto"/>
        <w:ind w:left="284" w:firstLine="720"/>
        <w:rPr>
          <w:rFonts w:eastAsia="Calibri"/>
          <w:szCs w:val="21"/>
          <w:lang w:val="en-NP" w:bidi="ne-NP"/>
        </w:rPr>
      </w:pPr>
    </w:p>
    <w:p w14:paraId="15351883" w14:textId="060BC9BE" w:rsidR="00F33FC4" w:rsidRDefault="00F33FC4" w:rsidP="00933EAD">
      <w:pPr>
        <w:jc w:val="center"/>
        <w:rPr>
          <w:rFonts w:eastAsia="Calibri"/>
          <w:b/>
          <w:bCs/>
        </w:rPr>
      </w:pPr>
      <w:r>
        <w:br w:type="page"/>
      </w:r>
      <w:r w:rsidRPr="00F33FC4">
        <w:rPr>
          <w:rFonts w:eastAsia="Calibri"/>
          <w:b/>
          <w:bCs/>
        </w:rPr>
        <w:lastRenderedPageBreak/>
        <w:t>CHAPTER II</w:t>
      </w:r>
    </w:p>
    <w:p w14:paraId="0D473C98" w14:textId="77777777" w:rsidR="00B66D01" w:rsidRPr="00933EAD" w:rsidRDefault="00B66D01" w:rsidP="00933EAD">
      <w:pPr>
        <w:jc w:val="center"/>
        <w:rPr>
          <w:b/>
          <w:caps/>
          <w:color w:val="000000" w:themeColor="text1"/>
          <w:sz w:val="28"/>
          <w:szCs w:val="28"/>
        </w:rPr>
      </w:pPr>
    </w:p>
    <w:p w14:paraId="30FA202C" w14:textId="77777777" w:rsidR="00F33FC4" w:rsidRPr="00F33FC4" w:rsidRDefault="00F33FC4" w:rsidP="00F33FC4">
      <w:pPr>
        <w:spacing w:line="360" w:lineRule="auto"/>
        <w:jc w:val="center"/>
        <w:rPr>
          <w:rFonts w:eastAsia="Calibri"/>
          <w:b/>
          <w:bCs/>
        </w:rPr>
      </w:pPr>
      <w:r w:rsidRPr="00F33FC4">
        <w:rPr>
          <w:rFonts w:eastAsia="Calibri"/>
          <w:b/>
          <w:bCs/>
        </w:rPr>
        <w:t xml:space="preserve">Improved growth of </w:t>
      </w:r>
      <w:r w:rsidRPr="00F33FC4">
        <w:rPr>
          <w:rFonts w:eastAsia="Calibri"/>
          <w:b/>
          <w:bCs/>
          <w:i/>
        </w:rPr>
        <w:t xml:space="preserve">Escherichia coli </w:t>
      </w:r>
      <w:r w:rsidRPr="00F33FC4">
        <w:rPr>
          <w:rFonts w:eastAsia="Calibri"/>
          <w:b/>
          <w:bCs/>
        </w:rPr>
        <w:t xml:space="preserve">in aminoglycoside antibiotics by the </w:t>
      </w:r>
      <w:proofErr w:type="spellStart"/>
      <w:r w:rsidRPr="00F33FC4">
        <w:rPr>
          <w:rFonts w:eastAsia="Calibri"/>
          <w:b/>
          <w:bCs/>
          <w:i/>
          <w:iCs/>
        </w:rPr>
        <w:t>zor-orz</w:t>
      </w:r>
      <w:proofErr w:type="spellEnd"/>
      <w:r w:rsidRPr="00F33FC4">
        <w:rPr>
          <w:rFonts w:eastAsia="Calibri"/>
          <w:b/>
          <w:bCs/>
        </w:rPr>
        <w:t xml:space="preserve"> toxin-antitoxin system</w:t>
      </w:r>
    </w:p>
    <w:p w14:paraId="06B115E0" w14:textId="77777777" w:rsidR="00F33FC4" w:rsidRPr="00F33FC4" w:rsidRDefault="00F33FC4" w:rsidP="00F33FC4">
      <w:pPr>
        <w:spacing w:line="360" w:lineRule="auto"/>
        <w:jc w:val="center"/>
        <w:rPr>
          <w:rFonts w:eastAsia="Calibri"/>
          <w:b/>
          <w:bCs/>
        </w:rPr>
      </w:pPr>
    </w:p>
    <w:p w14:paraId="52A0D657" w14:textId="77777777" w:rsidR="00F33FC4" w:rsidRPr="00F33FC4" w:rsidRDefault="00F33FC4" w:rsidP="00F33FC4">
      <w:pPr>
        <w:spacing w:line="360" w:lineRule="auto"/>
        <w:rPr>
          <w:rFonts w:eastAsia="Calibri"/>
          <w:b/>
          <w:bCs/>
        </w:rPr>
      </w:pPr>
      <w:r w:rsidRPr="00F33FC4">
        <w:rPr>
          <w:rFonts w:eastAsia="Calibri"/>
          <w:b/>
          <w:bCs/>
        </w:rPr>
        <w:br w:type="page"/>
      </w:r>
    </w:p>
    <w:p w14:paraId="7F4BA8A2" w14:textId="77777777" w:rsidR="00F33FC4" w:rsidRPr="00F33FC4" w:rsidRDefault="00F33FC4" w:rsidP="00F33FC4">
      <w:pPr>
        <w:spacing w:line="360" w:lineRule="auto"/>
        <w:rPr>
          <w:rFonts w:eastAsia="Calibri"/>
          <w:b/>
          <w:bCs/>
        </w:rPr>
      </w:pPr>
      <w:r w:rsidRPr="00F33FC4">
        <w:rPr>
          <w:rFonts w:eastAsia="Calibri"/>
          <w:b/>
          <w:bCs/>
        </w:rPr>
        <w:lastRenderedPageBreak/>
        <w:t>Publication note</w:t>
      </w:r>
    </w:p>
    <w:p w14:paraId="149157AC" w14:textId="77777777" w:rsidR="00F33FC4" w:rsidRPr="00F33FC4" w:rsidRDefault="00F33FC4" w:rsidP="00F33FC4">
      <w:pPr>
        <w:spacing w:line="360" w:lineRule="auto"/>
        <w:rPr>
          <w:rFonts w:eastAsia="Calibri"/>
        </w:rPr>
      </w:pPr>
      <w:r w:rsidRPr="00F33FC4">
        <w:rPr>
          <w:rFonts w:eastAsia="Calibri"/>
        </w:rPr>
        <w:t xml:space="preserve"> A version of this chapter was originally published by Bikash Bogati, Nicholas Wadsworth, Francisco Barrera, and Elizabeth M. </w:t>
      </w:r>
      <w:proofErr w:type="spellStart"/>
      <w:r w:rsidRPr="00F33FC4">
        <w:rPr>
          <w:rFonts w:eastAsia="Calibri"/>
        </w:rPr>
        <w:t>Fozo</w:t>
      </w:r>
      <w:proofErr w:type="spellEnd"/>
      <w:r w:rsidRPr="00F33FC4">
        <w:rPr>
          <w:rFonts w:eastAsia="Calibri"/>
        </w:rPr>
        <w:t>:</w:t>
      </w:r>
    </w:p>
    <w:p w14:paraId="26DD2F09" w14:textId="77777777" w:rsidR="00F33FC4" w:rsidRPr="00F33FC4" w:rsidRDefault="00F33FC4" w:rsidP="00F33FC4">
      <w:pPr>
        <w:spacing w:line="360" w:lineRule="auto"/>
        <w:rPr>
          <w:rFonts w:eastAsia="Calibri"/>
        </w:rPr>
      </w:pPr>
      <w:r w:rsidRPr="00F33FC4">
        <w:rPr>
          <w:rFonts w:eastAsia="Calibri"/>
        </w:rPr>
        <w:tab/>
        <w:t xml:space="preserve">Bogati B, Wadsworth N, Barrera F, </w:t>
      </w:r>
      <w:proofErr w:type="spellStart"/>
      <w:r w:rsidRPr="00F33FC4">
        <w:rPr>
          <w:rFonts w:eastAsia="Calibri"/>
        </w:rPr>
        <w:t>Fozo</w:t>
      </w:r>
      <w:proofErr w:type="spellEnd"/>
      <w:r w:rsidRPr="00F33FC4">
        <w:rPr>
          <w:rFonts w:eastAsia="Calibri"/>
        </w:rPr>
        <w:t xml:space="preserve"> EM. Improved growth of </w:t>
      </w:r>
      <w:r w:rsidRPr="00F33FC4">
        <w:rPr>
          <w:rFonts w:eastAsia="Calibri"/>
          <w:i/>
          <w:iCs/>
        </w:rPr>
        <w:t>Escherichia coli</w:t>
      </w:r>
      <w:r w:rsidRPr="00F33FC4">
        <w:rPr>
          <w:rFonts w:eastAsia="Calibri"/>
        </w:rPr>
        <w:t xml:space="preserve"> in aminoglycoside antibiotics by the </w:t>
      </w:r>
      <w:proofErr w:type="spellStart"/>
      <w:r w:rsidRPr="00F33FC4">
        <w:rPr>
          <w:rFonts w:eastAsia="Calibri"/>
          <w:i/>
          <w:iCs/>
        </w:rPr>
        <w:t>zor-orz</w:t>
      </w:r>
      <w:proofErr w:type="spellEnd"/>
      <w:r w:rsidRPr="00F33FC4">
        <w:rPr>
          <w:rFonts w:eastAsia="Calibri"/>
        </w:rPr>
        <w:t xml:space="preserve"> toxin-antitoxin system. J </w:t>
      </w:r>
      <w:proofErr w:type="spellStart"/>
      <w:r w:rsidRPr="00F33FC4">
        <w:rPr>
          <w:rFonts w:eastAsia="Calibri"/>
        </w:rPr>
        <w:t>Bacteriol</w:t>
      </w:r>
      <w:proofErr w:type="spellEnd"/>
      <w:r w:rsidRPr="00F33FC4">
        <w:rPr>
          <w:rFonts w:eastAsia="Calibri"/>
        </w:rPr>
        <w:t>. 2021 Sep 27; JB0040721.</w:t>
      </w:r>
    </w:p>
    <w:p w14:paraId="0E624609" w14:textId="77777777" w:rsidR="00F33FC4" w:rsidRPr="00F33FC4" w:rsidRDefault="00F33FC4" w:rsidP="00F33FC4">
      <w:pPr>
        <w:spacing w:line="360" w:lineRule="auto"/>
        <w:rPr>
          <w:rFonts w:eastAsia="Calibri"/>
        </w:rPr>
      </w:pPr>
    </w:p>
    <w:p w14:paraId="6B2591F9" w14:textId="77777777" w:rsidR="00F33FC4" w:rsidRPr="00F33FC4" w:rsidRDefault="00F33FC4" w:rsidP="00F33FC4">
      <w:pPr>
        <w:spacing w:line="360" w:lineRule="auto"/>
        <w:rPr>
          <w:rFonts w:eastAsia="Calibri"/>
        </w:rPr>
      </w:pPr>
      <w:r w:rsidRPr="00F33FC4">
        <w:rPr>
          <w:rFonts w:eastAsia="Calibri"/>
        </w:rPr>
        <w:t xml:space="preserve">Bikash Bogati performed mutant constructions, 5’ rapid amplification of cDNA ends, western blot, dot blot, flow cytometric analysis, ATP assay, scanning electron microscopy, survival assay, tolerance detection assay, minimum inhibitory concentration assay and growth curves. Nicholas Wadsworth and Francisco Barrera performed works in Figure 2.4 and Figure 2.7B. Jia Wen did the growth curve in Fig 2.1A and primer extension assay in Figure 2.1C. Bikash Bogati, Francisco Barrera and Elizabeth M. </w:t>
      </w:r>
      <w:proofErr w:type="spellStart"/>
      <w:r w:rsidRPr="00F33FC4">
        <w:rPr>
          <w:rFonts w:eastAsia="Calibri"/>
        </w:rPr>
        <w:t>Fozo</w:t>
      </w:r>
      <w:proofErr w:type="spellEnd"/>
      <w:r w:rsidRPr="00F33FC4">
        <w:rPr>
          <w:rFonts w:eastAsia="Calibri"/>
        </w:rPr>
        <w:t xml:space="preserve"> wrote the manuscript.</w:t>
      </w:r>
    </w:p>
    <w:p w14:paraId="1B5DDAF8" w14:textId="77777777" w:rsidR="00F33FC4" w:rsidRPr="00F33FC4" w:rsidRDefault="00F33FC4" w:rsidP="00F33FC4">
      <w:pPr>
        <w:spacing w:line="360" w:lineRule="auto"/>
        <w:rPr>
          <w:rFonts w:eastAsia="Calibri"/>
        </w:rPr>
      </w:pPr>
      <w:r w:rsidRPr="00F33FC4">
        <w:rPr>
          <w:rFonts w:eastAsia="Calibri"/>
        </w:rPr>
        <w:br w:type="page"/>
      </w:r>
    </w:p>
    <w:p w14:paraId="7AA629F1" w14:textId="77777777" w:rsidR="00F33FC4" w:rsidRPr="00F33FC4" w:rsidRDefault="00F33FC4" w:rsidP="00F33FC4">
      <w:pPr>
        <w:spacing w:line="360" w:lineRule="auto"/>
        <w:rPr>
          <w:rFonts w:eastAsia="Calibri"/>
          <w:b/>
          <w:bCs/>
        </w:rPr>
      </w:pPr>
      <w:r w:rsidRPr="00F33FC4">
        <w:rPr>
          <w:rFonts w:eastAsia="Calibri"/>
          <w:b/>
          <w:bCs/>
        </w:rPr>
        <w:lastRenderedPageBreak/>
        <w:t>Abstract</w:t>
      </w:r>
    </w:p>
    <w:p w14:paraId="53A3F830" w14:textId="663B6A4F" w:rsidR="00F33FC4" w:rsidRPr="00F33FC4" w:rsidRDefault="00B66D01" w:rsidP="00F33FC4">
      <w:pPr>
        <w:spacing w:line="360" w:lineRule="auto"/>
        <w:rPr>
          <w:rFonts w:eastAsia="Calibri"/>
        </w:rPr>
      </w:pPr>
      <w:r>
        <w:rPr>
          <w:rFonts w:eastAsia="Calibri"/>
        </w:rPr>
        <w:tab/>
      </w:r>
      <w:r w:rsidR="00F33FC4" w:rsidRPr="00F33FC4">
        <w:rPr>
          <w:rFonts w:eastAsia="Calibri"/>
        </w:rPr>
        <w:t xml:space="preserve">Type I toxin-antitoxin systems consist of a small protein (under 60 amino acids) whose overproduction can result in cell growth stasis or death, and a small RNA that represses translation of the toxin mRNA. Despite their potential toxicity, type I toxin proteins are increasingly linked to improved survival of bacteria in stressful environments and antibiotic persistence. While the interaction of toxin mRNAs with their cognate antitoxin sRNAs in some systems are well characterized, additional translational control of many toxins and their biological roles are not well understood. Using an ectopic overexpression system, we show that the efficient translation of a chromosomally encoded type I toxin, </w:t>
      </w:r>
      <w:proofErr w:type="spellStart"/>
      <w:r w:rsidR="00F871C2">
        <w:rPr>
          <w:rFonts w:eastAsia="Calibri"/>
        </w:rPr>
        <w:t>ZorO</w:t>
      </w:r>
      <w:proofErr w:type="spellEnd"/>
      <w:r w:rsidR="00F33FC4" w:rsidRPr="00F33FC4">
        <w:rPr>
          <w:rFonts w:eastAsia="Calibri"/>
        </w:rPr>
        <w:t xml:space="preserve">, requires mRNA processing of its long 5’ untranslated region (UTR; Δ28 UTR). The severity of </w:t>
      </w:r>
      <w:proofErr w:type="spellStart"/>
      <w:r w:rsidR="00F33FC4" w:rsidRPr="00F33FC4">
        <w:rPr>
          <w:rFonts w:eastAsia="Calibri"/>
        </w:rPr>
        <w:t>ZorO</w:t>
      </w:r>
      <w:proofErr w:type="spellEnd"/>
      <w:r w:rsidR="00F33FC4" w:rsidRPr="00F33FC4">
        <w:rPr>
          <w:rFonts w:eastAsia="Calibri"/>
        </w:rPr>
        <w:t xml:space="preserve"> induced toxicity on growth inhibition, membrane depolarization, and ATP depletion were significantly increased if expressed from the Δ28 UTR versus the full-length UTR. </w:t>
      </w:r>
      <w:proofErr w:type="spellStart"/>
      <w:r w:rsidR="00F33FC4" w:rsidRPr="00F33FC4">
        <w:rPr>
          <w:rFonts w:eastAsia="Calibri"/>
        </w:rPr>
        <w:t>ZorO</w:t>
      </w:r>
      <w:proofErr w:type="spellEnd"/>
      <w:r w:rsidR="00F33FC4" w:rsidRPr="00F33FC4">
        <w:rPr>
          <w:rFonts w:eastAsia="Calibri"/>
        </w:rPr>
        <w:t xml:space="preserve"> did not form large pores as evident via a liposomal leakage assay, </w:t>
      </w:r>
      <w:r w:rsidR="00F33FC4" w:rsidRPr="00F33FC4">
        <w:rPr>
          <w:rFonts w:eastAsia="Calibri"/>
          <w:i/>
          <w:iCs/>
        </w:rPr>
        <w:t>in vivo</w:t>
      </w:r>
      <w:r w:rsidR="00F33FC4" w:rsidRPr="00F33FC4">
        <w:rPr>
          <w:rFonts w:eastAsia="Calibri"/>
        </w:rPr>
        <w:t xml:space="preserve"> morphological analyses, and measurement of ATP loss. Further, increasing the copy number of the entire </w:t>
      </w:r>
      <w:proofErr w:type="spellStart"/>
      <w:r w:rsidR="00F33FC4" w:rsidRPr="00F33FC4">
        <w:rPr>
          <w:rFonts w:eastAsia="Calibri"/>
          <w:i/>
        </w:rPr>
        <w:t>zor-orz</w:t>
      </w:r>
      <w:proofErr w:type="spellEnd"/>
      <w:r w:rsidR="00F33FC4" w:rsidRPr="00F33FC4">
        <w:rPr>
          <w:rFonts w:eastAsia="Calibri"/>
          <w:i/>
        </w:rPr>
        <w:t xml:space="preserve"> </w:t>
      </w:r>
      <w:r w:rsidR="00F33FC4" w:rsidRPr="00F33FC4">
        <w:rPr>
          <w:rFonts w:eastAsia="Calibri"/>
        </w:rPr>
        <w:t>locus significantly improved growth of bacterial cells in the presence of kanamycin and increased the minimum inhibitory concentration against kanamycin and gentamycin; however, no such benefit was observed against other antibiotics. This supports a role for the </w:t>
      </w:r>
      <w:proofErr w:type="spellStart"/>
      <w:r w:rsidR="00F33FC4" w:rsidRPr="00F33FC4">
        <w:rPr>
          <w:rFonts w:eastAsia="Calibri"/>
          <w:i/>
          <w:iCs/>
        </w:rPr>
        <w:t>zor-orz</w:t>
      </w:r>
      <w:proofErr w:type="spellEnd"/>
      <w:r w:rsidR="00F33FC4" w:rsidRPr="00F33FC4">
        <w:rPr>
          <w:rFonts w:eastAsia="Calibri"/>
        </w:rPr>
        <w:t> locus as a protective measure against specific stress agents and is likely not part of a general stress response mechanism. Combined, these data shed more insights into the possible native functions for type I toxin proteins.</w:t>
      </w:r>
    </w:p>
    <w:p w14:paraId="54752A2B" w14:textId="77777777" w:rsidR="00F33FC4" w:rsidRPr="00F33FC4" w:rsidRDefault="00F33FC4" w:rsidP="00F33FC4">
      <w:pPr>
        <w:spacing w:line="360" w:lineRule="auto"/>
        <w:rPr>
          <w:rFonts w:eastAsia="Calibri"/>
        </w:rPr>
      </w:pPr>
      <w:r w:rsidRPr="00F33FC4">
        <w:rPr>
          <w:rFonts w:eastAsia="Calibri"/>
          <w:b/>
          <w:bCs/>
        </w:rPr>
        <w:br/>
      </w:r>
      <w:r w:rsidRPr="00F33FC4">
        <w:rPr>
          <w:rFonts w:eastAsia="Calibri"/>
          <w:b/>
          <w:bCs/>
        </w:rPr>
        <w:br w:type="page"/>
      </w:r>
    </w:p>
    <w:p w14:paraId="2DDFA091" w14:textId="77777777" w:rsidR="00F33FC4" w:rsidRPr="00F33FC4" w:rsidRDefault="00F33FC4" w:rsidP="00F33FC4">
      <w:pPr>
        <w:spacing w:line="360" w:lineRule="auto"/>
        <w:rPr>
          <w:rFonts w:eastAsia="Calibri"/>
          <w:b/>
          <w:bCs/>
        </w:rPr>
      </w:pPr>
      <w:r w:rsidRPr="00F33FC4">
        <w:rPr>
          <w:rFonts w:eastAsia="Calibri"/>
          <w:b/>
          <w:bCs/>
        </w:rPr>
        <w:lastRenderedPageBreak/>
        <w:t>I. Introduction</w:t>
      </w:r>
    </w:p>
    <w:p w14:paraId="771FB88F" w14:textId="682A7029" w:rsidR="00F33FC4" w:rsidRPr="00F33FC4" w:rsidRDefault="00F33FC4" w:rsidP="00F33FC4">
      <w:pPr>
        <w:spacing w:line="360" w:lineRule="auto"/>
        <w:ind w:firstLine="720"/>
        <w:rPr>
          <w:rFonts w:eastAsia="Calibri"/>
        </w:rPr>
      </w:pPr>
      <w:r w:rsidRPr="00F33FC4">
        <w:rPr>
          <w:rFonts w:eastAsia="Calibri"/>
        </w:rPr>
        <w:t>Within the past two decades, numerous toxin-antitoxin (TA) systems have been identified encoded on bacterial chromosomes.</w:t>
      </w:r>
      <w:r w:rsidR="000725B7">
        <w:rPr>
          <w:rFonts w:eastAsia="Calibri"/>
        </w:rPr>
        <w:t xml:space="preserve"> </w:t>
      </w:r>
      <w:r w:rsidRPr="00F33FC4">
        <w:rPr>
          <w:rFonts w:eastAsia="Calibri"/>
        </w:rPr>
        <w:t xml:space="preserve">A TA system consists of a relatively stable toxin which typically targets an essential cellular function such as translation, DNA metabolism, energy production, or membrane homeostasis and an antitoxin which counteracts the activity of its cognate toxin (1–4). Based on the nature of the antitoxin </w:t>
      </w:r>
      <w:r w:rsidRPr="00F33FC4">
        <w:rPr>
          <w:rFonts w:eastAsia="Calibri"/>
          <w:i/>
          <w:iCs/>
        </w:rPr>
        <w:t>i.e.</w:t>
      </w:r>
      <w:r w:rsidRPr="00F33FC4">
        <w:rPr>
          <w:rFonts w:eastAsia="Calibri"/>
        </w:rPr>
        <w:t xml:space="preserve"> either a small RNA (sRNA) or a protein and the mechanism used by the antitoxin to neutralize the toxin, a TA system is primarily classified into one of six types (type I – type VI) (4, 5). A type VII TA system has been proposed and an unorthodox TA system whereby an RNA is the toxin have recently been described, indicating further expansion of the variety of TA systems (6, 7). The toxin components of type I TA systems, which were first identified on plasmids, are small proteins usually under 60 amino acids (8, 9).</w:t>
      </w:r>
      <w:r w:rsidR="000725B7">
        <w:rPr>
          <w:rFonts w:eastAsia="Calibri"/>
        </w:rPr>
        <w:t xml:space="preserve"> </w:t>
      </w:r>
      <w:r w:rsidRPr="00F33FC4">
        <w:rPr>
          <w:rFonts w:eastAsia="Calibri"/>
        </w:rPr>
        <w:t xml:space="preserve">In a type I system, the sRNA antitoxin neutralizes the toxin mRNA </w:t>
      </w:r>
      <w:r w:rsidRPr="00F33FC4">
        <w:rPr>
          <w:rFonts w:eastAsia="Calibri"/>
          <w:i/>
          <w:iCs/>
        </w:rPr>
        <w:t>via</w:t>
      </w:r>
      <w:r w:rsidRPr="00F33FC4">
        <w:rPr>
          <w:rFonts w:eastAsia="Calibri"/>
        </w:rPr>
        <w:t xml:space="preserve"> complementary base pairing which in turn leads to degradation of the toxin mRNA, physical prevention of its translation, or both (4, 10). This repression in translation (in laboratory growth conditions) and the small size of the toxin protein makes the study of type I toxins difficult. Another challenge is that the deletion of one or even multiple TA gene pairs does not always produce an obvious phenotype (11–13). An ectopic overexpression system, therefore, is commonly used to investigate the interaction between the toxin and antitoxin and the impacts of the toxin protein on a bacterial cell. </w:t>
      </w:r>
    </w:p>
    <w:p w14:paraId="16F836A5" w14:textId="1CDA7C72" w:rsidR="00F33FC4" w:rsidRPr="00F33FC4" w:rsidRDefault="00F33FC4" w:rsidP="00F33FC4">
      <w:pPr>
        <w:spacing w:line="360" w:lineRule="auto"/>
        <w:ind w:firstLine="720"/>
        <w:rPr>
          <w:rFonts w:eastAsia="Calibri"/>
        </w:rPr>
      </w:pPr>
      <w:proofErr w:type="spellStart"/>
      <w:r w:rsidRPr="00F33FC4">
        <w:rPr>
          <w:rFonts w:eastAsia="Calibri"/>
        </w:rPr>
        <w:t>ZorO</w:t>
      </w:r>
      <w:proofErr w:type="spellEnd"/>
      <w:r w:rsidRPr="00F33FC4">
        <w:rPr>
          <w:rFonts w:eastAsia="Calibri"/>
        </w:rPr>
        <w:t xml:space="preserve"> is a type I toxin (29 amino acids) and one of the toxin components of the </w:t>
      </w:r>
      <w:proofErr w:type="spellStart"/>
      <w:r w:rsidRPr="00F33FC4">
        <w:rPr>
          <w:rFonts w:eastAsia="Calibri"/>
          <w:i/>
          <w:iCs/>
        </w:rPr>
        <w:t>zor-orz</w:t>
      </w:r>
      <w:proofErr w:type="spellEnd"/>
      <w:r w:rsidRPr="00F33FC4">
        <w:rPr>
          <w:rFonts w:eastAsia="Calibri"/>
          <w:i/>
          <w:iCs/>
        </w:rPr>
        <w:t xml:space="preserve"> </w:t>
      </w:r>
      <w:r w:rsidRPr="00F33FC4">
        <w:rPr>
          <w:rFonts w:eastAsia="Calibri"/>
          <w:iCs/>
        </w:rPr>
        <w:t xml:space="preserve">locus. The </w:t>
      </w:r>
      <w:proofErr w:type="spellStart"/>
      <w:r w:rsidRPr="00F33FC4">
        <w:rPr>
          <w:rFonts w:eastAsia="Calibri"/>
          <w:i/>
        </w:rPr>
        <w:t>zor-orz</w:t>
      </w:r>
      <w:proofErr w:type="spellEnd"/>
      <w:r w:rsidRPr="00F33FC4">
        <w:rPr>
          <w:rFonts w:eastAsia="Calibri"/>
          <w:iCs/>
        </w:rPr>
        <w:t xml:space="preserve"> locus, first</w:t>
      </w:r>
      <w:r w:rsidRPr="00F33FC4">
        <w:rPr>
          <w:rFonts w:eastAsia="Calibri"/>
          <w:i/>
          <w:iCs/>
        </w:rPr>
        <w:t xml:space="preserve"> </w:t>
      </w:r>
      <w:r w:rsidRPr="00F33FC4">
        <w:rPr>
          <w:rFonts w:eastAsia="Calibri"/>
        </w:rPr>
        <w:t xml:space="preserve">identified on the chromosome of </w:t>
      </w:r>
      <w:r w:rsidRPr="00F33FC4">
        <w:rPr>
          <w:rFonts w:eastAsia="Calibri"/>
          <w:i/>
          <w:iCs/>
        </w:rPr>
        <w:t>Escherichia coli</w:t>
      </w:r>
      <w:r w:rsidRPr="00F33FC4">
        <w:rPr>
          <w:rFonts w:eastAsia="Calibri"/>
        </w:rPr>
        <w:t xml:space="preserve"> O157:H7 EDL933 (EDL933), encodes two highly homologous type I TA systems in tandem, </w:t>
      </w:r>
      <w:proofErr w:type="spellStart"/>
      <w:r w:rsidRPr="00F33FC4">
        <w:rPr>
          <w:rFonts w:eastAsia="Calibri"/>
          <w:i/>
          <w:iCs/>
        </w:rPr>
        <w:t>zorO-orzO</w:t>
      </w:r>
      <w:proofErr w:type="spellEnd"/>
      <w:r w:rsidRPr="00F33FC4">
        <w:rPr>
          <w:rFonts w:eastAsia="Calibri"/>
        </w:rPr>
        <w:t xml:space="preserve"> and </w:t>
      </w:r>
      <w:proofErr w:type="spellStart"/>
      <w:r w:rsidRPr="00F33FC4">
        <w:rPr>
          <w:rFonts w:eastAsia="Calibri"/>
          <w:i/>
          <w:iCs/>
        </w:rPr>
        <w:t>zorP-orzP</w:t>
      </w:r>
      <w:proofErr w:type="spellEnd"/>
      <w:r w:rsidRPr="00F33FC4">
        <w:rPr>
          <w:rFonts w:eastAsia="Calibri"/>
        </w:rPr>
        <w:t xml:space="preserve"> (</w:t>
      </w:r>
      <w:proofErr w:type="spellStart"/>
      <w:r w:rsidRPr="00F33FC4">
        <w:rPr>
          <w:rFonts w:eastAsia="Calibri"/>
          <w:i/>
          <w:iCs/>
        </w:rPr>
        <w:t>zorO</w:t>
      </w:r>
      <w:proofErr w:type="spellEnd"/>
      <w:r w:rsidRPr="00F33FC4">
        <w:rPr>
          <w:rFonts w:eastAsia="Calibri"/>
        </w:rPr>
        <w:t xml:space="preserve"> annotated as </w:t>
      </w:r>
      <w:r w:rsidRPr="00F33FC4">
        <w:rPr>
          <w:rFonts w:eastAsia="Calibri"/>
          <w:i/>
        </w:rPr>
        <w:t>z3289</w:t>
      </w:r>
      <w:r w:rsidRPr="00F33FC4">
        <w:rPr>
          <w:rFonts w:eastAsia="Calibri"/>
        </w:rPr>
        <w:t xml:space="preserve"> and </w:t>
      </w:r>
      <w:proofErr w:type="spellStart"/>
      <w:r w:rsidRPr="00F33FC4">
        <w:rPr>
          <w:rFonts w:eastAsia="Calibri"/>
          <w:i/>
          <w:iCs/>
        </w:rPr>
        <w:t>zorP</w:t>
      </w:r>
      <w:proofErr w:type="spellEnd"/>
      <w:r w:rsidRPr="00F33FC4">
        <w:rPr>
          <w:rFonts w:eastAsia="Calibri"/>
        </w:rPr>
        <w:t xml:space="preserve"> as </w:t>
      </w:r>
      <w:r w:rsidRPr="00F33FC4">
        <w:rPr>
          <w:rFonts w:eastAsia="Calibri"/>
          <w:i/>
        </w:rPr>
        <w:t>z3290</w:t>
      </w:r>
      <w:r w:rsidRPr="00F33FC4">
        <w:rPr>
          <w:rFonts w:eastAsia="Calibri"/>
        </w:rPr>
        <w:t xml:space="preserve"> in EDL933, GCA_000006665.1) (14, 15). Considering the </w:t>
      </w:r>
      <w:proofErr w:type="spellStart"/>
      <w:r w:rsidRPr="00F33FC4">
        <w:rPr>
          <w:rFonts w:eastAsia="Calibri"/>
          <w:i/>
          <w:iCs/>
        </w:rPr>
        <w:t>zorO-orzO</w:t>
      </w:r>
      <w:proofErr w:type="spellEnd"/>
      <w:r w:rsidRPr="00F33FC4">
        <w:rPr>
          <w:rFonts w:eastAsia="Calibri"/>
        </w:rPr>
        <w:t xml:space="preserve"> gene pair, </w:t>
      </w:r>
      <w:proofErr w:type="spellStart"/>
      <w:r w:rsidRPr="00F33FC4">
        <w:rPr>
          <w:rFonts w:eastAsia="Calibri"/>
          <w:i/>
          <w:iCs/>
        </w:rPr>
        <w:t>orzO</w:t>
      </w:r>
      <w:proofErr w:type="spellEnd"/>
      <w:r w:rsidRPr="00F33FC4">
        <w:rPr>
          <w:rFonts w:eastAsia="Calibri"/>
        </w:rPr>
        <w:t xml:space="preserve"> encodes a sRNA that specifically base pairs with the </w:t>
      </w:r>
      <w:proofErr w:type="spellStart"/>
      <w:r w:rsidRPr="00F33FC4">
        <w:rPr>
          <w:rFonts w:eastAsia="Calibri"/>
          <w:i/>
          <w:iCs/>
        </w:rPr>
        <w:t>zorO</w:t>
      </w:r>
      <w:proofErr w:type="spellEnd"/>
      <w:r w:rsidRPr="00F33FC4">
        <w:rPr>
          <w:rFonts w:eastAsia="Calibri"/>
        </w:rPr>
        <w:t xml:space="preserve"> mRNA, preventing translation and triggering its cleavage (14, 15).</w:t>
      </w:r>
      <w:r w:rsidR="000725B7">
        <w:rPr>
          <w:rFonts w:eastAsia="Calibri"/>
        </w:rPr>
        <w:t xml:space="preserve"> </w:t>
      </w:r>
      <w:r w:rsidRPr="00F33FC4">
        <w:rPr>
          <w:rFonts w:eastAsia="Calibri"/>
        </w:rPr>
        <w:t xml:space="preserve">Increasing the amount of </w:t>
      </w:r>
      <w:proofErr w:type="spellStart"/>
      <w:r w:rsidRPr="00F33FC4">
        <w:rPr>
          <w:rFonts w:eastAsia="Calibri"/>
          <w:i/>
        </w:rPr>
        <w:t>zorO</w:t>
      </w:r>
      <w:proofErr w:type="spellEnd"/>
      <w:r w:rsidRPr="00F33FC4">
        <w:rPr>
          <w:rFonts w:eastAsia="Calibri"/>
        </w:rPr>
        <w:t xml:space="preserve"> mRNA </w:t>
      </w:r>
      <w:r w:rsidRPr="00F33FC4">
        <w:rPr>
          <w:rFonts w:eastAsia="Calibri"/>
          <w:i/>
          <w:iCs/>
        </w:rPr>
        <w:t>via</w:t>
      </w:r>
      <w:r w:rsidRPr="00F33FC4">
        <w:rPr>
          <w:rFonts w:eastAsia="Calibri"/>
        </w:rPr>
        <w:t xml:space="preserve"> artificial overproduction from a plasmid allowed it to escape </w:t>
      </w:r>
      <w:proofErr w:type="spellStart"/>
      <w:r w:rsidRPr="00F33FC4">
        <w:rPr>
          <w:rFonts w:eastAsia="Calibri"/>
        </w:rPr>
        <w:t>OrzO</w:t>
      </w:r>
      <w:proofErr w:type="spellEnd"/>
      <w:r w:rsidRPr="00F33FC4">
        <w:rPr>
          <w:rFonts w:eastAsia="Calibri"/>
        </w:rPr>
        <w:t xml:space="preserve"> repression and cause cell stasis or death (14, 15).</w:t>
      </w:r>
      <w:r w:rsidR="000725B7">
        <w:rPr>
          <w:rFonts w:eastAsia="Calibri"/>
        </w:rPr>
        <w:t xml:space="preserve"> </w:t>
      </w:r>
      <w:r w:rsidRPr="00F33FC4">
        <w:rPr>
          <w:rFonts w:eastAsia="Calibri"/>
        </w:rPr>
        <w:t xml:space="preserve">These toxic effects of </w:t>
      </w:r>
      <w:proofErr w:type="spellStart"/>
      <w:r w:rsidRPr="00F33FC4">
        <w:rPr>
          <w:rFonts w:eastAsia="Calibri"/>
        </w:rPr>
        <w:t>ZorO</w:t>
      </w:r>
      <w:proofErr w:type="spellEnd"/>
      <w:r w:rsidRPr="00F33FC4">
        <w:rPr>
          <w:rFonts w:eastAsia="Calibri"/>
        </w:rPr>
        <w:t xml:space="preserve"> may be due to its high hydrophobicity, similar to some other type I toxin proteins such as </w:t>
      </w:r>
      <w:proofErr w:type="spellStart"/>
      <w:r w:rsidRPr="00F33FC4">
        <w:rPr>
          <w:rFonts w:eastAsia="Calibri"/>
        </w:rPr>
        <w:t>TisB</w:t>
      </w:r>
      <w:proofErr w:type="spellEnd"/>
      <w:r w:rsidRPr="00F33FC4">
        <w:rPr>
          <w:rFonts w:eastAsia="Calibri"/>
        </w:rPr>
        <w:t xml:space="preserve"> (16), </w:t>
      </w:r>
      <w:proofErr w:type="spellStart"/>
      <w:r w:rsidRPr="00F33FC4">
        <w:rPr>
          <w:rFonts w:eastAsia="Calibri"/>
        </w:rPr>
        <w:t>HokB</w:t>
      </w:r>
      <w:proofErr w:type="spellEnd"/>
      <w:r w:rsidRPr="00F33FC4">
        <w:rPr>
          <w:rFonts w:eastAsia="Calibri"/>
        </w:rPr>
        <w:t xml:space="preserve"> (17), </w:t>
      </w:r>
      <w:r w:rsidRPr="00F33FC4">
        <w:rPr>
          <w:rFonts w:eastAsia="Calibri"/>
        </w:rPr>
        <w:lastRenderedPageBreak/>
        <w:t xml:space="preserve">and </w:t>
      </w:r>
      <w:proofErr w:type="spellStart"/>
      <w:r w:rsidRPr="00F33FC4">
        <w:rPr>
          <w:rFonts w:eastAsia="Calibri"/>
        </w:rPr>
        <w:t>AapAI</w:t>
      </w:r>
      <w:proofErr w:type="spellEnd"/>
      <w:r w:rsidRPr="00F33FC4">
        <w:rPr>
          <w:rFonts w:eastAsia="Calibri"/>
        </w:rPr>
        <w:t xml:space="preserve"> (18). Overproduction studies indicated an inner membrane localization of </w:t>
      </w:r>
      <w:proofErr w:type="spellStart"/>
      <w:r w:rsidRPr="00F33FC4">
        <w:rPr>
          <w:rFonts w:eastAsia="Calibri"/>
        </w:rPr>
        <w:t>ZorO</w:t>
      </w:r>
      <w:proofErr w:type="spellEnd"/>
      <w:r w:rsidRPr="00F33FC4">
        <w:rPr>
          <w:rFonts w:eastAsia="Calibri"/>
        </w:rPr>
        <w:t xml:space="preserve"> that leads to membrane depolarization and ATP depletion (19). </w:t>
      </w:r>
    </w:p>
    <w:p w14:paraId="4B55129C" w14:textId="0D6B840B" w:rsidR="00F33FC4" w:rsidRPr="00F33FC4" w:rsidRDefault="00F33FC4" w:rsidP="00F33FC4">
      <w:pPr>
        <w:spacing w:line="360" w:lineRule="auto"/>
        <w:ind w:firstLine="720"/>
        <w:rPr>
          <w:rFonts w:eastAsia="Calibri"/>
        </w:rPr>
      </w:pPr>
      <w:r w:rsidRPr="00F33FC4">
        <w:rPr>
          <w:rFonts w:eastAsia="Calibri"/>
        </w:rPr>
        <w:t xml:space="preserve">The secondary structures of many toxin-encoding mRNAs, including </w:t>
      </w:r>
      <w:proofErr w:type="spellStart"/>
      <w:r w:rsidRPr="00F33FC4">
        <w:rPr>
          <w:rFonts w:eastAsia="Calibri"/>
          <w:i/>
          <w:iCs/>
        </w:rPr>
        <w:t>zorO</w:t>
      </w:r>
      <w:proofErr w:type="spellEnd"/>
      <w:r w:rsidRPr="00F33FC4">
        <w:rPr>
          <w:rFonts w:eastAsia="Calibri"/>
        </w:rPr>
        <w:t xml:space="preserve">, are either experimentally validated or predicted to inhibit their own translation by intramolecular sequestration of the ribosome binding sequence, providing an additional layer of toxin regulation (20). For those examined, processing of the untranslated region (UTR) of the mRNA is required for efficient translation. As an example, the full-length </w:t>
      </w:r>
      <w:proofErr w:type="spellStart"/>
      <w:r w:rsidRPr="00F33FC4">
        <w:rPr>
          <w:rFonts w:eastAsia="Calibri"/>
          <w:i/>
          <w:iCs/>
        </w:rPr>
        <w:t>tisB</w:t>
      </w:r>
      <w:proofErr w:type="spellEnd"/>
      <w:r w:rsidRPr="00F33FC4">
        <w:rPr>
          <w:rFonts w:eastAsia="Calibri"/>
        </w:rPr>
        <w:t xml:space="preserve"> mRNA is translationally inert and requires processing of the first 41 nucleotides of the 5’ UTR for its translation (21). For the </w:t>
      </w:r>
      <w:proofErr w:type="spellStart"/>
      <w:r w:rsidRPr="00F33FC4">
        <w:rPr>
          <w:rFonts w:eastAsia="Calibri"/>
          <w:i/>
          <w:iCs/>
        </w:rPr>
        <w:t>zorO-orzO</w:t>
      </w:r>
      <w:proofErr w:type="spellEnd"/>
      <w:r w:rsidRPr="00F33FC4">
        <w:rPr>
          <w:rFonts w:eastAsia="Calibri"/>
        </w:rPr>
        <w:t xml:space="preserve"> gene pair, translation of the </w:t>
      </w:r>
      <w:proofErr w:type="spellStart"/>
      <w:r w:rsidRPr="00F33FC4">
        <w:rPr>
          <w:rFonts w:eastAsia="Calibri"/>
          <w:i/>
          <w:iCs/>
        </w:rPr>
        <w:t>zorO</w:t>
      </w:r>
      <w:proofErr w:type="spellEnd"/>
      <w:r w:rsidRPr="00F33FC4">
        <w:rPr>
          <w:rFonts w:eastAsia="Calibri"/>
        </w:rPr>
        <w:t xml:space="preserve"> mRNA is also repressed by a long 5’ UTR (174 nucleotide), and the processed form (</w:t>
      </w:r>
      <w:r w:rsidRPr="00F33FC4">
        <w:rPr>
          <w:rFonts w:eastAsia="Calibri"/>
        </w:rPr>
        <w:sym w:font="Symbol" w:char="F044"/>
      </w:r>
      <w:r w:rsidRPr="00F33FC4">
        <w:rPr>
          <w:rFonts w:eastAsia="Calibri"/>
        </w:rPr>
        <w:t>28) was translated nearly 10</w:t>
      </w:r>
      <w:r w:rsidR="00D25092">
        <w:rPr>
          <w:rFonts w:eastAsia="Calibri"/>
        </w:rPr>
        <w:t>-</w:t>
      </w:r>
      <w:r w:rsidRPr="00F33FC4">
        <w:rPr>
          <w:rFonts w:eastAsia="Calibri"/>
        </w:rPr>
        <w:t xml:space="preserve">fold higher in an </w:t>
      </w:r>
      <w:r w:rsidRPr="00F33FC4">
        <w:rPr>
          <w:rFonts w:eastAsia="Calibri"/>
          <w:i/>
          <w:iCs/>
        </w:rPr>
        <w:t>in vitro</w:t>
      </w:r>
      <w:r w:rsidRPr="00F33FC4">
        <w:rPr>
          <w:rFonts w:eastAsia="Calibri"/>
        </w:rPr>
        <w:t xml:space="preserve"> system (15, 22). Interestingly, for </w:t>
      </w:r>
      <w:proofErr w:type="spellStart"/>
      <w:r w:rsidRPr="00F33FC4">
        <w:rPr>
          <w:rFonts w:eastAsia="Calibri"/>
        </w:rPr>
        <w:t>TisB</w:t>
      </w:r>
      <w:proofErr w:type="spellEnd"/>
      <w:r w:rsidRPr="00F33FC4">
        <w:rPr>
          <w:rFonts w:eastAsia="Calibri"/>
        </w:rPr>
        <w:t xml:space="preserve">, deletion of its antitoxin, </w:t>
      </w:r>
      <w:proofErr w:type="spellStart"/>
      <w:r w:rsidRPr="00F33FC4">
        <w:rPr>
          <w:rFonts w:eastAsia="Calibri"/>
          <w:i/>
        </w:rPr>
        <w:t>istR</w:t>
      </w:r>
      <w:proofErr w:type="spellEnd"/>
      <w:r w:rsidRPr="00F33FC4">
        <w:rPr>
          <w:rFonts w:eastAsia="Calibri"/>
        </w:rPr>
        <w:t xml:space="preserve">, and the first 41 nucleotides of the mRNA which normally inhibit its translation, resulted in a strain with over 200-fold and 100-fold increase in the number of cells that survived lethal doses of ampicillin and ciprofloxacin respectively, as compared to the wildtype (23). </w:t>
      </w:r>
    </w:p>
    <w:p w14:paraId="19B7CD21" w14:textId="77777777" w:rsidR="00F33FC4" w:rsidRPr="00F33FC4" w:rsidRDefault="00F33FC4" w:rsidP="00F33FC4">
      <w:pPr>
        <w:spacing w:line="360" w:lineRule="auto"/>
        <w:ind w:firstLine="720"/>
        <w:rPr>
          <w:rFonts w:eastAsia="Calibri"/>
        </w:rPr>
      </w:pPr>
      <w:r w:rsidRPr="00F33FC4">
        <w:rPr>
          <w:rFonts w:eastAsia="Calibri"/>
        </w:rPr>
        <w:t xml:space="preserve">While </w:t>
      </w:r>
      <w:proofErr w:type="spellStart"/>
      <w:r w:rsidRPr="00F33FC4">
        <w:rPr>
          <w:rFonts w:eastAsia="Calibri"/>
        </w:rPr>
        <w:t>ZorO</w:t>
      </w:r>
      <w:proofErr w:type="spellEnd"/>
      <w:r w:rsidRPr="00F33FC4">
        <w:rPr>
          <w:rFonts w:eastAsia="Calibri"/>
        </w:rPr>
        <w:t xml:space="preserve"> overproduction is toxic, the role of the long 5’ UTR in </w:t>
      </w:r>
      <w:proofErr w:type="spellStart"/>
      <w:r w:rsidRPr="00F33FC4">
        <w:rPr>
          <w:rFonts w:eastAsia="Calibri"/>
        </w:rPr>
        <w:t>ZorO</w:t>
      </w:r>
      <w:proofErr w:type="spellEnd"/>
      <w:r w:rsidRPr="00F33FC4">
        <w:rPr>
          <w:rFonts w:eastAsia="Calibri"/>
        </w:rPr>
        <w:t xml:space="preserve">-induced cellular physiology has not been investigated. Herein, we show that the long 5’ UTR of the </w:t>
      </w:r>
      <w:proofErr w:type="spellStart"/>
      <w:r w:rsidRPr="00F33FC4">
        <w:rPr>
          <w:rFonts w:eastAsia="Calibri"/>
          <w:i/>
          <w:iCs/>
        </w:rPr>
        <w:t>zorO</w:t>
      </w:r>
      <w:proofErr w:type="spellEnd"/>
      <w:r w:rsidRPr="00F33FC4">
        <w:rPr>
          <w:rFonts w:eastAsia="Calibri"/>
        </w:rPr>
        <w:t xml:space="preserve"> mRNA regulates its effects on translation </w:t>
      </w:r>
      <w:r w:rsidRPr="00F33FC4">
        <w:rPr>
          <w:rFonts w:eastAsia="Calibri"/>
          <w:i/>
          <w:iCs/>
        </w:rPr>
        <w:t>in vivo</w:t>
      </w:r>
      <w:r w:rsidRPr="00F33FC4">
        <w:rPr>
          <w:rFonts w:eastAsia="Calibri"/>
        </w:rPr>
        <w:t xml:space="preserve">, cellular growth inhibition, membrane depolarization, and ATP depletion in cells. In addition, we demonstrate the role of the </w:t>
      </w:r>
      <w:proofErr w:type="spellStart"/>
      <w:r w:rsidRPr="00F33FC4">
        <w:rPr>
          <w:rFonts w:eastAsia="Calibri"/>
          <w:i/>
          <w:iCs/>
        </w:rPr>
        <w:t>zor-orz</w:t>
      </w:r>
      <w:proofErr w:type="spellEnd"/>
      <w:r w:rsidRPr="00F33FC4">
        <w:rPr>
          <w:rFonts w:eastAsia="Calibri"/>
        </w:rPr>
        <w:t xml:space="preserve"> locus in improving growth in the presence of aminoglycoside antibiotics kanamycin and gentamicin. This is significant as improved growth and increased MIC (minimal inhibitory concentration) to specific antibiotics has not been attributed to a type I TA locus and indicates that the protective effects of a type I toxin may be towards specific stress agents.</w:t>
      </w:r>
    </w:p>
    <w:p w14:paraId="3B453864" w14:textId="77777777" w:rsidR="00F33FC4" w:rsidRPr="00F33FC4" w:rsidRDefault="00F33FC4" w:rsidP="00F33FC4">
      <w:pPr>
        <w:spacing w:line="360" w:lineRule="auto"/>
        <w:ind w:firstLine="720"/>
        <w:rPr>
          <w:rFonts w:eastAsia="Calibri"/>
        </w:rPr>
      </w:pPr>
    </w:p>
    <w:p w14:paraId="69912027" w14:textId="77777777" w:rsidR="00F33FC4" w:rsidRPr="00F33FC4" w:rsidRDefault="00F33FC4" w:rsidP="00F33FC4">
      <w:pPr>
        <w:spacing w:line="360" w:lineRule="auto"/>
        <w:rPr>
          <w:rFonts w:eastAsia="Calibri"/>
          <w:b/>
        </w:rPr>
      </w:pPr>
      <w:r w:rsidRPr="00F33FC4">
        <w:rPr>
          <w:rFonts w:eastAsia="Calibri"/>
          <w:b/>
        </w:rPr>
        <w:t xml:space="preserve">II. Materials and methods </w:t>
      </w:r>
    </w:p>
    <w:p w14:paraId="7F8B7179" w14:textId="77777777" w:rsidR="00F33FC4" w:rsidRPr="00F33FC4" w:rsidRDefault="00F33FC4" w:rsidP="00F33FC4">
      <w:pPr>
        <w:spacing w:line="360" w:lineRule="auto"/>
        <w:rPr>
          <w:rFonts w:eastAsia="Calibri"/>
        </w:rPr>
      </w:pPr>
      <w:bookmarkStart w:id="4" w:name="MPSection:0DB9BF02-2306-4ACC-B25D-F87E94"/>
      <w:r w:rsidRPr="00F33FC4">
        <w:rPr>
          <w:rFonts w:eastAsia="Calibri"/>
          <w:b/>
        </w:rPr>
        <w:t xml:space="preserve">Strains, plasmids, and culture conditions. </w:t>
      </w:r>
      <w:bookmarkEnd w:id="4"/>
      <w:r w:rsidRPr="00F33FC4">
        <w:rPr>
          <w:rFonts w:eastAsia="Calibri"/>
        </w:rPr>
        <w:t>The strains and plasmids used in this study are listed in Table 2.1. The sequences of all oligonucleotides are listed in Table 2.</w:t>
      </w:r>
      <w:bookmarkStart w:id="5" w:name="MPSection:56116C15-B753-4D58-A2E6-DA4ABC"/>
      <w:r w:rsidRPr="00F33FC4">
        <w:rPr>
          <w:rFonts w:eastAsia="Calibri"/>
        </w:rPr>
        <w:t>2.</w:t>
      </w:r>
    </w:p>
    <w:p w14:paraId="44D6BA8B" w14:textId="77777777" w:rsidR="00F33FC4" w:rsidRPr="00F33FC4" w:rsidRDefault="00F33FC4" w:rsidP="00F33FC4">
      <w:pPr>
        <w:rPr>
          <w:rFonts w:eastAsia="Calibri"/>
          <w:b/>
          <w:bCs/>
          <w:color w:val="000000"/>
        </w:rPr>
      </w:pPr>
      <w:r w:rsidRPr="00F33FC4">
        <w:rPr>
          <w:rFonts w:eastAsia="Calibri"/>
          <w:b/>
          <w:bCs/>
          <w:i/>
          <w:iCs/>
          <w:color w:val="000000"/>
        </w:rPr>
        <w:br w:type="page"/>
      </w:r>
    </w:p>
    <w:p w14:paraId="7CBF3B3D" w14:textId="77777777" w:rsidR="00F33FC4" w:rsidRPr="00F33FC4" w:rsidRDefault="00F33FC4" w:rsidP="00F33FC4">
      <w:pPr>
        <w:keepNext/>
        <w:spacing w:after="200" w:line="360" w:lineRule="auto"/>
        <w:rPr>
          <w:rFonts w:eastAsia="Calibri"/>
          <w:color w:val="000000"/>
          <w:sz w:val="22"/>
          <w:szCs w:val="22"/>
        </w:rPr>
      </w:pPr>
      <w:r w:rsidRPr="00F33FC4">
        <w:rPr>
          <w:rFonts w:eastAsia="Calibri"/>
          <w:color w:val="000000"/>
          <w:sz w:val="22"/>
          <w:szCs w:val="22"/>
        </w:rPr>
        <w:lastRenderedPageBreak/>
        <w:t>Table 2.1. Bacterial strains and plasmids used in this study</w:t>
      </w:r>
    </w:p>
    <w:tbl>
      <w:tblPr>
        <w:tblStyle w:val="TableGrid2"/>
        <w:tblpPr w:leftFromText="180" w:rightFromText="180" w:vertAnchor="page" w:horzAnchor="margin" w:tblpY="2084"/>
        <w:tblW w:w="92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20" w:firstRow="1" w:lastRow="0" w:firstColumn="0" w:lastColumn="0" w:noHBand="0" w:noVBand="1"/>
      </w:tblPr>
      <w:tblGrid>
        <w:gridCol w:w="2815"/>
        <w:gridCol w:w="3727"/>
        <w:gridCol w:w="2741"/>
      </w:tblGrid>
      <w:tr w:rsidR="00F33FC4" w:rsidRPr="00F33FC4" w14:paraId="4AEE0D99" w14:textId="77777777" w:rsidTr="00862E05">
        <w:trPr>
          <w:trHeight w:val="301"/>
        </w:trPr>
        <w:tc>
          <w:tcPr>
            <w:tcW w:w="2815" w:type="dxa"/>
            <w:tcBorders>
              <w:top w:val="single" w:sz="4" w:space="0" w:color="auto"/>
              <w:bottom w:val="single" w:sz="4" w:space="0" w:color="auto"/>
            </w:tcBorders>
          </w:tcPr>
          <w:p w14:paraId="4F507DB5" w14:textId="77777777" w:rsidR="00F33FC4" w:rsidRPr="00F33FC4" w:rsidRDefault="00F33FC4" w:rsidP="00862E05">
            <w:pPr>
              <w:spacing w:line="360" w:lineRule="auto"/>
              <w:rPr>
                <w:rFonts w:cs="Arial"/>
                <w:sz w:val="22"/>
                <w:szCs w:val="22"/>
              </w:rPr>
            </w:pPr>
            <w:r w:rsidRPr="00F33FC4">
              <w:rPr>
                <w:rFonts w:cs="Arial"/>
                <w:sz w:val="22"/>
                <w:szCs w:val="22"/>
              </w:rPr>
              <w:t>Strain or plasmid</w:t>
            </w:r>
          </w:p>
        </w:tc>
        <w:tc>
          <w:tcPr>
            <w:tcW w:w="3727" w:type="dxa"/>
            <w:tcBorders>
              <w:top w:val="single" w:sz="4" w:space="0" w:color="auto"/>
              <w:bottom w:val="single" w:sz="4" w:space="0" w:color="auto"/>
            </w:tcBorders>
            <w:vAlign w:val="center"/>
          </w:tcPr>
          <w:p w14:paraId="5DF36DFB" w14:textId="77777777" w:rsidR="00F33FC4" w:rsidRPr="00F33FC4" w:rsidRDefault="00F33FC4" w:rsidP="00862E05">
            <w:pPr>
              <w:spacing w:line="360" w:lineRule="auto"/>
              <w:rPr>
                <w:rFonts w:cs="Arial"/>
                <w:sz w:val="22"/>
                <w:szCs w:val="22"/>
              </w:rPr>
            </w:pPr>
            <w:r w:rsidRPr="00F33FC4">
              <w:rPr>
                <w:rFonts w:cs="Arial"/>
                <w:sz w:val="22"/>
                <w:szCs w:val="22"/>
              </w:rPr>
              <w:t>Relevant characteristics</w:t>
            </w:r>
          </w:p>
        </w:tc>
        <w:tc>
          <w:tcPr>
            <w:tcW w:w="2741" w:type="dxa"/>
            <w:tcBorders>
              <w:top w:val="single" w:sz="4" w:space="0" w:color="auto"/>
              <w:bottom w:val="single" w:sz="4" w:space="0" w:color="auto"/>
            </w:tcBorders>
            <w:vAlign w:val="center"/>
          </w:tcPr>
          <w:p w14:paraId="5ECF1F3B" w14:textId="77777777" w:rsidR="00F33FC4" w:rsidRPr="00F33FC4" w:rsidRDefault="00F33FC4" w:rsidP="00862E05">
            <w:pPr>
              <w:spacing w:line="360" w:lineRule="auto"/>
              <w:rPr>
                <w:rFonts w:cs="Arial"/>
                <w:sz w:val="22"/>
                <w:szCs w:val="22"/>
              </w:rPr>
            </w:pPr>
            <w:r w:rsidRPr="00F33FC4">
              <w:rPr>
                <w:rFonts w:cs="Arial"/>
                <w:sz w:val="22"/>
                <w:szCs w:val="22"/>
              </w:rPr>
              <w:t>Reference or source</w:t>
            </w:r>
          </w:p>
        </w:tc>
      </w:tr>
      <w:tr w:rsidR="00F33FC4" w:rsidRPr="00F33FC4" w14:paraId="05FD4092" w14:textId="77777777" w:rsidTr="00862E05">
        <w:trPr>
          <w:trHeight w:val="426"/>
        </w:trPr>
        <w:tc>
          <w:tcPr>
            <w:tcW w:w="2815" w:type="dxa"/>
            <w:tcBorders>
              <w:top w:val="single" w:sz="4" w:space="0" w:color="auto"/>
            </w:tcBorders>
          </w:tcPr>
          <w:p w14:paraId="298C8764" w14:textId="77777777" w:rsidR="00F33FC4" w:rsidRPr="00F33FC4" w:rsidRDefault="00F33FC4" w:rsidP="00862E05">
            <w:pPr>
              <w:spacing w:line="360" w:lineRule="auto"/>
              <w:rPr>
                <w:rFonts w:cs="Arial"/>
                <w:sz w:val="22"/>
                <w:szCs w:val="22"/>
                <w:u w:val="single"/>
              </w:rPr>
            </w:pPr>
            <w:r w:rsidRPr="00F33FC4">
              <w:rPr>
                <w:rFonts w:cs="Arial"/>
                <w:sz w:val="22"/>
                <w:szCs w:val="22"/>
                <w:u w:val="single"/>
              </w:rPr>
              <w:t>Bacterial strains</w:t>
            </w:r>
          </w:p>
        </w:tc>
        <w:tc>
          <w:tcPr>
            <w:tcW w:w="3727" w:type="dxa"/>
            <w:tcBorders>
              <w:top w:val="single" w:sz="4" w:space="0" w:color="auto"/>
            </w:tcBorders>
            <w:vAlign w:val="center"/>
          </w:tcPr>
          <w:p w14:paraId="0F32D4E2" w14:textId="77777777" w:rsidR="00F33FC4" w:rsidRPr="00F33FC4" w:rsidRDefault="00F33FC4" w:rsidP="00862E05">
            <w:pPr>
              <w:spacing w:line="360" w:lineRule="auto"/>
              <w:rPr>
                <w:rFonts w:cs="Arial"/>
                <w:sz w:val="22"/>
                <w:szCs w:val="22"/>
              </w:rPr>
            </w:pPr>
          </w:p>
        </w:tc>
        <w:tc>
          <w:tcPr>
            <w:tcW w:w="2741" w:type="dxa"/>
            <w:tcBorders>
              <w:top w:val="single" w:sz="4" w:space="0" w:color="auto"/>
            </w:tcBorders>
            <w:vAlign w:val="center"/>
          </w:tcPr>
          <w:p w14:paraId="2C1D9581" w14:textId="77777777" w:rsidR="00F33FC4" w:rsidRPr="00F33FC4" w:rsidRDefault="00F33FC4" w:rsidP="00862E05">
            <w:pPr>
              <w:spacing w:line="360" w:lineRule="auto"/>
              <w:rPr>
                <w:rFonts w:cs="Arial"/>
                <w:sz w:val="22"/>
                <w:szCs w:val="22"/>
              </w:rPr>
            </w:pPr>
          </w:p>
        </w:tc>
      </w:tr>
      <w:tr w:rsidR="00F33FC4" w:rsidRPr="00F33FC4" w14:paraId="64C9DC1D" w14:textId="77777777" w:rsidTr="00862E05">
        <w:trPr>
          <w:trHeight w:val="405"/>
        </w:trPr>
        <w:tc>
          <w:tcPr>
            <w:tcW w:w="2815" w:type="dxa"/>
          </w:tcPr>
          <w:p w14:paraId="5FA2D82F" w14:textId="77777777" w:rsidR="00F33FC4" w:rsidRPr="00F33FC4" w:rsidRDefault="00F33FC4" w:rsidP="00862E05">
            <w:pPr>
              <w:spacing w:line="360" w:lineRule="auto"/>
              <w:rPr>
                <w:rFonts w:cs="Arial"/>
                <w:sz w:val="22"/>
                <w:szCs w:val="22"/>
              </w:rPr>
            </w:pPr>
            <w:r w:rsidRPr="00F33FC4">
              <w:rPr>
                <w:rFonts w:cs="Arial"/>
                <w:i/>
                <w:sz w:val="22"/>
                <w:szCs w:val="22"/>
              </w:rPr>
              <w:t>E. coli</w:t>
            </w:r>
            <w:r w:rsidRPr="00F33FC4">
              <w:rPr>
                <w:rFonts w:cs="Arial"/>
                <w:sz w:val="22"/>
                <w:szCs w:val="22"/>
              </w:rPr>
              <w:t xml:space="preserve"> MG1655</w:t>
            </w:r>
          </w:p>
        </w:tc>
        <w:tc>
          <w:tcPr>
            <w:tcW w:w="3727" w:type="dxa"/>
            <w:vAlign w:val="center"/>
          </w:tcPr>
          <w:p w14:paraId="054C774B" w14:textId="77777777" w:rsidR="00F33FC4" w:rsidRPr="00F33FC4" w:rsidRDefault="00F33FC4" w:rsidP="00862E05">
            <w:pPr>
              <w:spacing w:line="360" w:lineRule="auto"/>
              <w:rPr>
                <w:rFonts w:cs="Arial"/>
                <w:sz w:val="22"/>
                <w:szCs w:val="22"/>
              </w:rPr>
            </w:pPr>
            <w:r w:rsidRPr="00F33FC4">
              <w:rPr>
                <w:rFonts w:cs="Arial"/>
                <w:i/>
                <w:sz w:val="22"/>
                <w:szCs w:val="22"/>
              </w:rPr>
              <w:t>E. coli</w:t>
            </w:r>
            <w:r w:rsidRPr="00F33FC4">
              <w:rPr>
                <w:rFonts w:cs="Arial"/>
                <w:sz w:val="22"/>
                <w:szCs w:val="22"/>
              </w:rPr>
              <w:t xml:space="preserve"> F</w:t>
            </w:r>
            <w:r w:rsidRPr="00F33FC4">
              <w:rPr>
                <w:rFonts w:cs="Arial"/>
                <w:sz w:val="22"/>
                <w:szCs w:val="22"/>
                <w:vertAlign w:val="superscript"/>
              </w:rPr>
              <w:t xml:space="preserve">- </w:t>
            </w:r>
            <w:r w:rsidRPr="00F33FC4">
              <w:rPr>
                <w:rFonts w:cs="Arial"/>
                <w:sz w:val="22"/>
                <w:szCs w:val="22"/>
              </w:rPr>
              <w:sym w:font="Symbol" w:char="F06C"/>
            </w:r>
            <w:r w:rsidRPr="00F33FC4">
              <w:rPr>
                <w:rFonts w:cs="Arial"/>
                <w:sz w:val="22"/>
                <w:szCs w:val="22"/>
                <w:vertAlign w:val="superscript"/>
              </w:rPr>
              <w:t>-</w:t>
            </w:r>
            <w:r w:rsidRPr="00F33FC4">
              <w:rPr>
                <w:rFonts w:cs="Arial"/>
                <w:sz w:val="22"/>
                <w:szCs w:val="22"/>
              </w:rPr>
              <w:t xml:space="preserve"> </w:t>
            </w:r>
            <w:proofErr w:type="spellStart"/>
            <w:r w:rsidRPr="00F33FC4">
              <w:rPr>
                <w:rFonts w:cs="Arial"/>
                <w:i/>
                <w:sz w:val="22"/>
                <w:szCs w:val="22"/>
              </w:rPr>
              <w:t>ilvG</w:t>
            </w:r>
            <w:proofErr w:type="spellEnd"/>
            <w:r w:rsidRPr="00F33FC4">
              <w:rPr>
                <w:rFonts w:cs="Arial"/>
                <w:sz w:val="22"/>
                <w:szCs w:val="22"/>
                <w:vertAlign w:val="superscript"/>
              </w:rPr>
              <w:t xml:space="preserve">- </w:t>
            </w:r>
            <w:r w:rsidRPr="00F33FC4">
              <w:rPr>
                <w:rFonts w:cs="Arial"/>
                <w:i/>
                <w:sz w:val="22"/>
                <w:szCs w:val="22"/>
              </w:rPr>
              <w:t>rfb-</w:t>
            </w:r>
            <w:r w:rsidRPr="00F33FC4">
              <w:rPr>
                <w:rFonts w:cs="Arial"/>
                <w:sz w:val="22"/>
                <w:szCs w:val="22"/>
              </w:rPr>
              <w:t xml:space="preserve">50 </w:t>
            </w:r>
            <w:r w:rsidRPr="00F33FC4">
              <w:rPr>
                <w:rFonts w:cs="Arial"/>
                <w:i/>
                <w:sz w:val="22"/>
                <w:szCs w:val="22"/>
              </w:rPr>
              <w:t>rph</w:t>
            </w:r>
            <w:r w:rsidRPr="00F33FC4">
              <w:rPr>
                <w:rFonts w:cs="Arial"/>
                <w:sz w:val="22"/>
                <w:szCs w:val="22"/>
              </w:rPr>
              <w:t>-1</w:t>
            </w:r>
          </w:p>
        </w:tc>
        <w:tc>
          <w:tcPr>
            <w:tcW w:w="2741" w:type="dxa"/>
            <w:vAlign w:val="center"/>
          </w:tcPr>
          <w:p w14:paraId="61892128" w14:textId="77777777" w:rsidR="00F33FC4" w:rsidRPr="00F33FC4" w:rsidRDefault="00F33FC4" w:rsidP="00862E05">
            <w:pPr>
              <w:spacing w:line="360" w:lineRule="auto"/>
              <w:rPr>
                <w:rFonts w:cs="Arial"/>
                <w:sz w:val="22"/>
                <w:szCs w:val="22"/>
              </w:rPr>
            </w:pPr>
            <w:r w:rsidRPr="00F33FC4">
              <w:rPr>
                <w:rFonts w:cs="Arial"/>
                <w:sz w:val="22"/>
                <w:szCs w:val="22"/>
              </w:rPr>
              <w:t>Lab stock</w:t>
            </w:r>
          </w:p>
        </w:tc>
      </w:tr>
      <w:tr w:rsidR="00F33FC4" w:rsidRPr="00F33FC4" w14:paraId="35E07178" w14:textId="77777777" w:rsidTr="00862E05">
        <w:trPr>
          <w:trHeight w:val="426"/>
        </w:trPr>
        <w:tc>
          <w:tcPr>
            <w:tcW w:w="2815" w:type="dxa"/>
          </w:tcPr>
          <w:p w14:paraId="2F0E238C" w14:textId="77777777" w:rsidR="00F33FC4" w:rsidRPr="00F33FC4" w:rsidRDefault="00F33FC4" w:rsidP="00862E05">
            <w:pPr>
              <w:spacing w:line="360" w:lineRule="auto"/>
              <w:rPr>
                <w:rFonts w:cs="Arial"/>
                <w:sz w:val="22"/>
                <w:szCs w:val="22"/>
              </w:rPr>
            </w:pPr>
            <w:r w:rsidRPr="00F33FC4">
              <w:rPr>
                <w:rFonts w:cs="Arial"/>
                <w:i/>
                <w:iCs/>
                <w:sz w:val="22"/>
                <w:szCs w:val="22"/>
              </w:rPr>
              <w:t>E. coli</w:t>
            </w:r>
            <w:r w:rsidRPr="00F33FC4">
              <w:rPr>
                <w:rFonts w:cs="Arial"/>
                <w:sz w:val="22"/>
                <w:szCs w:val="22"/>
              </w:rPr>
              <w:t xml:space="preserve"> MG1655-</w:t>
            </w:r>
            <w:r w:rsidRPr="00F33FC4">
              <w:rPr>
                <w:rFonts w:cs="Arial"/>
                <w:sz w:val="22"/>
                <w:szCs w:val="22"/>
              </w:rPr>
              <w:sym w:font="Symbol" w:char="F044"/>
            </w:r>
            <w:r w:rsidRPr="00F33FC4">
              <w:rPr>
                <w:rFonts w:cs="Arial"/>
                <w:sz w:val="22"/>
                <w:szCs w:val="22"/>
              </w:rPr>
              <w:t>28-</w:t>
            </w:r>
            <w:r w:rsidRPr="00F33FC4">
              <w:rPr>
                <w:rFonts w:cs="Arial"/>
                <w:i/>
                <w:iCs/>
                <w:sz w:val="22"/>
                <w:szCs w:val="22"/>
              </w:rPr>
              <w:t>zorO</w:t>
            </w:r>
          </w:p>
        </w:tc>
        <w:tc>
          <w:tcPr>
            <w:tcW w:w="3727" w:type="dxa"/>
            <w:vAlign w:val="center"/>
          </w:tcPr>
          <w:p w14:paraId="4C76719F" w14:textId="77777777" w:rsidR="00F33FC4" w:rsidRPr="00F33FC4" w:rsidRDefault="00F33FC4" w:rsidP="00862E05">
            <w:pPr>
              <w:spacing w:line="360" w:lineRule="auto"/>
              <w:rPr>
                <w:rFonts w:cs="Arial"/>
                <w:sz w:val="22"/>
                <w:szCs w:val="22"/>
              </w:rPr>
            </w:pPr>
            <w:r w:rsidRPr="00F33FC4">
              <w:rPr>
                <w:rFonts w:cs="Arial"/>
                <w:sz w:val="22"/>
                <w:szCs w:val="22"/>
              </w:rPr>
              <w:sym w:font="Symbol" w:char="F044"/>
            </w:r>
            <w:r w:rsidRPr="00F33FC4">
              <w:rPr>
                <w:rFonts w:cs="Arial"/>
                <w:sz w:val="22"/>
                <w:szCs w:val="22"/>
              </w:rPr>
              <w:t>28-</w:t>
            </w:r>
            <w:r w:rsidRPr="00F33FC4">
              <w:rPr>
                <w:rFonts w:cs="Arial"/>
                <w:i/>
                <w:iCs/>
                <w:sz w:val="22"/>
                <w:szCs w:val="22"/>
              </w:rPr>
              <w:t xml:space="preserve">zorO </w:t>
            </w:r>
            <w:r w:rsidRPr="00F33FC4">
              <w:rPr>
                <w:rFonts w:cs="Arial"/>
                <w:sz w:val="22"/>
                <w:szCs w:val="22"/>
              </w:rPr>
              <w:t>integrated in the chromosome</w:t>
            </w:r>
            <w:r w:rsidRPr="00F33FC4">
              <w:rPr>
                <w:rFonts w:cs="Arial"/>
                <w:i/>
                <w:iCs/>
                <w:sz w:val="22"/>
                <w:szCs w:val="22"/>
              </w:rPr>
              <w:t xml:space="preserve"> </w:t>
            </w:r>
          </w:p>
        </w:tc>
        <w:tc>
          <w:tcPr>
            <w:tcW w:w="2741" w:type="dxa"/>
            <w:vAlign w:val="center"/>
          </w:tcPr>
          <w:p w14:paraId="76F1D0B4" w14:textId="77777777" w:rsidR="00F33FC4" w:rsidRPr="00F33FC4" w:rsidRDefault="00F33FC4" w:rsidP="00862E05">
            <w:pPr>
              <w:spacing w:line="360" w:lineRule="auto"/>
              <w:rPr>
                <w:rFonts w:cs="Arial"/>
                <w:sz w:val="22"/>
                <w:szCs w:val="22"/>
              </w:rPr>
            </w:pPr>
            <w:r w:rsidRPr="00F33FC4">
              <w:rPr>
                <w:rFonts w:cs="Arial"/>
                <w:sz w:val="22"/>
                <w:szCs w:val="22"/>
              </w:rPr>
              <w:t>This study</w:t>
            </w:r>
          </w:p>
        </w:tc>
      </w:tr>
      <w:tr w:rsidR="00F33FC4" w:rsidRPr="00F33FC4" w14:paraId="5FFE372D" w14:textId="77777777" w:rsidTr="00862E05">
        <w:trPr>
          <w:trHeight w:val="426"/>
        </w:trPr>
        <w:tc>
          <w:tcPr>
            <w:tcW w:w="2815" w:type="dxa"/>
          </w:tcPr>
          <w:p w14:paraId="7E6DC79B" w14:textId="77777777" w:rsidR="00F33FC4" w:rsidRPr="00F33FC4" w:rsidRDefault="00F33FC4" w:rsidP="00862E05">
            <w:pPr>
              <w:spacing w:line="360" w:lineRule="auto"/>
              <w:rPr>
                <w:rFonts w:cs="Arial"/>
                <w:sz w:val="22"/>
                <w:szCs w:val="22"/>
              </w:rPr>
            </w:pPr>
            <w:r w:rsidRPr="00F33FC4">
              <w:rPr>
                <w:rFonts w:cs="Arial"/>
                <w:sz w:val="22"/>
                <w:szCs w:val="22"/>
              </w:rPr>
              <w:t>UTK007</w:t>
            </w:r>
          </w:p>
        </w:tc>
        <w:tc>
          <w:tcPr>
            <w:tcW w:w="3727" w:type="dxa"/>
            <w:vAlign w:val="center"/>
          </w:tcPr>
          <w:p w14:paraId="548F7C4B" w14:textId="77777777" w:rsidR="00F33FC4" w:rsidRPr="00F33FC4" w:rsidRDefault="00F33FC4" w:rsidP="00862E05">
            <w:pPr>
              <w:spacing w:line="360" w:lineRule="auto"/>
              <w:rPr>
                <w:rFonts w:cs="Arial"/>
                <w:sz w:val="22"/>
                <w:szCs w:val="22"/>
              </w:rPr>
            </w:pPr>
            <w:r w:rsidRPr="00F33FC4">
              <w:rPr>
                <w:rFonts w:cs="Arial"/>
                <w:sz w:val="22"/>
                <w:szCs w:val="22"/>
              </w:rPr>
              <w:t>DJ480 PCP-</w:t>
            </w:r>
            <w:proofErr w:type="spellStart"/>
            <w:r w:rsidRPr="00F33FC4">
              <w:rPr>
                <w:rFonts w:cs="Arial"/>
                <w:i/>
                <w:iCs/>
                <w:sz w:val="22"/>
                <w:szCs w:val="22"/>
              </w:rPr>
              <w:t>araE</w:t>
            </w:r>
            <w:proofErr w:type="spellEnd"/>
          </w:p>
        </w:tc>
        <w:tc>
          <w:tcPr>
            <w:tcW w:w="2741" w:type="dxa"/>
            <w:vAlign w:val="center"/>
          </w:tcPr>
          <w:p w14:paraId="1FA0342C" w14:textId="77777777" w:rsidR="00F33FC4" w:rsidRPr="00F33FC4" w:rsidRDefault="00F33FC4" w:rsidP="00862E05">
            <w:pPr>
              <w:spacing w:line="360" w:lineRule="auto"/>
              <w:rPr>
                <w:rFonts w:cs="Arial"/>
                <w:sz w:val="22"/>
                <w:szCs w:val="22"/>
              </w:rPr>
            </w:pPr>
            <w:r w:rsidRPr="00F33FC4">
              <w:rPr>
                <w:rFonts w:cs="Arial"/>
                <w:sz w:val="22"/>
                <w:szCs w:val="22"/>
              </w:rPr>
              <w:t>(12)</w:t>
            </w:r>
          </w:p>
        </w:tc>
      </w:tr>
      <w:tr w:rsidR="00F33FC4" w:rsidRPr="00F33FC4" w14:paraId="28682F1E" w14:textId="77777777" w:rsidTr="00862E05">
        <w:trPr>
          <w:trHeight w:val="426"/>
        </w:trPr>
        <w:tc>
          <w:tcPr>
            <w:tcW w:w="2815" w:type="dxa"/>
          </w:tcPr>
          <w:p w14:paraId="3697A638" w14:textId="77777777" w:rsidR="00F33FC4" w:rsidRPr="00F33FC4" w:rsidRDefault="00F33FC4" w:rsidP="00862E05">
            <w:pPr>
              <w:spacing w:line="360" w:lineRule="auto"/>
              <w:rPr>
                <w:rFonts w:cs="Arial"/>
                <w:sz w:val="22"/>
                <w:szCs w:val="22"/>
              </w:rPr>
            </w:pPr>
            <w:r w:rsidRPr="00F33FC4">
              <w:rPr>
                <w:rFonts w:cs="Arial"/>
                <w:sz w:val="22"/>
                <w:szCs w:val="22"/>
              </w:rPr>
              <w:t>UTK102</w:t>
            </w:r>
          </w:p>
        </w:tc>
        <w:tc>
          <w:tcPr>
            <w:tcW w:w="3727" w:type="dxa"/>
            <w:vAlign w:val="center"/>
          </w:tcPr>
          <w:p w14:paraId="72D08942" w14:textId="5C268536" w:rsidR="00F33FC4" w:rsidRPr="00F33FC4" w:rsidRDefault="00F33FC4" w:rsidP="00862E05">
            <w:pPr>
              <w:spacing w:line="360" w:lineRule="auto"/>
              <w:rPr>
                <w:rFonts w:cs="Arial"/>
                <w:sz w:val="22"/>
                <w:szCs w:val="22"/>
              </w:rPr>
            </w:pPr>
            <w:r w:rsidRPr="00F33FC4">
              <w:rPr>
                <w:rFonts w:cs="Arial"/>
                <w:sz w:val="22"/>
                <w:szCs w:val="22"/>
              </w:rPr>
              <w:t>UTK007</w:t>
            </w:r>
            <w:r w:rsidR="000725B7" w:rsidRPr="00862E05">
              <w:rPr>
                <w:rFonts w:cs="Arial"/>
                <w:sz w:val="22"/>
                <w:szCs w:val="22"/>
              </w:rPr>
              <w:t xml:space="preserve"> </w:t>
            </w:r>
            <w:proofErr w:type="spellStart"/>
            <w:r w:rsidRPr="00F33FC4">
              <w:rPr>
                <w:rFonts w:cs="Arial"/>
                <w:i/>
                <w:iCs/>
                <w:sz w:val="22"/>
                <w:szCs w:val="22"/>
              </w:rPr>
              <w:t>lepB</w:t>
            </w:r>
            <w:proofErr w:type="spellEnd"/>
            <w:r w:rsidRPr="00F33FC4">
              <w:rPr>
                <w:rFonts w:cs="Arial"/>
                <w:sz w:val="22"/>
                <w:szCs w:val="22"/>
              </w:rPr>
              <w:t>-SPA</w:t>
            </w:r>
          </w:p>
        </w:tc>
        <w:tc>
          <w:tcPr>
            <w:tcW w:w="2741" w:type="dxa"/>
            <w:vAlign w:val="center"/>
          </w:tcPr>
          <w:p w14:paraId="452E9DCA" w14:textId="77777777" w:rsidR="00F33FC4" w:rsidRPr="00F33FC4" w:rsidRDefault="00F33FC4" w:rsidP="00862E05">
            <w:pPr>
              <w:spacing w:line="360" w:lineRule="auto"/>
              <w:rPr>
                <w:rFonts w:cs="Arial"/>
                <w:sz w:val="22"/>
                <w:szCs w:val="22"/>
              </w:rPr>
            </w:pPr>
            <w:r w:rsidRPr="00F33FC4">
              <w:rPr>
                <w:rFonts w:cs="Arial"/>
                <w:sz w:val="22"/>
                <w:szCs w:val="22"/>
              </w:rPr>
              <w:t>This study</w:t>
            </w:r>
          </w:p>
        </w:tc>
      </w:tr>
      <w:tr w:rsidR="00F33FC4" w:rsidRPr="00F33FC4" w14:paraId="62F97A2E" w14:textId="77777777" w:rsidTr="00862E05">
        <w:trPr>
          <w:trHeight w:val="426"/>
        </w:trPr>
        <w:tc>
          <w:tcPr>
            <w:tcW w:w="2815" w:type="dxa"/>
          </w:tcPr>
          <w:p w14:paraId="3FE4587B" w14:textId="77777777" w:rsidR="00F33FC4" w:rsidRPr="00F33FC4" w:rsidRDefault="00F33FC4" w:rsidP="00862E05">
            <w:pPr>
              <w:spacing w:line="360" w:lineRule="auto"/>
              <w:rPr>
                <w:rFonts w:cs="Arial"/>
                <w:sz w:val="22"/>
                <w:szCs w:val="22"/>
              </w:rPr>
            </w:pPr>
            <w:r w:rsidRPr="00F33FC4">
              <w:rPr>
                <w:rFonts w:cs="Arial"/>
                <w:sz w:val="22"/>
                <w:szCs w:val="22"/>
              </w:rPr>
              <w:t>UTK105</w:t>
            </w:r>
          </w:p>
        </w:tc>
        <w:tc>
          <w:tcPr>
            <w:tcW w:w="3727" w:type="dxa"/>
            <w:vAlign w:val="center"/>
          </w:tcPr>
          <w:p w14:paraId="36234492" w14:textId="77777777" w:rsidR="00F33FC4" w:rsidRPr="00F33FC4" w:rsidRDefault="00F33FC4" w:rsidP="00862E05">
            <w:pPr>
              <w:spacing w:line="360" w:lineRule="auto"/>
              <w:rPr>
                <w:rFonts w:cs="Arial"/>
                <w:sz w:val="22"/>
                <w:szCs w:val="22"/>
              </w:rPr>
            </w:pPr>
            <w:r w:rsidRPr="00F33FC4">
              <w:rPr>
                <w:rFonts w:cs="Arial"/>
                <w:sz w:val="22"/>
                <w:szCs w:val="22"/>
              </w:rPr>
              <w:t xml:space="preserve">UTK007 </w:t>
            </w:r>
            <w:proofErr w:type="spellStart"/>
            <w:r w:rsidRPr="00F33FC4">
              <w:rPr>
                <w:rFonts w:cs="Arial"/>
                <w:i/>
                <w:iCs/>
                <w:sz w:val="22"/>
                <w:szCs w:val="22"/>
              </w:rPr>
              <w:t>lepB</w:t>
            </w:r>
            <w:proofErr w:type="spellEnd"/>
            <w:r w:rsidRPr="00F33FC4">
              <w:rPr>
                <w:rFonts w:cs="Arial"/>
                <w:sz w:val="22"/>
                <w:szCs w:val="22"/>
              </w:rPr>
              <w:t xml:space="preserve">-SPA </w:t>
            </w:r>
            <w:proofErr w:type="spellStart"/>
            <w:r w:rsidRPr="00F33FC4">
              <w:rPr>
                <w:rFonts w:cs="Arial"/>
                <w:i/>
                <w:iCs/>
                <w:sz w:val="22"/>
                <w:szCs w:val="22"/>
              </w:rPr>
              <w:t>pgm</w:t>
            </w:r>
            <w:proofErr w:type="spellEnd"/>
            <w:r w:rsidRPr="00F33FC4">
              <w:rPr>
                <w:rFonts w:cs="Arial"/>
                <w:sz w:val="22"/>
                <w:szCs w:val="22"/>
              </w:rPr>
              <w:t>-SPA</w:t>
            </w:r>
          </w:p>
        </w:tc>
        <w:tc>
          <w:tcPr>
            <w:tcW w:w="2741" w:type="dxa"/>
            <w:vAlign w:val="center"/>
          </w:tcPr>
          <w:p w14:paraId="020A5F5F" w14:textId="77777777" w:rsidR="00F33FC4" w:rsidRPr="00F33FC4" w:rsidRDefault="00F33FC4" w:rsidP="00862E05">
            <w:pPr>
              <w:spacing w:line="360" w:lineRule="auto"/>
              <w:rPr>
                <w:rFonts w:cs="Arial"/>
                <w:sz w:val="22"/>
                <w:szCs w:val="22"/>
              </w:rPr>
            </w:pPr>
            <w:r w:rsidRPr="00F33FC4">
              <w:rPr>
                <w:rFonts w:cs="Arial"/>
                <w:sz w:val="22"/>
                <w:szCs w:val="22"/>
              </w:rPr>
              <w:t>This study</w:t>
            </w:r>
          </w:p>
        </w:tc>
      </w:tr>
      <w:tr w:rsidR="00F33FC4" w:rsidRPr="00F33FC4" w14:paraId="1C20BA1C" w14:textId="77777777" w:rsidTr="00862E05">
        <w:trPr>
          <w:trHeight w:val="426"/>
        </w:trPr>
        <w:tc>
          <w:tcPr>
            <w:tcW w:w="2815" w:type="dxa"/>
          </w:tcPr>
          <w:p w14:paraId="17D1192C" w14:textId="14C99ED7" w:rsidR="00F33FC4" w:rsidRPr="00F33FC4" w:rsidRDefault="00F33FC4" w:rsidP="00862E05">
            <w:pPr>
              <w:spacing w:line="360" w:lineRule="auto"/>
              <w:rPr>
                <w:rFonts w:cs="Arial"/>
                <w:sz w:val="22"/>
                <w:szCs w:val="22"/>
              </w:rPr>
            </w:pPr>
            <w:r w:rsidRPr="00F33FC4">
              <w:rPr>
                <w:rFonts w:cs="Arial"/>
                <w:i/>
                <w:iCs/>
                <w:sz w:val="22"/>
                <w:szCs w:val="22"/>
              </w:rPr>
              <w:t>E. coli</w:t>
            </w:r>
            <w:r w:rsidR="000725B7" w:rsidRPr="00862E05">
              <w:rPr>
                <w:rFonts w:cs="Arial"/>
                <w:sz w:val="22"/>
                <w:szCs w:val="22"/>
              </w:rPr>
              <w:t xml:space="preserve"> </w:t>
            </w:r>
            <w:r w:rsidRPr="00F33FC4">
              <w:rPr>
                <w:rFonts w:cs="Arial"/>
                <w:sz w:val="22"/>
                <w:szCs w:val="22"/>
              </w:rPr>
              <w:t>O157:H7 EDL933</w:t>
            </w:r>
          </w:p>
        </w:tc>
        <w:tc>
          <w:tcPr>
            <w:tcW w:w="3727" w:type="dxa"/>
            <w:vAlign w:val="center"/>
          </w:tcPr>
          <w:p w14:paraId="4BBF6B06" w14:textId="77777777" w:rsidR="00F33FC4" w:rsidRPr="00F33FC4" w:rsidRDefault="00F33FC4" w:rsidP="00862E05">
            <w:pPr>
              <w:spacing w:line="360" w:lineRule="auto"/>
              <w:rPr>
                <w:rFonts w:cs="Arial"/>
                <w:sz w:val="22"/>
                <w:szCs w:val="22"/>
              </w:rPr>
            </w:pPr>
            <w:r w:rsidRPr="00F33FC4">
              <w:rPr>
                <w:rFonts w:cs="Arial"/>
                <w:sz w:val="22"/>
                <w:szCs w:val="22"/>
              </w:rPr>
              <w:t>Wildtype EHEC, O157:H7</w:t>
            </w:r>
          </w:p>
        </w:tc>
        <w:tc>
          <w:tcPr>
            <w:tcW w:w="2741" w:type="dxa"/>
            <w:vAlign w:val="center"/>
          </w:tcPr>
          <w:p w14:paraId="0979AE4F" w14:textId="77777777" w:rsidR="00F33FC4" w:rsidRPr="00F33FC4" w:rsidRDefault="00F33FC4" w:rsidP="00862E05">
            <w:pPr>
              <w:spacing w:line="360" w:lineRule="auto"/>
              <w:rPr>
                <w:rFonts w:cs="Arial"/>
                <w:sz w:val="22"/>
                <w:szCs w:val="22"/>
              </w:rPr>
            </w:pPr>
            <w:r w:rsidRPr="00F33FC4">
              <w:rPr>
                <w:rFonts w:cs="Arial"/>
                <w:sz w:val="22"/>
                <w:szCs w:val="22"/>
              </w:rPr>
              <w:t>Lab stock</w:t>
            </w:r>
          </w:p>
        </w:tc>
      </w:tr>
      <w:tr w:rsidR="00F33FC4" w:rsidRPr="00F33FC4" w14:paraId="7F9F299E" w14:textId="77777777" w:rsidTr="00862E05">
        <w:trPr>
          <w:trHeight w:val="426"/>
        </w:trPr>
        <w:tc>
          <w:tcPr>
            <w:tcW w:w="2815" w:type="dxa"/>
          </w:tcPr>
          <w:p w14:paraId="2E907A7F" w14:textId="77777777" w:rsidR="00F33FC4" w:rsidRPr="00F33FC4" w:rsidRDefault="00F33FC4" w:rsidP="00862E05">
            <w:pPr>
              <w:spacing w:line="360" w:lineRule="auto"/>
              <w:rPr>
                <w:rFonts w:cs="Arial"/>
                <w:sz w:val="22"/>
                <w:szCs w:val="22"/>
              </w:rPr>
            </w:pPr>
            <w:r w:rsidRPr="00F33FC4">
              <w:rPr>
                <w:rFonts w:cs="Arial"/>
                <w:sz w:val="22"/>
                <w:szCs w:val="22"/>
              </w:rPr>
              <w:t>EDL933-</w:t>
            </w:r>
            <w:r w:rsidRPr="00F33FC4">
              <w:rPr>
                <w:rFonts w:cs="Arial"/>
                <w:sz w:val="22"/>
                <w:szCs w:val="22"/>
              </w:rPr>
              <w:sym w:font="Symbol" w:char="F044"/>
            </w:r>
            <w:proofErr w:type="spellStart"/>
            <w:r w:rsidRPr="00F33FC4">
              <w:rPr>
                <w:rFonts w:cs="Arial"/>
                <w:i/>
                <w:iCs/>
                <w:sz w:val="22"/>
                <w:szCs w:val="22"/>
              </w:rPr>
              <w:t>zor-orz</w:t>
            </w:r>
            <w:proofErr w:type="spellEnd"/>
          </w:p>
        </w:tc>
        <w:tc>
          <w:tcPr>
            <w:tcW w:w="3727" w:type="dxa"/>
            <w:vAlign w:val="center"/>
          </w:tcPr>
          <w:p w14:paraId="77B8280F" w14:textId="77777777" w:rsidR="00F33FC4" w:rsidRPr="00F33FC4" w:rsidRDefault="00F33FC4" w:rsidP="00862E05">
            <w:pPr>
              <w:spacing w:line="360" w:lineRule="auto"/>
              <w:rPr>
                <w:rFonts w:cs="Arial"/>
                <w:sz w:val="22"/>
                <w:szCs w:val="22"/>
              </w:rPr>
            </w:pPr>
            <w:proofErr w:type="spellStart"/>
            <w:r w:rsidRPr="00F33FC4">
              <w:rPr>
                <w:rFonts w:cs="Arial"/>
                <w:i/>
                <w:iCs/>
                <w:sz w:val="22"/>
                <w:szCs w:val="22"/>
              </w:rPr>
              <w:t>zor-orz</w:t>
            </w:r>
            <w:proofErr w:type="spellEnd"/>
            <w:r w:rsidRPr="00F33FC4">
              <w:rPr>
                <w:rFonts w:cs="Arial"/>
                <w:sz w:val="22"/>
                <w:szCs w:val="22"/>
              </w:rPr>
              <w:t xml:space="preserve"> locus deleted </w:t>
            </w:r>
          </w:p>
        </w:tc>
        <w:tc>
          <w:tcPr>
            <w:tcW w:w="2741" w:type="dxa"/>
            <w:vAlign w:val="center"/>
          </w:tcPr>
          <w:p w14:paraId="6EE5C40D" w14:textId="77777777" w:rsidR="00F33FC4" w:rsidRPr="00F33FC4" w:rsidRDefault="00F33FC4" w:rsidP="00862E05">
            <w:pPr>
              <w:spacing w:line="360" w:lineRule="auto"/>
              <w:rPr>
                <w:rFonts w:cs="Arial"/>
                <w:sz w:val="22"/>
                <w:szCs w:val="22"/>
              </w:rPr>
            </w:pPr>
            <w:r w:rsidRPr="00F33FC4">
              <w:rPr>
                <w:rFonts w:cs="Arial"/>
                <w:sz w:val="22"/>
                <w:szCs w:val="22"/>
              </w:rPr>
              <w:t>This study</w:t>
            </w:r>
          </w:p>
        </w:tc>
      </w:tr>
      <w:tr w:rsidR="00F33FC4" w:rsidRPr="00F33FC4" w14:paraId="463D7490" w14:textId="77777777" w:rsidTr="00862E05">
        <w:trPr>
          <w:trHeight w:val="426"/>
        </w:trPr>
        <w:tc>
          <w:tcPr>
            <w:tcW w:w="2815" w:type="dxa"/>
            <w:tcBorders>
              <w:bottom w:val="single" w:sz="4" w:space="0" w:color="auto"/>
            </w:tcBorders>
          </w:tcPr>
          <w:p w14:paraId="180C9F31" w14:textId="77777777" w:rsidR="00F33FC4" w:rsidRPr="00F33FC4" w:rsidRDefault="00F33FC4" w:rsidP="00862E05">
            <w:pPr>
              <w:spacing w:line="360" w:lineRule="auto"/>
              <w:rPr>
                <w:rFonts w:cs="Arial"/>
                <w:sz w:val="22"/>
                <w:szCs w:val="22"/>
              </w:rPr>
            </w:pPr>
            <w:r w:rsidRPr="00F33FC4">
              <w:rPr>
                <w:rFonts w:cs="Arial"/>
                <w:sz w:val="22"/>
                <w:szCs w:val="22"/>
              </w:rPr>
              <w:t>EDL933-</w:t>
            </w:r>
            <w:r w:rsidRPr="00F33FC4">
              <w:rPr>
                <w:rFonts w:cs="Arial"/>
                <w:sz w:val="22"/>
                <w:szCs w:val="22"/>
              </w:rPr>
              <w:sym w:font="Symbol" w:char="F044"/>
            </w:r>
            <w:r w:rsidRPr="00F33FC4">
              <w:rPr>
                <w:rFonts w:cs="Arial"/>
                <w:sz w:val="22"/>
                <w:szCs w:val="22"/>
              </w:rPr>
              <w:t>28-</w:t>
            </w:r>
            <w:r w:rsidRPr="00F33FC4">
              <w:rPr>
                <w:rFonts w:cs="Arial"/>
                <w:i/>
                <w:iCs/>
                <w:sz w:val="22"/>
                <w:szCs w:val="22"/>
              </w:rPr>
              <w:t>zorO</w:t>
            </w:r>
          </w:p>
        </w:tc>
        <w:tc>
          <w:tcPr>
            <w:tcW w:w="3727" w:type="dxa"/>
            <w:tcBorders>
              <w:bottom w:val="single" w:sz="4" w:space="0" w:color="auto"/>
            </w:tcBorders>
            <w:vAlign w:val="center"/>
          </w:tcPr>
          <w:p w14:paraId="3743D9F7" w14:textId="77777777" w:rsidR="00F33FC4" w:rsidRPr="00F33FC4" w:rsidRDefault="00F33FC4" w:rsidP="00862E05">
            <w:pPr>
              <w:spacing w:line="360" w:lineRule="auto"/>
              <w:rPr>
                <w:rFonts w:cs="Arial"/>
                <w:sz w:val="22"/>
                <w:szCs w:val="22"/>
              </w:rPr>
            </w:pPr>
            <w:proofErr w:type="spellStart"/>
            <w:r w:rsidRPr="00F33FC4">
              <w:rPr>
                <w:rFonts w:cs="Arial"/>
                <w:i/>
                <w:iCs/>
                <w:sz w:val="22"/>
                <w:szCs w:val="22"/>
              </w:rPr>
              <w:t>zorP-orzP</w:t>
            </w:r>
            <w:proofErr w:type="spellEnd"/>
            <w:r w:rsidRPr="00F33FC4">
              <w:rPr>
                <w:rFonts w:cs="Arial"/>
                <w:sz w:val="22"/>
                <w:szCs w:val="22"/>
              </w:rPr>
              <w:t xml:space="preserve"> &amp; </w:t>
            </w:r>
            <w:proofErr w:type="spellStart"/>
            <w:r w:rsidRPr="00F33FC4">
              <w:rPr>
                <w:rFonts w:cs="Arial"/>
                <w:i/>
                <w:iCs/>
                <w:sz w:val="22"/>
                <w:szCs w:val="22"/>
              </w:rPr>
              <w:t>orzO</w:t>
            </w:r>
            <w:proofErr w:type="spellEnd"/>
            <w:r w:rsidRPr="00F33FC4">
              <w:rPr>
                <w:rFonts w:cs="Arial"/>
                <w:sz w:val="22"/>
                <w:szCs w:val="22"/>
              </w:rPr>
              <w:t xml:space="preserve"> deleted and first 28 </w:t>
            </w:r>
            <w:proofErr w:type="spellStart"/>
            <w:r w:rsidRPr="00F33FC4">
              <w:rPr>
                <w:rFonts w:cs="Arial"/>
                <w:sz w:val="22"/>
                <w:szCs w:val="22"/>
              </w:rPr>
              <w:t>nts</w:t>
            </w:r>
            <w:proofErr w:type="spellEnd"/>
            <w:r w:rsidRPr="00F33FC4">
              <w:rPr>
                <w:rFonts w:cs="Arial"/>
                <w:sz w:val="22"/>
                <w:szCs w:val="22"/>
              </w:rPr>
              <w:t xml:space="preserve"> of </w:t>
            </w:r>
            <w:proofErr w:type="spellStart"/>
            <w:r w:rsidRPr="00F33FC4">
              <w:rPr>
                <w:rFonts w:cs="Arial"/>
                <w:i/>
                <w:sz w:val="22"/>
                <w:szCs w:val="22"/>
              </w:rPr>
              <w:t>zorO</w:t>
            </w:r>
            <w:proofErr w:type="spellEnd"/>
            <w:r w:rsidRPr="00F33FC4">
              <w:rPr>
                <w:rFonts w:cs="Arial"/>
                <w:sz w:val="22"/>
                <w:szCs w:val="22"/>
              </w:rPr>
              <w:t xml:space="preserve"> 5’ UTR</w:t>
            </w:r>
          </w:p>
        </w:tc>
        <w:tc>
          <w:tcPr>
            <w:tcW w:w="2741" w:type="dxa"/>
            <w:tcBorders>
              <w:bottom w:val="single" w:sz="4" w:space="0" w:color="auto"/>
            </w:tcBorders>
            <w:vAlign w:val="center"/>
          </w:tcPr>
          <w:p w14:paraId="410DB74A" w14:textId="77777777" w:rsidR="00F33FC4" w:rsidRPr="00F33FC4" w:rsidRDefault="00F33FC4" w:rsidP="00862E05">
            <w:pPr>
              <w:spacing w:line="360" w:lineRule="auto"/>
              <w:rPr>
                <w:rFonts w:cs="Arial"/>
                <w:sz w:val="22"/>
                <w:szCs w:val="22"/>
              </w:rPr>
            </w:pPr>
            <w:r w:rsidRPr="00F33FC4">
              <w:rPr>
                <w:rFonts w:cs="Arial"/>
                <w:sz w:val="22"/>
                <w:szCs w:val="22"/>
              </w:rPr>
              <w:t>This study</w:t>
            </w:r>
          </w:p>
        </w:tc>
      </w:tr>
      <w:tr w:rsidR="00F33FC4" w:rsidRPr="00F33FC4" w14:paraId="6893F546" w14:textId="77777777" w:rsidTr="00862E05">
        <w:trPr>
          <w:trHeight w:val="405"/>
        </w:trPr>
        <w:tc>
          <w:tcPr>
            <w:tcW w:w="2815" w:type="dxa"/>
            <w:tcBorders>
              <w:top w:val="single" w:sz="4" w:space="0" w:color="auto"/>
            </w:tcBorders>
          </w:tcPr>
          <w:p w14:paraId="3EAD9A9E" w14:textId="77777777" w:rsidR="00F33FC4" w:rsidRPr="00F33FC4" w:rsidRDefault="00F33FC4" w:rsidP="00862E05">
            <w:pPr>
              <w:spacing w:line="360" w:lineRule="auto"/>
              <w:rPr>
                <w:rFonts w:cs="Arial"/>
                <w:sz w:val="22"/>
                <w:szCs w:val="22"/>
                <w:u w:val="single"/>
              </w:rPr>
            </w:pPr>
            <w:r w:rsidRPr="00F33FC4">
              <w:rPr>
                <w:rFonts w:cs="Arial"/>
                <w:sz w:val="22"/>
                <w:szCs w:val="22"/>
                <w:u w:val="single"/>
              </w:rPr>
              <w:t>Plasmids</w:t>
            </w:r>
          </w:p>
        </w:tc>
        <w:tc>
          <w:tcPr>
            <w:tcW w:w="3727" w:type="dxa"/>
            <w:tcBorders>
              <w:top w:val="single" w:sz="4" w:space="0" w:color="auto"/>
            </w:tcBorders>
            <w:vAlign w:val="center"/>
          </w:tcPr>
          <w:p w14:paraId="2511853A" w14:textId="77777777" w:rsidR="00F33FC4" w:rsidRPr="00F33FC4" w:rsidRDefault="00F33FC4" w:rsidP="00862E05">
            <w:pPr>
              <w:spacing w:line="360" w:lineRule="auto"/>
              <w:rPr>
                <w:rFonts w:cs="Arial"/>
                <w:sz w:val="22"/>
                <w:szCs w:val="22"/>
              </w:rPr>
            </w:pPr>
          </w:p>
        </w:tc>
        <w:tc>
          <w:tcPr>
            <w:tcW w:w="2741" w:type="dxa"/>
            <w:tcBorders>
              <w:top w:val="single" w:sz="4" w:space="0" w:color="auto"/>
            </w:tcBorders>
            <w:vAlign w:val="center"/>
          </w:tcPr>
          <w:p w14:paraId="2C30D624" w14:textId="77777777" w:rsidR="00F33FC4" w:rsidRPr="00F33FC4" w:rsidRDefault="00F33FC4" w:rsidP="00862E05">
            <w:pPr>
              <w:spacing w:line="360" w:lineRule="auto"/>
              <w:rPr>
                <w:rFonts w:cs="Arial"/>
                <w:sz w:val="22"/>
                <w:szCs w:val="22"/>
              </w:rPr>
            </w:pPr>
          </w:p>
        </w:tc>
      </w:tr>
      <w:tr w:rsidR="00F33FC4" w:rsidRPr="00F33FC4" w14:paraId="02B287EB" w14:textId="77777777" w:rsidTr="00862E05">
        <w:trPr>
          <w:trHeight w:val="312"/>
        </w:trPr>
        <w:tc>
          <w:tcPr>
            <w:tcW w:w="2815" w:type="dxa"/>
          </w:tcPr>
          <w:p w14:paraId="0F35623D" w14:textId="77777777" w:rsidR="00F33FC4" w:rsidRPr="00F33FC4" w:rsidRDefault="00F33FC4" w:rsidP="00862E05">
            <w:pPr>
              <w:spacing w:line="360" w:lineRule="auto"/>
              <w:rPr>
                <w:rFonts w:cs="Arial"/>
                <w:sz w:val="22"/>
                <w:szCs w:val="22"/>
              </w:rPr>
            </w:pPr>
            <w:r w:rsidRPr="00F33FC4">
              <w:rPr>
                <w:rFonts w:cs="Arial"/>
                <w:sz w:val="22"/>
                <w:szCs w:val="22"/>
              </w:rPr>
              <w:t>pAZ3</w:t>
            </w:r>
          </w:p>
        </w:tc>
        <w:tc>
          <w:tcPr>
            <w:tcW w:w="3727" w:type="dxa"/>
          </w:tcPr>
          <w:p w14:paraId="0E066F8B" w14:textId="77777777" w:rsidR="00F33FC4" w:rsidRPr="00F33FC4" w:rsidRDefault="00F33FC4" w:rsidP="00862E05">
            <w:pPr>
              <w:spacing w:line="360" w:lineRule="auto"/>
              <w:rPr>
                <w:rFonts w:cs="Arial"/>
                <w:sz w:val="22"/>
                <w:szCs w:val="22"/>
              </w:rPr>
            </w:pPr>
            <w:r w:rsidRPr="00F33FC4">
              <w:rPr>
                <w:rFonts w:cs="Arial"/>
                <w:sz w:val="22"/>
                <w:szCs w:val="22"/>
              </w:rPr>
              <w:t>Cm(R)</w:t>
            </w:r>
          </w:p>
        </w:tc>
        <w:tc>
          <w:tcPr>
            <w:tcW w:w="2741" w:type="dxa"/>
          </w:tcPr>
          <w:p w14:paraId="27F1CF82" w14:textId="77777777" w:rsidR="00F33FC4" w:rsidRPr="00F33FC4" w:rsidRDefault="00F33FC4" w:rsidP="00862E05">
            <w:pPr>
              <w:spacing w:line="360" w:lineRule="auto"/>
              <w:rPr>
                <w:rFonts w:cs="Arial"/>
                <w:sz w:val="22"/>
                <w:szCs w:val="22"/>
              </w:rPr>
            </w:pPr>
            <w:r w:rsidRPr="00F33FC4">
              <w:rPr>
                <w:rFonts w:cs="Arial"/>
                <w:sz w:val="22"/>
                <w:szCs w:val="22"/>
              </w:rPr>
              <w:t>(12)</w:t>
            </w:r>
          </w:p>
        </w:tc>
      </w:tr>
      <w:tr w:rsidR="00F33FC4" w:rsidRPr="00F33FC4" w14:paraId="41A50523" w14:textId="77777777" w:rsidTr="00862E05">
        <w:trPr>
          <w:trHeight w:val="312"/>
        </w:trPr>
        <w:tc>
          <w:tcPr>
            <w:tcW w:w="2815" w:type="dxa"/>
          </w:tcPr>
          <w:p w14:paraId="1615061C" w14:textId="77777777" w:rsidR="00F33FC4" w:rsidRPr="00F33FC4" w:rsidRDefault="00F33FC4" w:rsidP="00862E05">
            <w:pPr>
              <w:spacing w:line="360" w:lineRule="auto"/>
              <w:rPr>
                <w:rFonts w:cs="Arial"/>
                <w:sz w:val="22"/>
                <w:szCs w:val="22"/>
              </w:rPr>
            </w:pPr>
            <w:r w:rsidRPr="00F33FC4">
              <w:rPr>
                <w:rFonts w:cs="Arial"/>
                <w:sz w:val="22"/>
                <w:szCs w:val="22"/>
              </w:rPr>
              <w:t>pAZ3-full-length-</w:t>
            </w:r>
            <w:r w:rsidRPr="00F33FC4">
              <w:rPr>
                <w:rFonts w:cs="Arial"/>
                <w:i/>
                <w:iCs/>
                <w:sz w:val="22"/>
                <w:szCs w:val="22"/>
              </w:rPr>
              <w:t>zorO</w:t>
            </w:r>
          </w:p>
        </w:tc>
        <w:tc>
          <w:tcPr>
            <w:tcW w:w="3727" w:type="dxa"/>
          </w:tcPr>
          <w:p w14:paraId="3F981B71" w14:textId="77777777" w:rsidR="00F33FC4" w:rsidRPr="00F33FC4" w:rsidRDefault="00F33FC4" w:rsidP="00862E05">
            <w:pPr>
              <w:spacing w:line="360" w:lineRule="auto"/>
              <w:rPr>
                <w:rFonts w:cs="Arial"/>
                <w:sz w:val="22"/>
                <w:szCs w:val="22"/>
              </w:rPr>
            </w:pPr>
            <w:r w:rsidRPr="00F33FC4">
              <w:rPr>
                <w:rFonts w:cs="Arial"/>
                <w:sz w:val="22"/>
                <w:szCs w:val="22"/>
              </w:rPr>
              <w:t>Cm(R)</w:t>
            </w:r>
          </w:p>
        </w:tc>
        <w:tc>
          <w:tcPr>
            <w:tcW w:w="2741" w:type="dxa"/>
          </w:tcPr>
          <w:p w14:paraId="4961A288" w14:textId="77777777" w:rsidR="00F33FC4" w:rsidRPr="00F33FC4" w:rsidRDefault="00F33FC4" w:rsidP="00862E05">
            <w:pPr>
              <w:spacing w:line="360" w:lineRule="auto"/>
              <w:rPr>
                <w:rFonts w:cs="Arial"/>
                <w:sz w:val="22"/>
                <w:szCs w:val="22"/>
              </w:rPr>
            </w:pPr>
            <w:r w:rsidRPr="00F33FC4">
              <w:rPr>
                <w:rFonts w:cs="Arial"/>
                <w:sz w:val="22"/>
                <w:szCs w:val="22"/>
              </w:rPr>
              <w:t>(12)</w:t>
            </w:r>
          </w:p>
        </w:tc>
      </w:tr>
      <w:tr w:rsidR="00F33FC4" w:rsidRPr="00F33FC4" w14:paraId="41F7DF8A" w14:textId="77777777" w:rsidTr="00862E05">
        <w:trPr>
          <w:trHeight w:val="312"/>
        </w:trPr>
        <w:tc>
          <w:tcPr>
            <w:tcW w:w="2815" w:type="dxa"/>
          </w:tcPr>
          <w:p w14:paraId="72C2DF5C" w14:textId="77777777" w:rsidR="00F33FC4" w:rsidRPr="00F33FC4" w:rsidRDefault="00F33FC4" w:rsidP="00862E05">
            <w:pPr>
              <w:spacing w:line="360" w:lineRule="auto"/>
              <w:rPr>
                <w:rFonts w:cs="Arial"/>
                <w:sz w:val="22"/>
                <w:szCs w:val="22"/>
              </w:rPr>
            </w:pPr>
            <w:r w:rsidRPr="00F33FC4">
              <w:rPr>
                <w:rFonts w:cs="Arial"/>
                <w:sz w:val="22"/>
                <w:szCs w:val="22"/>
              </w:rPr>
              <w:t>pAZ3-</w:t>
            </w:r>
            <w:r w:rsidRPr="00F33FC4">
              <w:rPr>
                <w:rFonts w:cs="Arial"/>
                <w:sz w:val="22"/>
                <w:szCs w:val="22"/>
              </w:rPr>
              <w:sym w:font="Symbol" w:char="F044"/>
            </w:r>
            <w:r w:rsidRPr="00F33FC4">
              <w:rPr>
                <w:rFonts w:cs="Arial"/>
                <w:sz w:val="22"/>
                <w:szCs w:val="22"/>
              </w:rPr>
              <w:t>28UTR-</w:t>
            </w:r>
            <w:r w:rsidRPr="00F33FC4">
              <w:rPr>
                <w:rFonts w:cs="Arial"/>
                <w:i/>
                <w:iCs/>
                <w:sz w:val="22"/>
                <w:szCs w:val="22"/>
              </w:rPr>
              <w:t>zorO</w:t>
            </w:r>
          </w:p>
        </w:tc>
        <w:tc>
          <w:tcPr>
            <w:tcW w:w="3727" w:type="dxa"/>
          </w:tcPr>
          <w:p w14:paraId="38FFCFD9" w14:textId="77777777" w:rsidR="00F33FC4" w:rsidRPr="00F33FC4" w:rsidRDefault="00F33FC4" w:rsidP="00862E05">
            <w:pPr>
              <w:spacing w:line="360" w:lineRule="auto"/>
              <w:rPr>
                <w:rFonts w:cs="Arial"/>
                <w:sz w:val="22"/>
                <w:szCs w:val="22"/>
              </w:rPr>
            </w:pPr>
            <w:r w:rsidRPr="00F33FC4">
              <w:rPr>
                <w:rFonts w:cs="Arial"/>
                <w:sz w:val="22"/>
                <w:szCs w:val="22"/>
              </w:rPr>
              <w:t>Cm(R)</w:t>
            </w:r>
          </w:p>
        </w:tc>
        <w:tc>
          <w:tcPr>
            <w:tcW w:w="2741" w:type="dxa"/>
          </w:tcPr>
          <w:p w14:paraId="48D58263" w14:textId="77777777" w:rsidR="00F33FC4" w:rsidRPr="00F33FC4" w:rsidRDefault="00F33FC4" w:rsidP="00862E05">
            <w:pPr>
              <w:spacing w:line="360" w:lineRule="auto"/>
              <w:rPr>
                <w:rFonts w:cs="Arial"/>
                <w:sz w:val="22"/>
                <w:szCs w:val="22"/>
              </w:rPr>
            </w:pPr>
            <w:r w:rsidRPr="00F33FC4">
              <w:rPr>
                <w:rFonts w:cs="Arial"/>
                <w:sz w:val="22"/>
                <w:szCs w:val="22"/>
              </w:rPr>
              <w:t>(19)</w:t>
            </w:r>
          </w:p>
        </w:tc>
      </w:tr>
      <w:tr w:rsidR="00F33FC4" w:rsidRPr="00F33FC4" w14:paraId="1F78D054" w14:textId="77777777" w:rsidTr="00862E05">
        <w:trPr>
          <w:trHeight w:val="312"/>
        </w:trPr>
        <w:tc>
          <w:tcPr>
            <w:tcW w:w="2815" w:type="dxa"/>
          </w:tcPr>
          <w:p w14:paraId="5D478739" w14:textId="77777777" w:rsidR="00F33FC4" w:rsidRPr="00F33FC4" w:rsidRDefault="00F33FC4" w:rsidP="00862E05">
            <w:pPr>
              <w:spacing w:line="360" w:lineRule="auto"/>
              <w:rPr>
                <w:rFonts w:cs="Arial"/>
                <w:sz w:val="22"/>
                <w:szCs w:val="22"/>
              </w:rPr>
            </w:pPr>
            <w:r w:rsidRPr="00F33FC4">
              <w:rPr>
                <w:rFonts w:cs="Arial"/>
                <w:sz w:val="22"/>
                <w:szCs w:val="22"/>
              </w:rPr>
              <w:t>pAZ3-No-UTR-</w:t>
            </w:r>
            <w:r w:rsidRPr="00F33FC4">
              <w:rPr>
                <w:rFonts w:cs="Arial"/>
                <w:i/>
                <w:iCs/>
                <w:sz w:val="22"/>
                <w:szCs w:val="22"/>
              </w:rPr>
              <w:t>zorO</w:t>
            </w:r>
          </w:p>
        </w:tc>
        <w:tc>
          <w:tcPr>
            <w:tcW w:w="3727" w:type="dxa"/>
          </w:tcPr>
          <w:p w14:paraId="1C1B8A99" w14:textId="77777777" w:rsidR="00F33FC4" w:rsidRPr="00F33FC4" w:rsidRDefault="00F33FC4" w:rsidP="00862E05">
            <w:pPr>
              <w:spacing w:line="360" w:lineRule="auto"/>
              <w:rPr>
                <w:rFonts w:cs="Arial"/>
                <w:sz w:val="22"/>
                <w:szCs w:val="22"/>
              </w:rPr>
            </w:pPr>
            <w:r w:rsidRPr="00F33FC4">
              <w:rPr>
                <w:rFonts w:cs="Arial"/>
                <w:sz w:val="22"/>
                <w:szCs w:val="22"/>
              </w:rPr>
              <w:t>Cm(R)</w:t>
            </w:r>
          </w:p>
        </w:tc>
        <w:tc>
          <w:tcPr>
            <w:tcW w:w="2741" w:type="dxa"/>
          </w:tcPr>
          <w:p w14:paraId="67A0D0D8" w14:textId="77777777" w:rsidR="00F33FC4" w:rsidRPr="00F33FC4" w:rsidRDefault="00F33FC4" w:rsidP="00862E05">
            <w:pPr>
              <w:spacing w:line="360" w:lineRule="auto"/>
              <w:rPr>
                <w:rFonts w:cs="Arial"/>
                <w:sz w:val="22"/>
                <w:szCs w:val="22"/>
              </w:rPr>
            </w:pPr>
            <w:r w:rsidRPr="00F33FC4">
              <w:rPr>
                <w:rFonts w:cs="Arial"/>
                <w:sz w:val="22"/>
                <w:szCs w:val="22"/>
              </w:rPr>
              <w:t>This study</w:t>
            </w:r>
          </w:p>
        </w:tc>
      </w:tr>
      <w:tr w:rsidR="00F33FC4" w:rsidRPr="00F33FC4" w14:paraId="4921A4AD" w14:textId="77777777" w:rsidTr="00862E05">
        <w:trPr>
          <w:trHeight w:val="312"/>
        </w:trPr>
        <w:tc>
          <w:tcPr>
            <w:tcW w:w="2815" w:type="dxa"/>
          </w:tcPr>
          <w:p w14:paraId="78DCE288" w14:textId="77777777" w:rsidR="00F33FC4" w:rsidRPr="00F33FC4" w:rsidRDefault="00F33FC4" w:rsidP="00862E05">
            <w:pPr>
              <w:spacing w:line="360" w:lineRule="auto"/>
              <w:rPr>
                <w:rFonts w:cs="Arial"/>
                <w:sz w:val="22"/>
                <w:szCs w:val="22"/>
              </w:rPr>
            </w:pPr>
            <w:r w:rsidRPr="00F33FC4">
              <w:rPr>
                <w:rFonts w:cs="Arial"/>
                <w:sz w:val="22"/>
                <w:szCs w:val="22"/>
              </w:rPr>
              <w:t>pAZ3-FLAG-</w:t>
            </w:r>
            <w:r w:rsidRPr="00F33FC4">
              <w:rPr>
                <w:rFonts w:cs="Arial"/>
                <w:i/>
                <w:iCs/>
                <w:sz w:val="22"/>
                <w:szCs w:val="22"/>
              </w:rPr>
              <w:t>zorO</w:t>
            </w:r>
          </w:p>
        </w:tc>
        <w:tc>
          <w:tcPr>
            <w:tcW w:w="3727" w:type="dxa"/>
          </w:tcPr>
          <w:p w14:paraId="4CEB6834" w14:textId="77777777" w:rsidR="00F33FC4" w:rsidRPr="00F33FC4" w:rsidRDefault="00F33FC4" w:rsidP="00862E05">
            <w:pPr>
              <w:spacing w:line="360" w:lineRule="auto"/>
              <w:rPr>
                <w:rFonts w:cs="Arial"/>
                <w:sz w:val="22"/>
                <w:szCs w:val="22"/>
              </w:rPr>
            </w:pPr>
            <w:r w:rsidRPr="00F33FC4">
              <w:rPr>
                <w:rFonts w:cs="Arial"/>
                <w:sz w:val="22"/>
                <w:szCs w:val="22"/>
              </w:rPr>
              <w:t>Cm(R)</w:t>
            </w:r>
          </w:p>
        </w:tc>
        <w:tc>
          <w:tcPr>
            <w:tcW w:w="2741" w:type="dxa"/>
          </w:tcPr>
          <w:p w14:paraId="7E0962D6" w14:textId="77777777" w:rsidR="00F33FC4" w:rsidRPr="00F33FC4" w:rsidRDefault="00F33FC4" w:rsidP="00862E05">
            <w:pPr>
              <w:spacing w:line="360" w:lineRule="auto"/>
              <w:rPr>
                <w:rFonts w:cs="Arial"/>
                <w:sz w:val="22"/>
                <w:szCs w:val="22"/>
              </w:rPr>
            </w:pPr>
            <w:r w:rsidRPr="00F33FC4">
              <w:rPr>
                <w:rFonts w:cs="Arial"/>
                <w:sz w:val="22"/>
                <w:szCs w:val="22"/>
              </w:rPr>
              <w:t>This study</w:t>
            </w:r>
          </w:p>
        </w:tc>
      </w:tr>
      <w:tr w:rsidR="00F33FC4" w:rsidRPr="00F33FC4" w14:paraId="0BE712E2" w14:textId="77777777" w:rsidTr="00862E05">
        <w:trPr>
          <w:trHeight w:val="312"/>
        </w:trPr>
        <w:tc>
          <w:tcPr>
            <w:tcW w:w="2815" w:type="dxa"/>
          </w:tcPr>
          <w:p w14:paraId="2AB76148" w14:textId="77777777" w:rsidR="00F33FC4" w:rsidRPr="00F33FC4" w:rsidRDefault="00F33FC4" w:rsidP="00862E05">
            <w:pPr>
              <w:spacing w:line="360" w:lineRule="auto"/>
              <w:rPr>
                <w:rFonts w:cs="Arial"/>
                <w:sz w:val="22"/>
                <w:szCs w:val="22"/>
              </w:rPr>
            </w:pPr>
            <w:r w:rsidRPr="00F33FC4">
              <w:rPr>
                <w:rFonts w:cs="Arial"/>
                <w:sz w:val="22"/>
                <w:szCs w:val="22"/>
              </w:rPr>
              <w:t>pAZ3-</w:t>
            </w:r>
            <w:r w:rsidRPr="00F33FC4">
              <w:rPr>
                <w:rFonts w:cs="Arial"/>
                <w:i/>
                <w:iCs/>
                <w:sz w:val="22"/>
                <w:szCs w:val="22"/>
              </w:rPr>
              <w:t>zorO</w:t>
            </w:r>
            <w:r w:rsidRPr="00F33FC4">
              <w:rPr>
                <w:rFonts w:cs="Arial"/>
                <w:sz w:val="22"/>
                <w:szCs w:val="22"/>
              </w:rPr>
              <w:t>-FLAG</w:t>
            </w:r>
          </w:p>
        </w:tc>
        <w:tc>
          <w:tcPr>
            <w:tcW w:w="3727" w:type="dxa"/>
          </w:tcPr>
          <w:p w14:paraId="581BD83A" w14:textId="77777777" w:rsidR="00F33FC4" w:rsidRPr="00F33FC4" w:rsidRDefault="00F33FC4" w:rsidP="00862E05">
            <w:pPr>
              <w:spacing w:line="360" w:lineRule="auto"/>
              <w:rPr>
                <w:rFonts w:cs="Arial"/>
                <w:sz w:val="22"/>
                <w:szCs w:val="22"/>
              </w:rPr>
            </w:pPr>
            <w:r w:rsidRPr="00F33FC4">
              <w:rPr>
                <w:rFonts w:cs="Arial"/>
                <w:sz w:val="22"/>
                <w:szCs w:val="22"/>
              </w:rPr>
              <w:t>Cm(R)</w:t>
            </w:r>
          </w:p>
        </w:tc>
        <w:tc>
          <w:tcPr>
            <w:tcW w:w="2741" w:type="dxa"/>
          </w:tcPr>
          <w:p w14:paraId="3F431771" w14:textId="77777777" w:rsidR="00F33FC4" w:rsidRPr="00F33FC4" w:rsidRDefault="00F33FC4" w:rsidP="00862E05">
            <w:pPr>
              <w:spacing w:line="360" w:lineRule="auto"/>
              <w:rPr>
                <w:rFonts w:cs="Arial"/>
                <w:sz w:val="22"/>
                <w:szCs w:val="22"/>
              </w:rPr>
            </w:pPr>
            <w:r w:rsidRPr="00F33FC4">
              <w:rPr>
                <w:rFonts w:cs="Arial"/>
                <w:sz w:val="22"/>
                <w:szCs w:val="22"/>
              </w:rPr>
              <w:t>This study</w:t>
            </w:r>
          </w:p>
        </w:tc>
      </w:tr>
      <w:tr w:rsidR="00F33FC4" w:rsidRPr="00F33FC4" w14:paraId="455A5F14" w14:textId="77777777" w:rsidTr="00862E05">
        <w:trPr>
          <w:trHeight w:val="312"/>
        </w:trPr>
        <w:tc>
          <w:tcPr>
            <w:tcW w:w="2815" w:type="dxa"/>
          </w:tcPr>
          <w:p w14:paraId="3ACC30DC" w14:textId="77777777" w:rsidR="00F33FC4" w:rsidRPr="00F33FC4" w:rsidRDefault="00F33FC4" w:rsidP="00862E05">
            <w:pPr>
              <w:spacing w:line="360" w:lineRule="auto"/>
              <w:rPr>
                <w:rFonts w:cs="Arial"/>
                <w:sz w:val="22"/>
                <w:szCs w:val="22"/>
              </w:rPr>
            </w:pPr>
            <w:r w:rsidRPr="00F33FC4">
              <w:rPr>
                <w:rFonts w:cs="Arial"/>
                <w:sz w:val="22"/>
                <w:szCs w:val="22"/>
              </w:rPr>
              <w:t>pAZ3-</w:t>
            </w:r>
            <w:r w:rsidRPr="00F33FC4">
              <w:rPr>
                <w:rFonts w:cs="Arial"/>
                <w:sz w:val="22"/>
                <w:szCs w:val="22"/>
              </w:rPr>
              <w:sym w:font="Symbol" w:char="F044"/>
            </w:r>
            <w:r w:rsidRPr="00F33FC4">
              <w:rPr>
                <w:rFonts w:cs="Arial"/>
                <w:sz w:val="22"/>
                <w:szCs w:val="22"/>
              </w:rPr>
              <w:t>28UTR-</w:t>
            </w:r>
            <w:r w:rsidRPr="00F33FC4">
              <w:rPr>
                <w:rFonts w:cs="Arial"/>
                <w:i/>
                <w:iCs/>
                <w:sz w:val="22"/>
                <w:szCs w:val="22"/>
              </w:rPr>
              <w:t>zorO</w:t>
            </w:r>
            <w:r w:rsidRPr="00F33FC4">
              <w:rPr>
                <w:rFonts w:cs="Arial"/>
                <w:sz w:val="22"/>
                <w:szCs w:val="22"/>
              </w:rPr>
              <w:t>-FLAG</w:t>
            </w:r>
          </w:p>
        </w:tc>
        <w:tc>
          <w:tcPr>
            <w:tcW w:w="3727" w:type="dxa"/>
          </w:tcPr>
          <w:p w14:paraId="467B29B5" w14:textId="77777777" w:rsidR="00F33FC4" w:rsidRPr="00F33FC4" w:rsidRDefault="00F33FC4" w:rsidP="00862E05">
            <w:pPr>
              <w:spacing w:line="360" w:lineRule="auto"/>
              <w:rPr>
                <w:rFonts w:cs="Arial"/>
                <w:sz w:val="22"/>
                <w:szCs w:val="22"/>
              </w:rPr>
            </w:pPr>
            <w:r w:rsidRPr="00F33FC4">
              <w:rPr>
                <w:rFonts w:cs="Arial"/>
                <w:sz w:val="22"/>
                <w:szCs w:val="22"/>
              </w:rPr>
              <w:t>Cm(R)</w:t>
            </w:r>
          </w:p>
        </w:tc>
        <w:tc>
          <w:tcPr>
            <w:tcW w:w="2741" w:type="dxa"/>
          </w:tcPr>
          <w:p w14:paraId="7DFBF106" w14:textId="77777777" w:rsidR="00F33FC4" w:rsidRPr="00F33FC4" w:rsidRDefault="00F33FC4" w:rsidP="00862E05">
            <w:pPr>
              <w:spacing w:line="360" w:lineRule="auto"/>
              <w:rPr>
                <w:rFonts w:cs="Arial"/>
                <w:sz w:val="22"/>
                <w:szCs w:val="22"/>
              </w:rPr>
            </w:pPr>
            <w:r w:rsidRPr="00F33FC4">
              <w:rPr>
                <w:rFonts w:cs="Arial"/>
                <w:sz w:val="22"/>
                <w:szCs w:val="22"/>
              </w:rPr>
              <w:t>This study</w:t>
            </w:r>
          </w:p>
        </w:tc>
      </w:tr>
      <w:tr w:rsidR="00F33FC4" w:rsidRPr="00F33FC4" w14:paraId="6C94F2B5" w14:textId="77777777" w:rsidTr="00862E05">
        <w:trPr>
          <w:trHeight w:val="312"/>
        </w:trPr>
        <w:tc>
          <w:tcPr>
            <w:tcW w:w="2815" w:type="dxa"/>
          </w:tcPr>
          <w:p w14:paraId="36FE4B52" w14:textId="77777777" w:rsidR="00F33FC4" w:rsidRPr="00F33FC4" w:rsidRDefault="00F33FC4" w:rsidP="00862E05">
            <w:pPr>
              <w:spacing w:line="360" w:lineRule="auto"/>
              <w:rPr>
                <w:rFonts w:cs="Arial"/>
                <w:sz w:val="22"/>
                <w:szCs w:val="22"/>
              </w:rPr>
            </w:pPr>
            <w:r w:rsidRPr="00F33FC4">
              <w:rPr>
                <w:rFonts w:cs="Arial"/>
                <w:sz w:val="22"/>
                <w:szCs w:val="22"/>
              </w:rPr>
              <w:t>pAZ3-</w:t>
            </w:r>
            <w:r w:rsidRPr="00F33FC4">
              <w:rPr>
                <w:rFonts w:cs="Arial"/>
                <w:i/>
                <w:iCs/>
                <w:sz w:val="22"/>
                <w:szCs w:val="22"/>
              </w:rPr>
              <w:t>zorO</w:t>
            </w:r>
            <w:r w:rsidRPr="00F33FC4">
              <w:rPr>
                <w:rFonts w:cs="Arial"/>
                <w:sz w:val="22"/>
                <w:szCs w:val="22"/>
              </w:rPr>
              <w:t>-UTR-</w:t>
            </w:r>
            <w:r w:rsidRPr="00F33FC4">
              <w:rPr>
                <w:rFonts w:cs="Arial"/>
                <w:i/>
                <w:iCs/>
                <w:sz w:val="22"/>
                <w:szCs w:val="22"/>
              </w:rPr>
              <w:t>gfp</w:t>
            </w:r>
          </w:p>
        </w:tc>
        <w:tc>
          <w:tcPr>
            <w:tcW w:w="3727" w:type="dxa"/>
          </w:tcPr>
          <w:p w14:paraId="549C6673" w14:textId="77777777" w:rsidR="00F33FC4" w:rsidRPr="00F33FC4" w:rsidRDefault="00F33FC4" w:rsidP="00862E05">
            <w:pPr>
              <w:spacing w:line="360" w:lineRule="auto"/>
              <w:rPr>
                <w:rFonts w:cs="Arial"/>
                <w:sz w:val="22"/>
                <w:szCs w:val="22"/>
              </w:rPr>
            </w:pPr>
            <w:r w:rsidRPr="00F33FC4">
              <w:rPr>
                <w:rFonts w:cs="Arial"/>
                <w:sz w:val="22"/>
                <w:szCs w:val="22"/>
              </w:rPr>
              <w:t>Cm(R)</w:t>
            </w:r>
          </w:p>
        </w:tc>
        <w:tc>
          <w:tcPr>
            <w:tcW w:w="2741" w:type="dxa"/>
          </w:tcPr>
          <w:p w14:paraId="0F132591" w14:textId="77777777" w:rsidR="00F33FC4" w:rsidRPr="00F33FC4" w:rsidRDefault="00F33FC4" w:rsidP="00862E05">
            <w:pPr>
              <w:spacing w:line="360" w:lineRule="auto"/>
              <w:rPr>
                <w:rFonts w:cs="Arial"/>
                <w:sz w:val="22"/>
                <w:szCs w:val="22"/>
              </w:rPr>
            </w:pPr>
            <w:r w:rsidRPr="00F33FC4">
              <w:rPr>
                <w:rFonts w:cs="Arial"/>
                <w:sz w:val="22"/>
                <w:szCs w:val="22"/>
              </w:rPr>
              <w:t>(19)</w:t>
            </w:r>
          </w:p>
        </w:tc>
      </w:tr>
      <w:tr w:rsidR="00F33FC4" w:rsidRPr="00F33FC4" w14:paraId="7C492BBC" w14:textId="77777777" w:rsidTr="00862E05">
        <w:trPr>
          <w:trHeight w:val="312"/>
        </w:trPr>
        <w:tc>
          <w:tcPr>
            <w:tcW w:w="2815" w:type="dxa"/>
          </w:tcPr>
          <w:p w14:paraId="292FEB16" w14:textId="77777777" w:rsidR="00F33FC4" w:rsidRPr="00F33FC4" w:rsidRDefault="00F33FC4" w:rsidP="00862E05">
            <w:pPr>
              <w:spacing w:line="360" w:lineRule="auto"/>
              <w:rPr>
                <w:rFonts w:cs="Arial"/>
                <w:sz w:val="22"/>
                <w:szCs w:val="22"/>
              </w:rPr>
            </w:pPr>
            <w:r w:rsidRPr="00F33FC4">
              <w:rPr>
                <w:rFonts w:cs="Arial"/>
                <w:sz w:val="22"/>
                <w:szCs w:val="22"/>
              </w:rPr>
              <w:t>pAZ3-</w:t>
            </w:r>
            <w:r w:rsidRPr="00F33FC4">
              <w:rPr>
                <w:rFonts w:cs="Arial"/>
                <w:sz w:val="22"/>
                <w:szCs w:val="22"/>
              </w:rPr>
              <w:sym w:font="Symbol" w:char="F044"/>
            </w:r>
            <w:r w:rsidRPr="00F33FC4">
              <w:rPr>
                <w:rFonts w:cs="Arial"/>
                <w:sz w:val="22"/>
                <w:szCs w:val="22"/>
              </w:rPr>
              <w:t>28-UTR-</w:t>
            </w:r>
            <w:r w:rsidRPr="00F33FC4">
              <w:rPr>
                <w:rFonts w:cs="Arial"/>
                <w:i/>
                <w:iCs/>
                <w:sz w:val="22"/>
                <w:szCs w:val="22"/>
              </w:rPr>
              <w:t>gfp</w:t>
            </w:r>
          </w:p>
        </w:tc>
        <w:tc>
          <w:tcPr>
            <w:tcW w:w="3727" w:type="dxa"/>
          </w:tcPr>
          <w:p w14:paraId="2E5A8309" w14:textId="77777777" w:rsidR="00F33FC4" w:rsidRPr="00F33FC4" w:rsidRDefault="00F33FC4" w:rsidP="00862E05">
            <w:pPr>
              <w:spacing w:line="360" w:lineRule="auto"/>
              <w:rPr>
                <w:rFonts w:cs="Arial"/>
                <w:sz w:val="22"/>
                <w:szCs w:val="22"/>
              </w:rPr>
            </w:pPr>
            <w:r w:rsidRPr="00F33FC4">
              <w:rPr>
                <w:rFonts w:cs="Arial"/>
                <w:sz w:val="22"/>
                <w:szCs w:val="22"/>
              </w:rPr>
              <w:t>Cm(R)</w:t>
            </w:r>
          </w:p>
        </w:tc>
        <w:tc>
          <w:tcPr>
            <w:tcW w:w="2741" w:type="dxa"/>
          </w:tcPr>
          <w:p w14:paraId="6161B427" w14:textId="77777777" w:rsidR="00F33FC4" w:rsidRPr="00F33FC4" w:rsidRDefault="00F33FC4" w:rsidP="00862E05">
            <w:pPr>
              <w:spacing w:line="360" w:lineRule="auto"/>
              <w:rPr>
                <w:rFonts w:cs="Arial"/>
                <w:sz w:val="22"/>
                <w:szCs w:val="22"/>
              </w:rPr>
            </w:pPr>
            <w:r w:rsidRPr="00F33FC4">
              <w:rPr>
                <w:rFonts w:cs="Arial"/>
                <w:sz w:val="22"/>
                <w:szCs w:val="22"/>
              </w:rPr>
              <w:t>(19)</w:t>
            </w:r>
          </w:p>
        </w:tc>
      </w:tr>
      <w:tr w:rsidR="00F33FC4" w:rsidRPr="00F33FC4" w14:paraId="734E0D56" w14:textId="77777777" w:rsidTr="00862E05">
        <w:trPr>
          <w:trHeight w:val="312"/>
        </w:trPr>
        <w:tc>
          <w:tcPr>
            <w:tcW w:w="2815" w:type="dxa"/>
          </w:tcPr>
          <w:p w14:paraId="1E1FB6E5" w14:textId="77777777" w:rsidR="00F33FC4" w:rsidRPr="00F33FC4" w:rsidRDefault="00F33FC4" w:rsidP="00862E05">
            <w:pPr>
              <w:spacing w:line="360" w:lineRule="auto"/>
              <w:rPr>
                <w:rFonts w:cs="Arial"/>
                <w:sz w:val="22"/>
                <w:szCs w:val="22"/>
              </w:rPr>
            </w:pPr>
            <w:r w:rsidRPr="00F33FC4">
              <w:rPr>
                <w:rFonts w:cs="Arial"/>
                <w:sz w:val="22"/>
                <w:szCs w:val="22"/>
              </w:rPr>
              <w:t>pBR322</w:t>
            </w:r>
          </w:p>
        </w:tc>
        <w:tc>
          <w:tcPr>
            <w:tcW w:w="3727" w:type="dxa"/>
          </w:tcPr>
          <w:p w14:paraId="41B842BD" w14:textId="77777777" w:rsidR="00F33FC4" w:rsidRPr="00F33FC4" w:rsidRDefault="00F33FC4" w:rsidP="00862E05">
            <w:pPr>
              <w:spacing w:line="360" w:lineRule="auto"/>
              <w:rPr>
                <w:rFonts w:cs="Arial"/>
                <w:sz w:val="22"/>
                <w:szCs w:val="22"/>
              </w:rPr>
            </w:pPr>
            <w:r w:rsidRPr="00F33FC4">
              <w:rPr>
                <w:rFonts w:cs="Arial"/>
                <w:sz w:val="22"/>
                <w:szCs w:val="22"/>
              </w:rPr>
              <w:t>Amp(R), Tet(R)</w:t>
            </w:r>
          </w:p>
        </w:tc>
        <w:tc>
          <w:tcPr>
            <w:tcW w:w="2741" w:type="dxa"/>
          </w:tcPr>
          <w:p w14:paraId="54E51471" w14:textId="77777777" w:rsidR="00F33FC4" w:rsidRPr="00F33FC4" w:rsidRDefault="00F33FC4" w:rsidP="00862E05">
            <w:pPr>
              <w:spacing w:line="360" w:lineRule="auto"/>
              <w:rPr>
                <w:rFonts w:cs="Arial"/>
                <w:sz w:val="22"/>
                <w:szCs w:val="22"/>
              </w:rPr>
            </w:pPr>
            <w:r w:rsidRPr="00F33FC4">
              <w:rPr>
                <w:rFonts w:cs="Arial"/>
                <w:sz w:val="22"/>
                <w:szCs w:val="22"/>
              </w:rPr>
              <w:t>(51)</w:t>
            </w:r>
          </w:p>
        </w:tc>
      </w:tr>
      <w:tr w:rsidR="00F33FC4" w:rsidRPr="00F33FC4" w14:paraId="40819D0D" w14:textId="77777777" w:rsidTr="00862E05">
        <w:trPr>
          <w:trHeight w:val="312"/>
        </w:trPr>
        <w:tc>
          <w:tcPr>
            <w:tcW w:w="2815" w:type="dxa"/>
          </w:tcPr>
          <w:p w14:paraId="146297BA" w14:textId="77777777" w:rsidR="00F33FC4" w:rsidRPr="00F33FC4" w:rsidRDefault="00F33FC4" w:rsidP="00862E05">
            <w:pPr>
              <w:spacing w:line="360" w:lineRule="auto"/>
              <w:rPr>
                <w:rFonts w:cs="Arial"/>
                <w:sz w:val="22"/>
                <w:szCs w:val="22"/>
              </w:rPr>
            </w:pPr>
            <w:proofErr w:type="spellStart"/>
            <w:r w:rsidRPr="00F33FC4">
              <w:rPr>
                <w:rFonts w:cs="Arial"/>
                <w:sz w:val="22"/>
                <w:szCs w:val="22"/>
              </w:rPr>
              <w:t>pBR</w:t>
            </w:r>
            <w:r w:rsidRPr="00F33FC4">
              <w:rPr>
                <w:rFonts w:cs="Arial"/>
                <w:i/>
                <w:iCs/>
                <w:sz w:val="22"/>
                <w:szCs w:val="22"/>
              </w:rPr>
              <w:t>-zor-orz</w:t>
            </w:r>
            <w:proofErr w:type="spellEnd"/>
          </w:p>
        </w:tc>
        <w:tc>
          <w:tcPr>
            <w:tcW w:w="3727" w:type="dxa"/>
          </w:tcPr>
          <w:p w14:paraId="25637B3C" w14:textId="77777777" w:rsidR="00F33FC4" w:rsidRPr="00F33FC4" w:rsidRDefault="00F33FC4" w:rsidP="00862E05">
            <w:pPr>
              <w:spacing w:line="360" w:lineRule="auto"/>
              <w:rPr>
                <w:rFonts w:cs="Arial"/>
                <w:sz w:val="22"/>
                <w:szCs w:val="22"/>
              </w:rPr>
            </w:pPr>
            <w:r w:rsidRPr="00F33FC4">
              <w:rPr>
                <w:rFonts w:cs="Arial"/>
                <w:sz w:val="22"/>
                <w:szCs w:val="22"/>
              </w:rPr>
              <w:t>Amp(R)</w:t>
            </w:r>
          </w:p>
        </w:tc>
        <w:tc>
          <w:tcPr>
            <w:tcW w:w="2741" w:type="dxa"/>
          </w:tcPr>
          <w:p w14:paraId="747B7D44" w14:textId="77777777" w:rsidR="00F33FC4" w:rsidRPr="00F33FC4" w:rsidRDefault="00F33FC4" w:rsidP="00862E05">
            <w:pPr>
              <w:spacing w:line="360" w:lineRule="auto"/>
              <w:rPr>
                <w:rFonts w:cs="Arial"/>
                <w:sz w:val="22"/>
                <w:szCs w:val="22"/>
              </w:rPr>
            </w:pPr>
            <w:r w:rsidRPr="00F33FC4">
              <w:rPr>
                <w:rFonts w:cs="Arial"/>
                <w:sz w:val="22"/>
                <w:szCs w:val="22"/>
              </w:rPr>
              <w:t>This study</w:t>
            </w:r>
          </w:p>
        </w:tc>
      </w:tr>
      <w:tr w:rsidR="00F33FC4" w:rsidRPr="00F33FC4" w14:paraId="79BEF2CD" w14:textId="77777777" w:rsidTr="00862E05">
        <w:trPr>
          <w:trHeight w:val="312"/>
        </w:trPr>
        <w:tc>
          <w:tcPr>
            <w:tcW w:w="2815" w:type="dxa"/>
          </w:tcPr>
          <w:p w14:paraId="4772E599" w14:textId="77777777" w:rsidR="00F33FC4" w:rsidRPr="00F33FC4" w:rsidRDefault="00F33FC4" w:rsidP="00862E05">
            <w:pPr>
              <w:spacing w:line="360" w:lineRule="auto"/>
              <w:rPr>
                <w:rFonts w:cs="Arial"/>
                <w:sz w:val="22"/>
                <w:szCs w:val="22"/>
              </w:rPr>
            </w:pPr>
            <w:r w:rsidRPr="00F33FC4">
              <w:rPr>
                <w:rFonts w:cs="Arial"/>
                <w:sz w:val="22"/>
                <w:szCs w:val="22"/>
              </w:rPr>
              <w:t>pCP20</w:t>
            </w:r>
          </w:p>
        </w:tc>
        <w:tc>
          <w:tcPr>
            <w:tcW w:w="3727" w:type="dxa"/>
          </w:tcPr>
          <w:p w14:paraId="1DDEEB50" w14:textId="77777777" w:rsidR="00F33FC4" w:rsidRPr="00F33FC4" w:rsidRDefault="00F33FC4" w:rsidP="00862E05">
            <w:pPr>
              <w:spacing w:line="360" w:lineRule="auto"/>
              <w:rPr>
                <w:rFonts w:cs="Arial"/>
                <w:sz w:val="22"/>
                <w:szCs w:val="22"/>
              </w:rPr>
            </w:pPr>
            <w:r w:rsidRPr="00F33FC4">
              <w:rPr>
                <w:rFonts w:cs="Arial"/>
                <w:sz w:val="22"/>
                <w:szCs w:val="22"/>
              </w:rPr>
              <w:t>Amp(R), Cm(R)</w:t>
            </w:r>
          </w:p>
        </w:tc>
        <w:tc>
          <w:tcPr>
            <w:tcW w:w="2741" w:type="dxa"/>
          </w:tcPr>
          <w:p w14:paraId="0BF60F8B" w14:textId="77777777" w:rsidR="00F33FC4" w:rsidRPr="00F33FC4" w:rsidRDefault="00F33FC4" w:rsidP="00862E05">
            <w:pPr>
              <w:spacing w:line="360" w:lineRule="auto"/>
              <w:rPr>
                <w:rFonts w:cs="Arial"/>
                <w:sz w:val="22"/>
                <w:szCs w:val="22"/>
              </w:rPr>
            </w:pPr>
            <w:r w:rsidRPr="00F33FC4">
              <w:rPr>
                <w:rFonts w:cs="Arial"/>
                <w:sz w:val="22"/>
                <w:szCs w:val="22"/>
              </w:rPr>
              <w:t>(53)</w:t>
            </w:r>
          </w:p>
        </w:tc>
      </w:tr>
      <w:tr w:rsidR="00F33FC4" w:rsidRPr="00F33FC4" w14:paraId="2BA419A8" w14:textId="77777777" w:rsidTr="00862E05">
        <w:trPr>
          <w:trHeight w:val="426"/>
        </w:trPr>
        <w:tc>
          <w:tcPr>
            <w:tcW w:w="2815" w:type="dxa"/>
            <w:tcBorders>
              <w:bottom w:val="single" w:sz="4" w:space="0" w:color="auto"/>
            </w:tcBorders>
          </w:tcPr>
          <w:p w14:paraId="2D75A23A" w14:textId="77777777" w:rsidR="00F33FC4" w:rsidRPr="00F33FC4" w:rsidRDefault="00F33FC4" w:rsidP="00862E05">
            <w:pPr>
              <w:spacing w:line="360" w:lineRule="auto"/>
              <w:rPr>
                <w:rFonts w:cs="Arial"/>
                <w:sz w:val="22"/>
                <w:szCs w:val="22"/>
              </w:rPr>
            </w:pPr>
            <w:r w:rsidRPr="00F33FC4">
              <w:rPr>
                <w:rFonts w:cs="Arial"/>
                <w:sz w:val="22"/>
                <w:szCs w:val="22"/>
              </w:rPr>
              <w:t>pKD3</w:t>
            </w:r>
          </w:p>
        </w:tc>
        <w:tc>
          <w:tcPr>
            <w:tcW w:w="3727" w:type="dxa"/>
            <w:tcBorders>
              <w:bottom w:val="single" w:sz="4" w:space="0" w:color="auto"/>
            </w:tcBorders>
            <w:vAlign w:val="center"/>
          </w:tcPr>
          <w:p w14:paraId="14DD5960" w14:textId="77777777" w:rsidR="00F33FC4" w:rsidRPr="00F33FC4" w:rsidRDefault="00F33FC4" w:rsidP="00862E05">
            <w:pPr>
              <w:spacing w:line="360" w:lineRule="auto"/>
              <w:rPr>
                <w:rFonts w:cs="Arial"/>
                <w:sz w:val="22"/>
                <w:szCs w:val="22"/>
              </w:rPr>
            </w:pPr>
            <w:r w:rsidRPr="00F33FC4">
              <w:rPr>
                <w:rFonts w:cs="Arial"/>
                <w:sz w:val="22"/>
                <w:szCs w:val="22"/>
              </w:rPr>
              <w:t>Cm(R)</w:t>
            </w:r>
          </w:p>
        </w:tc>
        <w:tc>
          <w:tcPr>
            <w:tcW w:w="2741" w:type="dxa"/>
            <w:tcBorders>
              <w:bottom w:val="single" w:sz="4" w:space="0" w:color="auto"/>
            </w:tcBorders>
            <w:vAlign w:val="center"/>
          </w:tcPr>
          <w:p w14:paraId="0ABA643C" w14:textId="77777777" w:rsidR="00F33FC4" w:rsidRPr="00F33FC4" w:rsidRDefault="00F33FC4" w:rsidP="00862E05">
            <w:pPr>
              <w:spacing w:line="360" w:lineRule="auto"/>
              <w:rPr>
                <w:rFonts w:cs="Arial"/>
                <w:sz w:val="22"/>
                <w:szCs w:val="22"/>
              </w:rPr>
            </w:pPr>
            <w:r w:rsidRPr="00F33FC4">
              <w:rPr>
                <w:rFonts w:cs="Arial"/>
                <w:sz w:val="22"/>
                <w:szCs w:val="22"/>
              </w:rPr>
              <w:t>(55)</w:t>
            </w:r>
          </w:p>
        </w:tc>
      </w:tr>
    </w:tbl>
    <w:p w14:paraId="5178FCED" w14:textId="77777777" w:rsidR="00F33FC4" w:rsidRPr="00F33FC4" w:rsidRDefault="00F33FC4" w:rsidP="00F33FC4">
      <w:pPr>
        <w:rPr>
          <w:rFonts w:ascii="Calibri" w:eastAsia="Calibri" w:hAnsi="Calibri" w:cs="Mangal"/>
        </w:rPr>
      </w:pPr>
    </w:p>
    <w:p w14:paraId="298BE119" w14:textId="77777777" w:rsidR="00F33FC4" w:rsidRPr="00F33FC4" w:rsidRDefault="00F33FC4" w:rsidP="00F33FC4">
      <w:pPr>
        <w:spacing w:line="360" w:lineRule="auto"/>
        <w:rPr>
          <w:rFonts w:eastAsia="Calibri"/>
        </w:rPr>
      </w:pPr>
    </w:p>
    <w:p w14:paraId="76473D1E" w14:textId="77777777" w:rsidR="00F33FC4" w:rsidRPr="00F33FC4" w:rsidRDefault="00F33FC4" w:rsidP="00F33FC4">
      <w:pPr>
        <w:spacing w:line="360" w:lineRule="auto"/>
        <w:jc w:val="both"/>
        <w:rPr>
          <w:rFonts w:eastAsia="Calibri"/>
        </w:rPr>
      </w:pPr>
    </w:p>
    <w:p w14:paraId="26009B37" w14:textId="6CDCE952" w:rsidR="00F33FC4" w:rsidRPr="00F33FC4" w:rsidRDefault="00F33FC4" w:rsidP="00F33FC4">
      <w:pPr>
        <w:spacing w:line="360" w:lineRule="auto"/>
        <w:rPr>
          <w:rFonts w:eastAsia="Calibri"/>
        </w:rPr>
      </w:pPr>
    </w:p>
    <w:p w14:paraId="004F5571" w14:textId="77777777" w:rsidR="00F33FC4" w:rsidRPr="00F33FC4" w:rsidRDefault="00F33FC4" w:rsidP="00F33FC4">
      <w:pPr>
        <w:rPr>
          <w:rFonts w:eastAsia="Calibri"/>
          <w:b/>
          <w:bCs/>
          <w:i/>
          <w:iCs/>
          <w:color w:val="000000"/>
        </w:rPr>
      </w:pPr>
    </w:p>
    <w:p w14:paraId="7E8D75F6" w14:textId="77777777" w:rsidR="00F33FC4" w:rsidRPr="00F33FC4" w:rsidRDefault="00F33FC4" w:rsidP="00F33FC4">
      <w:pPr>
        <w:keepNext/>
        <w:spacing w:after="200" w:line="360" w:lineRule="auto"/>
        <w:rPr>
          <w:rFonts w:eastAsia="Calibri"/>
          <w:color w:val="000000"/>
          <w:sz w:val="22"/>
          <w:szCs w:val="22"/>
        </w:rPr>
      </w:pPr>
      <w:r w:rsidRPr="00F33FC4">
        <w:rPr>
          <w:rFonts w:eastAsia="Calibri"/>
          <w:color w:val="000000"/>
          <w:sz w:val="22"/>
          <w:szCs w:val="22"/>
        </w:rPr>
        <w:t>Table 2.2. Oligonucleotides used in this study</w:t>
      </w:r>
    </w:p>
    <w:tbl>
      <w:tblPr>
        <w:tblStyle w:val="TableGrid2"/>
        <w:tblpPr w:leftFromText="180" w:rightFromText="180" w:vertAnchor="page" w:horzAnchor="margin" w:tblpY="2467"/>
        <w:tblW w:w="95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20" w:firstRow="1" w:lastRow="0" w:firstColumn="0" w:lastColumn="0" w:noHBand="0" w:noVBand="1"/>
      </w:tblPr>
      <w:tblGrid>
        <w:gridCol w:w="997"/>
        <w:gridCol w:w="5897"/>
        <w:gridCol w:w="2671"/>
      </w:tblGrid>
      <w:tr w:rsidR="00F33FC4" w:rsidRPr="00F33FC4" w14:paraId="6BF3060D" w14:textId="77777777" w:rsidTr="00B86E0D">
        <w:trPr>
          <w:trHeight w:val="287"/>
        </w:trPr>
        <w:tc>
          <w:tcPr>
            <w:tcW w:w="997" w:type="dxa"/>
            <w:tcBorders>
              <w:top w:val="single" w:sz="4" w:space="0" w:color="auto"/>
              <w:bottom w:val="single" w:sz="4" w:space="0" w:color="auto"/>
            </w:tcBorders>
          </w:tcPr>
          <w:p w14:paraId="13F35B21" w14:textId="77777777" w:rsidR="00F33FC4" w:rsidRPr="00F33FC4" w:rsidRDefault="00F33FC4" w:rsidP="00B86E0D">
            <w:pPr>
              <w:spacing w:line="360" w:lineRule="auto"/>
              <w:rPr>
                <w:rFonts w:cs="Arial"/>
                <w:color w:val="000000"/>
                <w:sz w:val="21"/>
                <w:szCs w:val="21"/>
              </w:rPr>
            </w:pPr>
            <w:r w:rsidRPr="00F33FC4">
              <w:rPr>
                <w:rFonts w:cs="Arial"/>
                <w:color w:val="000000"/>
                <w:sz w:val="21"/>
                <w:szCs w:val="21"/>
              </w:rPr>
              <w:t>Name</w:t>
            </w:r>
          </w:p>
        </w:tc>
        <w:tc>
          <w:tcPr>
            <w:tcW w:w="5897" w:type="dxa"/>
            <w:tcBorders>
              <w:top w:val="single" w:sz="4" w:space="0" w:color="auto"/>
              <w:bottom w:val="single" w:sz="4" w:space="0" w:color="auto"/>
            </w:tcBorders>
            <w:vAlign w:val="bottom"/>
          </w:tcPr>
          <w:p w14:paraId="79FBAD1E" w14:textId="77777777" w:rsidR="00F33FC4" w:rsidRPr="00F33FC4" w:rsidRDefault="00F33FC4" w:rsidP="00B86E0D">
            <w:pPr>
              <w:spacing w:line="360" w:lineRule="auto"/>
              <w:jc w:val="center"/>
              <w:rPr>
                <w:rFonts w:cs="Arial"/>
                <w:color w:val="000000"/>
                <w:sz w:val="21"/>
                <w:szCs w:val="21"/>
                <w:vertAlign w:val="superscript"/>
              </w:rPr>
            </w:pPr>
            <w:r w:rsidRPr="00F33FC4">
              <w:rPr>
                <w:rFonts w:cs="Arial"/>
                <w:color w:val="000000"/>
                <w:sz w:val="21"/>
                <w:szCs w:val="21"/>
              </w:rPr>
              <w:t xml:space="preserve"> Oligonucleotide sequence, 5’</w:t>
            </w:r>
            <w:r w:rsidRPr="00F33FC4">
              <w:rPr>
                <w:rFonts w:cs="Arial"/>
                <w:color w:val="000000"/>
                <w:sz w:val="21"/>
                <w:szCs w:val="21"/>
              </w:rPr>
              <w:sym w:font="Wingdings" w:char="F0E0"/>
            </w:r>
            <w:r w:rsidRPr="00F33FC4">
              <w:rPr>
                <w:rFonts w:cs="Arial"/>
                <w:color w:val="000000"/>
                <w:sz w:val="21"/>
                <w:szCs w:val="21"/>
              </w:rPr>
              <w:t>3’</w:t>
            </w:r>
          </w:p>
          <w:p w14:paraId="472D5793" w14:textId="77777777" w:rsidR="00F33FC4" w:rsidRPr="00F33FC4" w:rsidRDefault="00F33FC4" w:rsidP="00B86E0D">
            <w:pPr>
              <w:spacing w:line="360" w:lineRule="auto"/>
              <w:jc w:val="center"/>
              <w:rPr>
                <w:rFonts w:cs="Arial"/>
                <w:color w:val="000000"/>
                <w:sz w:val="21"/>
                <w:szCs w:val="21"/>
              </w:rPr>
            </w:pPr>
            <w:r w:rsidRPr="00F33FC4">
              <w:rPr>
                <w:rFonts w:cs="Arial"/>
                <w:color w:val="000000"/>
                <w:sz w:val="21"/>
                <w:szCs w:val="21"/>
              </w:rPr>
              <w:t>(Restriction sites underlined)</w:t>
            </w:r>
          </w:p>
        </w:tc>
        <w:tc>
          <w:tcPr>
            <w:tcW w:w="2671" w:type="dxa"/>
            <w:tcBorders>
              <w:top w:val="single" w:sz="4" w:space="0" w:color="auto"/>
              <w:bottom w:val="single" w:sz="4" w:space="0" w:color="auto"/>
            </w:tcBorders>
            <w:vAlign w:val="center"/>
          </w:tcPr>
          <w:p w14:paraId="31859006" w14:textId="77777777" w:rsidR="00F33FC4" w:rsidRPr="00F33FC4" w:rsidRDefault="00F33FC4" w:rsidP="00B86E0D">
            <w:pPr>
              <w:spacing w:line="360" w:lineRule="auto"/>
              <w:jc w:val="center"/>
              <w:rPr>
                <w:rFonts w:cs="Arial"/>
                <w:color w:val="000000"/>
                <w:sz w:val="21"/>
                <w:szCs w:val="21"/>
              </w:rPr>
            </w:pPr>
            <w:r w:rsidRPr="00F33FC4">
              <w:rPr>
                <w:rFonts w:cs="Arial"/>
                <w:color w:val="000000"/>
                <w:sz w:val="21"/>
                <w:szCs w:val="21"/>
              </w:rPr>
              <w:t>Use</w:t>
            </w:r>
          </w:p>
        </w:tc>
      </w:tr>
      <w:tr w:rsidR="00F33FC4" w:rsidRPr="00F33FC4" w14:paraId="050CEB99" w14:textId="77777777" w:rsidTr="00B86E0D">
        <w:trPr>
          <w:trHeight w:val="396"/>
        </w:trPr>
        <w:tc>
          <w:tcPr>
            <w:tcW w:w="997" w:type="dxa"/>
            <w:tcBorders>
              <w:top w:val="single" w:sz="4" w:space="0" w:color="auto"/>
            </w:tcBorders>
          </w:tcPr>
          <w:p w14:paraId="653C12B0" w14:textId="77777777" w:rsidR="00F33FC4" w:rsidRPr="00F33FC4" w:rsidRDefault="00F33FC4" w:rsidP="00B86E0D">
            <w:pPr>
              <w:spacing w:line="360" w:lineRule="auto"/>
              <w:rPr>
                <w:rFonts w:cs="Arial"/>
                <w:color w:val="000000"/>
                <w:sz w:val="21"/>
                <w:szCs w:val="21"/>
              </w:rPr>
            </w:pPr>
            <w:r w:rsidRPr="00F33FC4">
              <w:rPr>
                <w:rFonts w:cs="Arial"/>
                <w:color w:val="000000"/>
                <w:sz w:val="21"/>
                <w:szCs w:val="21"/>
              </w:rPr>
              <w:t>A1</w:t>
            </w:r>
          </w:p>
        </w:tc>
        <w:tc>
          <w:tcPr>
            <w:tcW w:w="5897" w:type="dxa"/>
            <w:tcBorders>
              <w:top w:val="single" w:sz="4" w:space="0" w:color="auto"/>
            </w:tcBorders>
          </w:tcPr>
          <w:p w14:paraId="4CA5CE6A" w14:textId="77777777" w:rsidR="00F33FC4" w:rsidRPr="00F33FC4" w:rsidRDefault="00F33FC4" w:rsidP="00B86E0D">
            <w:pPr>
              <w:spacing w:line="360" w:lineRule="auto"/>
              <w:rPr>
                <w:rFonts w:cs="Arial"/>
                <w:color w:val="000000"/>
                <w:sz w:val="21"/>
                <w:szCs w:val="21"/>
              </w:rPr>
            </w:pPr>
            <w:r w:rsidRPr="00F33FC4">
              <w:rPr>
                <w:rFonts w:cs="Arial"/>
                <w:color w:val="000000"/>
                <w:sz w:val="21"/>
                <w:szCs w:val="21"/>
              </w:rPr>
              <w:t>GUTUTGCGCGUUTTCCTGTUGUUCGUUCUCTUGUUGUUU</w:t>
            </w:r>
          </w:p>
        </w:tc>
        <w:tc>
          <w:tcPr>
            <w:tcW w:w="2671" w:type="dxa"/>
            <w:tcBorders>
              <w:top w:val="single" w:sz="4" w:space="0" w:color="auto"/>
            </w:tcBorders>
          </w:tcPr>
          <w:p w14:paraId="0FECA89B" w14:textId="77777777" w:rsidR="00F33FC4" w:rsidRPr="00F33FC4" w:rsidRDefault="00F33FC4" w:rsidP="00B86E0D">
            <w:pPr>
              <w:spacing w:line="360" w:lineRule="auto"/>
              <w:rPr>
                <w:rFonts w:cs="Arial"/>
                <w:color w:val="000000"/>
                <w:sz w:val="21"/>
                <w:szCs w:val="21"/>
              </w:rPr>
            </w:pPr>
            <w:r w:rsidRPr="00F33FC4">
              <w:rPr>
                <w:rFonts w:cs="Arial"/>
                <w:color w:val="000000"/>
                <w:sz w:val="21"/>
                <w:szCs w:val="21"/>
              </w:rPr>
              <w:t>RNA adapter</w:t>
            </w:r>
          </w:p>
        </w:tc>
      </w:tr>
      <w:tr w:rsidR="00F33FC4" w:rsidRPr="00F33FC4" w14:paraId="66FA6C9C" w14:textId="77777777" w:rsidTr="00B86E0D">
        <w:trPr>
          <w:trHeight w:val="396"/>
        </w:trPr>
        <w:tc>
          <w:tcPr>
            <w:tcW w:w="997" w:type="dxa"/>
          </w:tcPr>
          <w:p w14:paraId="5BB70347" w14:textId="77777777" w:rsidR="00F33FC4" w:rsidRPr="00F33FC4" w:rsidRDefault="00F33FC4" w:rsidP="00B86E0D">
            <w:pPr>
              <w:spacing w:line="360" w:lineRule="auto"/>
              <w:rPr>
                <w:rFonts w:cs="Arial"/>
                <w:color w:val="000000"/>
                <w:sz w:val="21"/>
                <w:szCs w:val="21"/>
              </w:rPr>
            </w:pPr>
            <w:r w:rsidRPr="00F33FC4">
              <w:rPr>
                <w:rFonts w:cs="Arial"/>
                <w:color w:val="000000"/>
                <w:sz w:val="21"/>
                <w:szCs w:val="21"/>
              </w:rPr>
              <w:t>A4</w:t>
            </w:r>
          </w:p>
        </w:tc>
        <w:tc>
          <w:tcPr>
            <w:tcW w:w="5897" w:type="dxa"/>
          </w:tcPr>
          <w:p w14:paraId="1705AB90" w14:textId="77777777" w:rsidR="00F33FC4" w:rsidRPr="00F33FC4" w:rsidRDefault="00F33FC4" w:rsidP="00B86E0D">
            <w:pPr>
              <w:spacing w:line="360" w:lineRule="auto"/>
              <w:rPr>
                <w:rFonts w:cs="Arial"/>
                <w:color w:val="000000"/>
                <w:sz w:val="21"/>
                <w:szCs w:val="21"/>
              </w:rPr>
            </w:pPr>
            <w:r w:rsidRPr="00F33FC4">
              <w:rPr>
                <w:rFonts w:cs="Arial"/>
                <w:color w:val="000000"/>
                <w:sz w:val="21"/>
                <w:szCs w:val="21"/>
              </w:rPr>
              <w:t>GATATGCGCGAATTCCTGTAGAACGAACACTAGAAGAAA</w:t>
            </w:r>
          </w:p>
        </w:tc>
        <w:tc>
          <w:tcPr>
            <w:tcW w:w="2671" w:type="dxa"/>
          </w:tcPr>
          <w:p w14:paraId="4F9374F3" w14:textId="77777777" w:rsidR="00F33FC4" w:rsidRPr="00F33FC4" w:rsidRDefault="00F33FC4" w:rsidP="00B86E0D">
            <w:pPr>
              <w:spacing w:line="360" w:lineRule="auto"/>
              <w:rPr>
                <w:rFonts w:cs="Arial"/>
                <w:color w:val="000000"/>
                <w:sz w:val="21"/>
                <w:szCs w:val="21"/>
              </w:rPr>
            </w:pPr>
            <w:r w:rsidRPr="00F33FC4">
              <w:rPr>
                <w:rFonts w:cs="Arial"/>
                <w:color w:val="000000"/>
                <w:sz w:val="21"/>
                <w:szCs w:val="21"/>
              </w:rPr>
              <w:t>5’ RACE</w:t>
            </w:r>
          </w:p>
        </w:tc>
      </w:tr>
      <w:tr w:rsidR="00F33FC4" w:rsidRPr="00F33FC4" w14:paraId="6319DB54" w14:textId="77777777" w:rsidTr="00B86E0D">
        <w:trPr>
          <w:trHeight w:val="396"/>
        </w:trPr>
        <w:tc>
          <w:tcPr>
            <w:tcW w:w="997" w:type="dxa"/>
          </w:tcPr>
          <w:p w14:paraId="302590D0" w14:textId="77777777" w:rsidR="00F33FC4" w:rsidRPr="00F33FC4" w:rsidRDefault="00F33FC4" w:rsidP="00B86E0D">
            <w:pPr>
              <w:spacing w:line="360" w:lineRule="auto"/>
              <w:rPr>
                <w:rFonts w:cs="Arial"/>
                <w:color w:val="000000"/>
                <w:sz w:val="21"/>
                <w:szCs w:val="21"/>
              </w:rPr>
            </w:pPr>
            <w:r w:rsidRPr="00F33FC4">
              <w:rPr>
                <w:rFonts w:cs="Arial"/>
                <w:color w:val="000000"/>
                <w:sz w:val="21"/>
                <w:szCs w:val="21"/>
              </w:rPr>
              <w:t>EF510</w:t>
            </w:r>
          </w:p>
        </w:tc>
        <w:tc>
          <w:tcPr>
            <w:tcW w:w="5897" w:type="dxa"/>
          </w:tcPr>
          <w:p w14:paraId="2C3143DF" w14:textId="77777777" w:rsidR="00F33FC4" w:rsidRPr="00F33FC4" w:rsidRDefault="00F33FC4" w:rsidP="00B86E0D">
            <w:pPr>
              <w:spacing w:line="360" w:lineRule="auto"/>
              <w:rPr>
                <w:rFonts w:cs="Arial"/>
                <w:color w:val="000000"/>
                <w:sz w:val="21"/>
                <w:szCs w:val="21"/>
              </w:rPr>
            </w:pPr>
            <w:r w:rsidRPr="00F33FC4">
              <w:rPr>
                <w:rFonts w:cs="Arial"/>
                <w:color w:val="000000"/>
                <w:sz w:val="21"/>
                <w:szCs w:val="21"/>
              </w:rPr>
              <w:t>GGTTTACGTATGTTGGTACGAAAC</w:t>
            </w:r>
          </w:p>
        </w:tc>
        <w:tc>
          <w:tcPr>
            <w:tcW w:w="2671" w:type="dxa"/>
          </w:tcPr>
          <w:p w14:paraId="79058059" w14:textId="77777777" w:rsidR="00F33FC4" w:rsidRPr="00F33FC4" w:rsidRDefault="00F33FC4" w:rsidP="00B86E0D">
            <w:pPr>
              <w:spacing w:line="360" w:lineRule="auto"/>
              <w:rPr>
                <w:rFonts w:cs="Arial"/>
                <w:color w:val="000000"/>
                <w:sz w:val="21"/>
                <w:szCs w:val="21"/>
              </w:rPr>
            </w:pPr>
            <w:r w:rsidRPr="00F33FC4">
              <w:rPr>
                <w:rFonts w:cs="Arial"/>
                <w:color w:val="000000"/>
                <w:sz w:val="21"/>
                <w:szCs w:val="21"/>
              </w:rPr>
              <w:t xml:space="preserve">5’ RACE </w:t>
            </w:r>
          </w:p>
        </w:tc>
      </w:tr>
      <w:tr w:rsidR="00F33FC4" w:rsidRPr="00F33FC4" w14:paraId="06E57B1C" w14:textId="77777777" w:rsidTr="00B86E0D">
        <w:trPr>
          <w:trHeight w:val="396"/>
        </w:trPr>
        <w:tc>
          <w:tcPr>
            <w:tcW w:w="997" w:type="dxa"/>
          </w:tcPr>
          <w:p w14:paraId="72000F3D" w14:textId="77777777" w:rsidR="00F33FC4" w:rsidRPr="00F33FC4" w:rsidRDefault="00F33FC4" w:rsidP="00B86E0D">
            <w:pPr>
              <w:spacing w:line="360" w:lineRule="auto"/>
              <w:rPr>
                <w:rFonts w:cs="Arial"/>
                <w:color w:val="000000"/>
                <w:sz w:val="21"/>
                <w:szCs w:val="21"/>
              </w:rPr>
            </w:pPr>
            <w:r w:rsidRPr="00F33FC4">
              <w:rPr>
                <w:rFonts w:cs="Arial"/>
                <w:color w:val="000000"/>
                <w:sz w:val="21"/>
                <w:szCs w:val="21"/>
              </w:rPr>
              <w:t>EF 524</w:t>
            </w:r>
          </w:p>
        </w:tc>
        <w:tc>
          <w:tcPr>
            <w:tcW w:w="5897" w:type="dxa"/>
          </w:tcPr>
          <w:p w14:paraId="07557C51" w14:textId="77777777" w:rsidR="00F33FC4" w:rsidRPr="00F33FC4" w:rsidRDefault="00F33FC4" w:rsidP="00B86E0D">
            <w:pPr>
              <w:spacing w:line="360" w:lineRule="auto"/>
              <w:rPr>
                <w:rFonts w:cs="Arial"/>
                <w:color w:val="000000"/>
                <w:sz w:val="21"/>
                <w:szCs w:val="21"/>
              </w:rPr>
            </w:pPr>
            <w:r w:rsidRPr="00F33FC4">
              <w:rPr>
                <w:rFonts w:cs="Arial"/>
                <w:color w:val="000000"/>
                <w:sz w:val="21"/>
                <w:szCs w:val="21"/>
              </w:rPr>
              <w:t>GTTGGTACGAAACGTTGCTCTCCG</w:t>
            </w:r>
          </w:p>
        </w:tc>
        <w:tc>
          <w:tcPr>
            <w:tcW w:w="2671" w:type="dxa"/>
          </w:tcPr>
          <w:p w14:paraId="758EEB4A" w14:textId="77777777" w:rsidR="00F33FC4" w:rsidRPr="00F33FC4" w:rsidRDefault="00F33FC4" w:rsidP="00B86E0D">
            <w:pPr>
              <w:spacing w:line="360" w:lineRule="auto"/>
              <w:rPr>
                <w:rFonts w:cs="Arial"/>
                <w:color w:val="000000"/>
                <w:sz w:val="21"/>
                <w:szCs w:val="21"/>
              </w:rPr>
            </w:pPr>
            <w:r w:rsidRPr="00F33FC4">
              <w:rPr>
                <w:rFonts w:cs="Arial"/>
                <w:color w:val="000000"/>
                <w:sz w:val="21"/>
                <w:szCs w:val="21"/>
              </w:rPr>
              <w:t>Primer extension</w:t>
            </w:r>
          </w:p>
        </w:tc>
      </w:tr>
      <w:tr w:rsidR="00F33FC4" w:rsidRPr="00F33FC4" w14:paraId="349D8ECA" w14:textId="77777777" w:rsidTr="00B86E0D">
        <w:trPr>
          <w:trHeight w:val="396"/>
        </w:trPr>
        <w:tc>
          <w:tcPr>
            <w:tcW w:w="997" w:type="dxa"/>
          </w:tcPr>
          <w:p w14:paraId="2CB09327" w14:textId="77777777" w:rsidR="00F33FC4" w:rsidRPr="00F33FC4" w:rsidRDefault="00F33FC4" w:rsidP="00B86E0D">
            <w:pPr>
              <w:spacing w:line="360" w:lineRule="auto"/>
              <w:rPr>
                <w:rFonts w:cs="Arial"/>
                <w:color w:val="000000"/>
                <w:sz w:val="21"/>
                <w:szCs w:val="21"/>
              </w:rPr>
            </w:pPr>
            <w:r w:rsidRPr="00F33FC4">
              <w:rPr>
                <w:rFonts w:cs="Arial"/>
                <w:color w:val="000000"/>
                <w:sz w:val="21"/>
                <w:szCs w:val="21"/>
              </w:rPr>
              <w:t>EF1325</w:t>
            </w:r>
          </w:p>
        </w:tc>
        <w:tc>
          <w:tcPr>
            <w:tcW w:w="5897" w:type="dxa"/>
          </w:tcPr>
          <w:p w14:paraId="0D09F891" w14:textId="77777777" w:rsidR="00F33FC4" w:rsidRPr="00F33FC4" w:rsidRDefault="00F33FC4" w:rsidP="00B86E0D">
            <w:pPr>
              <w:spacing w:line="360" w:lineRule="auto"/>
              <w:rPr>
                <w:rFonts w:cs="Arial"/>
                <w:color w:val="000000"/>
                <w:sz w:val="21"/>
                <w:szCs w:val="21"/>
              </w:rPr>
            </w:pPr>
            <w:r w:rsidRPr="00F33FC4">
              <w:rPr>
                <w:rFonts w:cs="Arial"/>
                <w:color w:val="000000"/>
                <w:sz w:val="21"/>
                <w:szCs w:val="21"/>
              </w:rPr>
              <w:t>GCTCCTTAATAAGGAGAGCGGA</w:t>
            </w:r>
            <w:r w:rsidRPr="00F33FC4">
              <w:rPr>
                <w:rFonts w:cs="Arial"/>
                <w:b/>
                <w:color w:val="000000"/>
                <w:sz w:val="21"/>
                <w:szCs w:val="21"/>
              </w:rPr>
              <w:t>A</w:t>
            </w:r>
            <w:r w:rsidRPr="00F33FC4">
              <w:rPr>
                <w:rFonts w:cs="Arial"/>
                <w:color w:val="000000"/>
                <w:sz w:val="21"/>
                <w:szCs w:val="21"/>
              </w:rPr>
              <w:t>GGACACGCTGACACAAAAGTTAAC</w:t>
            </w:r>
          </w:p>
        </w:tc>
        <w:tc>
          <w:tcPr>
            <w:tcW w:w="2671" w:type="dxa"/>
          </w:tcPr>
          <w:p w14:paraId="52918B65" w14:textId="77777777" w:rsidR="00F33FC4" w:rsidRPr="00F33FC4" w:rsidRDefault="00F33FC4" w:rsidP="00B86E0D">
            <w:pPr>
              <w:spacing w:line="360" w:lineRule="auto"/>
              <w:rPr>
                <w:rFonts w:cs="Arial"/>
                <w:color w:val="000000"/>
                <w:sz w:val="21"/>
                <w:szCs w:val="21"/>
              </w:rPr>
            </w:pPr>
            <w:r w:rsidRPr="00F33FC4">
              <w:rPr>
                <w:rFonts w:cs="Arial"/>
                <w:color w:val="000000"/>
                <w:sz w:val="21"/>
                <w:szCs w:val="21"/>
              </w:rPr>
              <w:t xml:space="preserve">Site directed mutagenesis of </w:t>
            </w:r>
            <w:proofErr w:type="spellStart"/>
            <w:r w:rsidRPr="00F33FC4">
              <w:rPr>
                <w:rFonts w:cs="Arial"/>
                <w:i/>
                <w:color w:val="000000"/>
                <w:sz w:val="21"/>
                <w:szCs w:val="21"/>
              </w:rPr>
              <w:t>zorO</w:t>
            </w:r>
            <w:proofErr w:type="spellEnd"/>
            <w:r w:rsidRPr="00F33FC4">
              <w:rPr>
                <w:rFonts w:cs="Arial"/>
                <w:i/>
                <w:color w:val="000000"/>
                <w:sz w:val="21"/>
                <w:szCs w:val="21"/>
              </w:rPr>
              <w:t xml:space="preserve"> </w:t>
            </w:r>
            <w:r w:rsidRPr="00F33FC4">
              <w:rPr>
                <w:rFonts w:cs="Arial"/>
                <w:color w:val="000000"/>
                <w:sz w:val="21"/>
                <w:szCs w:val="21"/>
              </w:rPr>
              <w:t>ATG start to AAG</w:t>
            </w:r>
          </w:p>
        </w:tc>
      </w:tr>
      <w:tr w:rsidR="00F33FC4" w:rsidRPr="00F33FC4" w14:paraId="0E1216A4" w14:textId="77777777" w:rsidTr="00B86E0D">
        <w:trPr>
          <w:trHeight w:val="396"/>
        </w:trPr>
        <w:tc>
          <w:tcPr>
            <w:tcW w:w="997" w:type="dxa"/>
          </w:tcPr>
          <w:p w14:paraId="1B7BA0D8" w14:textId="77777777" w:rsidR="00F33FC4" w:rsidRPr="00F33FC4" w:rsidRDefault="00F33FC4" w:rsidP="00B86E0D">
            <w:pPr>
              <w:spacing w:line="360" w:lineRule="auto"/>
              <w:rPr>
                <w:rFonts w:cs="Arial"/>
                <w:color w:val="000000"/>
                <w:sz w:val="21"/>
                <w:szCs w:val="21"/>
              </w:rPr>
            </w:pPr>
            <w:r w:rsidRPr="00F33FC4">
              <w:rPr>
                <w:rFonts w:cs="Arial"/>
                <w:color w:val="000000"/>
                <w:sz w:val="21"/>
                <w:szCs w:val="21"/>
              </w:rPr>
              <w:t>EF1326</w:t>
            </w:r>
          </w:p>
        </w:tc>
        <w:tc>
          <w:tcPr>
            <w:tcW w:w="5897" w:type="dxa"/>
          </w:tcPr>
          <w:p w14:paraId="70D6408E" w14:textId="77777777" w:rsidR="00F33FC4" w:rsidRPr="00F33FC4" w:rsidRDefault="00F33FC4" w:rsidP="00B86E0D">
            <w:pPr>
              <w:spacing w:line="360" w:lineRule="auto"/>
              <w:rPr>
                <w:rFonts w:cs="Arial"/>
                <w:color w:val="000000"/>
                <w:sz w:val="21"/>
                <w:szCs w:val="21"/>
              </w:rPr>
            </w:pPr>
            <w:r w:rsidRPr="00F33FC4">
              <w:rPr>
                <w:rFonts w:cs="Arial"/>
                <w:color w:val="000000"/>
                <w:sz w:val="21"/>
                <w:szCs w:val="21"/>
              </w:rPr>
              <w:t>GTTAACTTTTGTGTCAGCGTGTCC</w:t>
            </w:r>
            <w:r w:rsidRPr="00F33FC4">
              <w:rPr>
                <w:rFonts w:cs="Arial"/>
                <w:b/>
                <w:color w:val="000000"/>
                <w:sz w:val="21"/>
                <w:szCs w:val="21"/>
              </w:rPr>
              <w:t>T</w:t>
            </w:r>
            <w:r w:rsidRPr="00F33FC4">
              <w:rPr>
                <w:rFonts w:cs="Arial"/>
                <w:color w:val="000000"/>
                <w:sz w:val="21"/>
                <w:szCs w:val="21"/>
              </w:rPr>
              <w:t>TCCGCTCTCCTTATTAAGGAGC</w:t>
            </w:r>
          </w:p>
        </w:tc>
        <w:tc>
          <w:tcPr>
            <w:tcW w:w="2671" w:type="dxa"/>
          </w:tcPr>
          <w:p w14:paraId="6677695E" w14:textId="77777777" w:rsidR="00F33FC4" w:rsidRPr="00F33FC4" w:rsidRDefault="00F33FC4" w:rsidP="00B86E0D">
            <w:pPr>
              <w:spacing w:line="360" w:lineRule="auto"/>
              <w:rPr>
                <w:rFonts w:cs="Arial"/>
                <w:color w:val="000000"/>
                <w:sz w:val="21"/>
                <w:szCs w:val="21"/>
              </w:rPr>
            </w:pPr>
            <w:r w:rsidRPr="00F33FC4">
              <w:rPr>
                <w:rFonts w:cs="Arial"/>
                <w:color w:val="000000"/>
                <w:sz w:val="21"/>
                <w:szCs w:val="21"/>
              </w:rPr>
              <w:t xml:space="preserve">Site directed mutagenesis of </w:t>
            </w:r>
            <w:proofErr w:type="spellStart"/>
            <w:r w:rsidRPr="00F33FC4">
              <w:rPr>
                <w:rFonts w:cs="Arial"/>
                <w:i/>
                <w:color w:val="000000"/>
                <w:sz w:val="21"/>
                <w:szCs w:val="21"/>
              </w:rPr>
              <w:t>zorO</w:t>
            </w:r>
            <w:proofErr w:type="spellEnd"/>
            <w:r w:rsidRPr="00F33FC4">
              <w:rPr>
                <w:rFonts w:cs="Arial"/>
                <w:i/>
                <w:color w:val="000000"/>
                <w:sz w:val="21"/>
                <w:szCs w:val="21"/>
              </w:rPr>
              <w:t xml:space="preserve"> </w:t>
            </w:r>
            <w:r w:rsidRPr="00F33FC4">
              <w:rPr>
                <w:rFonts w:cs="Arial"/>
                <w:color w:val="000000"/>
                <w:sz w:val="21"/>
                <w:szCs w:val="21"/>
              </w:rPr>
              <w:t>ATG start to AAG</w:t>
            </w:r>
          </w:p>
        </w:tc>
      </w:tr>
      <w:tr w:rsidR="00F33FC4" w:rsidRPr="00F33FC4" w14:paraId="4B7BBE5E" w14:textId="77777777" w:rsidTr="00B86E0D">
        <w:trPr>
          <w:trHeight w:val="396"/>
        </w:trPr>
        <w:tc>
          <w:tcPr>
            <w:tcW w:w="997" w:type="dxa"/>
          </w:tcPr>
          <w:p w14:paraId="66FB3CBC" w14:textId="77777777" w:rsidR="00F33FC4" w:rsidRPr="00F33FC4" w:rsidRDefault="00F33FC4" w:rsidP="00B86E0D">
            <w:pPr>
              <w:spacing w:line="360" w:lineRule="auto"/>
              <w:rPr>
                <w:rFonts w:cs="Arial"/>
                <w:color w:val="000000"/>
                <w:sz w:val="21"/>
                <w:szCs w:val="21"/>
              </w:rPr>
            </w:pPr>
            <w:r w:rsidRPr="00F33FC4">
              <w:rPr>
                <w:rFonts w:cs="Arial"/>
                <w:color w:val="000000"/>
                <w:sz w:val="21"/>
                <w:szCs w:val="21"/>
              </w:rPr>
              <w:t>EF910</w:t>
            </w:r>
          </w:p>
        </w:tc>
        <w:tc>
          <w:tcPr>
            <w:tcW w:w="5897" w:type="dxa"/>
          </w:tcPr>
          <w:p w14:paraId="4F55EA1D" w14:textId="77777777" w:rsidR="00F33FC4" w:rsidRPr="00F33FC4" w:rsidRDefault="00F33FC4" w:rsidP="00B86E0D">
            <w:pPr>
              <w:spacing w:line="360" w:lineRule="auto"/>
              <w:rPr>
                <w:rFonts w:cs="Arial"/>
                <w:color w:val="000000"/>
                <w:sz w:val="21"/>
                <w:szCs w:val="21"/>
              </w:rPr>
            </w:pPr>
            <w:r w:rsidRPr="00F33FC4">
              <w:rPr>
                <w:rFonts w:cs="Arial"/>
                <w:color w:val="000000"/>
                <w:sz w:val="21"/>
                <w:szCs w:val="21"/>
              </w:rPr>
              <w:t>GAATAA</w:t>
            </w:r>
            <w:r w:rsidRPr="00F33FC4">
              <w:rPr>
                <w:rFonts w:cs="Arial"/>
                <w:color w:val="000000"/>
                <w:sz w:val="21"/>
                <w:szCs w:val="21"/>
                <w:u w:val="single"/>
              </w:rPr>
              <w:t>AAGCTT</w:t>
            </w:r>
            <w:r w:rsidRPr="00F33FC4">
              <w:rPr>
                <w:rFonts w:cs="Arial"/>
                <w:color w:val="000000"/>
                <w:sz w:val="21"/>
                <w:szCs w:val="21"/>
              </w:rPr>
              <w:t>CTAGATAATTAAAGTCGCAGCAC</w:t>
            </w:r>
          </w:p>
        </w:tc>
        <w:tc>
          <w:tcPr>
            <w:tcW w:w="2671" w:type="dxa"/>
          </w:tcPr>
          <w:p w14:paraId="2E033101" w14:textId="77777777" w:rsidR="00F33FC4" w:rsidRPr="00F33FC4" w:rsidRDefault="00F33FC4" w:rsidP="00B86E0D">
            <w:pPr>
              <w:spacing w:line="360" w:lineRule="auto"/>
              <w:rPr>
                <w:rFonts w:cs="Arial"/>
                <w:color w:val="000000"/>
                <w:sz w:val="21"/>
                <w:szCs w:val="21"/>
              </w:rPr>
            </w:pPr>
            <w:proofErr w:type="spellStart"/>
            <w:r w:rsidRPr="00F33FC4">
              <w:rPr>
                <w:rFonts w:cs="Arial"/>
                <w:color w:val="000000"/>
                <w:sz w:val="21"/>
                <w:szCs w:val="21"/>
              </w:rPr>
              <w:t>pBR</w:t>
            </w:r>
            <w:r w:rsidRPr="00F33FC4">
              <w:rPr>
                <w:rFonts w:cs="Arial"/>
                <w:i/>
                <w:iCs/>
                <w:color w:val="000000"/>
                <w:sz w:val="21"/>
                <w:szCs w:val="21"/>
              </w:rPr>
              <w:t>-zor-orz</w:t>
            </w:r>
            <w:proofErr w:type="spellEnd"/>
          </w:p>
        </w:tc>
      </w:tr>
      <w:tr w:rsidR="00F33FC4" w:rsidRPr="00F33FC4" w14:paraId="10102F18" w14:textId="77777777" w:rsidTr="00B86E0D">
        <w:trPr>
          <w:trHeight w:val="396"/>
        </w:trPr>
        <w:tc>
          <w:tcPr>
            <w:tcW w:w="997" w:type="dxa"/>
          </w:tcPr>
          <w:p w14:paraId="6542EF2B" w14:textId="77777777" w:rsidR="00F33FC4" w:rsidRPr="00F33FC4" w:rsidRDefault="00F33FC4" w:rsidP="00B86E0D">
            <w:pPr>
              <w:spacing w:line="360" w:lineRule="auto"/>
              <w:rPr>
                <w:rFonts w:cs="Arial"/>
                <w:color w:val="000000"/>
                <w:sz w:val="21"/>
                <w:szCs w:val="21"/>
              </w:rPr>
            </w:pPr>
            <w:r w:rsidRPr="00F33FC4">
              <w:rPr>
                <w:rFonts w:cs="Arial"/>
                <w:color w:val="000000"/>
                <w:sz w:val="21"/>
                <w:szCs w:val="21"/>
              </w:rPr>
              <w:t>EF912</w:t>
            </w:r>
          </w:p>
        </w:tc>
        <w:tc>
          <w:tcPr>
            <w:tcW w:w="5897" w:type="dxa"/>
          </w:tcPr>
          <w:p w14:paraId="53DE285A" w14:textId="77777777" w:rsidR="00F33FC4" w:rsidRPr="00F33FC4" w:rsidRDefault="00F33FC4" w:rsidP="00B86E0D">
            <w:pPr>
              <w:spacing w:line="360" w:lineRule="auto"/>
              <w:rPr>
                <w:rFonts w:cs="Arial"/>
                <w:color w:val="000000"/>
                <w:sz w:val="21"/>
                <w:szCs w:val="21"/>
              </w:rPr>
            </w:pPr>
            <w:r w:rsidRPr="00F33FC4">
              <w:rPr>
                <w:rFonts w:cs="Arial"/>
                <w:color w:val="000000"/>
                <w:sz w:val="21"/>
                <w:szCs w:val="21"/>
              </w:rPr>
              <w:t>GTTTGA</w:t>
            </w:r>
            <w:r w:rsidRPr="00F33FC4">
              <w:rPr>
                <w:rFonts w:cs="Arial"/>
                <w:color w:val="000000"/>
                <w:sz w:val="21"/>
                <w:szCs w:val="21"/>
                <w:u w:val="single"/>
              </w:rPr>
              <w:t>GGATCC</w:t>
            </w:r>
            <w:r w:rsidRPr="00F33FC4">
              <w:rPr>
                <w:rFonts w:cs="Arial"/>
                <w:color w:val="000000"/>
                <w:sz w:val="21"/>
                <w:szCs w:val="21"/>
              </w:rPr>
              <w:t>AATATCTGGGAAGCAGATC</w:t>
            </w:r>
          </w:p>
        </w:tc>
        <w:tc>
          <w:tcPr>
            <w:tcW w:w="2671" w:type="dxa"/>
          </w:tcPr>
          <w:p w14:paraId="0CBED579" w14:textId="77777777" w:rsidR="00F33FC4" w:rsidRPr="00F33FC4" w:rsidRDefault="00F33FC4" w:rsidP="00B86E0D">
            <w:pPr>
              <w:spacing w:line="360" w:lineRule="auto"/>
              <w:rPr>
                <w:rFonts w:cs="Arial"/>
                <w:color w:val="000000"/>
                <w:sz w:val="21"/>
                <w:szCs w:val="21"/>
              </w:rPr>
            </w:pPr>
            <w:proofErr w:type="spellStart"/>
            <w:r w:rsidRPr="00F33FC4">
              <w:rPr>
                <w:rFonts w:cs="Arial"/>
                <w:color w:val="000000"/>
                <w:sz w:val="21"/>
                <w:szCs w:val="21"/>
              </w:rPr>
              <w:t>pBR-</w:t>
            </w:r>
            <w:r w:rsidRPr="00F33FC4">
              <w:rPr>
                <w:rFonts w:cs="Arial"/>
                <w:i/>
                <w:iCs/>
                <w:color w:val="000000"/>
                <w:sz w:val="21"/>
                <w:szCs w:val="21"/>
              </w:rPr>
              <w:t>zor-orz</w:t>
            </w:r>
            <w:proofErr w:type="spellEnd"/>
          </w:p>
        </w:tc>
      </w:tr>
      <w:tr w:rsidR="00F33FC4" w:rsidRPr="00F33FC4" w14:paraId="2744F64F" w14:textId="77777777" w:rsidTr="00B86E0D">
        <w:trPr>
          <w:trHeight w:val="377"/>
        </w:trPr>
        <w:tc>
          <w:tcPr>
            <w:tcW w:w="997" w:type="dxa"/>
          </w:tcPr>
          <w:p w14:paraId="57EB5EAB" w14:textId="77777777" w:rsidR="00F33FC4" w:rsidRPr="00F33FC4" w:rsidRDefault="00F33FC4" w:rsidP="00B86E0D">
            <w:pPr>
              <w:spacing w:line="360" w:lineRule="auto"/>
              <w:rPr>
                <w:rFonts w:cs="Arial"/>
                <w:color w:val="000000"/>
                <w:sz w:val="21"/>
                <w:szCs w:val="21"/>
              </w:rPr>
            </w:pPr>
            <w:r w:rsidRPr="00F33FC4">
              <w:rPr>
                <w:rFonts w:cs="Arial"/>
                <w:color w:val="000000"/>
                <w:sz w:val="21"/>
                <w:szCs w:val="21"/>
              </w:rPr>
              <w:t>EF1065</w:t>
            </w:r>
          </w:p>
        </w:tc>
        <w:tc>
          <w:tcPr>
            <w:tcW w:w="5897" w:type="dxa"/>
          </w:tcPr>
          <w:p w14:paraId="7B9BB3BD" w14:textId="77777777" w:rsidR="00F33FC4" w:rsidRPr="00F33FC4" w:rsidRDefault="00F33FC4" w:rsidP="00B86E0D">
            <w:pPr>
              <w:spacing w:line="360" w:lineRule="auto"/>
              <w:rPr>
                <w:rFonts w:cs="Arial"/>
                <w:color w:val="000000"/>
                <w:sz w:val="21"/>
                <w:szCs w:val="21"/>
              </w:rPr>
            </w:pPr>
            <w:r w:rsidRPr="00F33FC4">
              <w:rPr>
                <w:rFonts w:cs="Arial"/>
                <w:color w:val="000000"/>
                <w:sz w:val="21"/>
                <w:szCs w:val="21"/>
              </w:rPr>
              <w:t>CAGTGAGTGAGATTTATAATC</w:t>
            </w:r>
            <w:r w:rsidRPr="00F33FC4">
              <w:rPr>
                <w:rFonts w:cs="Arial"/>
                <w:color w:val="000000"/>
                <w:sz w:val="21"/>
                <w:szCs w:val="21"/>
                <w:u w:val="single"/>
              </w:rPr>
              <w:t>GAATTC</w:t>
            </w:r>
            <w:r w:rsidRPr="00F33FC4">
              <w:rPr>
                <w:rFonts w:cs="Arial"/>
                <w:color w:val="000000"/>
                <w:sz w:val="21"/>
                <w:szCs w:val="21"/>
              </w:rPr>
              <w:t>GTTGGGAG</w:t>
            </w:r>
          </w:p>
        </w:tc>
        <w:tc>
          <w:tcPr>
            <w:tcW w:w="2671" w:type="dxa"/>
          </w:tcPr>
          <w:p w14:paraId="1F4B4FE6" w14:textId="77777777" w:rsidR="00F33FC4" w:rsidRPr="00F33FC4" w:rsidRDefault="00F33FC4" w:rsidP="00B86E0D">
            <w:pPr>
              <w:spacing w:line="360" w:lineRule="auto"/>
              <w:rPr>
                <w:rFonts w:cs="Arial"/>
                <w:color w:val="000000"/>
                <w:sz w:val="21"/>
                <w:szCs w:val="21"/>
              </w:rPr>
            </w:pPr>
            <w:r w:rsidRPr="00F33FC4">
              <w:rPr>
                <w:rFonts w:cs="Arial"/>
                <w:color w:val="000000"/>
                <w:sz w:val="21"/>
                <w:szCs w:val="21"/>
              </w:rPr>
              <w:t>pAZ3-P</w:t>
            </w:r>
            <w:r w:rsidRPr="00F33FC4">
              <w:rPr>
                <w:rFonts w:cs="Arial"/>
                <w:color w:val="000000"/>
                <w:sz w:val="21"/>
                <w:szCs w:val="21"/>
                <w:vertAlign w:val="subscript"/>
              </w:rPr>
              <w:t>BAD</w:t>
            </w:r>
            <w:r w:rsidRPr="00F33FC4">
              <w:rPr>
                <w:rFonts w:cs="Arial"/>
                <w:color w:val="000000"/>
                <w:sz w:val="21"/>
                <w:szCs w:val="21"/>
              </w:rPr>
              <w:t>-</w:t>
            </w:r>
            <w:r w:rsidRPr="00F33FC4">
              <w:rPr>
                <w:rFonts w:cs="Arial"/>
                <w:i/>
                <w:iCs/>
                <w:color w:val="000000"/>
                <w:sz w:val="21"/>
                <w:szCs w:val="21"/>
              </w:rPr>
              <w:t>zorO</w:t>
            </w:r>
            <w:r w:rsidRPr="00F33FC4">
              <w:rPr>
                <w:rFonts w:cs="Arial"/>
                <w:color w:val="000000"/>
                <w:sz w:val="21"/>
                <w:szCs w:val="21"/>
              </w:rPr>
              <w:t>-FLAG</w:t>
            </w:r>
          </w:p>
        </w:tc>
      </w:tr>
      <w:tr w:rsidR="00F33FC4" w:rsidRPr="00F33FC4" w14:paraId="4D735EC8" w14:textId="77777777" w:rsidTr="00B86E0D">
        <w:trPr>
          <w:trHeight w:val="377"/>
        </w:trPr>
        <w:tc>
          <w:tcPr>
            <w:tcW w:w="997" w:type="dxa"/>
          </w:tcPr>
          <w:p w14:paraId="1BAA00AE" w14:textId="77777777" w:rsidR="00F33FC4" w:rsidRPr="00F33FC4" w:rsidRDefault="00F33FC4" w:rsidP="00B86E0D">
            <w:pPr>
              <w:spacing w:line="360" w:lineRule="auto"/>
              <w:rPr>
                <w:rFonts w:cs="Arial"/>
                <w:color w:val="000000"/>
                <w:sz w:val="21"/>
                <w:szCs w:val="21"/>
              </w:rPr>
            </w:pPr>
            <w:r w:rsidRPr="00F33FC4">
              <w:rPr>
                <w:rFonts w:cs="Arial"/>
                <w:color w:val="000000"/>
                <w:sz w:val="21"/>
                <w:szCs w:val="21"/>
              </w:rPr>
              <w:t>EF1066</w:t>
            </w:r>
          </w:p>
        </w:tc>
        <w:tc>
          <w:tcPr>
            <w:tcW w:w="5897" w:type="dxa"/>
          </w:tcPr>
          <w:p w14:paraId="63E8CDBA" w14:textId="77777777" w:rsidR="00F33FC4" w:rsidRPr="00F33FC4" w:rsidRDefault="00F33FC4" w:rsidP="00B86E0D">
            <w:pPr>
              <w:spacing w:line="360" w:lineRule="auto"/>
              <w:rPr>
                <w:rFonts w:cs="Arial"/>
                <w:color w:val="000000"/>
                <w:sz w:val="21"/>
                <w:szCs w:val="21"/>
              </w:rPr>
            </w:pPr>
            <w:r w:rsidRPr="00F33FC4">
              <w:rPr>
                <w:rFonts w:cs="Arial"/>
                <w:color w:val="000000"/>
                <w:sz w:val="21"/>
                <w:szCs w:val="21"/>
              </w:rPr>
              <w:t>GATAATT</w:t>
            </w:r>
            <w:r w:rsidRPr="00F33FC4">
              <w:rPr>
                <w:rFonts w:cs="Arial"/>
                <w:color w:val="000000"/>
                <w:sz w:val="21"/>
                <w:szCs w:val="21"/>
                <w:u w:val="single"/>
              </w:rPr>
              <w:t>AAGCTT</w:t>
            </w:r>
            <w:r w:rsidRPr="00F33FC4">
              <w:rPr>
                <w:rFonts w:cs="Arial"/>
                <w:color w:val="000000"/>
                <w:sz w:val="21"/>
                <w:szCs w:val="21"/>
              </w:rPr>
              <w:t>GCAGCACATGCAACTTGAAG</w:t>
            </w:r>
          </w:p>
        </w:tc>
        <w:tc>
          <w:tcPr>
            <w:tcW w:w="2671" w:type="dxa"/>
          </w:tcPr>
          <w:p w14:paraId="75295373" w14:textId="77777777" w:rsidR="00F33FC4" w:rsidRPr="00F33FC4" w:rsidRDefault="00F33FC4" w:rsidP="00B86E0D">
            <w:pPr>
              <w:spacing w:line="360" w:lineRule="auto"/>
              <w:rPr>
                <w:rFonts w:cs="Arial"/>
                <w:color w:val="000000"/>
                <w:sz w:val="21"/>
                <w:szCs w:val="21"/>
              </w:rPr>
            </w:pPr>
            <w:r w:rsidRPr="00F33FC4">
              <w:rPr>
                <w:rFonts w:cs="Arial"/>
                <w:color w:val="000000"/>
                <w:sz w:val="21"/>
                <w:szCs w:val="21"/>
              </w:rPr>
              <w:t xml:space="preserve"> P</w:t>
            </w:r>
            <w:r w:rsidRPr="00F33FC4">
              <w:rPr>
                <w:rFonts w:cs="Arial"/>
                <w:color w:val="000000"/>
                <w:sz w:val="21"/>
                <w:szCs w:val="21"/>
                <w:vertAlign w:val="subscript"/>
              </w:rPr>
              <w:t>BAD</w:t>
            </w:r>
            <w:r w:rsidRPr="00F33FC4">
              <w:rPr>
                <w:rFonts w:cs="Arial"/>
                <w:color w:val="000000"/>
                <w:sz w:val="21"/>
                <w:szCs w:val="21"/>
              </w:rPr>
              <w:t>-No-UTR-</w:t>
            </w:r>
            <w:proofErr w:type="spellStart"/>
            <w:r w:rsidRPr="00F33FC4">
              <w:rPr>
                <w:rFonts w:cs="Arial"/>
                <w:i/>
                <w:iCs/>
                <w:color w:val="000000"/>
                <w:sz w:val="21"/>
                <w:szCs w:val="21"/>
              </w:rPr>
              <w:t>zorO</w:t>
            </w:r>
            <w:proofErr w:type="spellEnd"/>
          </w:p>
        </w:tc>
      </w:tr>
      <w:tr w:rsidR="00F33FC4" w:rsidRPr="00F33FC4" w14:paraId="3D584E3B" w14:textId="77777777" w:rsidTr="00B86E0D">
        <w:trPr>
          <w:trHeight w:val="377"/>
        </w:trPr>
        <w:tc>
          <w:tcPr>
            <w:tcW w:w="997" w:type="dxa"/>
          </w:tcPr>
          <w:p w14:paraId="5E08102C" w14:textId="77777777" w:rsidR="00F33FC4" w:rsidRPr="00F33FC4" w:rsidRDefault="00F33FC4" w:rsidP="00B86E0D">
            <w:pPr>
              <w:spacing w:line="360" w:lineRule="auto"/>
              <w:rPr>
                <w:rFonts w:cs="Arial"/>
                <w:color w:val="000000"/>
                <w:sz w:val="21"/>
                <w:szCs w:val="21"/>
              </w:rPr>
            </w:pPr>
            <w:r w:rsidRPr="00F33FC4">
              <w:rPr>
                <w:rFonts w:cs="Arial"/>
                <w:color w:val="000000"/>
                <w:sz w:val="21"/>
                <w:szCs w:val="21"/>
              </w:rPr>
              <w:t>EF1141</w:t>
            </w:r>
          </w:p>
        </w:tc>
        <w:tc>
          <w:tcPr>
            <w:tcW w:w="5897" w:type="dxa"/>
          </w:tcPr>
          <w:p w14:paraId="766148F0" w14:textId="77777777" w:rsidR="00F33FC4" w:rsidRPr="00F33FC4" w:rsidRDefault="00F33FC4" w:rsidP="00B86E0D">
            <w:pPr>
              <w:spacing w:line="360" w:lineRule="auto"/>
              <w:rPr>
                <w:rFonts w:cs="Arial"/>
                <w:color w:val="000000"/>
                <w:sz w:val="21"/>
                <w:szCs w:val="21"/>
              </w:rPr>
            </w:pPr>
            <w:r w:rsidRPr="00F33FC4">
              <w:rPr>
                <w:rFonts w:cs="Arial"/>
                <w:color w:val="000000"/>
                <w:sz w:val="21"/>
                <w:szCs w:val="21"/>
              </w:rPr>
              <w:t>GGTTGTGCCGGATCG</w:t>
            </w:r>
            <w:r w:rsidRPr="00F33FC4">
              <w:rPr>
                <w:rFonts w:cs="Arial"/>
                <w:color w:val="000000"/>
                <w:sz w:val="21"/>
                <w:szCs w:val="21"/>
                <w:u w:val="single"/>
              </w:rPr>
              <w:t>GAATTC</w:t>
            </w:r>
            <w:r w:rsidRPr="00F33FC4">
              <w:rPr>
                <w:rFonts w:cs="Arial"/>
                <w:color w:val="000000"/>
                <w:sz w:val="21"/>
                <w:szCs w:val="21"/>
              </w:rPr>
              <w:t>TTTTAAGTCCTGGCTGC</w:t>
            </w:r>
          </w:p>
        </w:tc>
        <w:tc>
          <w:tcPr>
            <w:tcW w:w="2671" w:type="dxa"/>
          </w:tcPr>
          <w:p w14:paraId="0D38210B" w14:textId="77777777" w:rsidR="00F33FC4" w:rsidRPr="00F33FC4" w:rsidRDefault="00F33FC4" w:rsidP="00B86E0D">
            <w:pPr>
              <w:spacing w:line="360" w:lineRule="auto"/>
              <w:rPr>
                <w:rFonts w:cs="Arial"/>
                <w:color w:val="000000"/>
                <w:sz w:val="21"/>
                <w:szCs w:val="21"/>
              </w:rPr>
            </w:pPr>
            <w:r w:rsidRPr="00F33FC4">
              <w:rPr>
                <w:rFonts w:cs="Arial"/>
                <w:color w:val="000000"/>
                <w:sz w:val="21"/>
                <w:szCs w:val="21"/>
              </w:rPr>
              <w:t>P</w:t>
            </w:r>
            <w:r w:rsidRPr="00F33FC4">
              <w:rPr>
                <w:rFonts w:cs="Arial"/>
                <w:color w:val="000000"/>
                <w:sz w:val="21"/>
                <w:szCs w:val="21"/>
                <w:vertAlign w:val="subscript"/>
              </w:rPr>
              <w:t>BAD</w:t>
            </w:r>
            <w:r w:rsidRPr="00F33FC4">
              <w:rPr>
                <w:rFonts w:cs="Arial"/>
                <w:color w:val="000000"/>
                <w:sz w:val="21"/>
                <w:szCs w:val="21"/>
              </w:rPr>
              <w:t>-</w:t>
            </w:r>
            <w:r w:rsidRPr="00F33FC4">
              <w:rPr>
                <w:rFonts w:cs="Arial"/>
                <w:sz w:val="21"/>
                <w:szCs w:val="21"/>
              </w:rPr>
              <w:sym w:font="Symbol" w:char="F044"/>
            </w:r>
            <w:r w:rsidRPr="00F33FC4">
              <w:rPr>
                <w:rFonts w:cs="Arial"/>
                <w:sz w:val="21"/>
                <w:szCs w:val="21"/>
              </w:rPr>
              <w:t>28</w:t>
            </w:r>
            <w:r w:rsidRPr="00F33FC4">
              <w:rPr>
                <w:rFonts w:cs="Arial"/>
                <w:color w:val="000000"/>
                <w:sz w:val="21"/>
                <w:szCs w:val="21"/>
              </w:rPr>
              <w:t>-</w:t>
            </w:r>
            <w:r w:rsidRPr="00F33FC4">
              <w:rPr>
                <w:rFonts w:cs="Arial"/>
                <w:i/>
                <w:iCs/>
                <w:color w:val="000000"/>
                <w:sz w:val="21"/>
                <w:szCs w:val="21"/>
              </w:rPr>
              <w:t>zorO</w:t>
            </w:r>
            <w:r w:rsidRPr="00F33FC4">
              <w:rPr>
                <w:rFonts w:cs="Arial"/>
                <w:color w:val="000000"/>
                <w:sz w:val="21"/>
                <w:szCs w:val="21"/>
              </w:rPr>
              <w:t>-FLAG</w:t>
            </w:r>
          </w:p>
        </w:tc>
      </w:tr>
      <w:tr w:rsidR="00F33FC4" w:rsidRPr="00F33FC4" w14:paraId="59388935" w14:textId="77777777" w:rsidTr="00B86E0D">
        <w:trPr>
          <w:trHeight w:val="377"/>
        </w:trPr>
        <w:tc>
          <w:tcPr>
            <w:tcW w:w="997" w:type="dxa"/>
          </w:tcPr>
          <w:p w14:paraId="7FBDFFDA" w14:textId="77777777" w:rsidR="00F33FC4" w:rsidRPr="00F33FC4" w:rsidRDefault="00F33FC4" w:rsidP="00B86E0D">
            <w:pPr>
              <w:spacing w:line="360" w:lineRule="auto"/>
              <w:rPr>
                <w:rFonts w:cs="Arial"/>
                <w:color w:val="000000"/>
                <w:sz w:val="21"/>
                <w:szCs w:val="21"/>
              </w:rPr>
            </w:pPr>
            <w:r w:rsidRPr="00F33FC4">
              <w:rPr>
                <w:rFonts w:cs="Arial"/>
                <w:color w:val="000000"/>
                <w:sz w:val="21"/>
                <w:szCs w:val="21"/>
              </w:rPr>
              <w:t>EF1279</w:t>
            </w:r>
          </w:p>
        </w:tc>
        <w:tc>
          <w:tcPr>
            <w:tcW w:w="5897" w:type="dxa"/>
          </w:tcPr>
          <w:p w14:paraId="370D46E8" w14:textId="77777777" w:rsidR="00F33FC4" w:rsidRPr="00F33FC4" w:rsidRDefault="00F33FC4" w:rsidP="00B86E0D">
            <w:pPr>
              <w:spacing w:line="360" w:lineRule="auto"/>
              <w:rPr>
                <w:rFonts w:cs="Arial"/>
                <w:color w:val="000000"/>
                <w:sz w:val="21"/>
                <w:szCs w:val="21"/>
              </w:rPr>
            </w:pPr>
            <w:r w:rsidRPr="00F33FC4">
              <w:rPr>
                <w:rFonts w:cs="Arial"/>
                <w:color w:val="000000"/>
                <w:sz w:val="21"/>
                <w:szCs w:val="21"/>
              </w:rPr>
              <w:t>CACAATCGCTCAAGAC</w:t>
            </w:r>
            <w:r w:rsidRPr="00F33FC4">
              <w:rPr>
                <w:rFonts w:cs="Arial"/>
                <w:color w:val="000000"/>
                <w:sz w:val="21"/>
                <w:szCs w:val="21"/>
                <w:u w:val="single"/>
              </w:rPr>
              <w:t>AAGCTT</w:t>
            </w:r>
            <w:r w:rsidRPr="00F33FC4">
              <w:rPr>
                <w:rFonts w:cs="Arial"/>
                <w:color w:val="000000"/>
                <w:sz w:val="21"/>
                <w:szCs w:val="21"/>
              </w:rPr>
              <w:t>CTATTTATCATC</w:t>
            </w:r>
          </w:p>
        </w:tc>
        <w:tc>
          <w:tcPr>
            <w:tcW w:w="2671" w:type="dxa"/>
          </w:tcPr>
          <w:p w14:paraId="1365FDBD" w14:textId="77777777" w:rsidR="00F33FC4" w:rsidRPr="00F33FC4" w:rsidRDefault="00F33FC4" w:rsidP="00B86E0D">
            <w:pPr>
              <w:spacing w:line="360" w:lineRule="auto"/>
              <w:rPr>
                <w:rFonts w:cs="Arial"/>
                <w:color w:val="000000"/>
                <w:sz w:val="21"/>
                <w:szCs w:val="21"/>
              </w:rPr>
            </w:pPr>
            <w:r w:rsidRPr="00F33FC4">
              <w:rPr>
                <w:rFonts w:cs="Arial"/>
                <w:color w:val="000000"/>
                <w:sz w:val="21"/>
                <w:szCs w:val="21"/>
              </w:rPr>
              <w:t>pAZ3- P</w:t>
            </w:r>
            <w:r w:rsidRPr="00F33FC4">
              <w:rPr>
                <w:rFonts w:cs="Arial"/>
                <w:color w:val="000000"/>
                <w:sz w:val="21"/>
                <w:szCs w:val="21"/>
                <w:vertAlign w:val="subscript"/>
              </w:rPr>
              <w:t>BAD</w:t>
            </w:r>
            <w:r w:rsidRPr="00F33FC4">
              <w:rPr>
                <w:rFonts w:cs="Arial"/>
                <w:color w:val="000000"/>
                <w:sz w:val="21"/>
                <w:szCs w:val="21"/>
              </w:rPr>
              <w:t xml:space="preserve"> -</w:t>
            </w:r>
            <w:proofErr w:type="spellStart"/>
            <w:r w:rsidRPr="00F33FC4">
              <w:rPr>
                <w:rFonts w:cs="Arial"/>
                <w:i/>
                <w:iCs/>
                <w:color w:val="000000"/>
                <w:sz w:val="21"/>
                <w:szCs w:val="21"/>
              </w:rPr>
              <w:t>zorO</w:t>
            </w:r>
            <w:proofErr w:type="spellEnd"/>
            <w:r w:rsidRPr="00F33FC4">
              <w:rPr>
                <w:rFonts w:cs="Arial"/>
                <w:color w:val="000000"/>
                <w:sz w:val="21"/>
                <w:szCs w:val="21"/>
              </w:rPr>
              <w:t>-FLAG</w:t>
            </w:r>
          </w:p>
          <w:p w14:paraId="4AC3EBC4" w14:textId="77777777" w:rsidR="00F33FC4" w:rsidRPr="00F33FC4" w:rsidRDefault="00F33FC4" w:rsidP="00B86E0D">
            <w:pPr>
              <w:spacing w:line="360" w:lineRule="auto"/>
              <w:rPr>
                <w:rFonts w:cs="Arial"/>
                <w:color w:val="000000"/>
                <w:sz w:val="21"/>
                <w:szCs w:val="21"/>
              </w:rPr>
            </w:pPr>
            <w:r w:rsidRPr="00F33FC4">
              <w:rPr>
                <w:rFonts w:cs="Arial"/>
                <w:color w:val="000000"/>
                <w:sz w:val="21"/>
                <w:szCs w:val="21"/>
              </w:rPr>
              <w:t>pAZ3- P</w:t>
            </w:r>
            <w:r w:rsidRPr="00F33FC4">
              <w:rPr>
                <w:rFonts w:cs="Arial"/>
                <w:color w:val="000000"/>
                <w:sz w:val="21"/>
                <w:szCs w:val="21"/>
                <w:vertAlign w:val="subscript"/>
              </w:rPr>
              <w:t>BAD</w:t>
            </w:r>
            <w:r w:rsidRPr="00F33FC4">
              <w:rPr>
                <w:rFonts w:cs="Arial"/>
                <w:color w:val="000000"/>
                <w:sz w:val="21"/>
                <w:szCs w:val="21"/>
              </w:rPr>
              <w:t>-</w:t>
            </w:r>
            <w:r w:rsidRPr="00F33FC4">
              <w:rPr>
                <w:rFonts w:cs="Arial"/>
                <w:sz w:val="21"/>
                <w:szCs w:val="21"/>
              </w:rPr>
              <w:sym w:font="Symbol" w:char="F044"/>
            </w:r>
            <w:r w:rsidRPr="00F33FC4">
              <w:rPr>
                <w:rFonts w:cs="Arial"/>
                <w:sz w:val="21"/>
                <w:szCs w:val="21"/>
              </w:rPr>
              <w:t>28</w:t>
            </w:r>
            <w:r w:rsidRPr="00F33FC4">
              <w:rPr>
                <w:rFonts w:cs="Arial"/>
                <w:color w:val="000000"/>
                <w:sz w:val="21"/>
                <w:szCs w:val="21"/>
              </w:rPr>
              <w:t>-</w:t>
            </w:r>
            <w:r w:rsidRPr="00F33FC4">
              <w:rPr>
                <w:rFonts w:cs="Arial"/>
                <w:i/>
                <w:iCs/>
                <w:color w:val="000000"/>
                <w:sz w:val="21"/>
                <w:szCs w:val="21"/>
              </w:rPr>
              <w:t>zorO</w:t>
            </w:r>
            <w:r w:rsidRPr="00F33FC4">
              <w:rPr>
                <w:rFonts w:cs="Arial"/>
                <w:color w:val="000000"/>
                <w:sz w:val="21"/>
                <w:szCs w:val="21"/>
              </w:rPr>
              <w:t>-FLAG</w:t>
            </w:r>
          </w:p>
        </w:tc>
      </w:tr>
      <w:tr w:rsidR="00F33FC4" w:rsidRPr="00F33FC4" w14:paraId="2B2E499E" w14:textId="77777777" w:rsidTr="00B86E0D">
        <w:trPr>
          <w:trHeight w:val="377"/>
        </w:trPr>
        <w:tc>
          <w:tcPr>
            <w:tcW w:w="997" w:type="dxa"/>
          </w:tcPr>
          <w:p w14:paraId="68F48946" w14:textId="77777777" w:rsidR="00F33FC4" w:rsidRPr="00F33FC4" w:rsidRDefault="00F33FC4" w:rsidP="00B86E0D">
            <w:pPr>
              <w:spacing w:line="360" w:lineRule="auto"/>
              <w:rPr>
                <w:rFonts w:cs="Arial"/>
                <w:color w:val="000000"/>
                <w:sz w:val="21"/>
                <w:szCs w:val="21"/>
              </w:rPr>
            </w:pPr>
            <w:r w:rsidRPr="00F33FC4">
              <w:rPr>
                <w:rFonts w:cs="Arial"/>
                <w:color w:val="000000"/>
                <w:sz w:val="21"/>
                <w:szCs w:val="21"/>
              </w:rPr>
              <w:t>EF1465</w:t>
            </w:r>
          </w:p>
        </w:tc>
        <w:tc>
          <w:tcPr>
            <w:tcW w:w="5897" w:type="dxa"/>
          </w:tcPr>
          <w:p w14:paraId="0843262A" w14:textId="77777777" w:rsidR="00F33FC4" w:rsidRPr="00F33FC4" w:rsidRDefault="00F33FC4" w:rsidP="00B86E0D">
            <w:pPr>
              <w:spacing w:line="360" w:lineRule="auto"/>
              <w:rPr>
                <w:rFonts w:cs="Arial"/>
                <w:color w:val="000000"/>
                <w:sz w:val="21"/>
                <w:szCs w:val="21"/>
              </w:rPr>
            </w:pPr>
            <w:r w:rsidRPr="00F33FC4">
              <w:rPr>
                <w:rFonts w:cs="Arial"/>
                <w:color w:val="000000"/>
                <w:sz w:val="21"/>
                <w:szCs w:val="21"/>
              </w:rPr>
              <w:t>GTAAGGTGCTG</w:t>
            </w:r>
            <w:r w:rsidRPr="00F33FC4">
              <w:rPr>
                <w:rFonts w:cs="Arial"/>
                <w:color w:val="000000"/>
                <w:sz w:val="21"/>
                <w:szCs w:val="21"/>
                <w:u w:val="single"/>
              </w:rPr>
              <w:t>GAATTC</w:t>
            </w:r>
            <w:r w:rsidRPr="00F33FC4">
              <w:rPr>
                <w:rFonts w:cs="Arial"/>
                <w:color w:val="000000"/>
                <w:sz w:val="21"/>
                <w:szCs w:val="21"/>
              </w:rPr>
              <w:t>CGCGAATGAATAAGGAGAGCGGATGGATTATAAAGATGATGATGATAAAGACACGCTGACACAAAAG</w:t>
            </w:r>
          </w:p>
        </w:tc>
        <w:tc>
          <w:tcPr>
            <w:tcW w:w="2671" w:type="dxa"/>
          </w:tcPr>
          <w:p w14:paraId="131BC3AC" w14:textId="77777777" w:rsidR="00F33FC4" w:rsidRPr="00F33FC4" w:rsidRDefault="00F33FC4" w:rsidP="00B86E0D">
            <w:pPr>
              <w:spacing w:line="360" w:lineRule="auto"/>
              <w:rPr>
                <w:rFonts w:cs="Arial"/>
                <w:color w:val="000000"/>
                <w:sz w:val="21"/>
                <w:szCs w:val="21"/>
              </w:rPr>
            </w:pPr>
            <w:r w:rsidRPr="00F33FC4">
              <w:rPr>
                <w:rFonts w:cs="Arial"/>
                <w:color w:val="000000"/>
                <w:sz w:val="21"/>
                <w:szCs w:val="21"/>
              </w:rPr>
              <w:t>P</w:t>
            </w:r>
            <w:r w:rsidRPr="00F33FC4">
              <w:rPr>
                <w:rFonts w:cs="Arial"/>
                <w:color w:val="000000"/>
                <w:sz w:val="21"/>
                <w:szCs w:val="21"/>
                <w:vertAlign w:val="subscript"/>
              </w:rPr>
              <w:t>BAD</w:t>
            </w:r>
            <w:r w:rsidRPr="00F33FC4">
              <w:rPr>
                <w:rFonts w:cs="Arial"/>
                <w:color w:val="000000"/>
                <w:sz w:val="21"/>
                <w:szCs w:val="21"/>
              </w:rPr>
              <w:t>-FLAG-</w:t>
            </w:r>
            <w:proofErr w:type="spellStart"/>
            <w:r w:rsidRPr="00F33FC4">
              <w:rPr>
                <w:rFonts w:cs="Arial"/>
                <w:i/>
                <w:iCs/>
                <w:color w:val="000000"/>
                <w:sz w:val="21"/>
                <w:szCs w:val="21"/>
              </w:rPr>
              <w:t>zorO</w:t>
            </w:r>
            <w:proofErr w:type="spellEnd"/>
          </w:p>
        </w:tc>
      </w:tr>
      <w:tr w:rsidR="00F33FC4" w:rsidRPr="00F33FC4" w14:paraId="23E4EF86" w14:textId="77777777" w:rsidTr="00B86E0D">
        <w:trPr>
          <w:trHeight w:val="377"/>
        </w:trPr>
        <w:tc>
          <w:tcPr>
            <w:tcW w:w="997" w:type="dxa"/>
          </w:tcPr>
          <w:p w14:paraId="29CB0BB7" w14:textId="77777777" w:rsidR="00F33FC4" w:rsidRPr="00F33FC4" w:rsidRDefault="00F33FC4" w:rsidP="00B86E0D">
            <w:pPr>
              <w:spacing w:line="360" w:lineRule="auto"/>
              <w:rPr>
                <w:rFonts w:cs="Arial"/>
                <w:color w:val="000000"/>
                <w:sz w:val="21"/>
                <w:szCs w:val="21"/>
              </w:rPr>
            </w:pPr>
            <w:r w:rsidRPr="00F33FC4">
              <w:rPr>
                <w:rFonts w:cs="Arial"/>
                <w:color w:val="000000"/>
                <w:sz w:val="21"/>
                <w:szCs w:val="21"/>
              </w:rPr>
              <w:t>EF1611</w:t>
            </w:r>
          </w:p>
        </w:tc>
        <w:tc>
          <w:tcPr>
            <w:tcW w:w="5897" w:type="dxa"/>
          </w:tcPr>
          <w:p w14:paraId="6D8D32BC" w14:textId="77777777" w:rsidR="00F33FC4" w:rsidRPr="00F33FC4" w:rsidRDefault="00F33FC4" w:rsidP="00B86E0D">
            <w:pPr>
              <w:spacing w:line="360" w:lineRule="auto"/>
              <w:rPr>
                <w:rFonts w:cs="Arial"/>
                <w:color w:val="000000"/>
                <w:sz w:val="21"/>
                <w:szCs w:val="21"/>
              </w:rPr>
            </w:pPr>
            <w:r w:rsidRPr="00F33FC4">
              <w:rPr>
                <w:rFonts w:cs="Arial"/>
                <w:color w:val="000000"/>
                <w:sz w:val="21"/>
                <w:szCs w:val="21"/>
              </w:rPr>
              <w:t>GTAAGGTGCTG</w:t>
            </w:r>
            <w:r w:rsidRPr="00F33FC4">
              <w:rPr>
                <w:rFonts w:cs="Arial"/>
                <w:color w:val="000000"/>
                <w:sz w:val="21"/>
                <w:szCs w:val="21"/>
                <w:u w:val="single"/>
              </w:rPr>
              <w:t>GAATTC</w:t>
            </w:r>
            <w:r w:rsidRPr="00F33FC4">
              <w:rPr>
                <w:rFonts w:cs="Arial"/>
                <w:color w:val="000000"/>
                <w:sz w:val="21"/>
                <w:szCs w:val="21"/>
              </w:rPr>
              <w:t>CGCGAATGAATAAGGAGAG</w:t>
            </w:r>
          </w:p>
        </w:tc>
        <w:tc>
          <w:tcPr>
            <w:tcW w:w="2671" w:type="dxa"/>
          </w:tcPr>
          <w:p w14:paraId="5CE04C88" w14:textId="77777777" w:rsidR="00F33FC4" w:rsidRPr="00F33FC4" w:rsidRDefault="00F33FC4" w:rsidP="00B86E0D">
            <w:pPr>
              <w:spacing w:line="360" w:lineRule="auto"/>
              <w:rPr>
                <w:rFonts w:cs="Arial"/>
                <w:color w:val="000000"/>
                <w:sz w:val="21"/>
                <w:szCs w:val="21"/>
              </w:rPr>
            </w:pPr>
            <w:r w:rsidRPr="00F33FC4">
              <w:rPr>
                <w:rFonts w:cs="Arial"/>
                <w:color w:val="000000"/>
                <w:sz w:val="21"/>
                <w:szCs w:val="21"/>
              </w:rPr>
              <w:t>P</w:t>
            </w:r>
            <w:r w:rsidRPr="00F33FC4">
              <w:rPr>
                <w:rFonts w:cs="Arial"/>
                <w:color w:val="000000"/>
                <w:sz w:val="21"/>
                <w:szCs w:val="21"/>
                <w:vertAlign w:val="subscript"/>
              </w:rPr>
              <w:t>BAD</w:t>
            </w:r>
            <w:r w:rsidRPr="00F33FC4">
              <w:rPr>
                <w:rFonts w:cs="Arial"/>
                <w:color w:val="000000"/>
                <w:sz w:val="21"/>
                <w:szCs w:val="21"/>
              </w:rPr>
              <w:t>-No-UTR-</w:t>
            </w:r>
            <w:proofErr w:type="spellStart"/>
            <w:r w:rsidRPr="00F33FC4">
              <w:rPr>
                <w:rFonts w:cs="Arial"/>
                <w:i/>
                <w:iCs/>
                <w:color w:val="000000"/>
                <w:sz w:val="21"/>
                <w:szCs w:val="21"/>
              </w:rPr>
              <w:t>zorO</w:t>
            </w:r>
            <w:proofErr w:type="spellEnd"/>
          </w:p>
        </w:tc>
      </w:tr>
      <w:tr w:rsidR="00F33FC4" w:rsidRPr="00F33FC4" w14:paraId="53B2F5AF" w14:textId="77777777" w:rsidTr="00B86E0D">
        <w:trPr>
          <w:trHeight w:val="287"/>
        </w:trPr>
        <w:tc>
          <w:tcPr>
            <w:tcW w:w="997" w:type="dxa"/>
            <w:tcBorders>
              <w:bottom w:val="single" w:sz="4" w:space="0" w:color="auto"/>
            </w:tcBorders>
          </w:tcPr>
          <w:p w14:paraId="20C5B3A9" w14:textId="77777777" w:rsidR="00F33FC4" w:rsidRPr="00F33FC4" w:rsidRDefault="00F33FC4" w:rsidP="00B86E0D">
            <w:pPr>
              <w:spacing w:line="360" w:lineRule="auto"/>
              <w:rPr>
                <w:rFonts w:cs="Arial"/>
                <w:color w:val="000000"/>
                <w:sz w:val="21"/>
                <w:szCs w:val="21"/>
              </w:rPr>
            </w:pPr>
            <w:r w:rsidRPr="00F33FC4">
              <w:rPr>
                <w:rFonts w:cs="Arial"/>
                <w:color w:val="000000"/>
                <w:sz w:val="21"/>
                <w:szCs w:val="21"/>
              </w:rPr>
              <w:t>EF585</w:t>
            </w:r>
          </w:p>
        </w:tc>
        <w:tc>
          <w:tcPr>
            <w:tcW w:w="5897" w:type="dxa"/>
            <w:tcBorders>
              <w:bottom w:val="single" w:sz="4" w:space="0" w:color="auto"/>
            </w:tcBorders>
            <w:vAlign w:val="bottom"/>
          </w:tcPr>
          <w:p w14:paraId="5B8A14EA" w14:textId="77777777" w:rsidR="00F33FC4" w:rsidRPr="00F33FC4" w:rsidRDefault="00F33FC4" w:rsidP="00B86E0D">
            <w:pPr>
              <w:spacing w:line="360" w:lineRule="auto"/>
              <w:rPr>
                <w:rFonts w:cs="Arial"/>
                <w:color w:val="000000"/>
                <w:sz w:val="21"/>
                <w:szCs w:val="21"/>
              </w:rPr>
            </w:pPr>
            <w:r w:rsidRPr="00F33FC4">
              <w:rPr>
                <w:rFonts w:cs="Arial"/>
                <w:color w:val="000000"/>
                <w:sz w:val="21"/>
                <w:szCs w:val="21"/>
              </w:rPr>
              <w:t xml:space="preserve">GAAGTATGACGAGTATAGCTTTCTTAAAGGGGGAAACGGTGTGTAGGCTGGAGCTGCTTC </w:t>
            </w:r>
          </w:p>
        </w:tc>
        <w:tc>
          <w:tcPr>
            <w:tcW w:w="2671" w:type="dxa"/>
            <w:tcBorders>
              <w:bottom w:val="single" w:sz="4" w:space="0" w:color="auto"/>
            </w:tcBorders>
          </w:tcPr>
          <w:p w14:paraId="5B512987" w14:textId="77777777" w:rsidR="00F33FC4" w:rsidRPr="00F33FC4" w:rsidRDefault="00F33FC4" w:rsidP="00B86E0D">
            <w:pPr>
              <w:spacing w:line="360" w:lineRule="auto"/>
              <w:rPr>
                <w:rFonts w:cs="Arial"/>
                <w:i/>
                <w:sz w:val="21"/>
                <w:szCs w:val="21"/>
              </w:rPr>
            </w:pPr>
            <w:r w:rsidRPr="00F33FC4">
              <w:rPr>
                <w:rFonts w:cs="Arial"/>
                <w:i/>
                <w:sz w:val="21"/>
                <w:szCs w:val="21"/>
              </w:rPr>
              <w:sym w:font="Symbol" w:char="F044"/>
            </w:r>
            <w:proofErr w:type="spellStart"/>
            <w:r w:rsidRPr="00F33FC4">
              <w:rPr>
                <w:rFonts w:cs="Arial"/>
                <w:i/>
                <w:sz w:val="21"/>
                <w:szCs w:val="21"/>
              </w:rPr>
              <w:t>zor-orz</w:t>
            </w:r>
            <w:proofErr w:type="spellEnd"/>
          </w:p>
        </w:tc>
      </w:tr>
    </w:tbl>
    <w:p w14:paraId="2CCCA079" w14:textId="77777777" w:rsidR="00F33FC4" w:rsidRPr="00F33FC4" w:rsidRDefault="00F33FC4" w:rsidP="00F33FC4">
      <w:pPr>
        <w:spacing w:line="360" w:lineRule="auto"/>
        <w:rPr>
          <w:rFonts w:eastAsia="Calibri"/>
          <w:sz w:val="22"/>
          <w:szCs w:val="22"/>
        </w:rPr>
      </w:pPr>
      <w:r w:rsidRPr="00F33FC4">
        <w:rPr>
          <w:rFonts w:eastAsia="Calibri"/>
        </w:rPr>
        <w:br w:type="page"/>
      </w:r>
      <w:r w:rsidRPr="00F33FC4">
        <w:rPr>
          <w:rFonts w:eastAsia="Calibri"/>
          <w:sz w:val="22"/>
          <w:szCs w:val="22"/>
        </w:rPr>
        <w:lastRenderedPageBreak/>
        <w:t>Table 2.2 (continued)</w:t>
      </w:r>
    </w:p>
    <w:tbl>
      <w:tblPr>
        <w:tblStyle w:val="TableGrid2"/>
        <w:tblpPr w:leftFromText="180" w:rightFromText="180" w:horzAnchor="margin" w:tblpY="519"/>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20" w:firstRow="1" w:lastRow="0" w:firstColumn="0" w:lastColumn="0" w:noHBand="0" w:noVBand="1"/>
      </w:tblPr>
      <w:tblGrid>
        <w:gridCol w:w="993"/>
        <w:gridCol w:w="5872"/>
        <w:gridCol w:w="2660"/>
      </w:tblGrid>
      <w:tr w:rsidR="00F33FC4" w:rsidRPr="00F33FC4" w14:paraId="6D31D656" w14:textId="77777777" w:rsidTr="006408A7">
        <w:trPr>
          <w:trHeight w:val="272"/>
        </w:trPr>
        <w:tc>
          <w:tcPr>
            <w:tcW w:w="993" w:type="dxa"/>
            <w:tcBorders>
              <w:top w:val="single" w:sz="4" w:space="0" w:color="auto"/>
              <w:bottom w:val="single" w:sz="4" w:space="0" w:color="auto"/>
            </w:tcBorders>
          </w:tcPr>
          <w:p w14:paraId="413506AB" w14:textId="77777777" w:rsidR="00F33FC4" w:rsidRPr="00F33FC4" w:rsidRDefault="00F33FC4" w:rsidP="00862E05">
            <w:pPr>
              <w:spacing w:line="360" w:lineRule="auto"/>
              <w:rPr>
                <w:rFonts w:cs="Arial"/>
                <w:color w:val="000000"/>
                <w:sz w:val="22"/>
                <w:szCs w:val="22"/>
              </w:rPr>
            </w:pPr>
            <w:r w:rsidRPr="00F33FC4">
              <w:rPr>
                <w:rFonts w:cs="Arial"/>
                <w:color w:val="000000"/>
                <w:sz w:val="22"/>
                <w:szCs w:val="22"/>
              </w:rPr>
              <w:t>Name</w:t>
            </w:r>
          </w:p>
        </w:tc>
        <w:tc>
          <w:tcPr>
            <w:tcW w:w="5872" w:type="dxa"/>
            <w:tcBorders>
              <w:top w:val="single" w:sz="4" w:space="0" w:color="auto"/>
              <w:bottom w:val="single" w:sz="4" w:space="0" w:color="auto"/>
            </w:tcBorders>
            <w:vAlign w:val="bottom"/>
          </w:tcPr>
          <w:p w14:paraId="2A4D9741" w14:textId="77777777" w:rsidR="00F33FC4" w:rsidRPr="00F33FC4" w:rsidRDefault="00F33FC4" w:rsidP="00862E05">
            <w:pPr>
              <w:spacing w:line="360" w:lineRule="auto"/>
              <w:jc w:val="center"/>
              <w:rPr>
                <w:rFonts w:cs="Arial"/>
                <w:color w:val="000000"/>
                <w:sz w:val="22"/>
                <w:szCs w:val="22"/>
                <w:vertAlign w:val="superscript"/>
              </w:rPr>
            </w:pPr>
            <w:r w:rsidRPr="00F33FC4">
              <w:rPr>
                <w:rFonts w:cs="Arial"/>
                <w:color w:val="000000"/>
                <w:sz w:val="22"/>
                <w:szCs w:val="22"/>
              </w:rPr>
              <w:t xml:space="preserve"> Oligonucleotide sequence, 5’</w:t>
            </w:r>
            <w:r w:rsidRPr="00F33FC4">
              <w:rPr>
                <w:rFonts w:cs="Arial"/>
                <w:color w:val="000000"/>
                <w:sz w:val="22"/>
                <w:szCs w:val="22"/>
              </w:rPr>
              <w:sym w:font="Wingdings" w:char="F0E0"/>
            </w:r>
            <w:r w:rsidRPr="00F33FC4">
              <w:rPr>
                <w:rFonts w:cs="Arial"/>
                <w:color w:val="000000"/>
                <w:sz w:val="22"/>
                <w:szCs w:val="22"/>
              </w:rPr>
              <w:t>3’</w:t>
            </w:r>
          </w:p>
          <w:p w14:paraId="7DB056E0" w14:textId="77777777" w:rsidR="00F33FC4" w:rsidRPr="00F33FC4" w:rsidRDefault="00F33FC4" w:rsidP="00862E05">
            <w:pPr>
              <w:spacing w:line="360" w:lineRule="auto"/>
              <w:jc w:val="center"/>
              <w:rPr>
                <w:rFonts w:cs="Arial"/>
                <w:color w:val="000000"/>
                <w:sz w:val="22"/>
                <w:szCs w:val="22"/>
              </w:rPr>
            </w:pPr>
            <w:r w:rsidRPr="00F33FC4">
              <w:rPr>
                <w:rFonts w:cs="Arial"/>
                <w:color w:val="000000"/>
                <w:sz w:val="22"/>
                <w:szCs w:val="22"/>
              </w:rPr>
              <w:t>(Restriction sites underlined)</w:t>
            </w:r>
          </w:p>
        </w:tc>
        <w:tc>
          <w:tcPr>
            <w:tcW w:w="2660" w:type="dxa"/>
            <w:tcBorders>
              <w:top w:val="single" w:sz="4" w:space="0" w:color="auto"/>
              <w:bottom w:val="single" w:sz="4" w:space="0" w:color="auto"/>
            </w:tcBorders>
            <w:vAlign w:val="center"/>
          </w:tcPr>
          <w:p w14:paraId="7101CD67" w14:textId="77777777" w:rsidR="00F33FC4" w:rsidRPr="00F33FC4" w:rsidRDefault="00F33FC4" w:rsidP="00862E05">
            <w:pPr>
              <w:spacing w:line="360" w:lineRule="auto"/>
              <w:jc w:val="center"/>
              <w:rPr>
                <w:rFonts w:cs="Arial"/>
                <w:color w:val="000000"/>
                <w:sz w:val="22"/>
                <w:szCs w:val="22"/>
              </w:rPr>
            </w:pPr>
            <w:r w:rsidRPr="00F33FC4">
              <w:rPr>
                <w:rFonts w:cs="Arial"/>
                <w:color w:val="000000"/>
                <w:sz w:val="22"/>
                <w:szCs w:val="22"/>
              </w:rPr>
              <w:t>Use</w:t>
            </w:r>
          </w:p>
        </w:tc>
      </w:tr>
      <w:tr w:rsidR="00B86E0D" w:rsidRPr="00B86E0D" w14:paraId="52C814B1" w14:textId="77777777" w:rsidTr="006408A7">
        <w:trPr>
          <w:trHeight w:val="272"/>
        </w:trPr>
        <w:tc>
          <w:tcPr>
            <w:tcW w:w="993" w:type="dxa"/>
          </w:tcPr>
          <w:p w14:paraId="2CBAE0D4" w14:textId="08DB9353" w:rsidR="00B86E0D" w:rsidRPr="00B86E0D" w:rsidRDefault="00B86E0D" w:rsidP="00B86E0D">
            <w:pPr>
              <w:spacing w:line="360" w:lineRule="auto"/>
              <w:rPr>
                <w:color w:val="000000"/>
                <w:sz w:val="22"/>
                <w:szCs w:val="22"/>
              </w:rPr>
            </w:pPr>
            <w:r w:rsidRPr="00F33FC4">
              <w:rPr>
                <w:rFonts w:cs="Arial"/>
                <w:color w:val="000000"/>
                <w:sz w:val="22"/>
                <w:szCs w:val="22"/>
              </w:rPr>
              <w:t>EF645</w:t>
            </w:r>
          </w:p>
        </w:tc>
        <w:tc>
          <w:tcPr>
            <w:tcW w:w="5872" w:type="dxa"/>
            <w:vAlign w:val="bottom"/>
          </w:tcPr>
          <w:p w14:paraId="184FF4AB" w14:textId="6AAF99C3" w:rsidR="00B86E0D" w:rsidRPr="00B86E0D" w:rsidRDefault="00B86E0D" w:rsidP="00B86E0D">
            <w:pPr>
              <w:spacing w:line="360" w:lineRule="auto"/>
              <w:rPr>
                <w:color w:val="000000"/>
                <w:sz w:val="22"/>
                <w:szCs w:val="22"/>
              </w:rPr>
            </w:pPr>
            <w:r w:rsidRPr="00F33FC4">
              <w:rPr>
                <w:rFonts w:cs="Arial"/>
                <w:color w:val="000000"/>
                <w:sz w:val="22"/>
                <w:szCs w:val="22"/>
              </w:rPr>
              <w:t xml:space="preserve">CCTAACACCACAGCCTGTGCAACATCGTGTTCCAACGAACGAATTAATGGGAATTAGCCATGGTCC </w:t>
            </w:r>
          </w:p>
        </w:tc>
        <w:tc>
          <w:tcPr>
            <w:tcW w:w="2660" w:type="dxa"/>
          </w:tcPr>
          <w:p w14:paraId="4E69FAD1" w14:textId="6DAABA09" w:rsidR="00B86E0D" w:rsidRPr="00B86E0D" w:rsidRDefault="00B86E0D" w:rsidP="00B86E0D">
            <w:pPr>
              <w:spacing w:line="360" w:lineRule="auto"/>
              <w:rPr>
                <w:sz w:val="22"/>
                <w:szCs w:val="22"/>
              </w:rPr>
            </w:pPr>
            <w:r w:rsidRPr="00F33FC4">
              <w:rPr>
                <w:rFonts w:cs="Arial"/>
                <w:i/>
                <w:sz w:val="22"/>
                <w:szCs w:val="22"/>
              </w:rPr>
              <w:sym w:font="Symbol" w:char="F044"/>
            </w:r>
            <w:proofErr w:type="spellStart"/>
            <w:r w:rsidRPr="00F33FC4">
              <w:rPr>
                <w:rFonts w:cs="Arial"/>
                <w:i/>
                <w:sz w:val="22"/>
                <w:szCs w:val="22"/>
              </w:rPr>
              <w:t>zor-orz</w:t>
            </w:r>
            <w:proofErr w:type="spellEnd"/>
          </w:p>
        </w:tc>
      </w:tr>
      <w:tr w:rsidR="00B86E0D" w:rsidRPr="00F33FC4" w14:paraId="4650A5B7" w14:textId="77777777" w:rsidTr="006408A7">
        <w:trPr>
          <w:trHeight w:val="272"/>
        </w:trPr>
        <w:tc>
          <w:tcPr>
            <w:tcW w:w="993" w:type="dxa"/>
          </w:tcPr>
          <w:p w14:paraId="2BF88D11" w14:textId="77777777" w:rsidR="00B86E0D" w:rsidRPr="00F33FC4" w:rsidRDefault="00B86E0D" w:rsidP="00B86E0D">
            <w:pPr>
              <w:spacing w:line="360" w:lineRule="auto"/>
              <w:rPr>
                <w:rFonts w:cs="Arial"/>
                <w:color w:val="000000"/>
                <w:sz w:val="22"/>
                <w:szCs w:val="22"/>
              </w:rPr>
            </w:pPr>
            <w:r w:rsidRPr="00F33FC4">
              <w:rPr>
                <w:rFonts w:cs="Arial"/>
                <w:color w:val="000000"/>
                <w:sz w:val="22"/>
                <w:szCs w:val="22"/>
              </w:rPr>
              <w:t>EF1572</w:t>
            </w:r>
          </w:p>
        </w:tc>
        <w:tc>
          <w:tcPr>
            <w:tcW w:w="5872" w:type="dxa"/>
            <w:vAlign w:val="bottom"/>
          </w:tcPr>
          <w:p w14:paraId="79488756" w14:textId="77777777" w:rsidR="00B86E0D" w:rsidRPr="00F33FC4" w:rsidRDefault="00B86E0D" w:rsidP="00B86E0D">
            <w:pPr>
              <w:spacing w:line="360" w:lineRule="auto"/>
              <w:rPr>
                <w:rFonts w:cs="Arial"/>
                <w:color w:val="000000"/>
                <w:sz w:val="22"/>
                <w:szCs w:val="22"/>
              </w:rPr>
            </w:pPr>
            <w:r w:rsidRPr="00F33FC4">
              <w:rPr>
                <w:rFonts w:cs="Arial"/>
                <w:color w:val="000000"/>
                <w:sz w:val="22"/>
                <w:szCs w:val="22"/>
              </w:rPr>
              <w:t>CGCATTAGTTGTTTGAGCGAAAAATATCTGGGAAGCAGATCACAGTAAATAAAAAAACCTGCTGGTGAGGC</w:t>
            </w:r>
          </w:p>
        </w:tc>
        <w:tc>
          <w:tcPr>
            <w:tcW w:w="2660" w:type="dxa"/>
          </w:tcPr>
          <w:p w14:paraId="6E7CD6FD" w14:textId="34CDA158" w:rsidR="00B86E0D" w:rsidRPr="00F33FC4" w:rsidRDefault="00B86E0D" w:rsidP="00B86E0D">
            <w:pPr>
              <w:spacing w:line="360" w:lineRule="auto"/>
              <w:rPr>
                <w:rFonts w:cs="Arial"/>
                <w:color w:val="000000"/>
                <w:sz w:val="22"/>
                <w:szCs w:val="22"/>
              </w:rPr>
            </w:pPr>
            <w:r w:rsidRPr="00F33FC4">
              <w:rPr>
                <w:rFonts w:cs="Arial"/>
                <w:sz w:val="22"/>
                <w:szCs w:val="22"/>
              </w:rPr>
              <w:t>MG1655-</w:t>
            </w:r>
            <w:r w:rsidRPr="00F33FC4">
              <w:rPr>
                <w:rFonts w:cs="Arial"/>
                <w:sz w:val="22"/>
                <w:szCs w:val="22"/>
              </w:rPr>
              <w:sym w:font="Symbol" w:char="F044"/>
            </w:r>
            <w:r w:rsidRPr="00F33FC4">
              <w:rPr>
                <w:rFonts w:cs="Arial"/>
                <w:sz w:val="22"/>
                <w:szCs w:val="22"/>
              </w:rPr>
              <w:t>28-</w:t>
            </w:r>
            <w:r w:rsidRPr="00F33FC4">
              <w:rPr>
                <w:rFonts w:cs="Arial"/>
                <w:i/>
                <w:iCs/>
                <w:sz w:val="22"/>
                <w:szCs w:val="22"/>
              </w:rPr>
              <w:t>zorO,</w:t>
            </w:r>
            <w:r w:rsidRPr="00B86E0D">
              <w:rPr>
                <w:rFonts w:cs="Arial"/>
                <w:i/>
                <w:iCs/>
                <w:sz w:val="22"/>
                <w:szCs w:val="22"/>
              </w:rPr>
              <w:t xml:space="preserve"> </w:t>
            </w:r>
            <w:r w:rsidRPr="00F33FC4">
              <w:rPr>
                <w:rFonts w:cs="Arial"/>
                <w:sz w:val="22"/>
                <w:szCs w:val="22"/>
              </w:rPr>
              <w:t>EDL933-</w:t>
            </w:r>
            <w:r w:rsidRPr="00F33FC4">
              <w:rPr>
                <w:rFonts w:cs="Arial"/>
                <w:sz w:val="22"/>
                <w:szCs w:val="22"/>
              </w:rPr>
              <w:sym w:font="Symbol" w:char="F044"/>
            </w:r>
            <w:r w:rsidRPr="00F33FC4">
              <w:rPr>
                <w:rFonts w:cs="Arial"/>
                <w:sz w:val="22"/>
                <w:szCs w:val="22"/>
              </w:rPr>
              <w:t>28-</w:t>
            </w:r>
            <w:r w:rsidRPr="00F33FC4">
              <w:rPr>
                <w:rFonts w:cs="Arial"/>
                <w:i/>
                <w:iCs/>
                <w:sz w:val="22"/>
                <w:szCs w:val="22"/>
              </w:rPr>
              <w:t>zorO</w:t>
            </w:r>
          </w:p>
        </w:tc>
      </w:tr>
      <w:tr w:rsidR="00B86E0D" w:rsidRPr="00F33FC4" w14:paraId="75229DC4" w14:textId="77777777" w:rsidTr="006408A7">
        <w:trPr>
          <w:trHeight w:val="272"/>
        </w:trPr>
        <w:tc>
          <w:tcPr>
            <w:tcW w:w="993" w:type="dxa"/>
          </w:tcPr>
          <w:p w14:paraId="1EF2366C" w14:textId="77777777" w:rsidR="00B86E0D" w:rsidRPr="00F33FC4" w:rsidRDefault="00B86E0D" w:rsidP="00B86E0D">
            <w:pPr>
              <w:spacing w:line="360" w:lineRule="auto"/>
              <w:rPr>
                <w:rFonts w:cs="Arial"/>
                <w:color w:val="000000"/>
                <w:sz w:val="22"/>
                <w:szCs w:val="22"/>
              </w:rPr>
            </w:pPr>
            <w:r w:rsidRPr="00F33FC4">
              <w:rPr>
                <w:rFonts w:cs="Arial"/>
                <w:color w:val="000000"/>
                <w:sz w:val="22"/>
                <w:szCs w:val="22"/>
              </w:rPr>
              <w:t>EF1573</w:t>
            </w:r>
          </w:p>
        </w:tc>
        <w:tc>
          <w:tcPr>
            <w:tcW w:w="5872" w:type="dxa"/>
          </w:tcPr>
          <w:p w14:paraId="4D1E9803" w14:textId="77777777" w:rsidR="00B86E0D" w:rsidRPr="00F33FC4" w:rsidRDefault="00B86E0D" w:rsidP="00B86E0D">
            <w:pPr>
              <w:spacing w:line="360" w:lineRule="auto"/>
              <w:rPr>
                <w:rFonts w:cs="Arial"/>
                <w:color w:val="000000"/>
                <w:sz w:val="22"/>
                <w:szCs w:val="22"/>
              </w:rPr>
            </w:pPr>
            <w:r w:rsidRPr="00F33FC4">
              <w:rPr>
                <w:rFonts w:cs="Arial"/>
                <w:color w:val="000000"/>
                <w:sz w:val="22"/>
                <w:szCs w:val="22"/>
              </w:rPr>
              <w:t>CCAAGAAATAGAATAATATACTCTAGATAATTAAAGTCGCAGCACATGCAACTTGAAGTATGACGAGTATAGC</w:t>
            </w:r>
          </w:p>
        </w:tc>
        <w:tc>
          <w:tcPr>
            <w:tcW w:w="2660" w:type="dxa"/>
          </w:tcPr>
          <w:p w14:paraId="29BA8F92" w14:textId="325386E3" w:rsidR="00B86E0D" w:rsidRPr="00F33FC4" w:rsidRDefault="00B86E0D" w:rsidP="00B86E0D">
            <w:pPr>
              <w:spacing w:line="360" w:lineRule="auto"/>
              <w:rPr>
                <w:rFonts w:cs="Arial"/>
                <w:color w:val="000000"/>
                <w:sz w:val="22"/>
                <w:szCs w:val="22"/>
              </w:rPr>
            </w:pPr>
            <w:r w:rsidRPr="00F33FC4">
              <w:rPr>
                <w:rFonts w:cs="Arial"/>
                <w:sz w:val="22"/>
                <w:szCs w:val="22"/>
              </w:rPr>
              <w:t>MG1655-</w:t>
            </w:r>
            <w:r w:rsidRPr="00F33FC4">
              <w:rPr>
                <w:rFonts w:cs="Arial"/>
                <w:sz w:val="22"/>
                <w:szCs w:val="22"/>
              </w:rPr>
              <w:sym w:font="Symbol" w:char="F044"/>
            </w:r>
            <w:r w:rsidRPr="00F33FC4">
              <w:rPr>
                <w:rFonts w:cs="Arial"/>
                <w:sz w:val="22"/>
                <w:szCs w:val="22"/>
              </w:rPr>
              <w:t>28-</w:t>
            </w:r>
            <w:r w:rsidRPr="00F33FC4">
              <w:rPr>
                <w:rFonts w:cs="Arial"/>
                <w:i/>
                <w:iCs/>
                <w:sz w:val="22"/>
                <w:szCs w:val="22"/>
              </w:rPr>
              <w:t>zorO,</w:t>
            </w:r>
            <w:r w:rsidRPr="00B86E0D">
              <w:rPr>
                <w:rFonts w:cs="Arial"/>
                <w:i/>
                <w:iCs/>
                <w:sz w:val="22"/>
                <w:szCs w:val="22"/>
              </w:rPr>
              <w:t xml:space="preserve"> </w:t>
            </w:r>
            <w:r w:rsidRPr="00F33FC4">
              <w:rPr>
                <w:rFonts w:cs="Arial"/>
                <w:sz w:val="22"/>
                <w:szCs w:val="22"/>
              </w:rPr>
              <w:t>EDL933-</w:t>
            </w:r>
            <w:r w:rsidRPr="00F33FC4">
              <w:rPr>
                <w:rFonts w:cs="Arial"/>
                <w:sz w:val="22"/>
                <w:szCs w:val="22"/>
              </w:rPr>
              <w:sym w:font="Symbol" w:char="F044"/>
            </w:r>
            <w:r w:rsidRPr="00F33FC4">
              <w:rPr>
                <w:rFonts w:cs="Arial"/>
                <w:sz w:val="22"/>
                <w:szCs w:val="22"/>
              </w:rPr>
              <w:t>28-</w:t>
            </w:r>
            <w:r w:rsidRPr="00F33FC4">
              <w:rPr>
                <w:rFonts w:cs="Arial"/>
                <w:i/>
                <w:iCs/>
                <w:sz w:val="22"/>
                <w:szCs w:val="22"/>
              </w:rPr>
              <w:t>zorO</w:t>
            </w:r>
          </w:p>
        </w:tc>
      </w:tr>
      <w:tr w:rsidR="00B86E0D" w:rsidRPr="00F33FC4" w14:paraId="576B5418" w14:textId="77777777" w:rsidTr="006408A7">
        <w:trPr>
          <w:trHeight w:val="272"/>
        </w:trPr>
        <w:tc>
          <w:tcPr>
            <w:tcW w:w="993" w:type="dxa"/>
          </w:tcPr>
          <w:p w14:paraId="4C0B5E37" w14:textId="77777777" w:rsidR="00B86E0D" w:rsidRPr="00F33FC4" w:rsidRDefault="00B86E0D" w:rsidP="00B86E0D">
            <w:pPr>
              <w:spacing w:line="360" w:lineRule="auto"/>
              <w:rPr>
                <w:rFonts w:cs="Arial"/>
                <w:color w:val="000000"/>
                <w:sz w:val="22"/>
                <w:szCs w:val="22"/>
              </w:rPr>
            </w:pPr>
            <w:r w:rsidRPr="00F33FC4">
              <w:rPr>
                <w:rFonts w:cs="Arial"/>
                <w:color w:val="000000"/>
                <w:sz w:val="22"/>
                <w:szCs w:val="22"/>
              </w:rPr>
              <w:t>EF1795</w:t>
            </w:r>
          </w:p>
        </w:tc>
        <w:tc>
          <w:tcPr>
            <w:tcW w:w="5872" w:type="dxa"/>
          </w:tcPr>
          <w:p w14:paraId="6B2A411D" w14:textId="77777777" w:rsidR="00B86E0D" w:rsidRPr="00F33FC4" w:rsidRDefault="00B86E0D" w:rsidP="00B86E0D">
            <w:pPr>
              <w:spacing w:line="360" w:lineRule="auto"/>
              <w:rPr>
                <w:rFonts w:cs="Arial"/>
                <w:color w:val="000000"/>
                <w:sz w:val="22"/>
                <w:szCs w:val="22"/>
              </w:rPr>
            </w:pPr>
            <w:r w:rsidRPr="00F33FC4">
              <w:rPr>
                <w:rFonts w:cs="Arial"/>
                <w:color w:val="000000"/>
                <w:sz w:val="22"/>
                <w:szCs w:val="22"/>
              </w:rPr>
              <w:t xml:space="preserve">GGAATACCGTTTCCCCCTTTAAGAAAGTGTAGGCTGGAGCTGCTTCGTGTAGGCTGGAGCTGCTTCG </w:t>
            </w:r>
          </w:p>
        </w:tc>
        <w:tc>
          <w:tcPr>
            <w:tcW w:w="2660" w:type="dxa"/>
          </w:tcPr>
          <w:p w14:paraId="4F10ED45" w14:textId="77777777" w:rsidR="00B86E0D" w:rsidRPr="00F33FC4" w:rsidRDefault="00B86E0D" w:rsidP="00B86E0D">
            <w:pPr>
              <w:spacing w:line="360" w:lineRule="auto"/>
              <w:rPr>
                <w:rFonts w:cs="Arial"/>
                <w:color w:val="000000"/>
                <w:sz w:val="22"/>
                <w:szCs w:val="22"/>
              </w:rPr>
            </w:pPr>
            <w:r w:rsidRPr="00F33FC4">
              <w:rPr>
                <w:rFonts w:cs="Arial"/>
                <w:sz w:val="22"/>
                <w:szCs w:val="22"/>
              </w:rPr>
              <w:t>EDL933-</w:t>
            </w:r>
            <w:r w:rsidRPr="00F33FC4">
              <w:rPr>
                <w:rFonts w:cs="Arial"/>
                <w:sz w:val="22"/>
                <w:szCs w:val="22"/>
              </w:rPr>
              <w:sym w:font="Symbol" w:char="F044"/>
            </w:r>
            <w:r w:rsidRPr="00F33FC4">
              <w:rPr>
                <w:rFonts w:cs="Arial"/>
                <w:sz w:val="22"/>
                <w:szCs w:val="22"/>
              </w:rPr>
              <w:t>28-</w:t>
            </w:r>
            <w:r w:rsidRPr="00F33FC4">
              <w:rPr>
                <w:rFonts w:cs="Arial"/>
                <w:i/>
                <w:iCs/>
                <w:sz w:val="22"/>
                <w:szCs w:val="22"/>
              </w:rPr>
              <w:t>zorO</w:t>
            </w:r>
          </w:p>
        </w:tc>
      </w:tr>
      <w:tr w:rsidR="00B86E0D" w:rsidRPr="00F33FC4" w14:paraId="201A674A" w14:textId="77777777" w:rsidTr="006408A7">
        <w:trPr>
          <w:trHeight w:val="272"/>
        </w:trPr>
        <w:tc>
          <w:tcPr>
            <w:tcW w:w="993" w:type="dxa"/>
          </w:tcPr>
          <w:p w14:paraId="4B86095D" w14:textId="77777777" w:rsidR="00B86E0D" w:rsidRPr="00F33FC4" w:rsidRDefault="00B86E0D" w:rsidP="00B86E0D">
            <w:pPr>
              <w:spacing w:line="360" w:lineRule="auto"/>
              <w:rPr>
                <w:rFonts w:cs="Arial"/>
                <w:color w:val="000000"/>
                <w:sz w:val="22"/>
                <w:szCs w:val="22"/>
              </w:rPr>
            </w:pPr>
            <w:r w:rsidRPr="00F33FC4">
              <w:rPr>
                <w:rFonts w:cs="Arial"/>
                <w:color w:val="000000"/>
                <w:sz w:val="22"/>
                <w:szCs w:val="22"/>
              </w:rPr>
              <w:t>EF1796</w:t>
            </w:r>
          </w:p>
        </w:tc>
        <w:tc>
          <w:tcPr>
            <w:tcW w:w="5872" w:type="dxa"/>
            <w:vAlign w:val="bottom"/>
          </w:tcPr>
          <w:p w14:paraId="70221D28" w14:textId="77777777" w:rsidR="00B86E0D" w:rsidRPr="00F33FC4" w:rsidRDefault="00B86E0D" w:rsidP="00B86E0D">
            <w:pPr>
              <w:spacing w:line="360" w:lineRule="auto"/>
              <w:rPr>
                <w:rFonts w:cs="Arial"/>
                <w:color w:val="000000"/>
                <w:sz w:val="22"/>
                <w:szCs w:val="22"/>
              </w:rPr>
            </w:pPr>
            <w:r w:rsidRPr="00F33FC4">
              <w:rPr>
                <w:rFonts w:cs="Arial"/>
                <w:color w:val="000000"/>
                <w:sz w:val="22"/>
                <w:szCs w:val="22"/>
              </w:rPr>
              <w:t xml:space="preserve">GAATAATATACTCTAGATAATTAAAGTCGCAGCACATGCAACTTGAAGTATGACGAGTATAGCCATATGAATATCCTCCTTAG </w:t>
            </w:r>
          </w:p>
        </w:tc>
        <w:tc>
          <w:tcPr>
            <w:tcW w:w="2660" w:type="dxa"/>
          </w:tcPr>
          <w:p w14:paraId="67C588B5" w14:textId="77777777" w:rsidR="00B86E0D" w:rsidRPr="00F33FC4" w:rsidRDefault="00B86E0D" w:rsidP="00B86E0D">
            <w:pPr>
              <w:spacing w:line="360" w:lineRule="auto"/>
              <w:rPr>
                <w:rFonts w:cs="Arial"/>
                <w:color w:val="000000"/>
                <w:sz w:val="22"/>
                <w:szCs w:val="22"/>
              </w:rPr>
            </w:pPr>
            <w:r w:rsidRPr="00F33FC4">
              <w:rPr>
                <w:rFonts w:cs="Arial"/>
                <w:sz w:val="22"/>
                <w:szCs w:val="22"/>
              </w:rPr>
              <w:t>EDL933-</w:t>
            </w:r>
            <w:r w:rsidRPr="00F33FC4">
              <w:rPr>
                <w:rFonts w:cs="Arial"/>
                <w:sz w:val="22"/>
                <w:szCs w:val="22"/>
              </w:rPr>
              <w:sym w:font="Symbol" w:char="F044"/>
            </w:r>
            <w:r w:rsidRPr="00F33FC4">
              <w:rPr>
                <w:rFonts w:cs="Arial"/>
                <w:sz w:val="22"/>
                <w:szCs w:val="22"/>
              </w:rPr>
              <w:t>28-</w:t>
            </w:r>
            <w:r w:rsidRPr="00F33FC4">
              <w:rPr>
                <w:rFonts w:cs="Arial"/>
                <w:i/>
                <w:iCs/>
                <w:sz w:val="22"/>
                <w:szCs w:val="22"/>
              </w:rPr>
              <w:t>zorO</w:t>
            </w:r>
          </w:p>
        </w:tc>
      </w:tr>
      <w:tr w:rsidR="00B86E0D" w:rsidRPr="00F33FC4" w14:paraId="611FCB9C" w14:textId="77777777" w:rsidTr="006408A7">
        <w:trPr>
          <w:trHeight w:val="272"/>
        </w:trPr>
        <w:tc>
          <w:tcPr>
            <w:tcW w:w="993" w:type="dxa"/>
          </w:tcPr>
          <w:p w14:paraId="2FF94C10" w14:textId="77777777" w:rsidR="00B86E0D" w:rsidRPr="00F33FC4" w:rsidRDefault="00B86E0D" w:rsidP="00B86E0D">
            <w:pPr>
              <w:spacing w:line="360" w:lineRule="auto"/>
              <w:rPr>
                <w:rFonts w:cs="Arial"/>
                <w:color w:val="000000"/>
                <w:sz w:val="22"/>
                <w:szCs w:val="22"/>
              </w:rPr>
            </w:pPr>
            <w:r w:rsidRPr="00F33FC4">
              <w:rPr>
                <w:rFonts w:cs="Arial"/>
                <w:color w:val="000000"/>
                <w:sz w:val="22"/>
                <w:szCs w:val="22"/>
              </w:rPr>
              <w:t>EF1869A</w:t>
            </w:r>
          </w:p>
        </w:tc>
        <w:tc>
          <w:tcPr>
            <w:tcW w:w="5872" w:type="dxa"/>
            <w:vAlign w:val="bottom"/>
          </w:tcPr>
          <w:p w14:paraId="09E7D4E9" w14:textId="77777777" w:rsidR="00B86E0D" w:rsidRPr="00F33FC4" w:rsidRDefault="00B86E0D" w:rsidP="00B86E0D">
            <w:pPr>
              <w:spacing w:line="360" w:lineRule="auto"/>
              <w:rPr>
                <w:rFonts w:cs="Arial"/>
                <w:color w:val="000000"/>
                <w:sz w:val="22"/>
                <w:szCs w:val="22"/>
              </w:rPr>
            </w:pPr>
            <w:r w:rsidRPr="00F33FC4">
              <w:rPr>
                <w:rFonts w:cs="Arial"/>
                <w:color w:val="000000"/>
                <w:sz w:val="22"/>
                <w:szCs w:val="22"/>
              </w:rPr>
              <w:t>CTCTAAATAATTCAAATTGGTCCGATCCGGCGCAACGTCCCCATCGTCATCCTCGGCACCGGATCC</w:t>
            </w:r>
          </w:p>
          <w:p w14:paraId="1DDFB2FB" w14:textId="77777777" w:rsidR="00B86E0D" w:rsidRPr="00F33FC4" w:rsidRDefault="00B86E0D" w:rsidP="00B86E0D">
            <w:pPr>
              <w:spacing w:line="360" w:lineRule="auto"/>
              <w:rPr>
                <w:rFonts w:cs="Arial"/>
                <w:color w:val="000000"/>
                <w:sz w:val="22"/>
                <w:szCs w:val="22"/>
              </w:rPr>
            </w:pPr>
          </w:p>
        </w:tc>
        <w:tc>
          <w:tcPr>
            <w:tcW w:w="2660" w:type="dxa"/>
          </w:tcPr>
          <w:p w14:paraId="29E213D6" w14:textId="77777777" w:rsidR="00B86E0D" w:rsidRPr="00F33FC4" w:rsidRDefault="00B86E0D" w:rsidP="00B86E0D">
            <w:pPr>
              <w:spacing w:line="360" w:lineRule="auto"/>
              <w:rPr>
                <w:rFonts w:cs="Arial"/>
                <w:color w:val="000000"/>
                <w:sz w:val="22"/>
                <w:szCs w:val="22"/>
              </w:rPr>
            </w:pPr>
            <w:proofErr w:type="spellStart"/>
            <w:r w:rsidRPr="00F33FC4">
              <w:rPr>
                <w:rFonts w:cs="Arial"/>
                <w:color w:val="000000"/>
                <w:sz w:val="22"/>
                <w:szCs w:val="22"/>
              </w:rPr>
              <w:t>pBR-</w:t>
            </w:r>
            <w:r w:rsidRPr="00F33FC4">
              <w:rPr>
                <w:rFonts w:cs="Arial"/>
                <w:i/>
                <w:iCs/>
                <w:color w:val="000000"/>
                <w:sz w:val="22"/>
                <w:szCs w:val="22"/>
              </w:rPr>
              <w:t>zorO</w:t>
            </w:r>
            <w:proofErr w:type="spellEnd"/>
          </w:p>
        </w:tc>
      </w:tr>
      <w:tr w:rsidR="00B86E0D" w:rsidRPr="00F33FC4" w14:paraId="4F9706CC" w14:textId="77777777" w:rsidTr="006408A7">
        <w:trPr>
          <w:trHeight w:val="272"/>
        </w:trPr>
        <w:tc>
          <w:tcPr>
            <w:tcW w:w="993" w:type="dxa"/>
            <w:tcBorders>
              <w:bottom w:val="single" w:sz="4" w:space="0" w:color="auto"/>
            </w:tcBorders>
          </w:tcPr>
          <w:p w14:paraId="1BD31BD5" w14:textId="77777777" w:rsidR="00B86E0D" w:rsidRPr="00F33FC4" w:rsidRDefault="00B86E0D" w:rsidP="00B86E0D">
            <w:pPr>
              <w:spacing w:line="360" w:lineRule="auto"/>
              <w:rPr>
                <w:rFonts w:cs="Arial"/>
                <w:color w:val="000000"/>
                <w:sz w:val="22"/>
                <w:szCs w:val="22"/>
              </w:rPr>
            </w:pPr>
            <w:r w:rsidRPr="00F33FC4">
              <w:rPr>
                <w:rFonts w:cs="Arial"/>
                <w:color w:val="000000"/>
                <w:sz w:val="22"/>
                <w:szCs w:val="22"/>
              </w:rPr>
              <w:t>EF1870A</w:t>
            </w:r>
          </w:p>
        </w:tc>
        <w:tc>
          <w:tcPr>
            <w:tcW w:w="5872" w:type="dxa"/>
            <w:tcBorders>
              <w:bottom w:val="single" w:sz="4" w:space="0" w:color="auto"/>
            </w:tcBorders>
            <w:vAlign w:val="bottom"/>
          </w:tcPr>
          <w:p w14:paraId="72669DA6" w14:textId="703267D8" w:rsidR="00B86E0D" w:rsidRPr="00F33FC4" w:rsidRDefault="00B86E0D" w:rsidP="00B86E0D">
            <w:pPr>
              <w:spacing w:line="360" w:lineRule="auto"/>
              <w:rPr>
                <w:rFonts w:cs="Arial"/>
                <w:color w:val="000000"/>
                <w:sz w:val="22"/>
                <w:szCs w:val="22"/>
              </w:rPr>
            </w:pPr>
            <w:r w:rsidRPr="00F33FC4">
              <w:rPr>
                <w:rFonts w:cs="Arial"/>
                <w:color w:val="000000"/>
                <w:sz w:val="22"/>
                <w:szCs w:val="22"/>
              </w:rPr>
              <w:t>GGAGTGTGGATATGGTTATAATTTATTCGGATCCGGTGCCGAGGATGACGATG</w:t>
            </w:r>
          </w:p>
        </w:tc>
        <w:tc>
          <w:tcPr>
            <w:tcW w:w="2660" w:type="dxa"/>
            <w:tcBorders>
              <w:bottom w:val="single" w:sz="4" w:space="0" w:color="auto"/>
            </w:tcBorders>
          </w:tcPr>
          <w:p w14:paraId="65BAF006" w14:textId="77777777" w:rsidR="00B86E0D" w:rsidRPr="00F33FC4" w:rsidRDefault="00B86E0D" w:rsidP="00B86E0D">
            <w:pPr>
              <w:spacing w:line="360" w:lineRule="auto"/>
              <w:rPr>
                <w:rFonts w:cs="Arial"/>
                <w:color w:val="000000"/>
                <w:sz w:val="22"/>
                <w:szCs w:val="22"/>
              </w:rPr>
            </w:pPr>
            <w:proofErr w:type="spellStart"/>
            <w:r w:rsidRPr="00F33FC4">
              <w:rPr>
                <w:rFonts w:cs="Arial"/>
                <w:color w:val="000000"/>
                <w:sz w:val="22"/>
                <w:szCs w:val="22"/>
              </w:rPr>
              <w:t>pBR-</w:t>
            </w:r>
            <w:r w:rsidRPr="00F33FC4">
              <w:rPr>
                <w:rFonts w:cs="Arial"/>
                <w:i/>
                <w:iCs/>
                <w:color w:val="000000"/>
                <w:sz w:val="22"/>
                <w:szCs w:val="22"/>
              </w:rPr>
              <w:t>zorO</w:t>
            </w:r>
            <w:proofErr w:type="spellEnd"/>
          </w:p>
        </w:tc>
      </w:tr>
    </w:tbl>
    <w:p w14:paraId="6FEC9A2C" w14:textId="77777777" w:rsidR="00F33FC4" w:rsidRPr="00F33FC4" w:rsidRDefault="00F33FC4" w:rsidP="00F33FC4">
      <w:pPr>
        <w:spacing w:line="360" w:lineRule="auto"/>
        <w:rPr>
          <w:rFonts w:eastAsia="Calibri"/>
        </w:rPr>
      </w:pPr>
      <w:r w:rsidRPr="00F33FC4">
        <w:rPr>
          <w:rFonts w:eastAsia="Calibri"/>
        </w:rPr>
        <w:br w:type="page"/>
      </w:r>
    </w:p>
    <w:p w14:paraId="62E3708F" w14:textId="72769BD7" w:rsidR="00F33FC4" w:rsidRPr="00F33FC4" w:rsidRDefault="00B66D01" w:rsidP="00F33FC4">
      <w:pPr>
        <w:spacing w:line="360" w:lineRule="auto"/>
        <w:rPr>
          <w:rFonts w:eastAsia="Calibri"/>
        </w:rPr>
      </w:pPr>
      <w:r w:rsidRPr="00F33FC4">
        <w:rPr>
          <w:rFonts w:eastAsia="Calibri"/>
          <w:b/>
        </w:rPr>
        <w:lastRenderedPageBreak/>
        <w:t>Growth conditions.</w:t>
      </w:r>
      <w:r w:rsidRPr="00F33FC4">
        <w:rPr>
          <w:rFonts w:eastAsia="Calibri"/>
          <w:i/>
        </w:rPr>
        <w:t xml:space="preserve"> </w:t>
      </w:r>
      <w:r w:rsidRPr="00F33FC4">
        <w:rPr>
          <w:rFonts w:eastAsia="Calibri"/>
        </w:rPr>
        <w:t xml:space="preserve">Cultures for overproduction of </w:t>
      </w:r>
      <w:proofErr w:type="spellStart"/>
      <w:r w:rsidRPr="00F33FC4">
        <w:rPr>
          <w:rFonts w:eastAsia="Calibri"/>
        </w:rPr>
        <w:t>ZorO</w:t>
      </w:r>
      <w:proofErr w:type="spellEnd"/>
      <w:r w:rsidRPr="00F33FC4">
        <w:rPr>
          <w:rFonts w:eastAsia="Calibri"/>
        </w:rPr>
        <w:t xml:space="preserve"> were grown as described previously (15). Briefly, </w:t>
      </w:r>
      <w:r w:rsidRPr="00F33FC4">
        <w:rPr>
          <w:rFonts w:eastAsia="Calibri"/>
          <w:i/>
          <w:iCs/>
        </w:rPr>
        <w:t>E. coli</w:t>
      </w:r>
      <w:r w:rsidRPr="00F33FC4">
        <w:rPr>
          <w:rFonts w:eastAsia="Calibri"/>
        </w:rPr>
        <w:t xml:space="preserve"> UTK007, a derivative of MG1655 with constitutive </w:t>
      </w:r>
      <w:proofErr w:type="spellStart"/>
      <w:r w:rsidRPr="00F33FC4">
        <w:rPr>
          <w:rFonts w:eastAsia="Calibri"/>
          <w:i/>
          <w:iCs/>
        </w:rPr>
        <w:t>araE</w:t>
      </w:r>
      <w:proofErr w:type="spellEnd"/>
      <w:r w:rsidRPr="00F33FC4">
        <w:rPr>
          <w:rFonts w:eastAsia="Calibri"/>
        </w:rPr>
        <w:t xml:space="preserve">, was transformed fresh (not older than 10 days) with the indicated plasmid derivatives of pAZ3 using either electroporation or chemical transformation (15). The resulting transformants were grown overnight in 5 mL LB (with 25 </w:t>
      </w:r>
      <w:r w:rsidRPr="00F33FC4">
        <w:rPr>
          <w:rFonts w:eastAsia="Calibri"/>
        </w:rPr>
        <w:sym w:font="Symbol" w:char="F06D"/>
      </w:r>
      <w:r w:rsidRPr="00F33FC4">
        <w:rPr>
          <w:rFonts w:eastAsia="Calibri"/>
        </w:rPr>
        <w:t>g/ml chloramphenicol final concentration) at 37</w:t>
      </w:r>
      <w:r w:rsidRPr="00F33FC4">
        <w:rPr>
          <w:rFonts w:eastAsia="Calibri"/>
          <w:vertAlign w:val="superscript"/>
        </w:rPr>
        <w:t>o</w:t>
      </w:r>
      <w:r w:rsidRPr="00F33FC4">
        <w:rPr>
          <w:rFonts w:eastAsia="Calibri"/>
        </w:rPr>
        <w:t>C with shaking and diluted in LB with appropriate antibiotics (chloramphenicol 25</w:t>
      </w:r>
      <w:r w:rsidRPr="00F33FC4">
        <w:rPr>
          <w:rFonts w:eastAsia="Calibri"/>
        </w:rPr>
        <w:sym w:font="Symbol" w:char="F06D"/>
      </w:r>
      <w:r w:rsidRPr="00F33FC4">
        <w:rPr>
          <w:rFonts w:eastAsia="Calibri"/>
        </w:rPr>
        <w:t>g/ml for pAZ3 plasmids) to an OD</w:t>
      </w:r>
      <w:r w:rsidRPr="00F33FC4">
        <w:rPr>
          <w:rFonts w:eastAsia="Calibri"/>
          <w:vertAlign w:val="subscript"/>
        </w:rPr>
        <w:t>600</w:t>
      </w:r>
      <w:r w:rsidRPr="00F33FC4">
        <w:rPr>
          <w:rFonts w:eastAsia="Calibri"/>
        </w:rPr>
        <w:t xml:space="preserve"> of 0.01. When the OD</w:t>
      </w:r>
      <w:r w:rsidRPr="00F33FC4">
        <w:rPr>
          <w:rFonts w:eastAsia="Calibri"/>
          <w:vertAlign w:val="subscript"/>
        </w:rPr>
        <w:t>600</w:t>
      </w:r>
      <w:r w:rsidRPr="00F33FC4">
        <w:rPr>
          <w:rFonts w:eastAsia="Calibri"/>
        </w:rPr>
        <w:t xml:space="preserve"> reached ~ 0.3, arabinose was added to a final concentration of 13.32 mM (0.2%), 6.67 </w:t>
      </w:r>
      <w:r w:rsidRPr="00F33FC4">
        <w:rPr>
          <w:rFonts w:eastAsia="Calibri"/>
        </w:rPr>
        <w:sym w:font="Symbol" w:char="F06D"/>
      </w:r>
      <w:r w:rsidRPr="00F33FC4">
        <w:rPr>
          <w:rFonts w:eastAsia="Calibri"/>
        </w:rPr>
        <w:t xml:space="preserve">M (0.0001%), 3.33 </w:t>
      </w:r>
      <w:r w:rsidRPr="00F33FC4">
        <w:rPr>
          <w:rFonts w:eastAsia="Calibri"/>
        </w:rPr>
        <w:sym w:font="Symbol" w:char="F06D"/>
      </w:r>
      <w:r w:rsidRPr="00F33FC4">
        <w:rPr>
          <w:rFonts w:eastAsia="Calibri"/>
        </w:rPr>
        <w:t>M (0.00005%), 1.33</w:t>
      </w:r>
      <w:r w:rsidRPr="00F33FC4">
        <w:rPr>
          <w:rFonts w:eastAsia="Calibri"/>
        </w:rPr>
        <w:sym w:font="Symbol" w:char="F06D"/>
      </w:r>
      <w:r w:rsidRPr="00F33FC4">
        <w:rPr>
          <w:rFonts w:eastAsia="Calibri"/>
        </w:rPr>
        <w:t xml:space="preserve">M (0.00002%), or 0.67 </w:t>
      </w:r>
      <w:r w:rsidRPr="00F33FC4">
        <w:rPr>
          <w:rFonts w:eastAsia="Calibri"/>
        </w:rPr>
        <w:sym w:font="Symbol" w:char="F06D"/>
      </w:r>
      <w:r w:rsidRPr="00F33FC4">
        <w:rPr>
          <w:rFonts w:eastAsia="Calibri"/>
        </w:rPr>
        <w:t xml:space="preserve">M (0.00001%) as </w:t>
      </w:r>
      <w:r w:rsidR="00F33FC4" w:rsidRPr="00F33FC4">
        <w:rPr>
          <w:rFonts w:eastAsia="Calibri"/>
        </w:rPr>
        <w:t xml:space="preserve">indicated in the text. </w:t>
      </w:r>
      <w:r w:rsidR="00F33FC4" w:rsidRPr="00F33FC4">
        <w:rPr>
          <w:rFonts w:eastAsia="Calibri"/>
          <w:i/>
          <w:iCs/>
        </w:rPr>
        <w:t xml:space="preserve">E. coli </w:t>
      </w:r>
      <w:r w:rsidR="00F33FC4" w:rsidRPr="00F33FC4">
        <w:rPr>
          <w:rFonts w:eastAsia="Calibri"/>
        </w:rPr>
        <w:t>UTK007 carrying empty vector (pAZ3) or uninduced (no arabinose) was used as a control. OD</w:t>
      </w:r>
      <w:r w:rsidR="00F33FC4" w:rsidRPr="00F33FC4">
        <w:rPr>
          <w:rFonts w:eastAsia="Calibri"/>
          <w:vertAlign w:val="subscript"/>
        </w:rPr>
        <w:t>600</w:t>
      </w:r>
      <w:r w:rsidR="00F33FC4" w:rsidRPr="00F33FC4">
        <w:rPr>
          <w:rFonts w:eastAsia="Calibri"/>
        </w:rPr>
        <w:t xml:space="preserve"> was measured as shown in the figures and cells were harvested at indicated time points after overexpression. Shown are averages </w:t>
      </w:r>
      <w:r w:rsidR="00F33FC4" w:rsidRPr="00F33FC4">
        <w:rPr>
          <w:rFonts w:eastAsia="Calibri"/>
        </w:rPr>
        <w:sym w:font="Symbol" w:char="F0B1"/>
      </w:r>
      <w:r w:rsidR="00F33FC4" w:rsidRPr="00F33FC4">
        <w:rPr>
          <w:rFonts w:eastAsia="Calibri"/>
        </w:rPr>
        <w:t xml:space="preserve"> standard deviations for a minimum of three replicates. </w:t>
      </w:r>
    </w:p>
    <w:p w14:paraId="4A62116A" w14:textId="13373052" w:rsidR="00F33FC4" w:rsidRPr="00F33FC4" w:rsidRDefault="00F33FC4" w:rsidP="00F33FC4">
      <w:pPr>
        <w:spacing w:line="360" w:lineRule="auto"/>
        <w:rPr>
          <w:rFonts w:eastAsia="Calibri"/>
        </w:rPr>
      </w:pPr>
      <w:r w:rsidRPr="00F33FC4">
        <w:rPr>
          <w:rFonts w:eastAsia="Calibri"/>
          <w:i/>
        </w:rPr>
        <w:t xml:space="preserve">Microplate growth curves. </w:t>
      </w:r>
      <w:bookmarkEnd w:id="5"/>
      <w:r w:rsidRPr="00F33FC4">
        <w:rPr>
          <w:rFonts w:eastAsia="Calibri"/>
        </w:rPr>
        <w:t>Overnight cultures were grown either in LB medium or M9 (1X M9 salts, 2mM MgSO</w:t>
      </w:r>
      <w:r w:rsidRPr="00F33FC4">
        <w:rPr>
          <w:rFonts w:eastAsia="Calibri"/>
          <w:vertAlign w:val="subscript"/>
        </w:rPr>
        <w:t>4</w:t>
      </w:r>
      <w:r w:rsidRPr="00F33FC4">
        <w:rPr>
          <w:rFonts w:eastAsia="Calibri"/>
        </w:rPr>
        <w:t>, 0.1mM CaCl</w:t>
      </w:r>
      <w:r w:rsidRPr="00F33FC4">
        <w:rPr>
          <w:rFonts w:eastAsia="Calibri"/>
          <w:vertAlign w:val="subscript"/>
        </w:rPr>
        <w:t>2</w:t>
      </w:r>
      <w:r w:rsidRPr="00F33FC4">
        <w:rPr>
          <w:rFonts w:eastAsia="Calibri"/>
        </w:rPr>
        <w:t>, 1</w:t>
      </w:r>
      <w:r w:rsidRPr="00F33FC4">
        <w:rPr>
          <w:rFonts w:eastAsia="Calibri"/>
        </w:rPr>
        <w:sym w:font="Symbol" w:char="F06D"/>
      </w:r>
      <w:r w:rsidRPr="00F33FC4">
        <w:rPr>
          <w:rFonts w:eastAsia="Calibri"/>
        </w:rPr>
        <w:t xml:space="preserve">g/mL thiamine, supplemented with carbon source as indicated). Ampicillin (100 </w:t>
      </w:r>
      <w:r w:rsidRPr="00F33FC4">
        <w:rPr>
          <w:rFonts w:eastAsia="Calibri"/>
        </w:rPr>
        <w:sym w:font="Symbol" w:char="F06D"/>
      </w:r>
      <w:r w:rsidRPr="00F33FC4">
        <w:rPr>
          <w:rFonts w:eastAsia="Calibri"/>
        </w:rPr>
        <w:t xml:space="preserve">g/ml final concentration) was added when testing cells transformed with pBR322 (24) or </w:t>
      </w:r>
      <w:proofErr w:type="spellStart"/>
      <w:r w:rsidRPr="00F33FC4">
        <w:rPr>
          <w:rFonts w:eastAsia="Calibri"/>
        </w:rPr>
        <w:t>pBR-</w:t>
      </w:r>
      <w:r w:rsidRPr="00F33FC4">
        <w:rPr>
          <w:rFonts w:eastAsia="Calibri"/>
          <w:i/>
          <w:iCs/>
        </w:rPr>
        <w:t>zor-orz</w:t>
      </w:r>
      <w:proofErr w:type="spellEnd"/>
      <w:r w:rsidRPr="00F33FC4">
        <w:rPr>
          <w:rFonts w:eastAsia="Calibri"/>
        </w:rPr>
        <w:t xml:space="preserve"> plasmids. Overnight cultures were diluted to an OD</w:t>
      </w:r>
      <w:r w:rsidRPr="00F33FC4">
        <w:rPr>
          <w:rFonts w:eastAsia="Calibri"/>
          <w:vertAlign w:val="subscript"/>
        </w:rPr>
        <w:t xml:space="preserve">600 </w:t>
      </w:r>
      <w:r w:rsidRPr="00F33FC4">
        <w:rPr>
          <w:rFonts w:eastAsia="Calibri"/>
        </w:rPr>
        <w:t>of 0.2 in 1 mL sterile phosphate buffer saline or sterile growth medium. A 96 well microplate was prepared by adding 190</w:t>
      </w:r>
      <w:r w:rsidRPr="00F33FC4">
        <w:rPr>
          <w:rFonts w:eastAsia="Calibri"/>
        </w:rPr>
        <w:sym w:font="Symbol" w:char="F06D"/>
      </w:r>
      <w:r w:rsidRPr="00F33FC4">
        <w:rPr>
          <w:rFonts w:eastAsia="Calibri"/>
        </w:rPr>
        <w:t xml:space="preserve">l of the culture media (LB or M9) containing the antibiotics as indicated. Then 10 </w:t>
      </w:r>
      <w:r w:rsidRPr="00F33FC4">
        <w:rPr>
          <w:rFonts w:eastAsia="Calibri"/>
        </w:rPr>
        <w:sym w:font="Symbol" w:char="F06D"/>
      </w:r>
      <w:r w:rsidRPr="00F33FC4">
        <w:rPr>
          <w:rFonts w:eastAsia="Calibri"/>
        </w:rPr>
        <w:t>l of 0.2 OD</w:t>
      </w:r>
      <w:r w:rsidRPr="00F33FC4">
        <w:rPr>
          <w:rFonts w:eastAsia="Calibri"/>
          <w:vertAlign w:val="subscript"/>
        </w:rPr>
        <w:t xml:space="preserve">600 </w:t>
      </w:r>
      <w:r w:rsidRPr="00F33FC4">
        <w:rPr>
          <w:rFonts w:eastAsia="Calibri"/>
        </w:rPr>
        <w:t xml:space="preserve">culture (diluted in PBS from overnight culture) was added to obtain a 200 </w:t>
      </w:r>
      <w:r w:rsidRPr="00F33FC4">
        <w:rPr>
          <w:rFonts w:eastAsia="Calibri"/>
        </w:rPr>
        <w:sym w:font="Symbol" w:char="F06D"/>
      </w:r>
      <w:r w:rsidRPr="00F33FC4">
        <w:rPr>
          <w:rFonts w:eastAsia="Calibri"/>
        </w:rPr>
        <w:t>l total volume of a 0.01 OD</w:t>
      </w:r>
      <w:r w:rsidRPr="00F33FC4">
        <w:rPr>
          <w:rFonts w:eastAsia="Calibri"/>
          <w:vertAlign w:val="subscript"/>
        </w:rPr>
        <w:t>600</w:t>
      </w:r>
      <w:r w:rsidRPr="00F33FC4">
        <w:rPr>
          <w:rFonts w:eastAsia="Calibri"/>
        </w:rPr>
        <w:t xml:space="preserve"> culture.</w:t>
      </w:r>
      <w:r w:rsidR="000725B7">
        <w:rPr>
          <w:rFonts w:eastAsia="Calibri"/>
        </w:rPr>
        <w:t xml:space="preserve"> </w:t>
      </w:r>
      <w:r w:rsidRPr="00F33FC4">
        <w:rPr>
          <w:rFonts w:eastAsia="Calibri"/>
        </w:rPr>
        <w:t>Absorbance was recorded on a Gen5</w:t>
      </w:r>
      <w:r w:rsidRPr="00F33FC4">
        <w:rPr>
          <w:rFonts w:eastAsia="Calibri"/>
          <w:vertAlign w:val="superscript"/>
        </w:rPr>
        <w:t>TM</w:t>
      </w:r>
      <w:r w:rsidRPr="00F33FC4">
        <w:rPr>
          <w:rFonts w:eastAsia="Calibri"/>
        </w:rPr>
        <w:t xml:space="preserve"> Microplate reader (</w:t>
      </w:r>
      <w:proofErr w:type="spellStart"/>
      <w:r w:rsidRPr="00F33FC4">
        <w:rPr>
          <w:rFonts w:eastAsia="Calibri"/>
        </w:rPr>
        <w:t>BioTek</w:t>
      </w:r>
      <w:proofErr w:type="spellEnd"/>
      <w:r w:rsidRPr="00F33FC4">
        <w:rPr>
          <w:rFonts w:eastAsia="Calibri"/>
        </w:rPr>
        <w:t xml:space="preserve"> Instruments, Inc.) every 30 min after a 15 sec of shaking for 24 </w:t>
      </w:r>
      <w:proofErr w:type="spellStart"/>
      <w:r w:rsidRPr="00F33FC4">
        <w:rPr>
          <w:rFonts w:eastAsia="Calibri"/>
        </w:rPr>
        <w:t>hrs</w:t>
      </w:r>
      <w:proofErr w:type="spellEnd"/>
      <w:r w:rsidRPr="00F33FC4">
        <w:rPr>
          <w:rFonts w:eastAsia="Calibri"/>
        </w:rPr>
        <w:t xml:space="preserve"> at 37</w:t>
      </w:r>
      <w:r w:rsidRPr="00F33FC4">
        <w:rPr>
          <w:rFonts w:eastAsia="Calibri"/>
          <w:vertAlign w:val="superscript"/>
        </w:rPr>
        <w:t>o</w:t>
      </w:r>
      <w:r w:rsidRPr="00F33FC4">
        <w:rPr>
          <w:rFonts w:eastAsia="Calibri"/>
        </w:rPr>
        <w:t xml:space="preserve">C. </w:t>
      </w:r>
      <w:bookmarkStart w:id="6" w:name="MPSection:885D8D55-AE01-4E7A-B1C8-5961CF"/>
      <w:r w:rsidRPr="00F33FC4">
        <w:rPr>
          <w:rFonts w:eastAsia="Calibri"/>
        </w:rPr>
        <w:t xml:space="preserve">Shown are averages </w:t>
      </w:r>
      <w:r w:rsidRPr="00F33FC4">
        <w:rPr>
          <w:rFonts w:eastAsia="Calibri"/>
        </w:rPr>
        <w:sym w:font="Symbol" w:char="F0B1"/>
      </w:r>
      <w:r w:rsidRPr="00F33FC4">
        <w:rPr>
          <w:rFonts w:eastAsia="Calibri"/>
        </w:rPr>
        <w:t xml:space="preserve"> standard deviations for a minimum of three replicates. Note, as we observed variation even in control strains emerging from lag phase when grown in M9 minimal media with fructose, we used 0.4% fructose as</w:t>
      </w:r>
      <w:r w:rsidRPr="00F33FC4" w:rsidDel="00071BA9">
        <w:rPr>
          <w:rFonts w:eastAsia="Calibri"/>
        </w:rPr>
        <w:t xml:space="preserve"> </w:t>
      </w:r>
      <w:r w:rsidRPr="00F33FC4">
        <w:rPr>
          <w:rFonts w:eastAsia="Calibri"/>
        </w:rPr>
        <w:t>the final concentration.</w:t>
      </w:r>
    </w:p>
    <w:p w14:paraId="2F42E5D4" w14:textId="77777777" w:rsidR="00F33FC4" w:rsidRPr="00F33FC4" w:rsidRDefault="00F33FC4" w:rsidP="00F33FC4">
      <w:pPr>
        <w:spacing w:line="360" w:lineRule="auto"/>
        <w:ind w:firstLine="720"/>
        <w:rPr>
          <w:rFonts w:eastAsia="Calibri"/>
          <w:b/>
        </w:rPr>
      </w:pPr>
    </w:p>
    <w:p w14:paraId="3477B315" w14:textId="77777777" w:rsidR="00F33FC4" w:rsidRPr="00F33FC4" w:rsidRDefault="00F33FC4" w:rsidP="00F33FC4">
      <w:pPr>
        <w:spacing w:line="360" w:lineRule="auto"/>
        <w:rPr>
          <w:rFonts w:eastAsia="Calibri"/>
        </w:rPr>
      </w:pPr>
      <w:r w:rsidRPr="00F33FC4">
        <w:rPr>
          <w:rFonts w:eastAsia="Calibri"/>
          <w:b/>
        </w:rPr>
        <w:t xml:space="preserve">Plasmid and strain construction. </w:t>
      </w:r>
      <w:bookmarkEnd w:id="6"/>
      <w:r w:rsidRPr="00F33FC4">
        <w:rPr>
          <w:rFonts w:eastAsia="Calibri"/>
        </w:rPr>
        <w:t>The overexpression plasmid P</w:t>
      </w:r>
      <w:r w:rsidRPr="00F33FC4">
        <w:rPr>
          <w:rFonts w:eastAsia="Calibri"/>
          <w:vertAlign w:val="subscript"/>
        </w:rPr>
        <w:t>BAD</w:t>
      </w:r>
      <w:r w:rsidRPr="00F33FC4">
        <w:rPr>
          <w:rFonts w:eastAsia="Calibri"/>
        </w:rPr>
        <w:t>-</w:t>
      </w:r>
      <w:proofErr w:type="spellStart"/>
      <w:r w:rsidRPr="00F33FC4">
        <w:rPr>
          <w:rFonts w:eastAsia="Calibri"/>
          <w:i/>
          <w:iCs/>
        </w:rPr>
        <w:t>zorO</w:t>
      </w:r>
      <w:proofErr w:type="spellEnd"/>
      <w:r w:rsidRPr="00F33FC4">
        <w:rPr>
          <w:rFonts w:eastAsia="Calibri"/>
        </w:rPr>
        <w:t xml:space="preserve">-FLAG (full-length 5’UTR) was generated by amplifying C-terminal FLAG tagged </w:t>
      </w:r>
      <w:proofErr w:type="spellStart"/>
      <w:r w:rsidRPr="00F33FC4">
        <w:rPr>
          <w:rFonts w:eastAsia="Calibri"/>
          <w:i/>
          <w:iCs/>
        </w:rPr>
        <w:t>zorO</w:t>
      </w:r>
      <w:proofErr w:type="spellEnd"/>
      <w:r w:rsidRPr="00F33FC4">
        <w:rPr>
          <w:rFonts w:eastAsia="Calibri"/>
        </w:rPr>
        <w:t xml:space="preserve"> using the </w:t>
      </w:r>
      <w:r w:rsidRPr="00F33FC4">
        <w:rPr>
          <w:rFonts w:eastAsia="Calibri"/>
        </w:rPr>
        <w:lastRenderedPageBreak/>
        <w:t>oligonucleotides EF1065 and EF1279 from the EDL933 genome. To generate P</w:t>
      </w:r>
      <w:r w:rsidRPr="00F33FC4">
        <w:rPr>
          <w:rFonts w:eastAsia="Calibri"/>
          <w:vertAlign w:val="subscript"/>
        </w:rPr>
        <w:t>BAD</w:t>
      </w:r>
      <w:r w:rsidRPr="00F33FC4">
        <w:rPr>
          <w:rFonts w:eastAsia="Calibri"/>
        </w:rPr>
        <w:t>-</w:t>
      </w:r>
      <w:r w:rsidRPr="00F33FC4">
        <w:rPr>
          <w:rFonts w:eastAsia="Calibri"/>
        </w:rPr>
        <w:sym w:font="Symbol" w:char="F044"/>
      </w:r>
      <w:r w:rsidRPr="00F33FC4">
        <w:rPr>
          <w:rFonts w:eastAsia="Calibri"/>
        </w:rPr>
        <w:t>28-</w:t>
      </w:r>
      <w:r w:rsidRPr="00F33FC4">
        <w:rPr>
          <w:rFonts w:eastAsia="Calibri"/>
          <w:i/>
          <w:iCs/>
        </w:rPr>
        <w:t>zorO-</w:t>
      </w:r>
      <w:r w:rsidRPr="00F33FC4">
        <w:rPr>
          <w:rFonts w:eastAsia="Calibri"/>
        </w:rPr>
        <w:t>FLAG, the</w:t>
      </w:r>
      <w:r w:rsidRPr="00F33FC4">
        <w:rPr>
          <w:rFonts w:eastAsia="Calibri"/>
          <w:i/>
          <w:iCs/>
        </w:rPr>
        <w:t xml:space="preserve"> </w:t>
      </w:r>
      <w:r w:rsidRPr="00F33FC4">
        <w:rPr>
          <w:rFonts w:eastAsia="Calibri"/>
        </w:rPr>
        <w:t>insert was amplified with oligonucleotides EF1141 and EF1279 from the plasmid P</w:t>
      </w:r>
      <w:r w:rsidRPr="00F33FC4">
        <w:rPr>
          <w:rFonts w:eastAsia="Calibri"/>
          <w:vertAlign w:val="subscript"/>
        </w:rPr>
        <w:t>BAD</w:t>
      </w:r>
      <w:r w:rsidRPr="00F33FC4">
        <w:rPr>
          <w:rFonts w:eastAsia="Calibri"/>
        </w:rPr>
        <w:t>-</w:t>
      </w:r>
      <w:proofErr w:type="spellStart"/>
      <w:r w:rsidRPr="00F33FC4">
        <w:rPr>
          <w:rFonts w:eastAsia="Calibri"/>
          <w:i/>
          <w:iCs/>
        </w:rPr>
        <w:t>zorO</w:t>
      </w:r>
      <w:proofErr w:type="spellEnd"/>
      <w:r w:rsidRPr="00F33FC4">
        <w:rPr>
          <w:rFonts w:eastAsia="Calibri"/>
        </w:rPr>
        <w:t>-FLAG. To construct P</w:t>
      </w:r>
      <w:r w:rsidRPr="00F33FC4">
        <w:rPr>
          <w:rFonts w:eastAsia="Calibri"/>
          <w:vertAlign w:val="subscript"/>
        </w:rPr>
        <w:t>BAD</w:t>
      </w:r>
      <w:r w:rsidRPr="00F33FC4">
        <w:rPr>
          <w:rFonts w:eastAsia="Calibri"/>
        </w:rPr>
        <w:t>-No-UTR-</w:t>
      </w:r>
      <w:proofErr w:type="spellStart"/>
      <w:r w:rsidRPr="00F33FC4">
        <w:rPr>
          <w:rFonts w:eastAsia="Calibri"/>
          <w:i/>
          <w:iCs/>
        </w:rPr>
        <w:t>zorO</w:t>
      </w:r>
      <w:proofErr w:type="spellEnd"/>
      <w:r w:rsidRPr="00F33FC4">
        <w:rPr>
          <w:rFonts w:eastAsia="Calibri"/>
        </w:rPr>
        <w:t xml:space="preserve">, the insert was amplified from </w:t>
      </w:r>
      <w:r w:rsidRPr="00F33FC4">
        <w:rPr>
          <w:rFonts w:eastAsia="Calibri"/>
          <w:i/>
          <w:iCs/>
        </w:rPr>
        <w:t>E. coli</w:t>
      </w:r>
      <w:r w:rsidRPr="00F33FC4">
        <w:rPr>
          <w:rFonts w:eastAsia="Calibri"/>
        </w:rPr>
        <w:t xml:space="preserve"> O157:H7 EDL933 genomic DNA with oligonucleotides EF1066 and EF1611.The N-terminus FLAG tagged </w:t>
      </w:r>
      <w:proofErr w:type="spellStart"/>
      <w:r w:rsidRPr="00F33FC4">
        <w:rPr>
          <w:rFonts w:eastAsia="Calibri"/>
          <w:i/>
          <w:iCs/>
        </w:rPr>
        <w:t>zorO</w:t>
      </w:r>
      <w:proofErr w:type="spellEnd"/>
      <w:r w:rsidRPr="00F33FC4">
        <w:rPr>
          <w:rFonts w:eastAsia="Calibri"/>
        </w:rPr>
        <w:t xml:space="preserve"> (with 5’UTR similar to that of P</w:t>
      </w:r>
      <w:r w:rsidRPr="00F33FC4">
        <w:rPr>
          <w:rFonts w:eastAsia="Calibri"/>
          <w:vertAlign w:val="subscript"/>
        </w:rPr>
        <w:t>BAD</w:t>
      </w:r>
      <w:r w:rsidRPr="00F33FC4">
        <w:rPr>
          <w:rFonts w:eastAsia="Calibri"/>
        </w:rPr>
        <w:t>-No-UTR-</w:t>
      </w:r>
      <w:proofErr w:type="spellStart"/>
      <w:r w:rsidRPr="00F33FC4">
        <w:rPr>
          <w:rFonts w:eastAsia="Calibri"/>
          <w:i/>
          <w:iCs/>
        </w:rPr>
        <w:t>zorO</w:t>
      </w:r>
      <w:proofErr w:type="spellEnd"/>
      <w:r w:rsidRPr="00F33FC4">
        <w:rPr>
          <w:rFonts w:eastAsia="Calibri"/>
        </w:rPr>
        <w:t xml:space="preserve">) was constructed by amplifying the insert with oligonucleotides EF1465 and EF1066. The inserts were digested and ligated into the </w:t>
      </w:r>
      <w:proofErr w:type="spellStart"/>
      <w:r w:rsidRPr="00F33FC4">
        <w:rPr>
          <w:rFonts w:eastAsia="Calibri"/>
        </w:rPr>
        <w:t>EcoRI</w:t>
      </w:r>
      <w:proofErr w:type="spellEnd"/>
      <w:r w:rsidRPr="00F33FC4">
        <w:rPr>
          <w:rFonts w:eastAsia="Calibri"/>
        </w:rPr>
        <w:t xml:space="preserve"> and </w:t>
      </w:r>
      <w:proofErr w:type="spellStart"/>
      <w:r w:rsidRPr="00F33FC4">
        <w:rPr>
          <w:rFonts w:eastAsia="Calibri"/>
        </w:rPr>
        <w:t>HindIII</w:t>
      </w:r>
      <w:proofErr w:type="spellEnd"/>
      <w:r w:rsidRPr="00F33FC4">
        <w:rPr>
          <w:rFonts w:eastAsia="Calibri"/>
        </w:rPr>
        <w:t xml:space="preserve"> sites of the high-copy plasmid pAZ3 (25) under control of the P</w:t>
      </w:r>
      <w:r w:rsidRPr="00F33FC4">
        <w:rPr>
          <w:rFonts w:eastAsia="Calibri"/>
          <w:vertAlign w:val="subscript"/>
        </w:rPr>
        <w:t>BAD</w:t>
      </w:r>
      <w:r w:rsidRPr="00F33FC4">
        <w:rPr>
          <w:rFonts w:eastAsia="Calibri"/>
        </w:rPr>
        <w:t xml:space="preserve"> promoter. To generate P</w:t>
      </w:r>
      <w:r w:rsidRPr="00F33FC4">
        <w:rPr>
          <w:rFonts w:eastAsia="Calibri"/>
          <w:vertAlign w:val="subscript"/>
        </w:rPr>
        <w:t>BAD</w:t>
      </w:r>
      <w:r w:rsidRPr="00F33FC4">
        <w:rPr>
          <w:rFonts w:eastAsia="Calibri"/>
        </w:rPr>
        <w:t>-</w:t>
      </w:r>
      <w:proofErr w:type="spellStart"/>
      <w:r w:rsidRPr="00F33FC4">
        <w:rPr>
          <w:rFonts w:eastAsia="Calibri"/>
          <w:i/>
        </w:rPr>
        <w:t>zorO</w:t>
      </w:r>
      <w:proofErr w:type="spellEnd"/>
      <w:r w:rsidRPr="00F33FC4">
        <w:rPr>
          <w:rFonts w:eastAsia="Calibri"/>
        </w:rPr>
        <w:t>-AAG, site directed mutagenesis (15) was performed on the plasmid P</w:t>
      </w:r>
      <w:r w:rsidRPr="00F33FC4">
        <w:rPr>
          <w:rFonts w:eastAsia="Calibri"/>
          <w:vertAlign w:val="subscript"/>
        </w:rPr>
        <w:t>BAD</w:t>
      </w:r>
      <w:r w:rsidRPr="00F33FC4">
        <w:rPr>
          <w:rFonts w:eastAsia="Calibri"/>
        </w:rPr>
        <w:t>-</w:t>
      </w:r>
      <w:proofErr w:type="spellStart"/>
      <w:r w:rsidRPr="00F33FC4">
        <w:rPr>
          <w:rFonts w:eastAsia="Calibri"/>
          <w:i/>
          <w:iCs/>
        </w:rPr>
        <w:t>zorO</w:t>
      </w:r>
      <w:proofErr w:type="spellEnd"/>
      <w:r w:rsidRPr="00F33FC4">
        <w:rPr>
          <w:rFonts w:eastAsia="Calibri"/>
        </w:rPr>
        <w:t xml:space="preserve"> (22) using primers EF1325 and EF1326.</w:t>
      </w:r>
    </w:p>
    <w:p w14:paraId="6F1E07E4" w14:textId="77777777" w:rsidR="00F33FC4" w:rsidRPr="00F33FC4" w:rsidRDefault="00F33FC4" w:rsidP="00F33FC4">
      <w:pPr>
        <w:spacing w:line="360" w:lineRule="auto"/>
        <w:ind w:firstLine="720"/>
        <w:rPr>
          <w:rFonts w:eastAsia="Calibri"/>
          <w:i/>
          <w:iCs/>
        </w:rPr>
      </w:pPr>
      <w:r w:rsidRPr="00F33FC4">
        <w:rPr>
          <w:rFonts w:eastAsia="Calibri"/>
        </w:rPr>
        <w:t xml:space="preserve">The plasmid </w:t>
      </w:r>
      <w:proofErr w:type="spellStart"/>
      <w:r w:rsidRPr="00F33FC4">
        <w:rPr>
          <w:rFonts w:eastAsia="Calibri"/>
        </w:rPr>
        <w:t>pBR-</w:t>
      </w:r>
      <w:r w:rsidRPr="00F33FC4">
        <w:rPr>
          <w:rFonts w:eastAsia="Calibri"/>
          <w:i/>
          <w:iCs/>
        </w:rPr>
        <w:t>zor-orz</w:t>
      </w:r>
      <w:proofErr w:type="spellEnd"/>
      <w:r w:rsidRPr="00F33FC4">
        <w:rPr>
          <w:rFonts w:eastAsia="Calibri"/>
        </w:rPr>
        <w:t xml:space="preserve"> (with native regulatory elements) was constructed by amplifying the insert from EDL933 genomic DNA with oligonucleotides EF910 and EF 912, restriction digested and ligated into the </w:t>
      </w:r>
      <w:proofErr w:type="spellStart"/>
      <w:r w:rsidRPr="00F33FC4">
        <w:rPr>
          <w:rFonts w:eastAsia="Calibri"/>
        </w:rPr>
        <w:t>HindIII</w:t>
      </w:r>
      <w:proofErr w:type="spellEnd"/>
      <w:r w:rsidRPr="00F33FC4">
        <w:rPr>
          <w:rFonts w:eastAsia="Calibri"/>
        </w:rPr>
        <w:t xml:space="preserve"> and </w:t>
      </w:r>
      <w:proofErr w:type="spellStart"/>
      <w:r w:rsidRPr="00F33FC4">
        <w:rPr>
          <w:rFonts w:eastAsia="Calibri"/>
        </w:rPr>
        <w:t>BamHI</w:t>
      </w:r>
      <w:proofErr w:type="spellEnd"/>
      <w:r w:rsidRPr="00F33FC4">
        <w:rPr>
          <w:rFonts w:eastAsia="Calibri"/>
        </w:rPr>
        <w:t xml:space="preserve"> sites of medium copy pBR322 plasmid. The plasmid </w:t>
      </w:r>
      <w:proofErr w:type="spellStart"/>
      <w:r w:rsidRPr="00F33FC4">
        <w:rPr>
          <w:rFonts w:eastAsia="Calibri"/>
        </w:rPr>
        <w:t>pBR-</w:t>
      </w:r>
      <w:r w:rsidRPr="00F33FC4">
        <w:rPr>
          <w:rFonts w:eastAsia="Calibri"/>
          <w:i/>
          <w:iCs/>
        </w:rPr>
        <w:t>zorO</w:t>
      </w:r>
      <w:proofErr w:type="spellEnd"/>
      <w:r w:rsidRPr="00F33FC4">
        <w:rPr>
          <w:rFonts w:eastAsia="Calibri"/>
        </w:rPr>
        <w:t xml:space="preserve"> was constructed by amplifying the </w:t>
      </w:r>
      <w:proofErr w:type="spellStart"/>
      <w:r w:rsidRPr="00F33FC4">
        <w:rPr>
          <w:rFonts w:eastAsia="Calibri"/>
        </w:rPr>
        <w:t>pBR-</w:t>
      </w:r>
      <w:r w:rsidRPr="00F33FC4">
        <w:rPr>
          <w:rFonts w:eastAsia="Calibri"/>
          <w:i/>
          <w:iCs/>
        </w:rPr>
        <w:t>zorO-orzO</w:t>
      </w:r>
      <w:proofErr w:type="spellEnd"/>
      <w:r w:rsidRPr="00F33FC4">
        <w:rPr>
          <w:rFonts w:eastAsia="Calibri"/>
        </w:rPr>
        <w:t xml:space="preserve"> plasmid using oligonucleotides EF1869A and 1870A (to remove </w:t>
      </w:r>
      <w:proofErr w:type="spellStart"/>
      <w:r w:rsidRPr="00F33FC4">
        <w:rPr>
          <w:rFonts w:eastAsia="Calibri"/>
          <w:i/>
          <w:iCs/>
        </w:rPr>
        <w:t>orzO</w:t>
      </w:r>
      <w:proofErr w:type="spellEnd"/>
      <w:r w:rsidRPr="00F33FC4">
        <w:rPr>
          <w:rFonts w:eastAsia="Calibri"/>
        </w:rPr>
        <w:t>) and was assembled using NEB Gibson Assembly Master Mix.</w:t>
      </w:r>
      <w:r w:rsidRPr="00F33FC4">
        <w:rPr>
          <w:rFonts w:eastAsia="Calibri"/>
          <w:i/>
          <w:iCs/>
        </w:rPr>
        <w:tab/>
      </w:r>
    </w:p>
    <w:p w14:paraId="6E2198CE" w14:textId="77777777" w:rsidR="00F33FC4" w:rsidRPr="00F33FC4" w:rsidRDefault="00F33FC4" w:rsidP="00F33FC4">
      <w:pPr>
        <w:spacing w:line="360" w:lineRule="auto"/>
        <w:ind w:firstLine="720"/>
        <w:rPr>
          <w:rFonts w:eastAsia="Calibri"/>
        </w:rPr>
      </w:pPr>
      <w:r w:rsidRPr="00F33FC4">
        <w:rPr>
          <w:rFonts w:eastAsia="Calibri"/>
          <w:i/>
          <w:iCs/>
        </w:rPr>
        <w:t>E. coli</w:t>
      </w:r>
      <w:r w:rsidRPr="00F33FC4">
        <w:rPr>
          <w:rFonts w:eastAsia="Calibri"/>
        </w:rPr>
        <w:t xml:space="preserve"> MG1655 UTK102 was derived from MG1655 UTK007 (15). P1 transduction was used to replace the </w:t>
      </w:r>
      <w:proofErr w:type="spellStart"/>
      <w:r w:rsidRPr="00F33FC4">
        <w:rPr>
          <w:rFonts w:eastAsia="Calibri"/>
          <w:i/>
          <w:iCs/>
        </w:rPr>
        <w:t>lepB</w:t>
      </w:r>
      <w:proofErr w:type="spellEnd"/>
      <w:r w:rsidRPr="00F33FC4">
        <w:rPr>
          <w:rFonts w:eastAsia="Calibri"/>
        </w:rPr>
        <w:t xml:space="preserve"> with SPA (sequential peptide affinity) and kanamycin tagged version of </w:t>
      </w:r>
      <w:proofErr w:type="spellStart"/>
      <w:r w:rsidRPr="00F33FC4">
        <w:rPr>
          <w:rFonts w:eastAsia="Calibri"/>
          <w:i/>
          <w:iCs/>
        </w:rPr>
        <w:t>lepB</w:t>
      </w:r>
      <w:proofErr w:type="spellEnd"/>
      <w:r w:rsidRPr="00F33FC4">
        <w:rPr>
          <w:rFonts w:eastAsia="Calibri"/>
        </w:rPr>
        <w:t xml:space="preserve"> (inner membrane localization control) (26). The kanamycin resistance gene (flanked by FRT sites) was removed using pCP20 (27) and confirmed via PCR to generate UTK102. </w:t>
      </w:r>
      <w:r w:rsidRPr="00F33FC4">
        <w:rPr>
          <w:rFonts w:eastAsia="Calibri"/>
          <w:i/>
          <w:iCs/>
        </w:rPr>
        <w:t>E. coli.</w:t>
      </w:r>
      <w:r w:rsidRPr="00F33FC4">
        <w:rPr>
          <w:rFonts w:eastAsia="Calibri"/>
        </w:rPr>
        <w:t xml:space="preserve"> MG1655 UTK105 was subsequently derived from </w:t>
      </w:r>
      <w:r w:rsidRPr="00F33FC4">
        <w:rPr>
          <w:rFonts w:eastAsia="Calibri"/>
          <w:i/>
          <w:iCs/>
        </w:rPr>
        <w:t>E. coli</w:t>
      </w:r>
      <w:r w:rsidRPr="00F33FC4">
        <w:rPr>
          <w:rFonts w:eastAsia="Calibri"/>
        </w:rPr>
        <w:t xml:space="preserve"> MG1655 UTK102 to replace </w:t>
      </w:r>
      <w:proofErr w:type="spellStart"/>
      <w:r w:rsidRPr="00F33FC4">
        <w:rPr>
          <w:rFonts w:eastAsia="Calibri"/>
          <w:i/>
          <w:iCs/>
        </w:rPr>
        <w:t>pgm</w:t>
      </w:r>
      <w:proofErr w:type="spellEnd"/>
      <w:r w:rsidRPr="00F33FC4">
        <w:rPr>
          <w:rFonts w:eastAsia="Calibri"/>
        </w:rPr>
        <w:t xml:space="preserve"> with a SPA tagged </w:t>
      </w:r>
      <w:proofErr w:type="spellStart"/>
      <w:r w:rsidRPr="00F33FC4">
        <w:rPr>
          <w:rFonts w:eastAsia="Calibri"/>
          <w:i/>
          <w:iCs/>
        </w:rPr>
        <w:t>pgm</w:t>
      </w:r>
      <w:proofErr w:type="spellEnd"/>
      <w:r w:rsidRPr="00F33FC4">
        <w:rPr>
          <w:rFonts w:eastAsia="Calibri"/>
        </w:rPr>
        <w:t xml:space="preserve"> (cytoplasmic localization control) and confirmed via PCR. </w:t>
      </w:r>
    </w:p>
    <w:p w14:paraId="19F01518" w14:textId="77777777" w:rsidR="00F33FC4" w:rsidRPr="00F33FC4" w:rsidRDefault="00F33FC4" w:rsidP="00F33FC4">
      <w:pPr>
        <w:spacing w:line="360" w:lineRule="auto"/>
        <w:ind w:firstLine="720"/>
        <w:rPr>
          <w:rFonts w:eastAsia="Calibri"/>
        </w:rPr>
      </w:pPr>
      <w:r w:rsidRPr="00F33FC4">
        <w:rPr>
          <w:rFonts w:eastAsia="Calibri"/>
        </w:rPr>
        <w:t xml:space="preserve">To construct </w:t>
      </w:r>
      <w:r w:rsidRPr="00F33FC4">
        <w:rPr>
          <w:rFonts w:eastAsia="Calibri"/>
          <w:i/>
          <w:iCs/>
        </w:rPr>
        <w:t>E. coli</w:t>
      </w:r>
      <w:r w:rsidRPr="00F33FC4">
        <w:rPr>
          <w:rFonts w:eastAsia="Calibri"/>
        </w:rPr>
        <w:t xml:space="preserve"> MG1655-</w:t>
      </w:r>
      <w:r w:rsidRPr="00F33FC4">
        <w:rPr>
          <w:rFonts w:eastAsia="Calibri"/>
        </w:rPr>
        <w:sym w:font="Symbol" w:char="F044"/>
      </w:r>
      <w:r w:rsidRPr="00F33FC4">
        <w:rPr>
          <w:rFonts w:eastAsia="Calibri"/>
        </w:rPr>
        <w:t>28-</w:t>
      </w:r>
      <w:r w:rsidRPr="00F33FC4">
        <w:rPr>
          <w:rFonts w:eastAsia="Calibri"/>
          <w:i/>
          <w:iCs/>
        </w:rPr>
        <w:t>zorO</w:t>
      </w:r>
      <w:r w:rsidRPr="00F33FC4">
        <w:rPr>
          <w:rFonts w:eastAsia="Calibri"/>
        </w:rPr>
        <w:t>,</w:t>
      </w:r>
      <w:r w:rsidRPr="00F33FC4">
        <w:rPr>
          <w:rFonts w:eastAsia="Calibri"/>
          <w:i/>
          <w:iCs/>
        </w:rPr>
        <w:t xml:space="preserve"> </w:t>
      </w:r>
      <w:r w:rsidRPr="00F33FC4">
        <w:rPr>
          <w:rFonts w:eastAsia="Calibri"/>
        </w:rPr>
        <w:sym w:font="Symbol" w:char="F044"/>
      </w:r>
      <w:r w:rsidRPr="00F33FC4">
        <w:rPr>
          <w:rFonts w:eastAsia="Calibri"/>
        </w:rPr>
        <w:t>28-FLAG-</w:t>
      </w:r>
      <w:r w:rsidRPr="00F33FC4">
        <w:rPr>
          <w:rFonts w:eastAsia="Calibri"/>
          <w:i/>
          <w:iCs/>
        </w:rPr>
        <w:t xml:space="preserve">zorO </w:t>
      </w:r>
      <w:r w:rsidRPr="00F33FC4">
        <w:rPr>
          <w:rFonts w:eastAsia="Calibri"/>
        </w:rPr>
        <w:t xml:space="preserve">linked to a chloramphenicol cassette (flanked with FRT sites) was amplified from a pBR322 plasmid construct using the oligonucleotides EF1572 and EF1573. The amplified insert was </w:t>
      </w:r>
      <w:proofErr w:type="spellStart"/>
      <w:r w:rsidRPr="00F33FC4">
        <w:rPr>
          <w:rFonts w:eastAsia="Calibri"/>
        </w:rPr>
        <w:t>recomobineered</w:t>
      </w:r>
      <w:proofErr w:type="spellEnd"/>
      <w:r w:rsidRPr="00F33FC4">
        <w:rPr>
          <w:rFonts w:eastAsia="Calibri"/>
        </w:rPr>
        <w:t xml:space="preserve"> into </w:t>
      </w:r>
      <w:r w:rsidRPr="00F33FC4">
        <w:rPr>
          <w:rFonts w:eastAsia="Calibri"/>
          <w:i/>
          <w:iCs/>
        </w:rPr>
        <w:t>E. coli</w:t>
      </w:r>
      <w:r w:rsidRPr="00F33FC4">
        <w:rPr>
          <w:rFonts w:eastAsia="Calibri"/>
        </w:rPr>
        <w:t xml:space="preserve"> NM1100 utilizing the mini-</w:t>
      </w:r>
      <w:r w:rsidRPr="00F33FC4">
        <w:rPr>
          <w:rFonts w:eastAsia="Calibri"/>
        </w:rPr>
        <w:sym w:font="Symbol" w:char="F06C"/>
      </w:r>
      <w:r w:rsidRPr="00F33FC4">
        <w:rPr>
          <w:rFonts w:eastAsia="Calibri"/>
        </w:rPr>
        <w:t xml:space="preserve">-Red recombination system (28, 29). This was then moved into </w:t>
      </w:r>
      <w:r w:rsidRPr="00F33FC4">
        <w:rPr>
          <w:rFonts w:eastAsia="Calibri"/>
          <w:i/>
          <w:iCs/>
        </w:rPr>
        <w:t>E. coli</w:t>
      </w:r>
      <w:r w:rsidRPr="00F33FC4">
        <w:rPr>
          <w:rFonts w:eastAsia="Calibri"/>
        </w:rPr>
        <w:t xml:space="preserve"> MG1655 using P1 transduction. The antibiotic cassette was removed using pCP20 (27, 30). The strain was verified via sequencing of the genetic region. </w:t>
      </w:r>
      <w:bookmarkStart w:id="7" w:name="MPSection:662A6081-80E3-49A4-F4DA-E28E1D"/>
    </w:p>
    <w:p w14:paraId="2A65EFBE" w14:textId="77777777" w:rsidR="00F33FC4" w:rsidRPr="00F33FC4" w:rsidRDefault="00F33FC4" w:rsidP="00F33FC4">
      <w:pPr>
        <w:spacing w:line="360" w:lineRule="auto"/>
        <w:ind w:firstLine="720"/>
        <w:rPr>
          <w:rFonts w:eastAsia="Calibri"/>
        </w:rPr>
      </w:pPr>
      <w:r w:rsidRPr="00F33FC4">
        <w:rPr>
          <w:rFonts w:eastAsia="Calibri"/>
        </w:rPr>
        <w:lastRenderedPageBreak/>
        <w:t>EDL933-</w:t>
      </w:r>
      <w:r w:rsidRPr="00F33FC4">
        <w:rPr>
          <w:rFonts w:eastAsia="Calibri"/>
        </w:rPr>
        <w:sym w:font="Symbol" w:char="F044"/>
      </w:r>
      <w:r w:rsidRPr="00F33FC4">
        <w:rPr>
          <w:rFonts w:eastAsia="Calibri"/>
        </w:rPr>
        <w:t>28-</w:t>
      </w:r>
      <w:r w:rsidRPr="00F33FC4">
        <w:rPr>
          <w:rFonts w:eastAsia="Calibri"/>
          <w:i/>
          <w:iCs/>
        </w:rPr>
        <w:t xml:space="preserve">zorO </w:t>
      </w:r>
      <w:r w:rsidRPr="00F33FC4">
        <w:rPr>
          <w:rFonts w:eastAsia="Calibri"/>
        </w:rPr>
        <w:t xml:space="preserve">was constructed by amplifying </w:t>
      </w:r>
      <w:r w:rsidRPr="00F33FC4">
        <w:rPr>
          <w:rFonts w:eastAsia="Calibri"/>
        </w:rPr>
        <w:sym w:font="Symbol" w:char="F044"/>
      </w:r>
      <w:r w:rsidRPr="00F33FC4">
        <w:rPr>
          <w:rFonts w:eastAsia="Calibri"/>
        </w:rPr>
        <w:t>28-FLAG-</w:t>
      </w:r>
      <w:r w:rsidRPr="00F33FC4">
        <w:rPr>
          <w:rFonts w:eastAsia="Calibri"/>
          <w:i/>
          <w:iCs/>
        </w:rPr>
        <w:t>zorO</w:t>
      </w:r>
      <w:r w:rsidRPr="00F33FC4">
        <w:rPr>
          <w:rFonts w:eastAsia="Calibri"/>
        </w:rPr>
        <w:t>-Kan</w:t>
      </w:r>
      <w:r w:rsidRPr="00F33FC4">
        <w:rPr>
          <w:rFonts w:eastAsia="Calibri"/>
          <w:i/>
          <w:iCs/>
        </w:rPr>
        <w:t xml:space="preserve"> </w:t>
      </w:r>
      <w:r w:rsidRPr="00F33FC4">
        <w:rPr>
          <w:rFonts w:eastAsia="Calibri"/>
        </w:rPr>
        <w:t>using the oligonucleotides EF1572 and EF1573 from a plasmid vector that was synthesized (</w:t>
      </w:r>
      <w:proofErr w:type="spellStart"/>
      <w:r w:rsidRPr="00F33FC4">
        <w:rPr>
          <w:rFonts w:eastAsia="Calibri"/>
        </w:rPr>
        <w:t>Genescript</w:t>
      </w:r>
      <w:proofErr w:type="spellEnd"/>
      <w:r w:rsidRPr="00F33FC4">
        <w:rPr>
          <w:rFonts w:eastAsia="Calibri"/>
        </w:rPr>
        <w:t xml:space="preserve">). The amplified product was </w:t>
      </w:r>
      <w:proofErr w:type="spellStart"/>
      <w:r w:rsidRPr="00F33FC4">
        <w:rPr>
          <w:rFonts w:eastAsia="Calibri"/>
        </w:rPr>
        <w:t>recombineered</w:t>
      </w:r>
      <w:proofErr w:type="spellEnd"/>
      <w:r w:rsidRPr="00F33FC4">
        <w:rPr>
          <w:rFonts w:eastAsia="Calibri"/>
        </w:rPr>
        <w:t xml:space="preserve"> in EDL933, replacing the </w:t>
      </w:r>
      <w:proofErr w:type="spellStart"/>
      <w:r w:rsidRPr="00F33FC4">
        <w:rPr>
          <w:rFonts w:eastAsia="Calibri"/>
          <w:i/>
          <w:iCs/>
        </w:rPr>
        <w:t>zor-orz</w:t>
      </w:r>
      <w:proofErr w:type="spellEnd"/>
      <w:r w:rsidRPr="00F33FC4">
        <w:rPr>
          <w:rFonts w:eastAsia="Calibri"/>
        </w:rPr>
        <w:t xml:space="preserve"> locus as described previously (28). The kanamycin resistant gene was then replaced with a chloramphenicol resistance gene amplified from pKD3 using primers EF1795 and EF1796. The chloramphenicol marker was then removed via pCP20 treatment (30). The strain was PCR screened and confirmed via sequencing of the genetic region.</w:t>
      </w:r>
    </w:p>
    <w:p w14:paraId="23AB2471" w14:textId="77777777" w:rsidR="00F33FC4" w:rsidRPr="00F33FC4" w:rsidRDefault="00F33FC4" w:rsidP="00F33FC4">
      <w:pPr>
        <w:spacing w:line="360" w:lineRule="auto"/>
        <w:ind w:firstLine="720"/>
        <w:rPr>
          <w:rFonts w:eastAsia="Calibri"/>
        </w:rPr>
      </w:pPr>
      <w:r w:rsidRPr="00F33FC4">
        <w:rPr>
          <w:rFonts w:eastAsia="Calibri"/>
        </w:rPr>
        <w:t>Strain EDL933-</w:t>
      </w:r>
      <w:r w:rsidRPr="00F33FC4">
        <w:rPr>
          <w:rFonts w:eastAsia="Calibri"/>
        </w:rPr>
        <w:sym w:font="Symbol" w:char="F044"/>
      </w:r>
      <w:proofErr w:type="spellStart"/>
      <w:r w:rsidRPr="00F33FC4">
        <w:rPr>
          <w:rFonts w:eastAsia="Calibri"/>
          <w:i/>
          <w:iCs/>
        </w:rPr>
        <w:t>zor-orz</w:t>
      </w:r>
      <w:proofErr w:type="spellEnd"/>
      <w:r w:rsidRPr="00F33FC4">
        <w:rPr>
          <w:rFonts w:eastAsia="Calibri"/>
        </w:rPr>
        <w:t xml:space="preserve"> was generated via recombineering as outlined previously using primers EF585 and EF645 (28). The </w:t>
      </w:r>
      <w:proofErr w:type="spellStart"/>
      <w:r w:rsidRPr="00F33FC4">
        <w:rPr>
          <w:rFonts w:eastAsia="Calibri"/>
          <w:i/>
          <w:iCs/>
        </w:rPr>
        <w:t>zor-orz</w:t>
      </w:r>
      <w:proofErr w:type="spellEnd"/>
      <w:r w:rsidRPr="00F33FC4">
        <w:rPr>
          <w:rFonts w:eastAsia="Calibri"/>
        </w:rPr>
        <w:t xml:space="preserve"> locus was replaced with a chloramphenicol resistance marker (flanked with FRT sites). The chloramphenicol marker was then removed via pCP20 treatment (30).</w:t>
      </w:r>
    </w:p>
    <w:p w14:paraId="77A1C369" w14:textId="77777777" w:rsidR="00F33FC4" w:rsidRPr="00F33FC4" w:rsidRDefault="00F33FC4" w:rsidP="00F33FC4">
      <w:pPr>
        <w:spacing w:line="360" w:lineRule="auto"/>
        <w:rPr>
          <w:rFonts w:eastAsia="Calibri"/>
        </w:rPr>
      </w:pPr>
      <w:bookmarkStart w:id="8" w:name="MPSection:DE457CA9-A706-4075-9386-066672"/>
      <w:r w:rsidRPr="00F33FC4">
        <w:rPr>
          <w:rFonts w:eastAsia="Calibri"/>
          <w:b/>
          <w:bCs/>
        </w:rPr>
        <w:t xml:space="preserve">RNA isolation. </w:t>
      </w:r>
      <w:r w:rsidRPr="00F33FC4">
        <w:rPr>
          <w:rFonts w:eastAsia="Calibri"/>
          <w:i/>
          <w:iCs/>
        </w:rPr>
        <w:t>E. coli</w:t>
      </w:r>
      <w:r w:rsidRPr="00F33FC4">
        <w:rPr>
          <w:rFonts w:eastAsia="Calibri"/>
        </w:rPr>
        <w:t xml:space="preserve"> cells harboring pAZ3-</w:t>
      </w:r>
      <w:r w:rsidRPr="00F33FC4">
        <w:rPr>
          <w:rFonts w:eastAsia="Calibri"/>
          <w:i/>
          <w:iCs/>
        </w:rPr>
        <w:t>zorO</w:t>
      </w:r>
      <w:r w:rsidRPr="00F33FC4">
        <w:rPr>
          <w:rFonts w:eastAsia="Calibri"/>
        </w:rPr>
        <w:t xml:space="preserve"> were grown to OD</w:t>
      </w:r>
      <w:r w:rsidRPr="00F33FC4">
        <w:rPr>
          <w:rFonts w:eastAsia="Calibri"/>
          <w:vertAlign w:val="subscript"/>
        </w:rPr>
        <w:t>600</w:t>
      </w:r>
      <w:r w:rsidRPr="00F33FC4">
        <w:rPr>
          <w:rFonts w:eastAsia="Calibri"/>
        </w:rPr>
        <w:t xml:space="preserve"> ≈ 0.2–0.3 and arabinose (13.32 mM) was added (time 0). Cells were harvested 15 and 30 min post-arabinose induction. For cells harboring </w:t>
      </w:r>
      <w:proofErr w:type="spellStart"/>
      <w:r w:rsidRPr="00F33FC4">
        <w:rPr>
          <w:rFonts w:eastAsia="Calibri"/>
        </w:rPr>
        <w:t>pBR</w:t>
      </w:r>
      <w:r w:rsidRPr="00F33FC4">
        <w:rPr>
          <w:rFonts w:eastAsia="Calibri"/>
          <w:i/>
          <w:iCs/>
        </w:rPr>
        <w:t>-zorO</w:t>
      </w:r>
      <w:proofErr w:type="spellEnd"/>
      <w:r w:rsidRPr="00F33FC4">
        <w:rPr>
          <w:rFonts w:eastAsia="Calibri"/>
        </w:rPr>
        <w:t xml:space="preserve">, </w:t>
      </w:r>
      <w:r w:rsidRPr="00F33FC4">
        <w:rPr>
          <w:rFonts w:eastAsia="Calibri"/>
          <w:i/>
          <w:iCs/>
        </w:rPr>
        <w:t>E. coli</w:t>
      </w:r>
      <w:r w:rsidRPr="00F33FC4">
        <w:rPr>
          <w:rFonts w:eastAsia="Calibri"/>
        </w:rPr>
        <w:t xml:space="preserve"> was grown to OD 600 of ~0.3 and cells were harvested. Total RNA for all conditions was isolated via direct lysis as described previously (31).</w:t>
      </w:r>
    </w:p>
    <w:p w14:paraId="13D29479" w14:textId="77777777" w:rsidR="00F33FC4" w:rsidRPr="00F33FC4" w:rsidRDefault="00F33FC4" w:rsidP="00F33FC4">
      <w:pPr>
        <w:spacing w:line="360" w:lineRule="auto"/>
        <w:rPr>
          <w:rFonts w:eastAsia="Calibri"/>
        </w:rPr>
      </w:pPr>
      <w:r w:rsidRPr="00F33FC4">
        <w:rPr>
          <w:rFonts w:eastAsia="Calibri"/>
          <w:b/>
          <w:bCs/>
        </w:rPr>
        <w:t>Primer extension assay.</w:t>
      </w:r>
      <w:r w:rsidRPr="00F33FC4">
        <w:rPr>
          <w:rFonts w:eastAsia="Calibri"/>
        </w:rPr>
        <w:t xml:space="preserve"> Total RNA (5 </w:t>
      </w:r>
      <w:r w:rsidRPr="00F33FC4">
        <w:rPr>
          <w:rFonts w:eastAsia="Calibri"/>
        </w:rPr>
        <w:sym w:font="Symbol" w:char="F06D"/>
      </w:r>
      <w:r w:rsidRPr="00F33FC4">
        <w:rPr>
          <w:rFonts w:eastAsia="Calibri"/>
        </w:rPr>
        <w:t>g) was isolated 30 min after arabinose induction (in LB medium) and was separated on a denatured 8% polyacrylamide-urea gel. Primer extension was performed as described previously using labeled primer EF524 (14, 32).</w:t>
      </w:r>
    </w:p>
    <w:p w14:paraId="1096AD38" w14:textId="77777777" w:rsidR="00F33FC4" w:rsidRPr="00F33FC4" w:rsidRDefault="00F33FC4" w:rsidP="00F33FC4">
      <w:pPr>
        <w:spacing w:line="360" w:lineRule="auto"/>
        <w:rPr>
          <w:rFonts w:eastAsia="Calibri"/>
          <w:b/>
          <w:bCs/>
        </w:rPr>
      </w:pPr>
      <w:r w:rsidRPr="00F33FC4">
        <w:rPr>
          <w:rFonts w:eastAsia="Calibri"/>
          <w:b/>
          <w:bCs/>
        </w:rPr>
        <w:t>5’ RACE analysis.</w:t>
      </w:r>
      <w:r w:rsidRPr="00F33FC4">
        <w:rPr>
          <w:rFonts w:eastAsia="Calibri"/>
        </w:rPr>
        <w:t xml:space="preserve"> 5’ rapid amplification of cDNA ends (RACE) assay was performed as described previously (25). Isolated RNA was ligated to the RNA adapter A1. Reverse transcription was carried out with </w:t>
      </w:r>
      <w:proofErr w:type="spellStart"/>
      <w:r w:rsidRPr="00F33FC4">
        <w:rPr>
          <w:rFonts w:eastAsia="Calibri"/>
          <w:i/>
          <w:iCs/>
        </w:rPr>
        <w:t>zorO</w:t>
      </w:r>
      <w:proofErr w:type="spellEnd"/>
      <w:r w:rsidRPr="00F33FC4">
        <w:rPr>
          <w:rFonts w:eastAsia="Calibri"/>
        </w:rPr>
        <w:t xml:space="preserve"> 5’ UTR specific primer EF510. Amplification of </w:t>
      </w:r>
      <w:proofErr w:type="spellStart"/>
      <w:r w:rsidRPr="00F33FC4">
        <w:rPr>
          <w:rFonts w:eastAsia="Calibri"/>
          <w:i/>
          <w:iCs/>
        </w:rPr>
        <w:t>zorO</w:t>
      </w:r>
      <w:proofErr w:type="spellEnd"/>
      <w:r w:rsidRPr="00F33FC4">
        <w:rPr>
          <w:rFonts w:eastAsia="Calibri"/>
        </w:rPr>
        <w:t xml:space="preserve"> cDNA was performed with Taq DNA polymerase and primers EF510 and A4. Amplified cDNA fragments were cloned into pCR®4-TOPO® vector (Invitrogen) and then sequenced.</w:t>
      </w:r>
    </w:p>
    <w:p w14:paraId="7F7FE6DA" w14:textId="77777777" w:rsidR="00F33FC4" w:rsidRPr="00F33FC4" w:rsidRDefault="00F33FC4" w:rsidP="00F33FC4">
      <w:pPr>
        <w:spacing w:line="360" w:lineRule="auto"/>
        <w:rPr>
          <w:rFonts w:eastAsia="Calibri"/>
        </w:rPr>
      </w:pPr>
      <w:r w:rsidRPr="00F33FC4">
        <w:rPr>
          <w:rFonts w:eastAsia="Calibri"/>
          <w:b/>
          <w:bCs/>
        </w:rPr>
        <w:t xml:space="preserve">Cell survival after </w:t>
      </w:r>
      <w:proofErr w:type="spellStart"/>
      <w:r w:rsidRPr="00F33FC4">
        <w:rPr>
          <w:rFonts w:eastAsia="Calibri"/>
          <w:b/>
          <w:bCs/>
        </w:rPr>
        <w:t>ZorO</w:t>
      </w:r>
      <w:proofErr w:type="spellEnd"/>
      <w:r w:rsidRPr="00F33FC4">
        <w:rPr>
          <w:rFonts w:eastAsia="Calibri"/>
          <w:b/>
          <w:bCs/>
        </w:rPr>
        <w:t xml:space="preserve"> overproduction.</w:t>
      </w:r>
      <w:r w:rsidRPr="00F33FC4">
        <w:rPr>
          <w:rFonts w:eastAsia="Calibri"/>
        </w:rPr>
        <w:t xml:space="preserve"> Cellular aliquot of 100 </w:t>
      </w:r>
      <w:r w:rsidRPr="00F33FC4">
        <w:rPr>
          <w:rFonts w:eastAsia="Calibri"/>
        </w:rPr>
        <w:sym w:font="Symbol" w:char="F06D"/>
      </w:r>
      <w:r w:rsidRPr="00F33FC4">
        <w:rPr>
          <w:rFonts w:eastAsia="Calibri"/>
        </w:rPr>
        <w:t xml:space="preserve">l were collected at mid-log (OD600 ~0.3, before arabinose induction) and 1h post-arabinose induction. The aliquots were serially diluted in 900 </w:t>
      </w:r>
      <w:r w:rsidRPr="00F33FC4">
        <w:rPr>
          <w:rFonts w:eastAsia="Calibri"/>
        </w:rPr>
        <w:sym w:font="Symbol" w:char="F06D"/>
      </w:r>
      <w:r w:rsidRPr="00F33FC4">
        <w:rPr>
          <w:rFonts w:eastAsia="Calibri"/>
        </w:rPr>
        <w:t xml:space="preserve">l of sterile PBS of which100 </w:t>
      </w:r>
      <w:r w:rsidRPr="00F33FC4">
        <w:rPr>
          <w:rFonts w:eastAsia="Calibri"/>
        </w:rPr>
        <w:sym w:font="Symbol" w:char="F06D"/>
      </w:r>
      <w:r w:rsidRPr="00F33FC4">
        <w:rPr>
          <w:rFonts w:eastAsia="Calibri"/>
        </w:rPr>
        <w:t xml:space="preserve">l was plated onto LB </w:t>
      </w:r>
      <w:r w:rsidRPr="00F33FC4">
        <w:rPr>
          <w:rFonts w:eastAsia="Calibri"/>
        </w:rPr>
        <w:lastRenderedPageBreak/>
        <w:t>medium (with 25</w:t>
      </w:r>
      <w:r w:rsidRPr="00F33FC4">
        <w:rPr>
          <w:rFonts w:eastAsia="Calibri"/>
        </w:rPr>
        <w:sym w:font="Symbol" w:char="F06D"/>
      </w:r>
      <w:r w:rsidRPr="00F33FC4">
        <w:rPr>
          <w:rFonts w:eastAsia="Calibri"/>
        </w:rPr>
        <w:t>g/ml chloramphenicol). The plates were incubated at 37</w:t>
      </w:r>
      <w:r w:rsidRPr="00F33FC4">
        <w:rPr>
          <w:rFonts w:eastAsia="Calibri"/>
          <w:vertAlign w:val="superscript"/>
        </w:rPr>
        <w:t>0</w:t>
      </w:r>
      <w:r w:rsidRPr="00F33FC4">
        <w:rPr>
          <w:rFonts w:eastAsia="Calibri"/>
        </w:rPr>
        <w:t xml:space="preserve">C for 18-24 </w:t>
      </w:r>
      <w:proofErr w:type="spellStart"/>
      <w:r w:rsidRPr="00F33FC4">
        <w:rPr>
          <w:rFonts w:eastAsia="Calibri"/>
        </w:rPr>
        <w:t>hrs</w:t>
      </w:r>
      <w:proofErr w:type="spellEnd"/>
      <w:r w:rsidRPr="00F33FC4">
        <w:rPr>
          <w:rFonts w:eastAsia="Calibri"/>
        </w:rPr>
        <w:t xml:space="preserve"> and the colony forming units were counted. The log ratio of survivors was calculated by comparing the CFUs obtained after 1h arabinose induction to that before induction.</w:t>
      </w:r>
    </w:p>
    <w:p w14:paraId="68C82B29" w14:textId="77777777" w:rsidR="00F33FC4" w:rsidRPr="00F33FC4" w:rsidRDefault="00F33FC4" w:rsidP="00F33FC4">
      <w:pPr>
        <w:spacing w:line="360" w:lineRule="auto"/>
        <w:rPr>
          <w:rFonts w:eastAsia="Calibri"/>
        </w:rPr>
      </w:pPr>
      <w:r w:rsidRPr="00F33FC4">
        <w:rPr>
          <w:rFonts w:eastAsia="Calibri"/>
          <w:b/>
        </w:rPr>
        <w:t>Western blot and dot-blot analysis.</w:t>
      </w:r>
      <w:r w:rsidRPr="00F33FC4">
        <w:rPr>
          <w:rFonts w:eastAsia="Calibri"/>
        </w:rPr>
        <w:t xml:space="preserve"> Total protein was extracted from a 50 ml culture (after overexpression for 30 minutes as indicated in the text) via bead beating. Protein concentration was measured using a Bradford Protein Assay. Protein samples (20</w:t>
      </w:r>
      <w:r w:rsidRPr="00F33FC4">
        <w:rPr>
          <w:rFonts w:eastAsia="Calibri"/>
        </w:rPr>
        <w:sym w:font="Symbol" w:char="F06D"/>
      </w:r>
      <w:r w:rsidRPr="00F33FC4">
        <w:rPr>
          <w:rFonts w:eastAsia="Calibri"/>
        </w:rPr>
        <w:t xml:space="preserve">g) were separated on a </w:t>
      </w:r>
      <w:proofErr w:type="spellStart"/>
      <w:r w:rsidRPr="00F33FC4">
        <w:rPr>
          <w:rFonts w:eastAsia="Calibri"/>
        </w:rPr>
        <w:t>NuPAGE</w:t>
      </w:r>
      <w:proofErr w:type="spellEnd"/>
      <w:r w:rsidRPr="00F33FC4">
        <w:rPr>
          <w:rFonts w:eastAsia="Calibri"/>
        </w:rPr>
        <w:t xml:space="preserve"> Bis-Tris gel, transferred to the immobilon-FL membrane, and probed with a rat derived </w:t>
      </w:r>
      <w:r w:rsidRPr="00F33FC4">
        <w:rPr>
          <w:rFonts w:eastAsia="Calibri"/>
        </w:rPr>
        <w:sym w:font="Symbol" w:char="F061"/>
      </w:r>
      <w:r w:rsidRPr="00F33FC4">
        <w:rPr>
          <w:rFonts w:eastAsia="Calibri"/>
        </w:rPr>
        <w:t xml:space="preserve">-FLAG tag primary antibody and an </w:t>
      </w:r>
      <w:r w:rsidRPr="00F33FC4">
        <w:rPr>
          <w:rFonts w:eastAsia="Calibri"/>
        </w:rPr>
        <w:sym w:font="Symbol" w:char="F061"/>
      </w:r>
      <w:r w:rsidRPr="00F33FC4">
        <w:rPr>
          <w:rFonts w:eastAsia="Calibri"/>
        </w:rPr>
        <w:t xml:space="preserve">-IgG secondary antibody (LI-COR Biosciences) that fluoresces at 680 nm. </w:t>
      </w:r>
      <w:proofErr w:type="spellStart"/>
      <w:r w:rsidRPr="00F33FC4">
        <w:rPr>
          <w:rFonts w:eastAsia="Calibri"/>
        </w:rPr>
        <w:t>LepB</w:t>
      </w:r>
      <w:proofErr w:type="spellEnd"/>
      <w:r w:rsidRPr="00F33FC4">
        <w:rPr>
          <w:rFonts w:eastAsia="Calibri"/>
        </w:rPr>
        <w:t xml:space="preserve"> was tagged with SPA tag (UTK102) to serve as a loading control. For GFP detection, blots were probed with a rabbit derived anti-GFP primary antibody (Invitrogen) and an </w:t>
      </w:r>
      <w:r w:rsidRPr="00F33FC4">
        <w:rPr>
          <w:rFonts w:eastAsia="Calibri"/>
        </w:rPr>
        <w:sym w:font="Symbol" w:char="F061"/>
      </w:r>
      <w:r w:rsidRPr="00F33FC4">
        <w:rPr>
          <w:rFonts w:eastAsia="Calibri"/>
        </w:rPr>
        <w:t>-IgG secondary antibody (LI-COR Biosciences) that fluoresces at 800 n</w:t>
      </w:r>
      <w:bookmarkEnd w:id="8"/>
      <w:r w:rsidRPr="00F33FC4">
        <w:rPr>
          <w:rFonts w:eastAsia="Calibri"/>
        </w:rPr>
        <w:t xml:space="preserve">m. </w:t>
      </w:r>
    </w:p>
    <w:p w14:paraId="622CA85F" w14:textId="77777777" w:rsidR="00F33FC4" w:rsidRPr="00F33FC4" w:rsidRDefault="00F33FC4" w:rsidP="00F33FC4">
      <w:pPr>
        <w:spacing w:line="360" w:lineRule="auto"/>
        <w:ind w:firstLine="720"/>
        <w:rPr>
          <w:rFonts w:eastAsia="Calibri"/>
        </w:rPr>
      </w:pPr>
      <w:r w:rsidRPr="00F33FC4">
        <w:rPr>
          <w:rFonts w:eastAsia="Calibri"/>
          <w:iCs/>
        </w:rPr>
        <w:t>Subcellular fractionation was performed as described previously with modifications</w:t>
      </w:r>
      <w:r w:rsidRPr="00F33FC4">
        <w:rPr>
          <w:rFonts w:eastAsia="Calibri"/>
        </w:rPr>
        <w:t xml:space="preserve"> (26). Total protein lysate was ultracentrifuged (100,000 </w:t>
      </w:r>
      <w:r w:rsidRPr="00F33FC4">
        <w:rPr>
          <w:rFonts w:eastAsia="Calibri"/>
          <w:iCs/>
        </w:rPr>
        <w:t>g</w:t>
      </w:r>
      <w:r w:rsidRPr="00F33FC4">
        <w:rPr>
          <w:rFonts w:eastAsia="Calibri"/>
        </w:rPr>
        <w:t>, 4</w:t>
      </w:r>
      <w:r w:rsidRPr="00F33FC4">
        <w:rPr>
          <w:rFonts w:eastAsia="Calibri"/>
          <w:vertAlign w:val="superscript"/>
        </w:rPr>
        <w:t>o</w:t>
      </w:r>
      <w:r w:rsidRPr="00F33FC4">
        <w:rPr>
          <w:rFonts w:eastAsia="Calibri"/>
        </w:rPr>
        <w:t>C, 45 min) to yield supernatant (cytoplasmic proteins) and a pellet (membrane proteins). For separation of inner and outer membrane proteins, the pellet was washed with PBS and resuspended in 500</w:t>
      </w:r>
      <w:r w:rsidRPr="00F33FC4">
        <w:rPr>
          <w:rFonts w:eastAsia="Calibri"/>
        </w:rPr>
        <w:sym w:font="Symbol" w:char="F06D"/>
      </w:r>
      <w:r w:rsidRPr="00F33FC4">
        <w:rPr>
          <w:rFonts w:eastAsia="Calibri"/>
        </w:rPr>
        <w:t xml:space="preserve">l of 0.5% sodium-lauryl </w:t>
      </w:r>
      <w:proofErr w:type="spellStart"/>
      <w:r w:rsidRPr="00F33FC4">
        <w:rPr>
          <w:rFonts w:eastAsia="Calibri"/>
        </w:rPr>
        <w:t>sarcosinate</w:t>
      </w:r>
      <w:proofErr w:type="spellEnd"/>
      <w:r w:rsidRPr="00F33FC4">
        <w:rPr>
          <w:rFonts w:eastAsia="Calibri"/>
        </w:rPr>
        <w:t xml:space="preserve">, incubated at room temperature for 30 min, and ultracentrifuged (100,000 </w:t>
      </w:r>
      <w:r w:rsidRPr="00F33FC4">
        <w:rPr>
          <w:rFonts w:eastAsia="Calibri"/>
          <w:iCs/>
        </w:rPr>
        <w:t>g</w:t>
      </w:r>
      <w:r w:rsidRPr="00F33FC4">
        <w:rPr>
          <w:rFonts w:eastAsia="Calibri"/>
        </w:rPr>
        <w:t>, 4</w:t>
      </w:r>
      <w:r w:rsidRPr="00F33FC4">
        <w:rPr>
          <w:rFonts w:eastAsia="Calibri"/>
          <w:vertAlign w:val="superscript"/>
        </w:rPr>
        <w:t>o</w:t>
      </w:r>
      <w:r w:rsidRPr="00F33FC4">
        <w:rPr>
          <w:rFonts w:eastAsia="Calibri"/>
        </w:rPr>
        <w:t xml:space="preserve">C, 15 min). The supernatant and pellet corresponded to the inner and outer membrane fractions respectively. Then inner membrane fraction was transferred and acetone precipitated while the pellet was washed with 0.5% sodium-lauryl </w:t>
      </w:r>
      <w:proofErr w:type="spellStart"/>
      <w:r w:rsidRPr="00F33FC4">
        <w:rPr>
          <w:rFonts w:eastAsia="Calibri"/>
        </w:rPr>
        <w:t>sarcosinate</w:t>
      </w:r>
      <w:proofErr w:type="spellEnd"/>
      <w:r w:rsidRPr="00F33FC4">
        <w:rPr>
          <w:rFonts w:eastAsia="Calibri"/>
        </w:rPr>
        <w:t xml:space="preserve"> and then resuspended in PBS.</w:t>
      </w:r>
    </w:p>
    <w:p w14:paraId="6644349A" w14:textId="77777777" w:rsidR="00F33FC4" w:rsidRPr="00F33FC4" w:rsidRDefault="00F33FC4" w:rsidP="00F33FC4">
      <w:pPr>
        <w:spacing w:line="360" w:lineRule="auto"/>
        <w:ind w:firstLine="720"/>
        <w:rPr>
          <w:rFonts w:eastAsia="Calibri"/>
        </w:rPr>
      </w:pPr>
      <w:r w:rsidRPr="00F33FC4">
        <w:rPr>
          <w:rFonts w:eastAsia="Calibri"/>
        </w:rPr>
        <w:t>Protein samples (20</w:t>
      </w:r>
      <w:r w:rsidRPr="00F33FC4">
        <w:rPr>
          <w:rFonts w:eastAsia="Calibri"/>
        </w:rPr>
        <w:sym w:font="Symbol" w:char="F06D"/>
      </w:r>
      <w:r w:rsidRPr="00F33FC4">
        <w:rPr>
          <w:rFonts w:eastAsia="Calibri"/>
        </w:rPr>
        <w:t xml:space="preserve">g) were loaded onto </w:t>
      </w:r>
      <w:proofErr w:type="spellStart"/>
      <w:r w:rsidRPr="00F33FC4">
        <w:rPr>
          <w:rFonts w:eastAsia="Calibri"/>
        </w:rPr>
        <w:t>Novex</w:t>
      </w:r>
      <w:proofErr w:type="spellEnd"/>
      <w:r w:rsidRPr="00F33FC4">
        <w:rPr>
          <w:rFonts w:eastAsia="Calibri"/>
        </w:rPr>
        <w:t xml:space="preserve"> 10-20% Tricine gels and transferred to an immobilon-FL membrane. Blots were probed with </w:t>
      </w:r>
      <w:r w:rsidRPr="00F33FC4">
        <w:rPr>
          <w:rFonts w:eastAsia="Calibri"/>
        </w:rPr>
        <w:sym w:font="Symbol" w:char="F061"/>
      </w:r>
      <w:r w:rsidRPr="00F33FC4">
        <w:rPr>
          <w:rFonts w:eastAsia="Calibri"/>
        </w:rPr>
        <w:t>-FLAG (</w:t>
      </w:r>
      <w:proofErr w:type="spellStart"/>
      <w:r w:rsidRPr="00F33FC4">
        <w:rPr>
          <w:rFonts w:eastAsia="Calibri"/>
        </w:rPr>
        <w:t>BioLegend</w:t>
      </w:r>
      <w:proofErr w:type="spellEnd"/>
      <w:r w:rsidRPr="00F33FC4">
        <w:rPr>
          <w:rFonts w:eastAsia="Calibri"/>
        </w:rPr>
        <w:t xml:space="preserve">) and </w:t>
      </w:r>
      <w:r w:rsidRPr="00F33FC4">
        <w:rPr>
          <w:rFonts w:eastAsia="Calibri"/>
        </w:rPr>
        <w:sym w:font="Symbol" w:char="F061"/>
      </w:r>
      <w:r w:rsidRPr="00F33FC4">
        <w:rPr>
          <w:rFonts w:eastAsia="Calibri"/>
        </w:rPr>
        <w:t>-</w:t>
      </w:r>
      <w:proofErr w:type="spellStart"/>
      <w:r w:rsidRPr="00F33FC4">
        <w:rPr>
          <w:rFonts w:eastAsia="Calibri"/>
        </w:rPr>
        <w:t>OmpA</w:t>
      </w:r>
      <w:proofErr w:type="spellEnd"/>
      <w:r w:rsidRPr="00F33FC4">
        <w:rPr>
          <w:rFonts w:eastAsia="Calibri"/>
        </w:rPr>
        <w:t xml:space="preserve"> primary antibodies (Antibody Research Corporation) and </w:t>
      </w:r>
      <w:r w:rsidRPr="00F33FC4">
        <w:rPr>
          <w:rFonts w:eastAsia="Calibri"/>
        </w:rPr>
        <w:sym w:font="Symbol" w:char="F061"/>
      </w:r>
      <w:r w:rsidRPr="00F33FC4">
        <w:rPr>
          <w:rFonts w:eastAsia="Calibri"/>
        </w:rPr>
        <w:t xml:space="preserve">-IgG secondary antibodies (LI-COR Biosciences) fluorescing at 680 nm and 800 nm respectively. </w:t>
      </w:r>
    </w:p>
    <w:p w14:paraId="61A2EDF5" w14:textId="77777777" w:rsidR="00F33FC4" w:rsidRPr="00F33FC4" w:rsidRDefault="00F33FC4" w:rsidP="00F33FC4">
      <w:pPr>
        <w:spacing w:line="360" w:lineRule="auto"/>
        <w:ind w:firstLine="720"/>
        <w:rPr>
          <w:rFonts w:eastAsia="Calibri"/>
        </w:rPr>
      </w:pPr>
      <w:r w:rsidRPr="00F33FC4">
        <w:rPr>
          <w:rFonts w:eastAsia="Calibri"/>
        </w:rPr>
        <w:t>Dot blots were performed by spot inoculating a nitrocellulose membrane with 10</w:t>
      </w:r>
      <w:r w:rsidRPr="00F33FC4">
        <w:rPr>
          <w:rFonts w:eastAsia="Calibri"/>
        </w:rPr>
        <w:sym w:font="Symbol" w:char="F06D"/>
      </w:r>
      <w:r w:rsidRPr="00F33FC4">
        <w:rPr>
          <w:rFonts w:eastAsia="Calibri"/>
        </w:rPr>
        <w:t>l of the sample containing 10</w:t>
      </w:r>
      <w:r w:rsidRPr="00F33FC4">
        <w:rPr>
          <w:rFonts w:eastAsia="Calibri"/>
        </w:rPr>
        <w:sym w:font="Symbol" w:char="F06D"/>
      </w:r>
      <w:r w:rsidRPr="00F33FC4">
        <w:rPr>
          <w:rFonts w:eastAsia="Calibri"/>
        </w:rPr>
        <w:t>g or 20</w:t>
      </w:r>
      <w:r w:rsidRPr="00F33FC4">
        <w:rPr>
          <w:rFonts w:eastAsia="Calibri"/>
        </w:rPr>
        <w:sym w:font="Symbol" w:char="F06D"/>
      </w:r>
      <w:r w:rsidRPr="00F33FC4">
        <w:rPr>
          <w:rFonts w:eastAsia="Calibri"/>
        </w:rPr>
        <w:t xml:space="preserve">g protein and processing the membrane as above (probed with </w:t>
      </w:r>
      <w:r w:rsidRPr="00F33FC4">
        <w:rPr>
          <w:rFonts w:eastAsia="Calibri"/>
        </w:rPr>
        <w:sym w:font="Symbol" w:char="F061"/>
      </w:r>
      <w:r w:rsidRPr="00F33FC4">
        <w:rPr>
          <w:rFonts w:eastAsia="Calibri"/>
        </w:rPr>
        <w:t xml:space="preserve">-FLAG primary antibody </w:t>
      </w:r>
      <w:r w:rsidRPr="00F33FC4">
        <w:rPr>
          <w:rFonts w:eastAsia="Calibri"/>
        </w:rPr>
        <w:sym w:font="Symbol" w:char="F061"/>
      </w:r>
      <w:r w:rsidRPr="00F33FC4">
        <w:rPr>
          <w:rFonts w:eastAsia="Calibri"/>
        </w:rPr>
        <w:t>-IgG secondary antibody) (33).</w:t>
      </w:r>
    </w:p>
    <w:p w14:paraId="428FAD11" w14:textId="77777777" w:rsidR="00F33FC4" w:rsidRPr="00F33FC4" w:rsidRDefault="00F33FC4" w:rsidP="00F33FC4">
      <w:pPr>
        <w:spacing w:line="360" w:lineRule="auto"/>
        <w:rPr>
          <w:rFonts w:eastAsia="Calibri"/>
        </w:rPr>
      </w:pPr>
      <w:r w:rsidRPr="00F33FC4">
        <w:rPr>
          <w:rFonts w:eastAsia="Calibri"/>
          <w:b/>
        </w:rPr>
        <w:lastRenderedPageBreak/>
        <w:t xml:space="preserve">Microscopic image of colonies expressing GFP under different 5’ UTR variants. </w:t>
      </w:r>
      <w:r w:rsidRPr="00F33FC4">
        <w:rPr>
          <w:rFonts w:eastAsia="Calibri"/>
          <w:bCs/>
        </w:rPr>
        <w:t>Overnight cultures of UTK007 cells transformed with either pAZ3-</w:t>
      </w:r>
      <w:r w:rsidRPr="00F33FC4">
        <w:rPr>
          <w:rFonts w:eastAsia="Calibri"/>
          <w:bCs/>
          <w:i/>
          <w:iCs/>
        </w:rPr>
        <w:t>zorO</w:t>
      </w:r>
      <w:r w:rsidRPr="00F33FC4">
        <w:rPr>
          <w:rFonts w:eastAsia="Calibri"/>
          <w:bCs/>
        </w:rPr>
        <w:t>-UTR-</w:t>
      </w:r>
      <w:r w:rsidRPr="00F33FC4">
        <w:rPr>
          <w:rFonts w:eastAsia="Calibri"/>
          <w:bCs/>
          <w:i/>
          <w:iCs/>
        </w:rPr>
        <w:t>gfp</w:t>
      </w:r>
      <w:r w:rsidRPr="00F33FC4">
        <w:rPr>
          <w:rFonts w:eastAsia="Calibri"/>
          <w:bCs/>
        </w:rPr>
        <w:t xml:space="preserve"> or pAZ3-</w:t>
      </w:r>
      <w:r w:rsidRPr="00F33FC4">
        <w:rPr>
          <w:rFonts w:eastAsia="Calibri"/>
        </w:rPr>
        <w:sym w:font="Symbol" w:char="F044"/>
      </w:r>
      <w:r w:rsidRPr="00F33FC4">
        <w:rPr>
          <w:rFonts w:eastAsia="Calibri"/>
        </w:rPr>
        <w:t>28-UTR-</w:t>
      </w:r>
      <w:r w:rsidRPr="00F33FC4">
        <w:rPr>
          <w:rFonts w:eastAsia="Calibri"/>
          <w:i/>
          <w:iCs/>
        </w:rPr>
        <w:t>gfp</w:t>
      </w:r>
      <w:r w:rsidRPr="00F33FC4">
        <w:rPr>
          <w:rFonts w:eastAsia="Calibri"/>
        </w:rPr>
        <w:t xml:space="preserve"> were serially diluted and plated on LB with 25 </w:t>
      </w:r>
      <w:r w:rsidRPr="00F33FC4">
        <w:rPr>
          <w:rFonts w:eastAsia="Calibri"/>
        </w:rPr>
        <w:sym w:font="Symbol" w:char="F06D"/>
      </w:r>
      <w:r w:rsidRPr="00F33FC4">
        <w:rPr>
          <w:rFonts w:eastAsia="Calibri"/>
        </w:rPr>
        <w:t>g/ml chloramphenicol and 13.32 mM arabinose. The plates with 30-300 colonies were used to image under all-in-one fluorescence microscope BZ-X710 using bright field and green fluorescent channel with 2X magnification.</w:t>
      </w:r>
    </w:p>
    <w:p w14:paraId="1CEF2F95" w14:textId="428527AF" w:rsidR="00F33FC4" w:rsidRPr="00F33FC4" w:rsidRDefault="00F33FC4" w:rsidP="00F33FC4">
      <w:pPr>
        <w:spacing w:line="360" w:lineRule="auto"/>
        <w:rPr>
          <w:rFonts w:eastAsia="Calibri"/>
        </w:rPr>
      </w:pPr>
      <w:r w:rsidRPr="00F33FC4">
        <w:rPr>
          <w:rFonts w:eastAsia="Calibri"/>
          <w:b/>
        </w:rPr>
        <w:t>Membrane depolarization assay</w:t>
      </w:r>
      <w:bookmarkEnd w:id="7"/>
      <w:r w:rsidRPr="00F33FC4">
        <w:rPr>
          <w:rFonts w:eastAsia="Calibri"/>
          <w:b/>
        </w:rPr>
        <w:t>.</w:t>
      </w:r>
      <w:r w:rsidR="000725B7">
        <w:rPr>
          <w:rFonts w:eastAsia="Calibri"/>
        </w:rPr>
        <w:t xml:space="preserve"> </w:t>
      </w:r>
      <w:r w:rsidRPr="00F33FC4">
        <w:rPr>
          <w:rFonts w:eastAsia="Calibri"/>
        </w:rPr>
        <w:t xml:space="preserve">Membrane potential sensitive dye Bis-(1,3-dibtylbarbituric acid) </w:t>
      </w:r>
      <w:proofErr w:type="spellStart"/>
      <w:r w:rsidRPr="00F33FC4">
        <w:rPr>
          <w:rFonts w:eastAsia="Calibri"/>
        </w:rPr>
        <w:t>trimethine</w:t>
      </w:r>
      <w:proofErr w:type="spellEnd"/>
      <w:r w:rsidRPr="00F33FC4">
        <w:rPr>
          <w:rFonts w:eastAsia="Calibri"/>
        </w:rPr>
        <w:t xml:space="preserve"> </w:t>
      </w:r>
      <w:proofErr w:type="spellStart"/>
      <w:r w:rsidRPr="00F33FC4">
        <w:rPr>
          <w:rFonts w:eastAsia="Calibri"/>
        </w:rPr>
        <w:t>oxonol</w:t>
      </w:r>
      <w:proofErr w:type="spellEnd"/>
      <w:r w:rsidRPr="00F33FC4">
        <w:rPr>
          <w:rFonts w:eastAsia="Calibri"/>
        </w:rPr>
        <w:t xml:space="preserve"> (DiBAC</w:t>
      </w:r>
      <w:r w:rsidRPr="00F33FC4">
        <w:rPr>
          <w:rFonts w:eastAsia="Calibri"/>
          <w:vertAlign w:val="subscript"/>
        </w:rPr>
        <w:t>4</w:t>
      </w:r>
      <w:r w:rsidRPr="00F33FC4">
        <w:rPr>
          <w:rFonts w:eastAsia="Calibri"/>
        </w:rPr>
        <w:t xml:space="preserve">-3; </w:t>
      </w:r>
      <w:proofErr w:type="spellStart"/>
      <w:r w:rsidRPr="00F33FC4">
        <w:rPr>
          <w:rFonts w:eastAsia="Calibri"/>
        </w:rPr>
        <w:t>InvitrogenTM</w:t>
      </w:r>
      <w:proofErr w:type="spellEnd"/>
      <w:r w:rsidRPr="00F33FC4">
        <w:rPr>
          <w:rFonts w:eastAsia="Calibri"/>
        </w:rPr>
        <w:t xml:space="preserve">) was used to determine the effect of </w:t>
      </w:r>
      <w:proofErr w:type="spellStart"/>
      <w:r w:rsidRPr="00F33FC4">
        <w:rPr>
          <w:rFonts w:eastAsia="Calibri"/>
        </w:rPr>
        <w:t>ZorO</w:t>
      </w:r>
      <w:proofErr w:type="spellEnd"/>
      <w:r w:rsidRPr="00F33FC4">
        <w:rPr>
          <w:rFonts w:eastAsia="Calibri"/>
        </w:rPr>
        <w:t xml:space="preserve"> production on membrane depolarization. A 25 mg/mL stock solution was prepared in dimethyl sulfoxide. At indicated time points, 50-100 </w:t>
      </w:r>
      <w:r w:rsidRPr="00F33FC4">
        <w:rPr>
          <w:rFonts w:eastAsia="Calibri"/>
        </w:rPr>
        <w:sym w:font="Symbol" w:char="F06D"/>
      </w:r>
      <w:r w:rsidRPr="00F33FC4">
        <w:rPr>
          <w:rFonts w:eastAsia="Calibri"/>
        </w:rPr>
        <w:t xml:space="preserve">l of culture was taken, flooded with 4ml </w:t>
      </w:r>
      <w:r w:rsidR="00D25092">
        <w:rPr>
          <w:rFonts w:eastAsia="Calibri"/>
        </w:rPr>
        <w:t>1X phosphate buffer saline (1X</w:t>
      </w:r>
      <w:r w:rsidRPr="00F33FC4">
        <w:rPr>
          <w:rFonts w:eastAsia="Calibri"/>
        </w:rPr>
        <w:t>PBS</w:t>
      </w:r>
      <w:r w:rsidR="00D25092">
        <w:rPr>
          <w:rFonts w:eastAsia="Calibri"/>
        </w:rPr>
        <w:t>)</w:t>
      </w:r>
      <w:r w:rsidRPr="00F33FC4">
        <w:rPr>
          <w:rFonts w:eastAsia="Calibri"/>
        </w:rPr>
        <w:t xml:space="preserve"> and centrifuged for 10 min at 4</w:t>
      </w:r>
      <w:r w:rsidRPr="00F33FC4">
        <w:rPr>
          <w:rFonts w:eastAsia="Calibri"/>
          <w:vertAlign w:val="superscript"/>
        </w:rPr>
        <w:t>o</w:t>
      </w:r>
      <w:r w:rsidRPr="00F33FC4">
        <w:rPr>
          <w:rFonts w:eastAsia="Calibri"/>
        </w:rPr>
        <w:t>C. Cells were resuspended in 1 ml PBS and stained with DiBAC</w:t>
      </w:r>
      <w:r w:rsidRPr="00F33FC4">
        <w:rPr>
          <w:rFonts w:eastAsia="Calibri"/>
          <w:vertAlign w:val="subscript"/>
        </w:rPr>
        <w:t>4</w:t>
      </w:r>
      <w:r w:rsidRPr="00F33FC4">
        <w:rPr>
          <w:rFonts w:eastAsia="Calibri"/>
        </w:rPr>
        <w:t xml:space="preserve">-3 (10 </w:t>
      </w:r>
      <w:r w:rsidRPr="00F33FC4">
        <w:rPr>
          <w:rFonts w:eastAsia="Calibri"/>
        </w:rPr>
        <w:sym w:font="Symbol" w:char="F06D"/>
      </w:r>
      <w:r w:rsidRPr="00F33FC4">
        <w:rPr>
          <w:rFonts w:eastAsia="Calibri"/>
        </w:rPr>
        <w:t xml:space="preserve">g/ml final concentration) for 20 min in the dark. After two steps of washing with </w:t>
      </w:r>
      <w:r w:rsidR="00D25092">
        <w:rPr>
          <w:rFonts w:eastAsia="Calibri"/>
        </w:rPr>
        <w:t>1X</w:t>
      </w:r>
      <w:r w:rsidRPr="00F33FC4">
        <w:rPr>
          <w:rFonts w:eastAsia="Calibri"/>
        </w:rPr>
        <w:t xml:space="preserve">PBS, cells were re-suspended in 0.5 ml of </w:t>
      </w:r>
      <w:r w:rsidR="00D25092">
        <w:rPr>
          <w:rFonts w:eastAsia="Calibri"/>
        </w:rPr>
        <w:t>1X</w:t>
      </w:r>
      <w:r w:rsidRPr="00F33FC4">
        <w:rPr>
          <w:rFonts w:eastAsia="Calibri"/>
        </w:rPr>
        <w:t xml:space="preserve">PBS and analyzed by flow cytometry in an LSR II flow cytometer (Becton Dickinson) with a 488-nm laser. Samples were run at ~3000 events per second and fluorescence was collected in the fluorescein isothiocyanate (FITC) channel. Data was analyzed using </w:t>
      </w:r>
      <w:proofErr w:type="spellStart"/>
      <w:r w:rsidRPr="00F33FC4">
        <w:rPr>
          <w:rFonts w:eastAsia="Calibri"/>
        </w:rPr>
        <w:t>FlowJo</w:t>
      </w:r>
      <w:proofErr w:type="spellEnd"/>
      <w:r w:rsidRPr="00F33FC4">
        <w:rPr>
          <w:rFonts w:eastAsia="Calibri"/>
        </w:rPr>
        <w:t xml:space="preserve"> software package (</w:t>
      </w:r>
      <w:proofErr w:type="spellStart"/>
      <w:r w:rsidRPr="00F33FC4">
        <w:rPr>
          <w:rFonts w:eastAsia="Calibri"/>
        </w:rPr>
        <w:t>FlowJo</w:t>
      </w:r>
      <w:proofErr w:type="spellEnd"/>
      <w:r w:rsidRPr="00F33FC4">
        <w:rPr>
          <w:rFonts w:eastAsia="Calibri"/>
        </w:rPr>
        <w:t xml:space="preserve"> LLC, Ashland, OR, USA)</w:t>
      </w:r>
      <w:bookmarkStart w:id="9" w:name="MPSection:7ECDC470-71C4-4D0C-FF80-DEC260"/>
      <w:r w:rsidRPr="00F33FC4">
        <w:rPr>
          <w:rFonts w:eastAsia="Calibri"/>
        </w:rPr>
        <w:t xml:space="preserve"> such that the cells showing at least 10</w:t>
      </w:r>
      <w:r w:rsidRPr="00F33FC4">
        <w:rPr>
          <w:rFonts w:eastAsia="Calibri"/>
          <w:vertAlign w:val="superscript"/>
        </w:rPr>
        <w:t>3</w:t>
      </w:r>
      <w:r w:rsidRPr="00F33FC4">
        <w:rPr>
          <w:rFonts w:eastAsia="Calibri"/>
        </w:rPr>
        <w:t xml:space="preserve"> </w:t>
      </w:r>
      <w:proofErr w:type="spellStart"/>
      <w:r w:rsidRPr="00F33FC4">
        <w:rPr>
          <w:rFonts w:eastAsia="Calibri"/>
        </w:rPr>
        <w:t>abu</w:t>
      </w:r>
      <w:proofErr w:type="spellEnd"/>
      <w:r w:rsidRPr="00F33FC4">
        <w:rPr>
          <w:rFonts w:eastAsia="Calibri"/>
        </w:rPr>
        <w:t xml:space="preserve"> or more fluorescence were gated and mean fluorescence intensity was obtained. All tests were done with a minimum of three biological replicates.</w:t>
      </w:r>
    </w:p>
    <w:p w14:paraId="1F0128C5" w14:textId="77777777" w:rsidR="00F33FC4" w:rsidRPr="00F33FC4" w:rsidRDefault="00F33FC4" w:rsidP="00F33FC4">
      <w:pPr>
        <w:spacing w:line="360" w:lineRule="auto"/>
        <w:rPr>
          <w:rFonts w:eastAsia="Calibri"/>
        </w:rPr>
      </w:pPr>
      <w:r w:rsidRPr="00F33FC4">
        <w:rPr>
          <w:rFonts w:eastAsia="Calibri"/>
          <w:b/>
        </w:rPr>
        <w:t xml:space="preserve">ATP measurements. </w:t>
      </w:r>
      <w:bookmarkEnd w:id="9"/>
      <w:r w:rsidRPr="00F33FC4">
        <w:rPr>
          <w:rFonts w:eastAsia="Calibri"/>
        </w:rPr>
        <w:t xml:space="preserve">ATP levels were measured using </w:t>
      </w:r>
      <w:proofErr w:type="spellStart"/>
      <w:r w:rsidRPr="00F33FC4">
        <w:rPr>
          <w:rFonts w:eastAsia="Calibri"/>
        </w:rPr>
        <w:t>BacTiter</w:t>
      </w:r>
      <w:proofErr w:type="spellEnd"/>
      <w:r w:rsidRPr="00F33FC4">
        <w:rPr>
          <w:rFonts w:eastAsia="Calibri"/>
        </w:rPr>
        <w:t xml:space="preserve"> Glo ATP Assay System Bioluminescence Detection Kit for ATP Measurement (Promega) according to the manufacturer’s instructions. </w:t>
      </w:r>
      <w:bookmarkStart w:id="10" w:name="MPSection:58B298B0-44E1-4E00-BF17-84077C"/>
      <w:r w:rsidRPr="00F33FC4">
        <w:rPr>
          <w:rFonts w:eastAsia="Calibri"/>
        </w:rPr>
        <w:t>The observed relative luciferase unit (RLU) values were normalized to the OD</w:t>
      </w:r>
      <w:r w:rsidRPr="00F33FC4">
        <w:rPr>
          <w:rFonts w:eastAsia="Calibri"/>
          <w:vertAlign w:val="subscript"/>
        </w:rPr>
        <w:t>600</w:t>
      </w:r>
      <w:r w:rsidRPr="00F33FC4">
        <w:rPr>
          <w:rFonts w:eastAsia="Calibri"/>
        </w:rPr>
        <w:t xml:space="preserve"> at the time of cell harvest. A minimum of three biological replicates were performed per strain/condition. To determine ATP leakage, ATP measurements of the spent medium were determined. Cells were pelleted at indicated time points after </w:t>
      </w:r>
      <w:proofErr w:type="spellStart"/>
      <w:r w:rsidRPr="00F33FC4">
        <w:rPr>
          <w:rFonts w:eastAsia="Calibri"/>
        </w:rPr>
        <w:t>ZorO</w:t>
      </w:r>
      <w:proofErr w:type="spellEnd"/>
      <w:r w:rsidRPr="00F33FC4">
        <w:rPr>
          <w:rFonts w:eastAsia="Calibri"/>
        </w:rPr>
        <w:t xml:space="preserve"> overproduction and 100</w:t>
      </w:r>
      <w:r w:rsidRPr="00F33FC4">
        <w:rPr>
          <w:rFonts w:eastAsia="Calibri"/>
        </w:rPr>
        <w:sym w:font="Symbol" w:char="F06D"/>
      </w:r>
      <w:r w:rsidRPr="00F33FC4">
        <w:rPr>
          <w:rFonts w:eastAsia="Calibri"/>
        </w:rPr>
        <w:t xml:space="preserve">l of the supernatant was used to measure the ATP concentration. As a control, cells carrying empty vector were treated with 5% (final concentration) of butanol for 5 min and ATP measurements of the spent medium were determined as above. </w:t>
      </w:r>
    </w:p>
    <w:p w14:paraId="0A85C58B" w14:textId="77777777" w:rsidR="00F33FC4" w:rsidRPr="00F33FC4" w:rsidRDefault="00F33FC4" w:rsidP="00F33FC4">
      <w:pPr>
        <w:spacing w:line="360" w:lineRule="auto"/>
        <w:rPr>
          <w:rFonts w:eastAsia="Calibri"/>
        </w:rPr>
      </w:pPr>
      <w:r w:rsidRPr="00F33FC4">
        <w:rPr>
          <w:rFonts w:eastAsia="Calibri"/>
          <w:b/>
        </w:rPr>
        <w:lastRenderedPageBreak/>
        <w:t xml:space="preserve">Circular dichroism (CD). </w:t>
      </w:r>
      <w:r w:rsidRPr="00F33FC4">
        <w:rPr>
          <w:rFonts w:eastAsia="Calibri"/>
        </w:rPr>
        <w:t xml:space="preserve">The </w:t>
      </w:r>
      <w:proofErr w:type="spellStart"/>
      <w:r w:rsidRPr="00F33FC4">
        <w:rPr>
          <w:rFonts w:eastAsia="Calibri"/>
        </w:rPr>
        <w:t>ZorO</w:t>
      </w:r>
      <w:proofErr w:type="spellEnd"/>
      <w:r w:rsidRPr="00F33FC4">
        <w:rPr>
          <w:rFonts w:eastAsia="Calibri"/>
        </w:rPr>
        <w:t xml:space="preserve"> peptide was synthesized using Fmoc chemistry by </w:t>
      </w:r>
      <w:proofErr w:type="spellStart"/>
      <w:r w:rsidRPr="00F33FC4">
        <w:rPr>
          <w:rFonts w:eastAsia="Calibri"/>
        </w:rPr>
        <w:t>ThermoFisher</w:t>
      </w:r>
      <w:proofErr w:type="spellEnd"/>
      <w:r w:rsidRPr="00F33FC4">
        <w:rPr>
          <w:rFonts w:eastAsia="Calibri"/>
        </w:rPr>
        <w:t xml:space="preserve">. The peptide sample had a purity of &gt;95%, as assessed via HPLC. Peptide identity was determined by MALDI-TOF. Chloroform stocks of the synthetic lipids DOPE and DOPG (Avanti Polar Lipids) were dried and resuspended with a methanol solution of </w:t>
      </w:r>
      <w:proofErr w:type="spellStart"/>
      <w:r w:rsidRPr="00F33FC4">
        <w:rPr>
          <w:rFonts w:eastAsia="Calibri"/>
        </w:rPr>
        <w:t>ZorO</w:t>
      </w:r>
      <w:proofErr w:type="spellEnd"/>
      <w:r w:rsidRPr="00F33FC4">
        <w:rPr>
          <w:rFonts w:eastAsia="Calibri"/>
        </w:rPr>
        <w:t xml:space="preserve">. The resulting solution was dried first with a stream of Argon, followed by overnight incubation under vacuum. Large </w:t>
      </w:r>
      <w:proofErr w:type="spellStart"/>
      <w:r w:rsidRPr="00F33FC4">
        <w:rPr>
          <w:rFonts w:eastAsia="Calibri"/>
        </w:rPr>
        <w:t>unilamellar</w:t>
      </w:r>
      <w:proofErr w:type="spellEnd"/>
      <w:r w:rsidRPr="00F33FC4">
        <w:rPr>
          <w:rFonts w:eastAsia="Calibri"/>
        </w:rPr>
        <w:t xml:space="preserve"> vesicles containing </w:t>
      </w:r>
      <w:proofErr w:type="spellStart"/>
      <w:r w:rsidRPr="00F33FC4">
        <w:rPr>
          <w:rFonts w:eastAsia="Calibri"/>
        </w:rPr>
        <w:t>ZorO</w:t>
      </w:r>
      <w:proofErr w:type="spellEnd"/>
      <w:r w:rsidRPr="00F33FC4">
        <w:rPr>
          <w:rFonts w:eastAsia="Calibri"/>
        </w:rPr>
        <w:t xml:space="preserve"> reconstituted in the lipid bilayer were formed by extrusion. Standard and oriented CD experiments were performed as described previously (34, 35).</w:t>
      </w:r>
    </w:p>
    <w:p w14:paraId="48F80CE8" w14:textId="3BA9769C" w:rsidR="00F33FC4" w:rsidRPr="00F33FC4" w:rsidRDefault="00F33FC4" w:rsidP="00F33FC4">
      <w:pPr>
        <w:spacing w:line="360" w:lineRule="auto"/>
        <w:rPr>
          <w:rFonts w:eastAsia="Calibri"/>
          <w:b/>
        </w:rPr>
      </w:pPr>
      <w:r w:rsidRPr="00F33FC4">
        <w:rPr>
          <w:rFonts w:eastAsia="Calibri"/>
          <w:b/>
        </w:rPr>
        <w:t>Membrane leakage experiments in vesicles.</w:t>
      </w:r>
      <w:r w:rsidR="000725B7">
        <w:rPr>
          <w:rFonts w:eastAsia="Calibri"/>
        </w:rPr>
        <w:t xml:space="preserve"> </w:t>
      </w:r>
      <w:r w:rsidRPr="00F33FC4">
        <w:rPr>
          <w:rFonts w:eastAsia="Calibri"/>
        </w:rPr>
        <w:t xml:space="preserve">Leakage experiments were performed after encapsulation of </w:t>
      </w:r>
      <w:proofErr w:type="spellStart"/>
      <w:r w:rsidRPr="00F33FC4">
        <w:rPr>
          <w:rFonts w:eastAsia="Calibri"/>
        </w:rPr>
        <w:t>calcein</w:t>
      </w:r>
      <w:proofErr w:type="spellEnd"/>
      <w:r w:rsidRPr="00F33FC4">
        <w:rPr>
          <w:rFonts w:eastAsia="Calibri"/>
        </w:rPr>
        <w:t xml:space="preserve"> as described elsewhere (36). </w:t>
      </w:r>
      <w:proofErr w:type="spellStart"/>
      <w:r w:rsidRPr="00F33FC4">
        <w:rPr>
          <w:rFonts w:eastAsia="Calibri"/>
        </w:rPr>
        <w:t>ZorO</w:t>
      </w:r>
      <w:proofErr w:type="spellEnd"/>
      <w:r w:rsidRPr="00F33FC4">
        <w:rPr>
          <w:rFonts w:eastAsia="Calibri"/>
        </w:rPr>
        <w:t xml:space="preserve"> was added from methanol stocks at a 1% v/v final concentration of methanol. No methanol induced leakage was observed. 1% (v/v) Triton X-100 was added to the sample to obtain total </w:t>
      </w:r>
      <w:proofErr w:type="spellStart"/>
      <w:r w:rsidRPr="00F33FC4">
        <w:rPr>
          <w:rFonts w:eastAsia="Calibri"/>
        </w:rPr>
        <w:t>calcein</w:t>
      </w:r>
      <w:proofErr w:type="spellEnd"/>
      <w:r w:rsidRPr="00F33FC4">
        <w:rPr>
          <w:rFonts w:eastAsia="Calibri"/>
        </w:rPr>
        <w:t xml:space="preserve"> release and the fluorescence corresponding to this sample was used for normalization.</w:t>
      </w:r>
    </w:p>
    <w:p w14:paraId="6F140EF3" w14:textId="6543A804" w:rsidR="00F33FC4" w:rsidRPr="00F33FC4" w:rsidRDefault="00F33FC4" w:rsidP="00F33FC4">
      <w:pPr>
        <w:spacing w:line="360" w:lineRule="auto"/>
        <w:rPr>
          <w:rFonts w:eastAsia="Calibri"/>
          <w:bCs/>
        </w:rPr>
      </w:pPr>
      <w:r w:rsidRPr="00F33FC4">
        <w:rPr>
          <w:rFonts w:eastAsia="Calibri"/>
          <w:b/>
        </w:rPr>
        <w:t>Scanning Electron Microscopy (SEM).</w:t>
      </w:r>
      <w:r w:rsidR="000725B7">
        <w:rPr>
          <w:rFonts w:eastAsia="Calibri"/>
          <w:bCs/>
        </w:rPr>
        <w:t xml:space="preserve"> </w:t>
      </w:r>
      <w:r w:rsidRPr="00F33FC4">
        <w:rPr>
          <w:rFonts w:eastAsia="Calibri"/>
          <w:bCs/>
        </w:rPr>
        <w:t>Cells harboring either empty vector pAZ3 or P</w:t>
      </w:r>
      <w:r w:rsidRPr="00F33FC4">
        <w:rPr>
          <w:rFonts w:eastAsia="Calibri"/>
          <w:bCs/>
          <w:vertAlign w:val="subscript"/>
        </w:rPr>
        <w:t>BAD</w:t>
      </w:r>
      <w:r w:rsidRPr="00F33FC4">
        <w:rPr>
          <w:rFonts w:eastAsia="Calibri"/>
          <w:bCs/>
        </w:rPr>
        <w:t>-No-UTR-</w:t>
      </w:r>
      <w:proofErr w:type="spellStart"/>
      <w:r w:rsidRPr="00F33FC4">
        <w:rPr>
          <w:rFonts w:eastAsia="Calibri"/>
          <w:bCs/>
          <w:i/>
          <w:iCs/>
        </w:rPr>
        <w:t>zorO</w:t>
      </w:r>
      <w:proofErr w:type="spellEnd"/>
      <w:r w:rsidRPr="00F33FC4">
        <w:rPr>
          <w:rFonts w:eastAsia="Calibri"/>
          <w:bCs/>
        </w:rPr>
        <w:t xml:space="preserve"> were grown in LB until mid-log phase (OD</w:t>
      </w:r>
      <w:r w:rsidRPr="00F33FC4">
        <w:rPr>
          <w:rFonts w:eastAsia="Calibri"/>
          <w:bCs/>
          <w:vertAlign w:val="subscript"/>
        </w:rPr>
        <w:t xml:space="preserve">600 </w:t>
      </w:r>
      <w:r w:rsidRPr="00F33FC4">
        <w:rPr>
          <w:rFonts w:eastAsia="Calibri"/>
          <w:bCs/>
        </w:rPr>
        <w:t>of</w:t>
      </w:r>
      <w:r w:rsidRPr="00F33FC4">
        <w:rPr>
          <w:rFonts w:eastAsia="Calibri"/>
          <w:bCs/>
          <w:vertAlign w:val="subscript"/>
        </w:rPr>
        <w:t xml:space="preserve"> </w:t>
      </w:r>
      <w:r w:rsidRPr="00F33FC4">
        <w:rPr>
          <w:rFonts w:eastAsia="Calibri"/>
          <w:bCs/>
        </w:rPr>
        <w:t>~0.3) and induced by adding 13.32 mM final concentration of arabinose. At 30 min post-induction, cells were harvested (50 ml) and washed twice with 1x PBS to remove media. Fixation was performed with glutaraldehyde (3% final concentration) for 1h. Cells were washed twice with distilled water and stored in 500</w:t>
      </w:r>
      <w:r w:rsidRPr="00F33FC4">
        <w:rPr>
          <w:rFonts w:eastAsia="Calibri"/>
          <w:bCs/>
        </w:rPr>
        <w:sym w:font="Symbol" w:char="F06D"/>
      </w:r>
      <w:r w:rsidRPr="00F33FC4">
        <w:rPr>
          <w:rFonts w:eastAsia="Calibri"/>
          <w:bCs/>
        </w:rPr>
        <w:t xml:space="preserve">l of </w:t>
      </w:r>
      <w:r w:rsidR="00D25092">
        <w:rPr>
          <w:rFonts w:eastAsia="Calibri"/>
          <w:bCs/>
        </w:rPr>
        <w:t>1X</w:t>
      </w:r>
      <w:r w:rsidRPr="00F33FC4">
        <w:rPr>
          <w:rFonts w:eastAsia="Calibri"/>
          <w:bCs/>
        </w:rPr>
        <w:t>PBS at 4</w:t>
      </w:r>
      <w:r w:rsidRPr="00F33FC4">
        <w:rPr>
          <w:rFonts w:eastAsia="Calibri"/>
          <w:vertAlign w:val="superscript"/>
        </w:rPr>
        <w:t>o</w:t>
      </w:r>
      <w:r w:rsidRPr="00F33FC4">
        <w:rPr>
          <w:rFonts w:eastAsia="Calibri"/>
          <w:bCs/>
        </w:rPr>
        <w:t>C overnight. The next day, samples were centrifuged, the supernatant was discarded, and 20</w:t>
      </w:r>
      <w:r w:rsidRPr="00F33FC4">
        <w:rPr>
          <w:rFonts w:eastAsia="Calibri"/>
          <w:bCs/>
        </w:rPr>
        <w:sym w:font="Symbol" w:char="F06D"/>
      </w:r>
      <w:r w:rsidRPr="00F33FC4">
        <w:rPr>
          <w:rFonts w:eastAsia="Calibri"/>
          <w:bCs/>
        </w:rPr>
        <w:t xml:space="preserve">l of the pellet was transferred to silicon chip with poly-L-lysine. The cells were dehydrated by immersion of the silicon chip in an increasing concentration of ethanol (25%, 50%, 70%, 95% and 100 %) for 10 min each followed by a critical point dry. The silicon chips were mounted to an aluminum mount, coated with iridium, and observed under an Auriga Scanning Electron Microscope in Advanced Microscopy and Imaging Center, University of Tennessee, Knoxville. Images from at least five random microscopic fields were taken at 5,000X and 20,000X magnification. The cells producing </w:t>
      </w:r>
      <w:proofErr w:type="spellStart"/>
      <w:r w:rsidRPr="00F33FC4">
        <w:rPr>
          <w:rFonts w:eastAsia="Calibri"/>
          <w:bCs/>
        </w:rPr>
        <w:t>ZorO</w:t>
      </w:r>
      <w:proofErr w:type="spellEnd"/>
      <w:r w:rsidRPr="00F33FC4">
        <w:rPr>
          <w:rFonts w:eastAsia="Calibri"/>
          <w:bCs/>
        </w:rPr>
        <w:t xml:space="preserve"> were analyzed for differences in morphological characteristics as compared to the uninduced controls. Cell length was </w:t>
      </w:r>
      <w:r w:rsidRPr="00F33FC4">
        <w:rPr>
          <w:rFonts w:eastAsia="Calibri"/>
          <w:bCs/>
        </w:rPr>
        <w:lastRenderedPageBreak/>
        <w:t xml:space="preserve">measured using ImageJ (37). Cells (at least 30 per image) from each of the three biological replicates were analyzed. </w:t>
      </w:r>
    </w:p>
    <w:p w14:paraId="6F8E64FA" w14:textId="77777777" w:rsidR="00F33FC4" w:rsidRPr="00F33FC4" w:rsidRDefault="00F33FC4" w:rsidP="00F33FC4">
      <w:pPr>
        <w:spacing w:line="360" w:lineRule="auto"/>
        <w:rPr>
          <w:rFonts w:eastAsia="Calibri"/>
        </w:rPr>
      </w:pPr>
      <w:r w:rsidRPr="00F33FC4">
        <w:rPr>
          <w:rFonts w:eastAsia="Calibri"/>
          <w:b/>
        </w:rPr>
        <w:t>MIC determination</w:t>
      </w:r>
      <w:r w:rsidRPr="00F33FC4">
        <w:rPr>
          <w:rFonts w:eastAsia="Calibri"/>
          <w:bCs/>
        </w:rPr>
        <w:t>. Minimum inhibitory concentration was performed as previously described (38) with slight modification. An overnight culture was diluted in Mueller Hinton Broth to 0.01 OD</w:t>
      </w:r>
      <w:r w:rsidRPr="00F33FC4">
        <w:rPr>
          <w:rFonts w:eastAsia="Calibri"/>
          <w:bCs/>
          <w:vertAlign w:val="subscript"/>
        </w:rPr>
        <w:t>600</w:t>
      </w:r>
      <w:r w:rsidRPr="00F33FC4">
        <w:rPr>
          <w:rFonts w:eastAsia="Calibri"/>
          <w:bCs/>
        </w:rPr>
        <w:t xml:space="preserve"> (with </w:t>
      </w:r>
      <w:r w:rsidRPr="00F33FC4">
        <w:rPr>
          <w:rFonts w:eastAsia="Calibri"/>
        </w:rPr>
        <w:t xml:space="preserve">100 </w:t>
      </w:r>
      <w:r w:rsidRPr="00F33FC4">
        <w:rPr>
          <w:rFonts w:eastAsia="Calibri"/>
        </w:rPr>
        <w:sym w:font="Symbol" w:char="F06D"/>
      </w:r>
      <w:r w:rsidRPr="00F33FC4">
        <w:rPr>
          <w:rFonts w:eastAsia="Calibri"/>
        </w:rPr>
        <w:t>g/ml final concentration</w:t>
      </w:r>
      <w:r w:rsidRPr="00F33FC4">
        <w:rPr>
          <w:rFonts w:eastAsia="Calibri"/>
          <w:bCs/>
        </w:rPr>
        <w:t xml:space="preserve"> of ampicillin to maintain </w:t>
      </w:r>
      <w:proofErr w:type="spellStart"/>
      <w:r w:rsidRPr="00F33FC4">
        <w:rPr>
          <w:rFonts w:eastAsia="Calibri"/>
          <w:bCs/>
        </w:rPr>
        <w:t>pBR</w:t>
      </w:r>
      <w:proofErr w:type="spellEnd"/>
      <w:r w:rsidRPr="00F33FC4">
        <w:rPr>
          <w:rFonts w:eastAsia="Calibri"/>
          <w:bCs/>
        </w:rPr>
        <w:t xml:space="preserve"> plasmids). To a set of 10 sterile tubes, 1 mL of the diluted culture was added to 8 tubes; the first tube was added with 2 ml culture and the last tube with sterile media (media control). Antibiotic was added to the first tube (containing 2 ml culture) to obtain the maximum concentration that was tested (</w:t>
      </w:r>
      <w:proofErr w:type="spellStart"/>
      <w:r w:rsidRPr="00F33FC4">
        <w:rPr>
          <w:rFonts w:eastAsia="Calibri"/>
          <w:bCs/>
        </w:rPr>
        <w:t>eg.</w:t>
      </w:r>
      <w:proofErr w:type="spellEnd"/>
      <w:r w:rsidRPr="00F33FC4">
        <w:rPr>
          <w:rFonts w:eastAsia="Calibri"/>
          <w:bCs/>
        </w:rPr>
        <w:t xml:space="preserve"> 25.6 </w:t>
      </w:r>
      <w:r w:rsidRPr="00F33FC4">
        <w:rPr>
          <w:rFonts w:eastAsia="Calibri"/>
        </w:rPr>
        <w:sym w:font="Symbol" w:char="F06D"/>
      </w:r>
      <w:r w:rsidRPr="00F33FC4">
        <w:rPr>
          <w:rFonts w:eastAsia="Calibri"/>
        </w:rPr>
        <w:t xml:space="preserve">g/ml </w:t>
      </w:r>
      <w:r w:rsidRPr="00F33FC4">
        <w:rPr>
          <w:rFonts w:eastAsia="Calibri"/>
          <w:bCs/>
        </w:rPr>
        <w:t>for kanamycin), mixed properly, and serially diluted by transferring 1 ml. The tubes were incubated at 37</w:t>
      </w:r>
      <w:r w:rsidRPr="00F33FC4">
        <w:rPr>
          <w:rFonts w:eastAsia="Calibri"/>
          <w:bCs/>
          <w:vertAlign w:val="superscript"/>
        </w:rPr>
        <w:t>0</w:t>
      </w:r>
      <w:r w:rsidRPr="00F33FC4">
        <w:rPr>
          <w:rFonts w:eastAsia="Calibri"/>
          <w:bCs/>
        </w:rPr>
        <w:t xml:space="preserve">C with shaking for ~18 </w:t>
      </w:r>
      <w:proofErr w:type="spellStart"/>
      <w:r w:rsidRPr="00F33FC4">
        <w:rPr>
          <w:rFonts w:eastAsia="Calibri"/>
          <w:bCs/>
        </w:rPr>
        <w:t>hrs</w:t>
      </w:r>
      <w:proofErr w:type="spellEnd"/>
      <w:r w:rsidRPr="00F33FC4">
        <w:rPr>
          <w:rFonts w:eastAsia="Calibri"/>
          <w:bCs/>
        </w:rPr>
        <w:t xml:space="preserve"> and observed for visible growth to determine MIC. </w:t>
      </w:r>
      <w:r w:rsidRPr="00F33FC4">
        <w:rPr>
          <w:rFonts w:eastAsia="Calibri"/>
        </w:rPr>
        <w:t>All tests were performed with a minimum of three biological replicates.</w:t>
      </w:r>
    </w:p>
    <w:p w14:paraId="44C4CFD1" w14:textId="77777777" w:rsidR="00F33FC4" w:rsidRPr="00F33FC4" w:rsidRDefault="00F33FC4" w:rsidP="00F33FC4">
      <w:pPr>
        <w:spacing w:line="360" w:lineRule="auto"/>
        <w:rPr>
          <w:rFonts w:eastAsia="Calibri"/>
          <w:bCs/>
        </w:rPr>
      </w:pPr>
      <w:r w:rsidRPr="00F33FC4">
        <w:rPr>
          <w:rFonts w:eastAsia="Calibri"/>
          <w:b/>
        </w:rPr>
        <w:t>Statistical analysis.</w:t>
      </w:r>
      <w:r w:rsidRPr="00F33FC4">
        <w:rPr>
          <w:rFonts w:eastAsia="Calibri"/>
          <w:bCs/>
        </w:rPr>
        <w:t xml:space="preserve"> Statistical analyses were performed using </w:t>
      </w:r>
      <w:r w:rsidRPr="00F33FC4">
        <w:rPr>
          <w:rFonts w:eastAsia="Calibri"/>
          <w:bCs/>
          <w:i/>
          <w:iCs/>
        </w:rPr>
        <w:t>t</w:t>
      </w:r>
      <w:r w:rsidRPr="00F33FC4">
        <w:rPr>
          <w:rFonts w:eastAsia="Calibri"/>
          <w:bCs/>
        </w:rPr>
        <w:t xml:space="preserve"> test or multiple unpaired </w:t>
      </w:r>
      <w:r w:rsidRPr="00F33FC4">
        <w:rPr>
          <w:rFonts w:eastAsia="Calibri"/>
          <w:bCs/>
          <w:i/>
          <w:iCs/>
        </w:rPr>
        <w:t>t</w:t>
      </w:r>
      <w:r w:rsidRPr="00F33FC4">
        <w:rPr>
          <w:rFonts w:eastAsia="Calibri"/>
          <w:bCs/>
        </w:rPr>
        <w:t xml:space="preserve"> test with Welch correction (with </w:t>
      </w:r>
      <w:r w:rsidRPr="00F33FC4">
        <w:rPr>
          <w:rFonts w:eastAsia="Calibri"/>
          <w:bCs/>
        </w:rPr>
        <w:sym w:font="Symbol" w:char="F061"/>
      </w:r>
      <w:r w:rsidRPr="00F33FC4">
        <w:rPr>
          <w:rFonts w:eastAsia="Calibri"/>
          <w:bCs/>
        </w:rPr>
        <w:t xml:space="preserve">=0.05) and presented within the text. A minimum of 3 biological replicates were tested. </w:t>
      </w:r>
      <w:bookmarkEnd w:id="10"/>
    </w:p>
    <w:p w14:paraId="4D656EA6" w14:textId="77777777" w:rsidR="00F33FC4" w:rsidRPr="00F33FC4" w:rsidRDefault="00F33FC4" w:rsidP="00F33FC4">
      <w:pPr>
        <w:spacing w:line="360" w:lineRule="auto"/>
        <w:rPr>
          <w:rFonts w:eastAsia="Calibri"/>
        </w:rPr>
      </w:pPr>
    </w:p>
    <w:p w14:paraId="4752BB75" w14:textId="77777777" w:rsidR="00F33FC4" w:rsidRPr="00F33FC4" w:rsidRDefault="00F33FC4" w:rsidP="00F33FC4">
      <w:pPr>
        <w:spacing w:line="360" w:lineRule="auto"/>
        <w:rPr>
          <w:rFonts w:eastAsia="Calibri"/>
          <w:b/>
        </w:rPr>
      </w:pPr>
    </w:p>
    <w:p w14:paraId="4BEE5996" w14:textId="77777777" w:rsidR="00F33FC4" w:rsidRPr="00F33FC4" w:rsidRDefault="00F33FC4" w:rsidP="00F33FC4">
      <w:pPr>
        <w:spacing w:line="360" w:lineRule="auto"/>
        <w:rPr>
          <w:rFonts w:eastAsia="Calibri"/>
        </w:rPr>
      </w:pPr>
      <w:r w:rsidRPr="00F33FC4">
        <w:rPr>
          <w:rFonts w:eastAsia="Calibri"/>
          <w:b/>
        </w:rPr>
        <w:t>III. Results</w:t>
      </w:r>
    </w:p>
    <w:p w14:paraId="5F1B3650" w14:textId="77777777" w:rsidR="005234AD" w:rsidRDefault="00F33FC4" w:rsidP="00F33FC4">
      <w:pPr>
        <w:spacing w:line="360" w:lineRule="auto"/>
        <w:rPr>
          <w:rFonts w:eastAsia="Calibri"/>
          <w:b/>
        </w:rPr>
      </w:pPr>
      <w:proofErr w:type="spellStart"/>
      <w:r w:rsidRPr="00F33FC4">
        <w:rPr>
          <w:rFonts w:eastAsia="Calibri"/>
          <w:b/>
        </w:rPr>
        <w:t>ZorO</w:t>
      </w:r>
      <w:proofErr w:type="spellEnd"/>
      <w:r w:rsidRPr="00F33FC4">
        <w:rPr>
          <w:rFonts w:eastAsia="Calibri"/>
          <w:b/>
        </w:rPr>
        <w:t xml:space="preserve"> translation and toxicity are dependent upon its 5’UTR. </w:t>
      </w:r>
    </w:p>
    <w:p w14:paraId="11EFA06B" w14:textId="31FF7CD8" w:rsidR="00F33FC4" w:rsidRPr="00F33FC4" w:rsidRDefault="005234AD" w:rsidP="00F33FC4">
      <w:pPr>
        <w:spacing w:line="360" w:lineRule="auto"/>
        <w:rPr>
          <w:rFonts w:eastAsia="Calibri"/>
          <w:bCs/>
        </w:rPr>
      </w:pPr>
      <w:r>
        <w:rPr>
          <w:rFonts w:eastAsia="Calibri"/>
          <w:b/>
        </w:rPr>
        <w:tab/>
      </w:r>
      <w:r w:rsidR="00F33FC4" w:rsidRPr="00F33FC4">
        <w:rPr>
          <w:rFonts w:eastAsia="Calibri"/>
          <w:bCs/>
        </w:rPr>
        <w:t xml:space="preserve">We previously demonstrated that overexpression of the </w:t>
      </w:r>
      <w:proofErr w:type="spellStart"/>
      <w:r w:rsidR="00F33FC4" w:rsidRPr="00F33FC4">
        <w:rPr>
          <w:rFonts w:eastAsia="Calibri"/>
          <w:bCs/>
          <w:i/>
          <w:iCs/>
        </w:rPr>
        <w:t>zorO</w:t>
      </w:r>
      <w:proofErr w:type="spellEnd"/>
      <w:r w:rsidR="00F33FC4" w:rsidRPr="00F33FC4">
        <w:rPr>
          <w:rFonts w:eastAsia="Calibri"/>
          <w:bCs/>
          <w:i/>
          <w:iCs/>
        </w:rPr>
        <w:t xml:space="preserve"> </w:t>
      </w:r>
      <w:r w:rsidR="00F33FC4" w:rsidRPr="00F33FC4">
        <w:rPr>
          <w:rFonts w:eastAsia="Calibri"/>
          <w:bCs/>
        </w:rPr>
        <w:t xml:space="preserve">mRNA was toxic to </w:t>
      </w:r>
      <w:r w:rsidR="00F33FC4" w:rsidRPr="00F33FC4">
        <w:rPr>
          <w:rFonts w:eastAsia="Calibri"/>
          <w:bCs/>
          <w:i/>
          <w:iCs/>
        </w:rPr>
        <w:t>E. coli</w:t>
      </w:r>
      <w:r w:rsidR="00F33FC4" w:rsidRPr="00F33FC4">
        <w:rPr>
          <w:rFonts w:eastAsia="Calibri"/>
          <w:bCs/>
        </w:rPr>
        <w:t xml:space="preserve"> when the mRNA was expressed from a multicopy plasmid behind the arabinose inducible promoter (P</w:t>
      </w:r>
      <w:r w:rsidR="00F33FC4" w:rsidRPr="00F33FC4">
        <w:rPr>
          <w:rFonts w:eastAsia="Calibri"/>
          <w:bCs/>
          <w:vertAlign w:val="subscript"/>
        </w:rPr>
        <w:t>BAD</w:t>
      </w:r>
      <w:r w:rsidR="00F33FC4" w:rsidRPr="00F33FC4">
        <w:rPr>
          <w:rFonts w:eastAsia="Calibri"/>
          <w:bCs/>
        </w:rPr>
        <w:t xml:space="preserve">). To confirm that this toxicity was due to the predicted encoded 29 amino acid protein </w:t>
      </w:r>
      <w:proofErr w:type="spellStart"/>
      <w:r w:rsidR="00F33FC4" w:rsidRPr="00F33FC4">
        <w:rPr>
          <w:rFonts w:eastAsia="Calibri"/>
          <w:bCs/>
        </w:rPr>
        <w:t>ZorO</w:t>
      </w:r>
      <w:proofErr w:type="spellEnd"/>
      <w:r w:rsidR="00F33FC4" w:rsidRPr="00F33FC4">
        <w:rPr>
          <w:rFonts w:eastAsia="Calibri"/>
          <w:bCs/>
        </w:rPr>
        <w:t xml:space="preserve">; we mutated the start codon from an ATG to an AAG. As shown in Fig. 2.1A, overexpression of the AAG mutant did not inhibit growth of </w:t>
      </w:r>
      <w:r w:rsidR="00F33FC4" w:rsidRPr="00F33FC4">
        <w:rPr>
          <w:rFonts w:eastAsia="Calibri"/>
          <w:bCs/>
          <w:i/>
          <w:iCs/>
        </w:rPr>
        <w:t>E. coli</w:t>
      </w:r>
      <w:r w:rsidR="00F33FC4" w:rsidRPr="00F33FC4">
        <w:rPr>
          <w:rFonts w:eastAsia="Calibri"/>
          <w:bCs/>
        </w:rPr>
        <w:t>, confirming the encoded protein is responsible for toxicity.</w:t>
      </w:r>
    </w:p>
    <w:p w14:paraId="079E1BEF" w14:textId="2D37CF7E" w:rsidR="00971E1E" w:rsidRPr="00F33FC4" w:rsidRDefault="00F33FC4" w:rsidP="00971E1E">
      <w:pPr>
        <w:spacing w:line="360" w:lineRule="auto"/>
        <w:rPr>
          <w:rFonts w:eastAsia="Calibri"/>
          <w:bCs/>
        </w:rPr>
      </w:pPr>
      <w:r w:rsidRPr="00F33FC4">
        <w:rPr>
          <w:rFonts w:eastAsia="Calibri"/>
        </w:rPr>
        <w:t xml:space="preserve">There are two dominant forms of the </w:t>
      </w:r>
      <w:proofErr w:type="spellStart"/>
      <w:r w:rsidRPr="00F33FC4">
        <w:rPr>
          <w:rFonts w:eastAsia="Calibri"/>
          <w:i/>
        </w:rPr>
        <w:t>zorO</w:t>
      </w:r>
      <w:proofErr w:type="spellEnd"/>
      <w:r w:rsidRPr="00F33FC4">
        <w:rPr>
          <w:rFonts w:eastAsia="Calibri"/>
        </w:rPr>
        <w:t xml:space="preserve"> mRNA: </w:t>
      </w:r>
      <w:r w:rsidRPr="00F33FC4">
        <w:rPr>
          <w:rFonts w:eastAsia="Calibri"/>
          <w:bCs/>
        </w:rPr>
        <w:t>one possessing a 174 nucleotide (</w:t>
      </w:r>
      <w:proofErr w:type="spellStart"/>
      <w:r w:rsidRPr="00F33FC4">
        <w:rPr>
          <w:rFonts w:eastAsia="Calibri"/>
          <w:bCs/>
        </w:rPr>
        <w:t>nt</w:t>
      </w:r>
      <w:proofErr w:type="spellEnd"/>
      <w:r w:rsidRPr="00F33FC4">
        <w:rPr>
          <w:rFonts w:eastAsia="Calibri"/>
          <w:bCs/>
        </w:rPr>
        <w:t xml:space="preserve">) 5’ UTR (full-length) and a second, referred to as </w:t>
      </w:r>
      <w:r w:rsidRPr="00F33FC4">
        <w:rPr>
          <w:rFonts w:eastAsia="Calibri"/>
          <w:bCs/>
        </w:rPr>
        <w:sym w:font="Symbol" w:char="F044"/>
      </w:r>
      <w:r w:rsidRPr="00F33FC4">
        <w:rPr>
          <w:rFonts w:eastAsia="Calibri"/>
          <w:bCs/>
        </w:rPr>
        <w:t>28-</w:t>
      </w:r>
      <w:r w:rsidRPr="00F33FC4">
        <w:rPr>
          <w:rFonts w:eastAsia="Calibri"/>
          <w:bCs/>
          <w:i/>
        </w:rPr>
        <w:t>zorO</w:t>
      </w:r>
      <w:r w:rsidRPr="00F33FC4">
        <w:rPr>
          <w:rFonts w:eastAsia="Calibri"/>
          <w:bCs/>
        </w:rPr>
        <w:t>,</w:t>
      </w:r>
      <w:r w:rsidR="000725B7">
        <w:rPr>
          <w:rFonts w:eastAsia="Calibri"/>
          <w:bCs/>
        </w:rPr>
        <w:t xml:space="preserve"> </w:t>
      </w:r>
      <w:r w:rsidRPr="00F33FC4">
        <w:rPr>
          <w:rFonts w:eastAsia="Calibri"/>
          <w:bCs/>
        </w:rPr>
        <w:t xml:space="preserve">lacking the first 28 </w:t>
      </w:r>
      <w:proofErr w:type="spellStart"/>
      <w:r w:rsidRPr="00F33FC4">
        <w:rPr>
          <w:rFonts w:eastAsia="Calibri"/>
          <w:bCs/>
        </w:rPr>
        <w:t>nt</w:t>
      </w:r>
      <w:proofErr w:type="spellEnd"/>
      <w:r w:rsidRPr="00F33FC4">
        <w:rPr>
          <w:rFonts w:eastAsia="Calibri"/>
          <w:bCs/>
        </w:rPr>
        <w:t xml:space="preserve"> of the 5’ UTR as observed by primer extension assay and 5’ rapid amplification of cDNA ends (5’ RACE; Fig. 2.1B and 2.1C) (22).</w:t>
      </w:r>
      <w:r w:rsidR="000725B7">
        <w:rPr>
          <w:rFonts w:eastAsia="Calibri"/>
          <w:bCs/>
        </w:rPr>
        <w:t xml:space="preserve"> </w:t>
      </w:r>
      <w:r w:rsidRPr="00F33FC4">
        <w:rPr>
          <w:rFonts w:eastAsia="Calibri"/>
          <w:b/>
        </w:rPr>
        <w:t xml:space="preserve"> </w:t>
      </w:r>
      <w:r w:rsidRPr="00F33FC4">
        <w:rPr>
          <w:rFonts w:eastAsia="Calibri"/>
          <w:bCs/>
        </w:rPr>
        <w:t xml:space="preserve">The </w:t>
      </w:r>
      <w:proofErr w:type="spellStart"/>
      <w:r w:rsidRPr="00F33FC4">
        <w:rPr>
          <w:rFonts w:eastAsia="Calibri"/>
          <w:bCs/>
          <w:i/>
          <w:iCs/>
        </w:rPr>
        <w:t>zorO</w:t>
      </w:r>
      <w:proofErr w:type="spellEnd"/>
      <w:r w:rsidRPr="00F33FC4">
        <w:rPr>
          <w:rFonts w:eastAsia="Calibri"/>
          <w:bCs/>
        </w:rPr>
        <w:t xml:space="preserve"> mRNA levels upon artificial overproduction from these two different 5’UTRs under similar induction condition </w:t>
      </w:r>
      <w:r w:rsidRPr="00F33FC4">
        <w:rPr>
          <w:rFonts w:eastAsia="Calibri"/>
          <w:bCs/>
        </w:rPr>
        <w:lastRenderedPageBreak/>
        <w:t>showed transcript levels equivalent to or even lower for</w:t>
      </w:r>
      <w:r w:rsidRPr="00F33FC4">
        <w:rPr>
          <w:rFonts w:eastAsia="Calibri"/>
          <w:b/>
        </w:rPr>
        <w:t xml:space="preserve"> </w:t>
      </w:r>
      <w:r w:rsidRPr="00F33FC4">
        <w:rPr>
          <w:rFonts w:eastAsia="Calibri"/>
          <w:bCs/>
        </w:rPr>
        <w:sym w:font="Symbol" w:char="F044"/>
      </w:r>
      <w:r w:rsidRPr="00F33FC4">
        <w:rPr>
          <w:rFonts w:eastAsia="Calibri"/>
          <w:bCs/>
        </w:rPr>
        <w:t>28-</w:t>
      </w:r>
      <w:r w:rsidRPr="00F33FC4">
        <w:rPr>
          <w:rFonts w:eastAsia="Calibri"/>
          <w:bCs/>
          <w:i/>
        </w:rPr>
        <w:t xml:space="preserve">zorO </w:t>
      </w:r>
      <w:r w:rsidRPr="00F33FC4">
        <w:rPr>
          <w:rFonts w:eastAsia="Calibri"/>
          <w:bCs/>
          <w:iCs/>
        </w:rPr>
        <w:t xml:space="preserve">as compared to the full-length 5’ UTR </w:t>
      </w:r>
      <w:r w:rsidRPr="00F33FC4">
        <w:rPr>
          <w:rFonts w:eastAsia="Calibri"/>
          <w:bCs/>
        </w:rPr>
        <w:t>(22)</w:t>
      </w:r>
      <w:r w:rsidRPr="00F33FC4">
        <w:rPr>
          <w:rFonts w:eastAsia="Calibri"/>
          <w:bCs/>
          <w:iCs/>
        </w:rPr>
        <w:t>.</w:t>
      </w:r>
      <w:r w:rsidR="000725B7">
        <w:rPr>
          <w:rFonts w:eastAsia="Calibri"/>
          <w:bCs/>
          <w:iCs/>
        </w:rPr>
        <w:t xml:space="preserve"> </w:t>
      </w:r>
      <w:r w:rsidRPr="00F33FC4">
        <w:rPr>
          <w:rFonts w:eastAsia="Calibri"/>
          <w:bCs/>
          <w:iCs/>
        </w:rPr>
        <w:t>However,</w:t>
      </w:r>
      <w:r w:rsidRPr="00F33FC4">
        <w:rPr>
          <w:rFonts w:eastAsia="Calibri"/>
          <w:bCs/>
          <w:i/>
          <w:iCs/>
        </w:rPr>
        <w:t xml:space="preserve"> in vitro</w:t>
      </w:r>
      <w:r w:rsidRPr="00F33FC4">
        <w:rPr>
          <w:rFonts w:eastAsia="Calibri"/>
          <w:bCs/>
        </w:rPr>
        <w:t xml:space="preserve"> translation of the </w:t>
      </w:r>
      <w:r w:rsidRPr="00F33FC4">
        <w:rPr>
          <w:rFonts w:eastAsia="Calibri"/>
          <w:bCs/>
        </w:rPr>
        <w:sym w:font="Symbol" w:char="F044"/>
      </w:r>
      <w:r w:rsidRPr="00F33FC4">
        <w:rPr>
          <w:rFonts w:eastAsia="Calibri"/>
          <w:bCs/>
        </w:rPr>
        <w:t>28-</w:t>
      </w:r>
      <w:r w:rsidRPr="00F33FC4">
        <w:rPr>
          <w:rFonts w:eastAsia="Calibri"/>
          <w:bCs/>
          <w:i/>
          <w:iCs/>
        </w:rPr>
        <w:t>zorO</w:t>
      </w:r>
      <w:r w:rsidRPr="00F33FC4">
        <w:rPr>
          <w:rFonts w:eastAsia="Calibri"/>
          <w:bCs/>
        </w:rPr>
        <w:t xml:space="preserve"> mRNA was more robust than that of </w:t>
      </w:r>
      <w:proofErr w:type="spellStart"/>
      <w:r w:rsidRPr="00F33FC4">
        <w:rPr>
          <w:rFonts w:eastAsia="Calibri"/>
          <w:bCs/>
          <w:i/>
        </w:rPr>
        <w:t>zorO</w:t>
      </w:r>
      <w:proofErr w:type="spellEnd"/>
      <w:r w:rsidRPr="00F33FC4">
        <w:rPr>
          <w:rFonts w:eastAsia="Calibri"/>
          <w:bCs/>
        </w:rPr>
        <w:t xml:space="preserve"> possessing its full-length 5’ UTR (22). The contribution of processing in regards to </w:t>
      </w:r>
      <w:proofErr w:type="spellStart"/>
      <w:r w:rsidRPr="00F33FC4">
        <w:rPr>
          <w:rFonts w:eastAsia="Calibri"/>
          <w:bCs/>
        </w:rPr>
        <w:t>ZorO</w:t>
      </w:r>
      <w:proofErr w:type="spellEnd"/>
      <w:r w:rsidRPr="00F33FC4">
        <w:rPr>
          <w:rFonts w:eastAsia="Calibri"/>
          <w:bCs/>
        </w:rPr>
        <w:t xml:space="preserve">-induced toxicity though was not previously examined. To address the significance of the UTR in </w:t>
      </w:r>
      <w:proofErr w:type="spellStart"/>
      <w:r w:rsidRPr="00F33FC4">
        <w:rPr>
          <w:rFonts w:eastAsia="Calibri"/>
          <w:bCs/>
        </w:rPr>
        <w:t>ZorO</w:t>
      </w:r>
      <w:proofErr w:type="spellEnd"/>
      <w:r w:rsidRPr="00F33FC4">
        <w:rPr>
          <w:rFonts w:eastAsia="Calibri"/>
          <w:bCs/>
        </w:rPr>
        <w:t xml:space="preserve">-induced phenotypes, we cloned </w:t>
      </w:r>
      <w:proofErr w:type="spellStart"/>
      <w:r w:rsidRPr="00F33FC4">
        <w:rPr>
          <w:rFonts w:eastAsia="Calibri"/>
          <w:bCs/>
          <w:i/>
          <w:iCs/>
        </w:rPr>
        <w:t>zorO</w:t>
      </w:r>
      <w:proofErr w:type="spellEnd"/>
      <w:r w:rsidRPr="00F33FC4">
        <w:rPr>
          <w:rFonts w:eastAsia="Calibri"/>
          <w:bCs/>
        </w:rPr>
        <w:t xml:space="preserve"> with a C-terminus FLAG tag with either its full-length 5’UTR (P</w:t>
      </w:r>
      <w:r w:rsidRPr="00F33FC4">
        <w:rPr>
          <w:rFonts w:eastAsia="Calibri"/>
          <w:bCs/>
          <w:vertAlign w:val="subscript"/>
        </w:rPr>
        <w:t>BAD</w:t>
      </w:r>
      <w:r w:rsidRPr="00F33FC4">
        <w:rPr>
          <w:rFonts w:eastAsia="Calibri"/>
          <w:bCs/>
        </w:rPr>
        <w:t>-</w:t>
      </w:r>
      <w:proofErr w:type="spellStart"/>
      <w:r w:rsidRPr="00F33FC4">
        <w:rPr>
          <w:rFonts w:eastAsia="Calibri"/>
          <w:bCs/>
          <w:i/>
          <w:iCs/>
        </w:rPr>
        <w:t>zorO</w:t>
      </w:r>
      <w:proofErr w:type="spellEnd"/>
      <w:r w:rsidRPr="00F33FC4">
        <w:rPr>
          <w:rFonts w:eastAsia="Calibri"/>
          <w:bCs/>
        </w:rPr>
        <w:t>-FLAG) or its processed form (P</w:t>
      </w:r>
      <w:r w:rsidRPr="00F33FC4">
        <w:rPr>
          <w:rFonts w:eastAsia="Calibri"/>
          <w:bCs/>
          <w:vertAlign w:val="subscript"/>
        </w:rPr>
        <w:t>BAD</w:t>
      </w:r>
      <w:r w:rsidRPr="00F33FC4">
        <w:rPr>
          <w:rFonts w:eastAsia="Calibri"/>
          <w:bCs/>
        </w:rPr>
        <w:t>-</w:t>
      </w:r>
      <w:r w:rsidRPr="00F33FC4">
        <w:rPr>
          <w:rFonts w:eastAsia="Calibri"/>
          <w:bCs/>
        </w:rPr>
        <w:sym w:font="Symbol" w:char="F044"/>
      </w:r>
      <w:r w:rsidRPr="00F33FC4">
        <w:rPr>
          <w:rFonts w:eastAsia="Calibri"/>
          <w:bCs/>
        </w:rPr>
        <w:t>28-</w:t>
      </w:r>
      <w:r w:rsidRPr="00F33FC4">
        <w:rPr>
          <w:rFonts w:eastAsia="Calibri"/>
          <w:bCs/>
          <w:i/>
          <w:iCs/>
        </w:rPr>
        <w:t>zorO</w:t>
      </w:r>
      <w:r w:rsidRPr="00F33FC4">
        <w:rPr>
          <w:rFonts w:eastAsia="Calibri"/>
          <w:bCs/>
        </w:rPr>
        <w:t>-FLAG), under control of an arabinose inducible promoter (P</w:t>
      </w:r>
      <w:r w:rsidRPr="00F33FC4">
        <w:rPr>
          <w:rFonts w:eastAsia="Calibri"/>
          <w:bCs/>
          <w:vertAlign w:val="subscript"/>
        </w:rPr>
        <w:t>BAD</w:t>
      </w:r>
      <w:r w:rsidRPr="00F33FC4">
        <w:rPr>
          <w:rFonts w:eastAsia="Calibri"/>
          <w:bCs/>
        </w:rPr>
        <w:t xml:space="preserve">) on a high copy plasmid (Fig. 2.2A). The plasmids were transformed into a derivative of </w:t>
      </w:r>
      <w:r w:rsidRPr="00F33FC4">
        <w:rPr>
          <w:rFonts w:eastAsia="Calibri"/>
          <w:bCs/>
          <w:i/>
          <w:iCs/>
        </w:rPr>
        <w:t>E. coli</w:t>
      </w:r>
      <w:r w:rsidRPr="00F33FC4">
        <w:rPr>
          <w:rFonts w:eastAsia="Calibri"/>
          <w:bCs/>
        </w:rPr>
        <w:t xml:space="preserve"> MG1655 (UTK007) that naturally lacks the </w:t>
      </w:r>
      <w:proofErr w:type="spellStart"/>
      <w:r w:rsidRPr="00F33FC4">
        <w:rPr>
          <w:rFonts w:eastAsia="Calibri"/>
          <w:bCs/>
          <w:i/>
          <w:iCs/>
        </w:rPr>
        <w:t>zor-orz</w:t>
      </w:r>
      <w:proofErr w:type="spellEnd"/>
      <w:r w:rsidRPr="00F33FC4">
        <w:rPr>
          <w:rFonts w:eastAsia="Calibri"/>
          <w:bCs/>
        </w:rPr>
        <w:t xml:space="preserve"> locus (14, 15). Induction of </w:t>
      </w:r>
      <w:proofErr w:type="spellStart"/>
      <w:r w:rsidRPr="00F33FC4">
        <w:rPr>
          <w:rFonts w:eastAsia="Calibri"/>
          <w:bCs/>
        </w:rPr>
        <w:t>ZorO</w:t>
      </w:r>
      <w:proofErr w:type="spellEnd"/>
      <w:r w:rsidRPr="00F33FC4">
        <w:rPr>
          <w:rFonts w:eastAsia="Calibri"/>
          <w:bCs/>
        </w:rPr>
        <w:t xml:space="preserve"> from either plasmid with high levels of arabinose, </w:t>
      </w:r>
      <w:r w:rsidR="00971E1E" w:rsidRPr="00F33FC4">
        <w:rPr>
          <w:rFonts w:eastAsia="Calibri"/>
          <w:bCs/>
        </w:rPr>
        <w:t xml:space="preserve">13.32 mM, (0.2%), resulted in an immediate growth stasis (Fig. 2.2B) and loss of viable cells (Fig. 2.2E). When induced with either 6.67 </w:t>
      </w:r>
      <w:r w:rsidR="00971E1E" w:rsidRPr="00F33FC4">
        <w:rPr>
          <w:rFonts w:eastAsia="Calibri"/>
          <w:bCs/>
        </w:rPr>
        <w:sym w:font="Symbol" w:char="F06D"/>
      </w:r>
      <w:r w:rsidR="00971E1E" w:rsidRPr="00F33FC4">
        <w:rPr>
          <w:rFonts w:eastAsia="Calibri"/>
          <w:bCs/>
        </w:rPr>
        <w:t xml:space="preserve">M or 0.67 </w:t>
      </w:r>
      <w:r w:rsidR="00971E1E" w:rsidRPr="00F33FC4">
        <w:rPr>
          <w:rFonts w:eastAsia="Calibri"/>
          <w:bCs/>
        </w:rPr>
        <w:sym w:font="Symbol" w:char="F06D"/>
      </w:r>
      <w:r w:rsidR="00971E1E" w:rsidRPr="00F33FC4">
        <w:rPr>
          <w:rFonts w:eastAsia="Calibri"/>
          <w:bCs/>
        </w:rPr>
        <w:t>M (0.0001% or 0.00001% respectively) arabinose, cells harboring P</w:t>
      </w:r>
      <w:r w:rsidR="00971E1E" w:rsidRPr="00F33FC4">
        <w:rPr>
          <w:rFonts w:eastAsia="Calibri"/>
          <w:bCs/>
          <w:vertAlign w:val="subscript"/>
        </w:rPr>
        <w:t>BAD</w:t>
      </w:r>
      <w:r w:rsidR="00971E1E" w:rsidRPr="00F33FC4">
        <w:rPr>
          <w:rFonts w:eastAsia="Calibri"/>
          <w:bCs/>
        </w:rPr>
        <w:t>-</w:t>
      </w:r>
      <w:r w:rsidR="00971E1E" w:rsidRPr="00F33FC4">
        <w:rPr>
          <w:rFonts w:eastAsia="Calibri"/>
          <w:bCs/>
        </w:rPr>
        <w:sym w:font="Symbol" w:char="F044"/>
      </w:r>
      <w:r w:rsidR="00971E1E" w:rsidRPr="00F33FC4">
        <w:rPr>
          <w:rFonts w:eastAsia="Calibri"/>
          <w:bCs/>
        </w:rPr>
        <w:t>28-</w:t>
      </w:r>
      <w:r w:rsidR="00971E1E" w:rsidRPr="00F33FC4">
        <w:rPr>
          <w:rFonts w:eastAsia="Calibri"/>
          <w:bCs/>
          <w:i/>
          <w:iCs/>
        </w:rPr>
        <w:t>zorO</w:t>
      </w:r>
      <w:r w:rsidR="00971E1E" w:rsidRPr="00F33FC4">
        <w:rPr>
          <w:rFonts w:eastAsia="Calibri"/>
          <w:bCs/>
        </w:rPr>
        <w:t>-FLAG still resulted in nearly instantaneous growth stasis while those cells harboring P</w:t>
      </w:r>
      <w:r w:rsidR="00971E1E" w:rsidRPr="00F33FC4">
        <w:rPr>
          <w:rFonts w:eastAsia="Calibri"/>
          <w:bCs/>
          <w:vertAlign w:val="subscript"/>
        </w:rPr>
        <w:t>BAD</w:t>
      </w:r>
      <w:r w:rsidR="00971E1E" w:rsidRPr="00F33FC4">
        <w:rPr>
          <w:rFonts w:eastAsia="Calibri"/>
          <w:bCs/>
        </w:rPr>
        <w:t>-</w:t>
      </w:r>
      <w:proofErr w:type="spellStart"/>
      <w:r w:rsidR="00971E1E" w:rsidRPr="00F33FC4">
        <w:rPr>
          <w:rFonts w:eastAsia="Calibri"/>
          <w:bCs/>
          <w:i/>
          <w:iCs/>
        </w:rPr>
        <w:t>zorO</w:t>
      </w:r>
      <w:proofErr w:type="spellEnd"/>
      <w:r w:rsidR="00971E1E" w:rsidRPr="00F33FC4">
        <w:rPr>
          <w:rFonts w:eastAsia="Calibri"/>
          <w:bCs/>
        </w:rPr>
        <w:t xml:space="preserve">-FLAG were able to grow, although at a reduced rate to controls (Fig. 2.2C and 2.2D). </w:t>
      </w:r>
    </w:p>
    <w:p w14:paraId="57A24596" w14:textId="77777777" w:rsidR="00971E1E" w:rsidRPr="00F33FC4" w:rsidRDefault="00971E1E" w:rsidP="00971E1E">
      <w:pPr>
        <w:spacing w:line="360" w:lineRule="auto"/>
        <w:ind w:firstLine="720"/>
        <w:rPr>
          <w:rFonts w:eastAsia="Calibri"/>
          <w:bCs/>
        </w:rPr>
      </w:pPr>
      <w:r w:rsidRPr="00F33FC4">
        <w:rPr>
          <w:rFonts w:eastAsia="Calibri"/>
          <w:bCs/>
        </w:rPr>
        <w:t>Considering the similar effects of P</w:t>
      </w:r>
      <w:r w:rsidRPr="00F33FC4">
        <w:rPr>
          <w:rFonts w:eastAsia="Calibri"/>
          <w:bCs/>
          <w:vertAlign w:val="subscript"/>
        </w:rPr>
        <w:t>BAD</w:t>
      </w:r>
      <w:r w:rsidRPr="00F33FC4">
        <w:rPr>
          <w:rFonts w:eastAsia="Calibri"/>
          <w:bCs/>
        </w:rPr>
        <w:t>-</w:t>
      </w:r>
      <w:proofErr w:type="spellStart"/>
      <w:r w:rsidRPr="00F33FC4">
        <w:rPr>
          <w:rFonts w:eastAsia="Calibri"/>
          <w:bCs/>
          <w:i/>
          <w:iCs/>
        </w:rPr>
        <w:t>zorO</w:t>
      </w:r>
      <w:proofErr w:type="spellEnd"/>
      <w:r w:rsidRPr="00F33FC4">
        <w:rPr>
          <w:rFonts w:eastAsia="Calibri"/>
          <w:bCs/>
        </w:rPr>
        <w:t>-FLAG and P</w:t>
      </w:r>
      <w:r w:rsidRPr="00F33FC4">
        <w:rPr>
          <w:rFonts w:eastAsia="Calibri"/>
          <w:bCs/>
          <w:vertAlign w:val="subscript"/>
        </w:rPr>
        <w:t>BAD</w:t>
      </w:r>
      <w:r w:rsidRPr="00F33FC4">
        <w:rPr>
          <w:rFonts w:eastAsia="Calibri"/>
          <w:bCs/>
        </w:rPr>
        <w:t>-</w:t>
      </w:r>
      <w:r w:rsidRPr="00F33FC4">
        <w:rPr>
          <w:rFonts w:eastAsia="Calibri"/>
          <w:bCs/>
        </w:rPr>
        <w:sym w:font="Symbol" w:char="F044"/>
      </w:r>
      <w:r w:rsidRPr="00F33FC4">
        <w:rPr>
          <w:rFonts w:eastAsia="Calibri"/>
          <w:bCs/>
        </w:rPr>
        <w:t>28-</w:t>
      </w:r>
      <w:r w:rsidRPr="00F33FC4">
        <w:rPr>
          <w:rFonts w:eastAsia="Calibri"/>
          <w:bCs/>
          <w:i/>
          <w:iCs/>
        </w:rPr>
        <w:t>zorO</w:t>
      </w:r>
      <w:r w:rsidRPr="00F33FC4">
        <w:rPr>
          <w:rFonts w:eastAsia="Calibri"/>
          <w:bCs/>
        </w:rPr>
        <w:t xml:space="preserve">-FLAG on growth inhibition when induced with 13.32 mM arabinose (Fig. 2.2B), we used this induction condition to compare production of </w:t>
      </w:r>
      <w:proofErr w:type="spellStart"/>
      <w:r w:rsidRPr="00F33FC4">
        <w:rPr>
          <w:rFonts w:eastAsia="Calibri"/>
          <w:bCs/>
        </w:rPr>
        <w:t>ZorO</w:t>
      </w:r>
      <w:proofErr w:type="spellEnd"/>
      <w:r w:rsidRPr="00F33FC4">
        <w:rPr>
          <w:rFonts w:eastAsia="Calibri"/>
          <w:bCs/>
        </w:rPr>
        <w:t xml:space="preserve"> from the differing 5’ UTRs. </w:t>
      </w:r>
      <w:r w:rsidRPr="00F33FC4">
        <w:rPr>
          <w:rFonts w:eastAsia="Calibri"/>
        </w:rPr>
        <w:t xml:space="preserve">Using dot blot analysis, we were able to detect </w:t>
      </w:r>
      <w:proofErr w:type="spellStart"/>
      <w:r w:rsidRPr="00F33FC4">
        <w:rPr>
          <w:rFonts w:eastAsia="Calibri"/>
        </w:rPr>
        <w:t>ZorO</w:t>
      </w:r>
      <w:proofErr w:type="spellEnd"/>
      <w:r w:rsidRPr="00F33FC4">
        <w:rPr>
          <w:rFonts w:eastAsia="Calibri"/>
        </w:rPr>
        <w:t xml:space="preserve"> from both the full-length UTR and</w:t>
      </w:r>
      <w:r w:rsidRPr="00F33FC4">
        <w:rPr>
          <w:rFonts w:eastAsia="Calibri"/>
          <w:bCs/>
        </w:rPr>
        <w:t xml:space="preserve"> </w:t>
      </w:r>
      <w:r w:rsidRPr="00F33FC4">
        <w:rPr>
          <w:rFonts w:eastAsia="Calibri"/>
          <w:bCs/>
        </w:rPr>
        <w:sym w:font="Symbol" w:char="F044"/>
      </w:r>
      <w:r w:rsidRPr="00F33FC4">
        <w:rPr>
          <w:rFonts w:eastAsia="Calibri"/>
          <w:bCs/>
        </w:rPr>
        <w:t>28 UTR</w:t>
      </w:r>
      <w:r w:rsidRPr="00F33FC4">
        <w:rPr>
          <w:rFonts w:eastAsia="Calibri"/>
        </w:rPr>
        <w:t xml:space="preserve"> (Fig. 2.2F). </w:t>
      </w:r>
      <w:r w:rsidRPr="00F33FC4">
        <w:rPr>
          <w:rFonts w:eastAsia="Calibri"/>
          <w:bCs/>
        </w:rPr>
        <w:t xml:space="preserve">However, using western blot analysis, we were able to detect </w:t>
      </w:r>
      <w:proofErr w:type="spellStart"/>
      <w:r w:rsidRPr="00F33FC4">
        <w:rPr>
          <w:rFonts w:eastAsia="Calibri"/>
          <w:bCs/>
        </w:rPr>
        <w:t>ZorO</w:t>
      </w:r>
      <w:proofErr w:type="spellEnd"/>
      <w:r w:rsidRPr="00F33FC4">
        <w:rPr>
          <w:rFonts w:eastAsia="Calibri"/>
          <w:bCs/>
        </w:rPr>
        <w:t xml:space="preserve">-FLAG only when overproduced from the </w:t>
      </w:r>
      <w:r w:rsidRPr="00F33FC4">
        <w:rPr>
          <w:rFonts w:eastAsia="Calibri"/>
          <w:bCs/>
        </w:rPr>
        <w:sym w:font="Symbol" w:char="F044"/>
      </w:r>
      <w:r w:rsidRPr="00F33FC4">
        <w:rPr>
          <w:rFonts w:eastAsia="Calibri"/>
          <w:bCs/>
        </w:rPr>
        <w:t xml:space="preserve">28 UTR but not the full-length 5’ UTR (Fig. 2.3A). In addition, we confirmed the inner membrane localization of </w:t>
      </w:r>
      <w:proofErr w:type="spellStart"/>
      <w:r w:rsidRPr="00F33FC4">
        <w:rPr>
          <w:rFonts w:eastAsia="Calibri"/>
          <w:bCs/>
        </w:rPr>
        <w:t>ZorO</w:t>
      </w:r>
      <w:proofErr w:type="spellEnd"/>
      <w:r w:rsidRPr="00F33FC4">
        <w:rPr>
          <w:rFonts w:eastAsia="Calibri"/>
          <w:bCs/>
        </w:rPr>
        <w:t xml:space="preserve"> via western blot analysis after subcellular fractionation (Fig. 2.3B) as previously shown by Otsuka </w:t>
      </w:r>
      <w:r w:rsidRPr="00F33FC4">
        <w:rPr>
          <w:rFonts w:eastAsia="Calibri"/>
          <w:bCs/>
          <w:i/>
          <w:iCs/>
        </w:rPr>
        <w:t>et al</w:t>
      </w:r>
      <w:r w:rsidRPr="00F33FC4">
        <w:rPr>
          <w:rFonts w:eastAsia="Calibri"/>
          <w:bCs/>
        </w:rPr>
        <w:t xml:space="preserve">. (19). The cytoplasmic control </w:t>
      </w:r>
      <w:proofErr w:type="spellStart"/>
      <w:r w:rsidRPr="00F33FC4">
        <w:rPr>
          <w:rFonts w:eastAsia="Calibri"/>
          <w:bCs/>
        </w:rPr>
        <w:t>Pgm</w:t>
      </w:r>
      <w:proofErr w:type="spellEnd"/>
      <w:r w:rsidRPr="00F33FC4">
        <w:rPr>
          <w:rFonts w:eastAsia="Calibri"/>
          <w:bCs/>
        </w:rPr>
        <w:t xml:space="preserve"> was also observed in the inner membrane fraction, as was previously observed (39).</w:t>
      </w:r>
    </w:p>
    <w:p w14:paraId="30E9E2F1" w14:textId="0684570A" w:rsidR="00F33FC4" w:rsidRPr="00F33FC4" w:rsidRDefault="00971E1E" w:rsidP="00F33FC4">
      <w:pPr>
        <w:spacing w:line="360" w:lineRule="auto"/>
        <w:ind w:firstLine="720"/>
        <w:rPr>
          <w:rFonts w:eastAsia="Calibri"/>
          <w:bCs/>
        </w:rPr>
      </w:pPr>
      <w:r w:rsidRPr="00F33FC4">
        <w:rPr>
          <w:rFonts w:eastAsia="Calibri"/>
          <w:bCs/>
        </w:rPr>
        <w:t xml:space="preserve">To further validate the translational effects were solely due to the differing 5’ UTRs, we replaced the </w:t>
      </w:r>
      <w:proofErr w:type="spellStart"/>
      <w:r w:rsidRPr="00F33FC4">
        <w:rPr>
          <w:rFonts w:eastAsia="Calibri"/>
          <w:bCs/>
          <w:i/>
        </w:rPr>
        <w:t>zorO</w:t>
      </w:r>
      <w:proofErr w:type="spellEnd"/>
      <w:r w:rsidRPr="00F33FC4">
        <w:rPr>
          <w:rFonts w:eastAsia="Calibri"/>
          <w:bCs/>
        </w:rPr>
        <w:t xml:space="preserve"> coding sequence with that of </w:t>
      </w:r>
      <w:r w:rsidRPr="00F33FC4">
        <w:rPr>
          <w:rFonts w:eastAsia="Calibri"/>
          <w:bCs/>
          <w:iCs/>
        </w:rPr>
        <w:t>green fluorescent protein (</w:t>
      </w:r>
      <w:proofErr w:type="spellStart"/>
      <w:r w:rsidRPr="00F33FC4">
        <w:rPr>
          <w:rFonts w:eastAsia="Calibri"/>
          <w:bCs/>
          <w:i/>
          <w:iCs/>
        </w:rPr>
        <w:t>gfp</w:t>
      </w:r>
      <w:proofErr w:type="spellEnd"/>
      <w:r w:rsidRPr="00F33FC4">
        <w:rPr>
          <w:rFonts w:eastAsia="Calibri"/>
          <w:bCs/>
          <w:iCs/>
        </w:rPr>
        <w:t>)</w:t>
      </w:r>
      <w:r w:rsidRPr="00F33FC4">
        <w:rPr>
          <w:rFonts w:eastAsia="Calibri"/>
          <w:bCs/>
        </w:rPr>
        <w:t xml:space="preserve"> in a multicopy plasmid vector under control of the arabinose inducible promoter</w:t>
      </w:r>
      <w:r w:rsidRPr="00F33FC4">
        <w:rPr>
          <w:rFonts w:eastAsia="Calibri"/>
          <w:bCs/>
          <w:i/>
          <w:iCs/>
        </w:rPr>
        <w:t>.</w:t>
      </w:r>
    </w:p>
    <w:p w14:paraId="17B408A0" w14:textId="52BECF3C" w:rsidR="00F33FC4" w:rsidRPr="00F33FC4" w:rsidRDefault="00971E1E" w:rsidP="00F33FC4">
      <w:pPr>
        <w:spacing w:line="360" w:lineRule="auto"/>
        <w:rPr>
          <w:rFonts w:eastAsia="Calibri"/>
          <w:bCs/>
        </w:rPr>
      </w:pPr>
      <w:r w:rsidRPr="00F33FC4">
        <w:rPr>
          <w:rFonts w:ascii="Calibri" w:eastAsia="Calibri" w:hAnsi="Calibri" w:cs="Mangal"/>
          <w:noProof/>
        </w:rPr>
        <w:lastRenderedPageBreak/>
        <mc:AlternateContent>
          <mc:Choice Requires="wps">
            <w:drawing>
              <wp:anchor distT="0" distB="0" distL="114300" distR="114300" simplePos="0" relativeHeight="251674624" behindDoc="0" locked="0" layoutInCell="1" allowOverlap="1" wp14:anchorId="15819CA7" wp14:editId="797560C8">
                <wp:simplePos x="0" y="0"/>
                <wp:positionH relativeFrom="column">
                  <wp:posOffset>76835</wp:posOffset>
                </wp:positionH>
                <wp:positionV relativeFrom="paragraph">
                  <wp:posOffset>4788535</wp:posOffset>
                </wp:positionV>
                <wp:extent cx="5651500" cy="635"/>
                <wp:effectExtent l="0" t="0" r="0" b="12065"/>
                <wp:wrapTopAndBottom/>
                <wp:docPr id="2" name="Text Box 2"/>
                <wp:cNvGraphicFramePr/>
                <a:graphic xmlns:a="http://schemas.openxmlformats.org/drawingml/2006/main">
                  <a:graphicData uri="http://schemas.microsoft.com/office/word/2010/wordprocessingShape">
                    <wps:wsp>
                      <wps:cNvSpPr txBox="1"/>
                      <wps:spPr>
                        <a:xfrm>
                          <a:off x="0" y="0"/>
                          <a:ext cx="5651500" cy="635"/>
                        </a:xfrm>
                        <a:prstGeom prst="rect">
                          <a:avLst/>
                        </a:prstGeom>
                        <a:solidFill>
                          <a:prstClr val="white"/>
                        </a:solidFill>
                        <a:ln>
                          <a:noFill/>
                        </a:ln>
                      </wps:spPr>
                      <wps:txbx>
                        <w:txbxContent>
                          <w:p w14:paraId="7BDDF815" w14:textId="77777777" w:rsidR="00F33FC4" w:rsidRPr="007908AC" w:rsidRDefault="00F33FC4" w:rsidP="00F33FC4">
                            <w:pPr>
                              <w:pStyle w:val="Caption"/>
                              <w:rPr>
                                <w:bCs/>
                                <w:i/>
                                <w:iCs w:val="0"/>
                                <w:sz w:val="22"/>
                                <w:szCs w:val="22"/>
                              </w:rPr>
                            </w:pPr>
                            <w:r w:rsidRPr="00FA1218">
                              <w:rPr>
                                <w:iCs w:val="0"/>
                                <w:sz w:val="22"/>
                                <w:szCs w:val="22"/>
                              </w:rPr>
                              <w:t xml:space="preserve">Figure 2.1. </w:t>
                            </w:r>
                            <w:r w:rsidRPr="00FA1218">
                              <w:rPr>
                                <w:iCs w:val="0"/>
                                <w:color w:val="000000"/>
                                <w:spacing w:val="-4"/>
                                <w:kern w:val="1"/>
                                <w:sz w:val="22"/>
                                <w:szCs w:val="22"/>
                              </w:rPr>
                              <w:t xml:space="preserve">The </w:t>
                            </w:r>
                            <w:proofErr w:type="spellStart"/>
                            <w:r w:rsidRPr="00FA1218">
                              <w:rPr>
                                <w:iCs w:val="0"/>
                                <w:color w:val="000000"/>
                                <w:spacing w:val="-4"/>
                                <w:kern w:val="1"/>
                                <w:sz w:val="22"/>
                                <w:szCs w:val="22"/>
                              </w:rPr>
                              <w:t>ZorO</w:t>
                            </w:r>
                            <w:proofErr w:type="spellEnd"/>
                            <w:r w:rsidRPr="00FA1218">
                              <w:rPr>
                                <w:iCs w:val="0"/>
                                <w:color w:val="000000"/>
                                <w:spacing w:val="-4"/>
                                <w:kern w:val="1"/>
                                <w:sz w:val="22"/>
                                <w:szCs w:val="22"/>
                              </w:rPr>
                              <w:t xml:space="preserve"> peptide is needed for toxicity and there is processing of the 5’ untranslated region of </w:t>
                            </w:r>
                            <w:proofErr w:type="spellStart"/>
                            <w:r w:rsidRPr="00FA1218">
                              <w:rPr>
                                <w:color w:val="000000"/>
                                <w:spacing w:val="-4"/>
                                <w:kern w:val="1"/>
                                <w:sz w:val="22"/>
                                <w:szCs w:val="22"/>
                              </w:rPr>
                              <w:t>zorO</w:t>
                            </w:r>
                            <w:proofErr w:type="spellEnd"/>
                            <w:r w:rsidRPr="00FA1218">
                              <w:rPr>
                                <w:iCs w:val="0"/>
                                <w:color w:val="000000"/>
                                <w:spacing w:val="-4"/>
                                <w:kern w:val="1"/>
                                <w:sz w:val="22"/>
                                <w:szCs w:val="22"/>
                              </w:rPr>
                              <w:t xml:space="preserve"> mRNA.</w:t>
                            </w:r>
                            <w:r w:rsidRPr="007908AC">
                              <w:rPr>
                                <w:b/>
                                <w:bCs/>
                                <w:iCs w:val="0"/>
                                <w:color w:val="000000"/>
                                <w:spacing w:val="-4"/>
                                <w:kern w:val="1"/>
                                <w:sz w:val="22"/>
                                <w:szCs w:val="22"/>
                              </w:rPr>
                              <w:t xml:space="preserve"> </w:t>
                            </w:r>
                            <w:r w:rsidRPr="007908AC">
                              <w:rPr>
                                <w:iCs w:val="0"/>
                                <w:color w:val="000000"/>
                                <w:spacing w:val="-4"/>
                                <w:kern w:val="1"/>
                                <w:sz w:val="22"/>
                                <w:szCs w:val="22"/>
                              </w:rPr>
                              <w:t xml:space="preserve">Growth curve of </w:t>
                            </w:r>
                            <w:r w:rsidRPr="007908AC">
                              <w:rPr>
                                <w:color w:val="000000"/>
                                <w:spacing w:val="-4"/>
                                <w:kern w:val="1"/>
                                <w:sz w:val="22"/>
                                <w:szCs w:val="22"/>
                              </w:rPr>
                              <w:t>E. coli</w:t>
                            </w:r>
                            <w:r w:rsidRPr="007908AC">
                              <w:rPr>
                                <w:iCs w:val="0"/>
                                <w:color w:val="000000"/>
                                <w:spacing w:val="-4"/>
                                <w:kern w:val="1"/>
                                <w:sz w:val="22"/>
                                <w:szCs w:val="22"/>
                              </w:rPr>
                              <w:t xml:space="preserve"> UTK007 strain carrying wild-type </w:t>
                            </w:r>
                            <w:proofErr w:type="spellStart"/>
                            <w:r w:rsidRPr="007908AC">
                              <w:rPr>
                                <w:color w:val="000000"/>
                                <w:spacing w:val="-4"/>
                                <w:kern w:val="1"/>
                                <w:sz w:val="22"/>
                                <w:szCs w:val="22"/>
                              </w:rPr>
                              <w:t>zorO</w:t>
                            </w:r>
                            <w:proofErr w:type="spellEnd"/>
                            <w:r w:rsidRPr="007908AC">
                              <w:rPr>
                                <w:iCs w:val="0"/>
                                <w:color w:val="000000"/>
                                <w:spacing w:val="-4"/>
                                <w:kern w:val="1"/>
                                <w:sz w:val="22"/>
                                <w:szCs w:val="22"/>
                              </w:rPr>
                              <w:t xml:space="preserve"> or </w:t>
                            </w:r>
                            <w:proofErr w:type="spellStart"/>
                            <w:r w:rsidRPr="007908AC">
                              <w:rPr>
                                <w:color w:val="000000"/>
                                <w:spacing w:val="-4"/>
                                <w:kern w:val="1"/>
                                <w:sz w:val="22"/>
                                <w:szCs w:val="22"/>
                              </w:rPr>
                              <w:t>zorO</w:t>
                            </w:r>
                            <w:proofErr w:type="spellEnd"/>
                            <w:r w:rsidRPr="007908AC">
                              <w:rPr>
                                <w:iCs w:val="0"/>
                                <w:color w:val="000000"/>
                                <w:spacing w:val="-4"/>
                                <w:kern w:val="1"/>
                                <w:sz w:val="22"/>
                                <w:szCs w:val="22"/>
                              </w:rPr>
                              <w:t xml:space="preserve"> with start codon mutated to AAG under control of the P</w:t>
                            </w:r>
                            <w:r w:rsidRPr="007908AC">
                              <w:rPr>
                                <w:iCs w:val="0"/>
                                <w:color w:val="000000"/>
                                <w:spacing w:val="-4"/>
                                <w:kern w:val="1"/>
                                <w:sz w:val="22"/>
                                <w:szCs w:val="22"/>
                                <w:vertAlign w:val="subscript"/>
                              </w:rPr>
                              <w:t>BAD</w:t>
                            </w:r>
                            <w:r w:rsidRPr="007908AC">
                              <w:rPr>
                                <w:iCs w:val="0"/>
                                <w:color w:val="000000"/>
                                <w:spacing w:val="-4"/>
                                <w:kern w:val="1"/>
                                <w:sz w:val="22"/>
                                <w:szCs w:val="22"/>
                              </w:rPr>
                              <w:t xml:space="preserve"> promoter on a high-copy plasmid induced by 13.32 mM arabinose during mid-log phase.  Shown are mean </w:t>
                            </w:r>
                            <w:r w:rsidRPr="007908AC">
                              <w:rPr>
                                <w:iCs w:val="0"/>
                                <w:color w:val="000000"/>
                                <w:spacing w:val="-4"/>
                                <w:kern w:val="1"/>
                                <w:sz w:val="22"/>
                                <w:szCs w:val="22"/>
                              </w:rPr>
                              <w:sym w:font="Symbol" w:char="F0B1"/>
                            </w:r>
                            <w:r w:rsidRPr="007908AC">
                              <w:rPr>
                                <w:iCs w:val="0"/>
                                <w:color w:val="000000"/>
                                <w:spacing w:val="-4"/>
                                <w:kern w:val="1"/>
                                <w:sz w:val="22"/>
                                <w:szCs w:val="22"/>
                              </w:rPr>
                              <w:t xml:space="preserve"> SD of n=3 (A). Processing of </w:t>
                            </w:r>
                            <w:proofErr w:type="spellStart"/>
                            <w:r w:rsidRPr="007908AC">
                              <w:rPr>
                                <w:color w:val="000000"/>
                                <w:spacing w:val="-4"/>
                                <w:kern w:val="1"/>
                                <w:sz w:val="22"/>
                                <w:szCs w:val="22"/>
                              </w:rPr>
                              <w:t>zorO</w:t>
                            </w:r>
                            <w:proofErr w:type="spellEnd"/>
                            <w:r w:rsidRPr="007908AC">
                              <w:rPr>
                                <w:iCs w:val="0"/>
                                <w:color w:val="000000"/>
                                <w:spacing w:val="-4"/>
                                <w:kern w:val="1"/>
                                <w:sz w:val="22"/>
                                <w:szCs w:val="22"/>
                              </w:rPr>
                              <w:t xml:space="preserve"> mRNA when overproduced from P</w:t>
                            </w:r>
                            <w:r w:rsidRPr="007908AC">
                              <w:rPr>
                                <w:iCs w:val="0"/>
                                <w:color w:val="000000"/>
                                <w:spacing w:val="-4"/>
                                <w:kern w:val="1"/>
                                <w:sz w:val="22"/>
                                <w:szCs w:val="22"/>
                                <w:vertAlign w:val="subscript"/>
                              </w:rPr>
                              <w:t>BAD</w:t>
                            </w:r>
                            <w:r w:rsidRPr="007908AC">
                              <w:rPr>
                                <w:iCs w:val="0"/>
                                <w:color w:val="000000"/>
                                <w:spacing w:val="-4"/>
                                <w:kern w:val="1"/>
                                <w:sz w:val="22"/>
                                <w:szCs w:val="22"/>
                              </w:rPr>
                              <w:t>-</w:t>
                            </w:r>
                            <w:proofErr w:type="spellStart"/>
                            <w:r w:rsidRPr="007908AC">
                              <w:rPr>
                                <w:color w:val="000000"/>
                                <w:spacing w:val="-4"/>
                                <w:kern w:val="1"/>
                                <w:sz w:val="22"/>
                                <w:szCs w:val="22"/>
                              </w:rPr>
                              <w:t>zorO</w:t>
                            </w:r>
                            <w:proofErr w:type="spellEnd"/>
                            <w:r w:rsidRPr="007908AC">
                              <w:rPr>
                                <w:iCs w:val="0"/>
                                <w:color w:val="000000"/>
                                <w:spacing w:val="-4"/>
                                <w:kern w:val="1"/>
                                <w:sz w:val="22"/>
                                <w:szCs w:val="22"/>
                              </w:rPr>
                              <w:t>. Cells harboring P</w:t>
                            </w:r>
                            <w:r w:rsidRPr="007908AC">
                              <w:rPr>
                                <w:iCs w:val="0"/>
                                <w:color w:val="000000"/>
                                <w:spacing w:val="-4"/>
                                <w:kern w:val="1"/>
                                <w:sz w:val="22"/>
                                <w:szCs w:val="22"/>
                                <w:vertAlign w:val="subscript"/>
                              </w:rPr>
                              <w:t>BAD</w:t>
                            </w:r>
                            <w:r w:rsidRPr="007908AC" w:rsidDel="00666FAD">
                              <w:rPr>
                                <w:iCs w:val="0"/>
                                <w:color w:val="000000"/>
                                <w:spacing w:val="-4"/>
                                <w:kern w:val="1"/>
                                <w:sz w:val="22"/>
                                <w:szCs w:val="22"/>
                              </w:rPr>
                              <w:t xml:space="preserve"> </w:t>
                            </w:r>
                            <w:r w:rsidRPr="007908AC">
                              <w:rPr>
                                <w:iCs w:val="0"/>
                                <w:color w:val="000000"/>
                                <w:spacing w:val="-4"/>
                                <w:kern w:val="1"/>
                                <w:sz w:val="22"/>
                                <w:szCs w:val="22"/>
                              </w:rPr>
                              <w:t>-</w:t>
                            </w:r>
                            <w:proofErr w:type="spellStart"/>
                            <w:r w:rsidRPr="007908AC">
                              <w:rPr>
                                <w:color w:val="000000"/>
                                <w:spacing w:val="-4"/>
                                <w:kern w:val="1"/>
                                <w:sz w:val="22"/>
                                <w:szCs w:val="22"/>
                              </w:rPr>
                              <w:t>zorO</w:t>
                            </w:r>
                            <w:proofErr w:type="spellEnd"/>
                            <w:r w:rsidRPr="007908AC">
                              <w:rPr>
                                <w:iCs w:val="0"/>
                                <w:color w:val="000000"/>
                                <w:spacing w:val="-4"/>
                                <w:kern w:val="1"/>
                                <w:sz w:val="22"/>
                                <w:szCs w:val="22"/>
                              </w:rPr>
                              <w:t xml:space="preserve"> were grown to exponential phase as described in the main text and induced with 13.32 mM arabinose. Cells were harvested 15 and 30 min post arabinose induction, RNA was isolated and primer extension was performed to map </w:t>
                            </w:r>
                            <w:proofErr w:type="spellStart"/>
                            <w:r w:rsidRPr="007908AC">
                              <w:rPr>
                                <w:color w:val="000000"/>
                                <w:spacing w:val="-4"/>
                                <w:kern w:val="1"/>
                                <w:sz w:val="22"/>
                                <w:szCs w:val="22"/>
                              </w:rPr>
                              <w:t>zorO</w:t>
                            </w:r>
                            <w:proofErr w:type="spellEnd"/>
                            <w:r w:rsidRPr="007908AC">
                              <w:rPr>
                                <w:iCs w:val="0"/>
                                <w:color w:val="000000"/>
                                <w:spacing w:val="-4"/>
                                <w:kern w:val="1"/>
                                <w:sz w:val="22"/>
                                <w:szCs w:val="22"/>
                              </w:rPr>
                              <w:t xml:space="preserve"> mRNAs. The two dominant species, full-length and </w:t>
                            </w:r>
                            <w:r w:rsidRPr="007908AC">
                              <w:rPr>
                                <w:iCs w:val="0"/>
                                <w:color w:val="000000"/>
                                <w:spacing w:val="-4"/>
                                <w:kern w:val="1"/>
                                <w:sz w:val="22"/>
                                <w:szCs w:val="22"/>
                              </w:rPr>
                              <w:sym w:font="Symbol" w:char="F044"/>
                            </w:r>
                            <w:r w:rsidRPr="007908AC">
                              <w:rPr>
                                <w:iCs w:val="0"/>
                                <w:color w:val="000000"/>
                                <w:spacing w:val="-4"/>
                                <w:kern w:val="1"/>
                                <w:sz w:val="22"/>
                                <w:szCs w:val="22"/>
                              </w:rPr>
                              <w:t xml:space="preserve">28, are indicated by closed and open triangle respectively (B). Rapid amplification of </w:t>
                            </w:r>
                            <w:proofErr w:type="spellStart"/>
                            <w:r w:rsidRPr="007908AC">
                              <w:rPr>
                                <w:color w:val="000000"/>
                                <w:spacing w:val="-4"/>
                                <w:kern w:val="1"/>
                                <w:sz w:val="22"/>
                                <w:szCs w:val="22"/>
                              </w:rPr>
                              <w:t>zorO</w:t>
                            </w:r>
                            <w:proofErr w:type="spellEnd"/>
                            <w:r w:rsidRPr="007908AC">
                              <w:rPr>
                                <w:iCs w:val="0"/>
                                <w:color w:val="000000"/>
                                <w:spacing w:val="-4"/>
                                <w:kern w:val="1"/>
                                <w:sz w:val="22"/>
                                <w:szCs w:val="22"/>
                              </w:rPr>
                              <w:t xml:space="preserve"> cDNA ends of cells harboring </w:t>
                            </w:r>
                            <w:proofErr w:type="spellStart"/>
                            <w:r w:rsidRPr="007908AC">
                              <w:rPr>
                                <w:iCs w:val="0"/>
                                <w:color w:val="000000"/>
                                <w:spacing w:val="-4"/>
                                <w:kern w:val="1"/>
                                <w:sz w:val="22"/>
                                <w:szCs w:val="22"/>
                              </w:rPr>
                              <w:t>pBR-</w:t>
                            </w:r>
                            <w:r w:rsidRPr="007908AC">
                              <w:rPr>
                                <w:color w:val="000000"/>
                                <w:spacing w:val="-4"/>
                                <w:kern w:val="1"/>
                                <w:sz w:val="22"/>
                                <w:szCs w:val="22"/>
                              </w:rPr>
                              <w:t>zorO</w:t>
                            </w:r>
                            <w:proofErr w:type="spellEnd"/>
                            <w:r w:rsidRPr="007908AC">
                              <w:rPr>
                                <w:iCs w:val="0"/>
                                <w:color w:val="000000"/>
                                <w:spacing w:val="-4"/>
                                <w:kern w:val="1"/>
                                <w:sz w:val="22"/>
                                <w:szCs w:val="22"/>
                              </w:rPr>
                              <w:t xml:space="preserve">. RNA was isolated from the cells harboring </w:t>
                            </w:r>
                            <w:proofErr w:type="spellStart"/>
                            <w:r w:rsidRPr="007908AC">
                              <w:rPr>
                                <w:iCs w:val="0"/>
                                <w:color w:val="000000"/>
                                <w:spacing w:val="-4"/>
                                <w:kern w:val="1"/>
                                <w:sz w:val="22"/>
                                <w:szCs w:val="22"/>
                              </w:rPr>
                              <w:t>pBR-</w:t>
                            </w:r>
                            <w:r w:rsidRPr="007908AC">
                              <w:rPr>
                                <w:color w:val="000000"/>
                                <w:spacing w:val="-4"/>
                                <w:kern w:val="1"/>
                                <w:sz w:val="22"/>
                                <w:szCs w:val="22"/>
                              </w:rPr>
                              <w:t>zorO</w:t>
                            </w:r>
                            <w:proofErr w:type="spellEnd"/>
                            <w:r w:rsidRPr="007908AC">
                              <w:rPr>
                                <w:iCs w:val="0"/>
                                <w:color w:val="000000"/>
                                <w:spacing w:val="-4"/>
                                <w:kern w:val="1"/>
                                <w:sz w:val="22"/>
                                <w:szCs w:val="22"/>
                              </w:rPr>
                              <w:t xml:space="preserve"> grown in LB until exponential phase. 5’ RACE was performed to map the end of </w:t>
                            </w:r>
                            <w:proofErr w:type="spellStart"/>
                            <w:r w:rsidRPr="007908AC">
                              <w:rPr>
                                <w:color w:val="000000"/>
                                <w:spacing w:val="-4"/>
                                <w:kern w:val="1"/>
                                <w:sz w:val="22"/>
                                <w:szCs w:val="22"/>
                              </w:rPr>
                              <w:t>zorO</w:t>
                            </w:r>
                            <w:proofErr w:type="spellEnd"/>
                            <w:r w:rsidRPr="007908AC">
                              <w:rPr>
                                <w:iCs w:val="0"/>
                                <w:color w:val="000000"/>
                                <w:spacing w:val="-4"/>
                                <w:kern w:val="1"/>
                                <w:sz w:val="22"/>
                                <w:szCs w:val="22"/>
                              </w:rPr>
                              <w:t>, and shown are ends mapped (C).</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5819CA7" id="Text Box 2" o:spid="_x0000_s1027" type="#_x0000_t202" style="position:absolute;margin-left:6.05pt;margin-top:377.05pt;width:445pt;height:.05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" stroked="f">
                <v:textbox style="mso-fit-shape-to-text:t" inset="0,0,0,0">
                  <w:txbxContent>
                    <w:p w14:paraId="7BDDF815" w14:textId="77777777" w:rsidR="00F33FC4" w:rsidRPr="007908AC" w:rsidRDefault="00F33FC4" w:rsidP="00F33FC4">
                      <w:pPr>
                        <w:pStyle w:val="Caption"/>
                        <w:rPr>
                          <w:bCs/>
                          <w:i/>
                          <w:iCs w:val="0"/>
                          <w:sz w:val="22"/>
                          <w:szCs w:val="22"/>
                        </w:rPr>
                      </w:pPr>
                      <w:r w:rsidRPr="00FA1218">
                        <w:rPr>
                          <w:iCs w:val="0"/>
                          <w:sz w:val="22"/>
                          <w:szCs w:val="22"/>
                        </w:rPr>
                        <w:t xml:space="preserve">Figure 2.1. </w:t>
                      </w:r>
                      <w:r w:rsidRPr="00FA1218">
                        <w:rPr>
                          <w:iCs w:val="0"/>
                          <w:color w:val="000000"/>
                          <w:spacing w:val="-4"/>
                          <w:kern w:val="1"/>
                          <w:sz w:val="22"/>
                          <w:szCs w:val="22"/>
                        </w:rPr>
                        <w:t xml:space="preserve">The </w:t>
                      </w:r>
                      <w:proofErr w:type="spellStart"/>
                      <w:r w:rsidRPr="00FA1218">
                        <w:rPr>
                          <w:iCs w:val="0"/>
                          <w:color w:val="000000"/>
                          <w:spacing w:val="-4"/>
                          <w:kern w:val="1"/>
                          <w:sz w:val="22"/>
                          <w:szCs w:val="22"/>
                        </w:rPr>
                        <w:t>ZorO</w:t>
                      </w:r>
                      <w:proofErr w:type="spellEnd"/>
                      <w:r w:rsidRPr="00FA1218">
                        <w:rPr>
                          <w:iCs w:val="0"/>
                          <w:color w:val="000000"/>
                          <w:spacing w:val="-4"/>
                          <w:kern w:val="1"/>
                          <w:sz w:val="22"/>
                          <w:szCs w:val="22"/>
                        </w:rPr>
                        <w:t xml:space="preserve"> peptide is needed for toxicity and there is processing of the 5’ untranslated region of </w:t>
                      </w:r>
                      <w:proofErr w:type="spellStart"/>
                      <w:r w:rsidRPr="00FA1218">
                        <w:rPr>
                          <w:color w:val="000000"/>
                          <w:spacing w:val="-4"/>
                          <w:kern w:val="1"/>
                          <w:sz w:val="22"/>
                          <w:szCs w:val="22"/>
                        </w:rPr>
                        <w:t>zorO</w:t>
                      </w:r>
                      <w:proofErr w:type="spellEnd"/>
                      <w:r w:rsidRPr="00FA1218">
                        <w:rPr>
                          <w:iCs w:val="0"/>
                          <w:color w:val="000000"/>
                          <w:spacing w:val="-4"/>
                          <w:kern w:val="1"/>
                          <w:sz w:val="22"/>
                          <w:szCs w:val="22"/>
                        </w:rPr>
                        <w:t xml:space="preserve"> mRNA.</w:t>
                      </w:r>
                      <w:r w:rsidRPr="007908AC">
                        <w:rPr>
                          <w:b/>
                          <w:bCs/>
                          <w:iCs w:val="0"/>
                          <w:color w:val="000000"/>
                          <w:spacing w:val="-4"/>
                          <w:kern w:val="1"/>
                          <w:sz w:val="22"/>
                          <w:szCs w:val="22"/>
                        </w:rPr>
                        <w:t xml:space="preserve"> </w:t>
                      </w:r>
                      <w:r w:rsidRPr="007908AC">
                        <w:rPr>
                          <w:iCs w:val="0"/>
                          <w:color w:val="000000"/>
                          <w:spacing w:val="-4"/>
                          <w:kern w:val="1"/>
                          <w:sz w:val="22"/>
                          <w:szCs w:val="22"/>
                        </w:rPr>
                        <w:t xml:space="preserve">Growth curve of </w:t>
                      </w:r>
                      <w:r w:rsidRPr="007908AC">
                        <w:rPr>
                          <w:color w:val="000000"/>
                          <w:spacing w:val="-4"/>
                          <w:kern w:val="1"/>
                          <w:sz w:val="22"/>
                          <w:szCs w:val="22"/>
                        </w:rPr>
                        <w:t>E. coli</w:t>
                      </w:r>
                      <w:r w:rsidRPr="007908AC">
                        <w:rPr>
                          <w:iCs w:val="0"/>
                          <w:color w:val="000000"/>
                          <w:spacing w:val="-4"/>
                          <w:kern w:val="1"/>
                          <w:sz w:val="22"/>
                          <w:szCs w:val="22"/>
                        </w:rPr>
                        <w:t xml:space="preserve"> UTK007 strain carrying wild-type </w:t>
                      </w:r>
                      <w:proofErr w:type="spellStart"/>
                      <w:r w:rsidRPr="007908AC">
                        <w:rPr>
                          <w:color w:val="000000"/>
                          <w:spacing w:val="-4"/>
                          <w:kern w:val="1"/>
                          <w:sz w:val="22"/>
                          <w:szCs w:val="22"/>
                        </w:rPr>
                        <w:t>zorO</w:t>
                      </w:r>
                      <w:proofErr w:type="spellEnd"/>
                      <w:r w:rsidRPr="007908AC">
                        <w:rPr>
                          <w:iCs w:val="0"/>
                          <w:color w:val="000000"/>
                          <w:spacing w:val="-4"/>
                          <w:kern w:val="1"/>
                          <w:sz w:val="22"/>
                          <w:szCs w:val="22"/>
                        </w:rPr>
                        <w:t xml:space="preserve"> or </w:t>
                      </w:r>
                      <w:proofErr w:type="spellStart"/>
                      <w:r w:rsidRPr="007908AC">
                        <w:rPr>
                          <w:color w:val="000000"/>
                          <w:spacing w:val="-4"/>
                          <w:kern w:val="1"/>
                          <w:sz w:val="22"/>
                          <w:szCs w:val="22"/>
                        </w:rPr>
                        <w:t>zorO</w:t>
                      </w:r>
                      <w:proofErr w:type="spellEnd"/>
                      <w:r w:rsidRPr="007908AC">
                        <w:rPr>
                          <w:iCs w:val="0"/>
                          <w:color w:val="000000"/>
                          <w:spacing w:val="-4"/>
                          <w:kern w:val="1"/>
                          <w:sz w:val="22"/>
                          <w:szCs w:val="22"/>
                        </w:rPr>
                        <w:t xml:space="preserve"> with start codon mutated to AAG under control of the P</w:t>
                      </w:r>
                      <w:r w:rsidRPr="007908AC">
                        <w:rPr>
                          <w:iCs w:val="0"/>
                          <w:color w:val="000000"/>
                          <w:spacing w:val="-4"/>
                          <w:kern w:val="1"/>
                          <w:sz w:val="22"/>
                          <w:szCs w:val="22"/>
                          <w:vertAlign w:val="subscript"/>
                        </w:rPr>
                        <w:t>BAD</w:t>
                      </w:r>
                      <w:r w:rsidRPr="007908AC">
                        <w:rPr>
                          <w:iCs w:val="0"/>
                          <w:color w:val="000000"/>
                          <w:spacing w:val="-4"/>
                          <w:kern w:val="1"/>
                          <w:sz w:val="22"/>
                          <w:szCs w:val="22"/>
                        </w:rPr>
                        <w:t xml:space="preserve"> promoter on a high-copy plasmid induced by 13.32 mM arabinose during mid-log phase.  Shown are mean </w:t>
                      </w:r>
                      <w:r w:rsidRPr="007908AC">
                        <w:rPr>
                          <w:iCs w:val="0"/>
                          <w:color w:val="000000"/>
                          <w:spacing w:val="-4"/>
                          <w:kern w:val="1"/>
                          <w:sz w:val="22"/>
                          <w:szCs w:val="22"/>
                        </w:rPr>
                        <w:sym w:font="Symbol" w:char="F0B1"/>
                      </w:r>
                      <w:r w:rsidRPr="007908AC">
                        <w:rPr>
                          <w:iCs w:val="0"/>
                          <w:color w:val="000000"/>
                          <w:spacing w:val="-4"/>
                          <w:kern w:val="1"/>
                          <w:sz w:val="22"/>
                          <w:szCs w:val="22"/>
                        </w:rPr>
                        <w:t xml:space="preserve"> SD of n=3 (A). Processing of </w:t>
                      </w:r>
                      <w:proofErr w:type="spellStart"/>
                      <w:r w:rsidRPr="007908AC">
                        <w:rPr>
                          <w:color w:val="000000"/>
                          <w:spacing w:val="-4"/>
                          <w:kern w:val="1"/>
                          <w:sz w:val="22"/>
                          <w:szCs w:val="22"/>
                        </w:rPr>
                        <w:t>zorO</w:t>
                      </w:r>
                      <w:proofErr w:type="spellEnd"/>
                      <w:r w:rsidRPr="007908AC">
                        <w:rPr>
                          <w:iCs w:val="0"/>
                          <w:color w:val="000000"/>
                          <w:spacing w:val="-4"/>
                          <w:kern w:val="1"/>
                          <w:sz w:val="22"/>
                          <w:szCs w:val="22"/>
                        </w:rPr>
                        <w:t xml:space="preserve"> mRNA when overproduced from P</w:t>
                      </w:r>
                      <w:r w:rsidRPr="007908AC">
                        <w:rPr>
                          <w:iCs w:val="0"/>
                          <w:color w:val="000000"/>
                          <w:spacing w:val="-4"/>
                          <w:kern w:val="1"/>
                          <w:sz w:val="22"/>
                          <w:szCs w:val="22"/>
                          <w:vertAlign w:val="subscript"/>
                        </w:rPr>
                        <w:t>BAD</w:t>
                      </w:r>
                      <w:r w:rsidRPr="007908AC">
                        <w:rPr>
                          <w:iCs w:val="0"/>
                          <w:color w:val="000000"/>
                          <w:spacing w:val="-4"/>
                          <w:kern w:val="1"/>
                          <w:sz w:val="22"/>
                          <w:szCs w:val="22"/>
                        </w:rPr>
                        <w:t>-</w:t>
                      </w:r>
                      <w:proofErr w:type="spellStart"/>
                      <w:r w:rsidRPr="007908AC">
                        <w:rPr>
                          <w:color w:val="000000"/>
                          <w:spacing w:val="-4"/>
                          <w:kern w:val="1"/>
                          <w:sz w:val="22"/>
                          <w:szCs w:val="22"/>
                        </w:rPr>
                        <w:t>zorO</w:t>
                      </w:r>
                      <w:proofErr w:type="spellEnd"/>
                      <w:r w:rsidRPr="007908AC">
                        <w:rPr>
                          <w:iCs w:val="0"/>
                          <w:color w:val="000000"/>
                          <w:spacing w:val="-4"/>
                          <w:kern w:val="1"/>
                          <w:sz w:val="22"/>
                          <w:szCs w:val="22"/>
                        </w:rPr>
                        <w:t>. Cells harboring P</w:t>
                      </w:r>
                      <w:r w:rsidRPr="007908AC">
                        <w:rPr>
                          <w:iCs w:val="0"/>
                          <w:color w:val="000000"/>
                          <w:spacing w:val="-4"/>
                          <w:kern w:val="1"/>
                          <w:sz w:val="22"/>
                          <w:szCs w:val="22"/>
                          <w:vertAlign w:val="subscript"/>
                        </w:rPr>
                        <w:t>BAD</w:t>
                      </w:r>
                      <w:r w:rsidRPr="007908AC" w:rsidDel="00666FAD">
                        <w:rPr>
                          <w:iCs w:val="0"/>
                          <w:color w:val="000000"/>
                          <w:spacing w:val="-4"/>
                          <w:kern w:val="1"/>
                          <w:sz w:val="22"/>
                          <w:szCs w:val="22"/>
                        </w:rPr>
                        <w:t xml:space="preserve"> </w:t>
                      </w:r>
                      <w:r w:rsidRPr="007908AC">
                        <w:rPr>
                          <w:iCs w:val="0"/>
                          <w:color w:val="000000"/>
                          <w:spacing w:val="-4"/>
                          <w:kern w:val="1"/>
                          <w:sz w:val="22"/>
                          <w:szCs w:val="22"/>
                        </w:rPr>
                        <w:t>-</w:t>
                      </w:r>
                      <w:proofErr w:type="spellStart"/>
                      <w:r w:rsidRPr="007908AC">
                        <w:rPr>
                          <w:color w:val="000000"/>
                          <w:spacing w:val="-4"/>
                          <w:kern w:val="1"/>
                          <w:sz w:val="22"/>
                          <w:szCs w:val="22"/>
                        </w:rPr>
                        <w:t>zorO</w:t>
                      </w:r>
                      <w:proofErr w:type="spellEnd"/>
                      <w:r w:rsidRPr="007908AC">
                        <w:rPr>
                          <w:iCs w:val="0"/>
                          <w:color w:val="000000"/>
                          <w:spacing w:val="-4"/>
                          <w:kern w:val="1"/>
                          <w:sz w:val="22"/>
                          <w:szCs w:val="22"/>
                        </w:rPr>
                        <w:t xml:space="preserve"> were grown to exponential phase as described in the main text and induced with 13.32 mM arabinose. Cells were harvested </w:t>
                      </w:r>
                      <w:proofErr w:type="gramStart"/>
                      <w:r w:rsidRPr="007908AC">
                        <w:rPr>
                          <w:iCs w:val="0"/>
                          <w:color w:val="000000"/>
                          <w:spacing w:val="-4"/>
                          <w:kern w:val="1"/>
                          <w:sz w:val="22"/>
                          <w:szCs w:val="22"/>
                        </w:rPr>
                        <w:t>15 and 30 min</w:t>
                      </w:r>
                      <w:proofErr w:type="gramEnd"/>
                      <w:r w:rsidRPr="007908AC">
                        <w:rPr>
                          <w:iCs w:val="0"/>
                          <w:color w:val="000000"/>
                          <w:spacing w:val="-4"/>
                          <w:kern w:val="1"/>
                          <w:sz w:val="22"/>
                          <w:szCs w:val="22"/>
                        </w:rPr>
                        <w:t xml:space="preserve"> post arabinose induction, RNA was isolated and primer extension was performed to map </w:t>
                      </w:r>
                      <w:proofErr w:type="spellStart"/>
                      <w:r w:rsidRPr="007908AC">
                        <w:rPr>
                          <w:color w:val="000000"/>
                          <w:spacing w:val="-4"/>
                          <w:kern w:val="1"/>
                          <w:sz w:val="22"/>
                          <w:szCs w:val="22"/>
                        </w:rPr>
                        <w:t>zorO</w:t>
                      </w:r>
                      <w:proofErr w:type="spellEnd"/>
                      <w:r w:rsidRPr="007908AC">
                        <w:rPr>
                          <w:iCs w:val="0"/>
                          <w:color w:val="000000"/>
                          <w:spacing w:val="-4"/>
                          <w:kern w:val="1"/>
                          <w:sz w:val="22"/>
                          <w:szCs w:val="22"/>
                        </w:rPr>
                        <w:t xml:space="preserve"> mRNAs. The two dominant species, full-length and </w:t>
                      </w:r>
                      <w:r w:rsidRPr="007908AC">
                        <w:rPr>
                          <w:iCs w:val="0"/>
                          <w:color w:val="000000"/>
                          <w:spacing w:val="-4"/>
                          <w:kern w:val="1"/>
                          <w:sz w:val="22"/>
                          <w:szCs w:val="22"/>
                        </w:rPr>
                        <w:sym w:font="Symbol" w:char="F044"/>
                      </w:r>
                      <w:r w:rsidRPr="007908AC">
                        <w:rPr>
                          <w:iCs w:val="0"/>
                          <w:color w:val="000000"/>
                          <w:spacing w:val="-4"/>
                          <w:kern w:val="1"/>
                          <w:sz w:val="22"/>
                          <w:szCs w:val="22"/>
                        </w:rPr>
                        <w:t xml:space="preserve">28, are indicated by closed and open triangle respectively (B). Rapid amplification of </w:t>
                      </w:r>
                      <w:proofErr w:type="spellStart"/>
                      <w:r w:rsidRPr="007908AC">
                        <w:rPr>
                          <w:color w:val="000000"/>
                          <w:spacing w:val="-4"/>
                          <w:kern w:val="1"/>
                          <w:sz w:val="22"/>
                          <w:szCs w:val="22"/>
                        </w:rPr>
                        <w:t>zorO</w:t>
                      </w:r>
                      <w:proofErr w:type="spellEnd"/>
                      <w:r w:rsidRPr="007908AC">
                        <w:rPr>
                          <w:iCs w:val="0"/>
                          <w:color w:val="000000"/>
                          <w:spacing w:val="-4"/>
                          <w:kern w:val="1"/>
                          <w:sz w:val="22"/>
                          <w:szCs w:val="22"/>
                        </w:rPr>
                        <w:t xml:space="preserve"> cDNA ends of cells harboring </w:t>
                      </w:r>
                      <w:proofErr w:type="spellStart"/>
                      <w:r w:rsidRPr="007908AC">
                        <w:rPr>
                          <w:iCs w:val="0"/>
                          <w:color w:val="000000"/>
                          <w:spacing w:val="-4"/>
                          <w:kern w:val="1"/>
                          <w:sz w:val="22"/>
                          <w:szCs w:val="22"/>
                        </w:rPr>
                        <w:t>pBR-</w:t>
                      </w:r>
                      <w:r w:rsidRPr="007908AC">
                        <w:rPr>
                          <w:color w:val="000000"/>
                          <w:spacing w:val="-4"/>
                          <w:kern w:val="1"/>
                          <w:sz w:val="22"/>
                          <w:szCs w:val="22"/>
                        </w:rPr>
                        <w:t>zorO</w:t>
                      </w:r>
                      <w:proofErr w:type="spellEnd"/>
                      <w:r w:rsidRPr="007908AC">
                        <w:rPr>
                          <w:iCs w:val="0"/>
                          <w:color w:val="000000"/>
                          <w:spacing w:val="-4"/>
                          <w:kern w:val="1"/>
                          <w:sz w:val="22"/>
                          <w:szCs w:val="22"/>
                        </w:rPr>
                        <w:t xml:space="preserve">. RNA was isolated from the cells harboring </w:t>
                      </w:r>
                      <w:proofErr w:type="spellStart"/>
                      <w:r w:rsidRPr="007908AC">
                        <w:rPr>
                          <w:iCs w:val="0"/>
                          <w:color w:val="000000"/>
                          <w:spacing w:val="-4"/>
                          <w:kern w:val="1"/>
                          <w:sz w:val="22"/>
                          <w:szCs w:val="22"/>
                        </w:rPr>
                        <w:t>pBR-</w:t>
                      </w:r>
                      <w:r w:rsidRPr="007908AC">
                        <w:rPr>
                          <w:color w:val="000000"/>
                          <w:spacing w:val="-4"/>
                          <w:kern w:val="1"/>
                          <w:sz w:val="22"/>
                          <w:szCs w:val="22"/>
                        </w:rPr>
                        <w:t>zorO</w:t>
                      </w:r>
                      <w:proofErr w:type="spellEnd"/>
                      <w:r w:rsidRPr="007908AC">
                        <w:rPr>
                          <w:iCs w:val="0"/>
                          <w:color w:val="000000"/>
                          <w:spacing w:val="-4"/>
                          <w:kern w:val="1"/>
                          <w:sz w:val="22"/>
                          <w:szCs w:val="22"/>
                        </w:rPr>
                        <w:t xml:space="preserve"> grown in LB until exponential phase. 5’ RACE was performed to map the end of </w:t>
                      </w:r>
                      <w:proofErr w:type="spellStart"/>
                      <w:proofErr w:type="gramStart"/>
                      <w:r w:rsidRPr="007908AC">
                        <w:rPr>
                          <w:color w:val="000000"/>
                          <w:spacing w:val="-4"/>
                          <w:kern w:val="1"/>
                          <w:sz w:val="22"/>
                          <w:szCs w:val="22"/>
                        </w:rPr>
                        <w:t>zorO</w:t>
                      </w:r>
                      <w:proofErr w:type="spellEnd"/>
                      <w:r w:rsidRPr="007908AC">
                        <w:rPr>
                          <w:iCs w:val="0"/>
                          <w:color w:val="000000"/>
                          <w:spacing w:val="-4"/>
                          <w:kern w:val="1"/>
                          <w:sz w:val="22"/>
                          <w:szCs w:val="22"/>
                        </w:rPr>
                        <w:t>, and</w:t>
                      </w:r>
                      <w:proofErr w:type="gramEnd"/>
                      <w:r w:rsidRPr="007908AC">
                        <w:rPr>
                          <w:iCs w:val="0"/>
                          <w:color w:val="000000"/>
                          <w:spacing w:val="-4"/>
                          <w:kern w:val="1"/>
                          <w:sz w:val="22"/>
                          <w:szCs w:val="22"/>
                        </w:rPr>
                        <w:t xml:space="preserve"> shown are ends mapped (C).</w:t>
                      </w:r>
                    </w:p>
                  </w:txbxContent>
                </v:textbox>
                <w10:wrap type="topAndBottom"/>
              </v:shape>
            </w:pict>
          </mc:Fallback>
        </mc:AlternateContent>
      </w:r>
      <w:r w:rsidR="00F33FC4" w:rsidRPr="00F33FC4">
        <w:rPr>
          <w:rFonts w:eastAsia="Calibri"/>
          <w:bCs/>
          <w:noProof/>
        </w:rPr>
        <w:drawing>
          <wp:anchor distT="0" distB="0" distL="114300" distR="114300" simplePos="0" relativeHeight="251673600" behindDoc="0" locked="0" layoutInCell="1" allowOverlap="1" wp14:anchorId="35641BA8" wp14:editId="1156DC59">
            <wp:simplePos x="0" y="0"/>
            <wp:positionH relativeFrom="column">
              <wp:posOffset>389890</wp:posOffset>
            </wp:positionH>
            <wp:positionV relativeFrom="paragraph">
              <wp:posOffset>195</wp:posOffset>
            </wp:positionV>
            <wp:extent cx="5011420" cy="5191760"/>
            <wp:effectExtent l="0" t="0" r="5080" b="2540"/>
            <wp:wrapTopAndBottom/>
            <wp:docPr id="52" name="Picture 52" descr="Char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10;&#10;Description automatically generated with low confidenc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011420" cy="5191760"/>
                    </a:xfrm>
                    <a:prstGeom prst="rect">
                      <a:avLst/>
                    </a:prstGeom>
                  </pic:spPr>
                </pic:pic>
              </a:graphicData>
            </a:graphic>
            <wp14:sizeRelH relativeFrom="page">
              <wp14:pctWidth>0</wp14:pctWidth>
            </wp14:sizeRelH>
            <wp14:sizeRelV relativeFrom="page">
              <wp14:pctHeight>0</wp14:pctHeight>
            </wp14:sizeRelV>
          </wp:anchor>
        </w:drawing>
      </w:r>
      <w:r w:rsidR="00F33FC4" w:rsidRPr="00F33FC4">
        <w:rPr>
          <w:rFonts w:eastAsia="Calibri"/>
          <w:bCs/>
        </w:rPr>
        <w:br w:type="page"/>
      </w:r>
    </w:p>
    <w:p w14:paraId="3E182A25" w14:textId="10B73747" w:rsidR="00971E1E" w:rsidRDefault="00971E1E">
      <w:pPr>
        <w:rPr>
          <w:rFonts w:eastAsia="Calibri"/>
          <w:bCs/>
        </w:rPr>
      </w:pPr>
      <w:r w:rsidRPr="00F33FC4">
        <w:rPr>
          <w:rFonts w:ascii="Calibri" w:eastAsia="Calibri" w:hAnsi="Calibri" w:cs="Mangal"/>
          <w:noProof/>
        </w:rPr>
        <w:lastRenderedPageBreak/>
        <mc:AlternateContent>
          <mc:Choice Requires="wps">
            <w:drawing>
              <wp:anchor distT="0" distB="0" distL="114300" distR="114300" simplePos="0" relativeHeight="251747328" behindDoc="0" locked="0" layoutInCell="1" allowOverlap="1" wp14:anchorId="6FD2A4DA" wp14:editId="02716A7D">
                <wp:simplePos x="0" y="0"/>
                <wp:positionH relativeFrom="column">
                  <wp:posOffset>108585</wp:posOffset>
                </wp:positionH>
                <wp:positionV relativeFrom="paragraph">
                  <wp:posOffset>253365</wp:posOffset>
                </wp:positionV>
                <wp:extent cx="5648960" cy="635"/>
                <wp:effectExtent l="0" t="0" r="2540" b="0"/>
                <wp:wrapTopAndBottom/>
                <wp:docPr id="47" name="Text Box 47"/>
                <wp:cNvGraphicFramePr/>
                <a:graphic xmlns:a="http://schemas.openxmlformats.org/drawingml/2006/main">
                  <a:graphicData uri="http://schemas.microsoft.com/office/word/2010/wordprocessingShape">
                    <wps:wsp>
                      <wps:cNvSpPr txBox="1"/>
                      <wps:spPr>
                        <a:xfrm>
                          <a:off x="0" y="0"/>
                          <a:ext cx="5648960" cy="635"/>
                        </a:xfrm>
                        <a:prstGeom prst="rect">
                          <a:avLst/>
                        </a:prstGeom>
                        <a:solidFill>
                          <a:prstClr val="white"/>
                        </a:solidFill>
                        <a:ln>
                          <a:noFill/>
                        </a:ln>
                      </wps:spPr>
                      <wps:txbx>
                        <w:txbxContent>
                          <w:p w14:paraId="4015A2DC" w14:textId="77777777" w:rsidR="00971E1E" w:rsidRPr="007908AC" w:rsidRDefault="00971E1E" w:rsidP="00971E1E">
                            <w:pPr>
                              <w:pStyle w:val="Caption"/>
                              <w:rPr>
                                <w:i/>
                                <w:iCs w:val="0"/>
                                <w:sz w:val="22"/>
                                <w:szCs w:val="22"/>
                              </w:rPr>
                            </w:pPr>
                            <w:r w:rsidRPr="00FA1218">
                              <w:rPr>
                                <w:iCs w:val="0"/>
                                <w:sz w:val="22"/>
                                <w:szCs w:val="22"/>
                              </w:rPr>
                              <w:t xml:space="preserve">Figure 2.2. The 5’UTR variant of </w:t>
                            </w:r>
                            <w:proofErr w:type="spellStart"/>
                            <w:r w:rsidRPr="00FA1218">
                              <w:rPr>
                                <w:sz w:val="22"/>
                                <w:szCs w:val="22"/>
                              </w:rPr>
                              <w:t>zorO</w:t>
                            </w:r>
                            <w:proofErr w:type="spellEnd"/>
                            <w:r w:rsidRPr="00FA1218">
                              <w:rPr>
                                <w:iCs w:val="0"/>
                                <w:sz w:val="22"/>
                                <w:szCs w:val="22"/>
                              </w:rPr>
                              <w:t xml:space="preserve"> gene and its effect on growth, survival and translation.</w:t>
                            </w:r>
                            <w:r w:rsidRPr="007908AC">
                              <w:rPr>
                                <w:iCs w:val="0"/>
                                <w:sz w:val="22"/>
                                <w:szCs w:val="22"/>
                              </w:rPr>
                              <w:t xml:space="preserve"> Schematic of the full-length (174 </w:t>
                            </w:r>
                            <w:proofErr w:type="spellStart"/>
                            <w:r w:rsidRPr="007908AC">
                              <w:rPr>
                                <w:iCs w:val="0"/>
                                <w:sz w:val="22"/>
                                <w:szCs w:val="22"/>
                              </w:rPr>
                              <w:t>nts</w:t>
                            </w:r>
                            <w:proofErr w:type="spellEnd"/>
                            <w:r w:rsidRPr="007908AC">
                              <w:rPr>
                                <w:iCs w:val="0"/>
                                <w:sz w:val="22"/>
                                <w:szCs w:val="22"/>
                              </w:rPr>
                              <w:t>; P</w:t>
                            </w:r>
                            <w:r w:rsidRPr="007908AC">
                              <w:rPr>
                                <w:iCs w:val="0"/>
                                <w:sz w:val="22"/>
                                <w:szCs w:val="22"/>
                                <w:vertAlign w:val="subscript"/>
                              </w:rPr>
                              <w:t>BAD</w:t>
                            </w:r>
                            <w:r w:rsidRPr="007908AC">
                              <w:rPr>
                                <w:iCs w:val="0"/>
                                <w:sz w:val="22"/>
                                <w:szCs w:val="22"/>
                              </w:rPr>
                              <w:t>-</w:t>
                            </w:r>
                            <w:proofErr w:type="spellStart"/>
                            <w:r w:rsidRPr="007908AC">
                              <w:rPr>
                                <w:iCs w:val="0"/>
                                <w:sz w:val="22"/>
                                <w:szCs w:val="22"/>
                              </w:rPr>
                              <w:t>zorO</w:t>
                            </w:r>
                            <w:proofErr w:type="spellEnd"/>
                            <w:r w:rsidRPr="007908AC">
                              <w:rPr>
                                <w:iCs w:val="0"/>
                                <w:sz w:val="22"/>
                                <w:szCs w:val="22"/>
                              </w:rPr>
                              <w:t>-FLAG) and processed (</w:t>
                            </w:r>
                            <w:r w:rsidRPr="007908AC">
                              <w:rPr>
                                <w:iCs w:val="0"/>
                                <w:sz w:val="22"/>
                                <w:szCs w:val="22"/>
                              </w:rPr>
                              <w:sym w:font="Symbol" w:char="F044"/>
                            </w:r>
                            <w:r w:rsidRPr="007908AC">
                              <w:rPr>
                                <w:iCs w:val="0"/>
                                <w:sz w:val="22"/>
                                <w:szCs w:val="22"/>
                              </w:rPr>
                              <w:t>28; P</w:t>
                            </w:r>
                            <w:r w:rsidRPr="007908AC">
                              <w:rPr>
                                <w:iCs w:val="0"/>
                                <w:sz w:val="22"/>
                                <w:szCs w:val="22"/>
                                <w:vertAlign w:val="subscript"/>
                              </w:rPr>
                              <w:t>BAD</w:t>
                            </w:r>
                            <w:r w:rsidRPr="007908AC">
                              <w:rPr>
                                <w:iCs w:val="0"/>
                                <w:sz w:val="22"/>
                                <w:szCs w:val="22"/>
                              </w:rPr>
                              <w:t>-</w:t>
                            </w:r>
                            <w:r w:rsidRPr="007908AC">
                              <w:rPr>
                                <w:iCs w:val="0"/>
                                <w:sz w:val="22"/>
                                <w:szCs w:val="22"/>
                              </w:rPr>
                              <w:sym w:font="Symbol" w:char="F044"/>
                            </w:r>
                            <w:r w:rsidRPr="007908AC">
                              <w:rPr>
                                <w:iCs w:val="0"/>
                                <w:sz w:val="22"/>
                                <w:szCs w:val="22"/>
                              </w:rPr>
                              <w:t xml:space="preserve">28zorO-FLAG) UTR of </w:t>
                            </w:r>
                            <w:proofErr w:type="spellStart"/>
                            <w:r w:rsidRPr="007908AC">
                              <w:rPr>
                                <w:sz w:val="22"/>
                                <w:szCs w:val="22"/>
                              </w:rPr>
                              <w:t>zorO</w:t>
                            </w:r>
                            <w:proofErr w:type="spellEnd"/>
                            <w:r w:rsidRPr="007908AC">
                              <w:rPr>
                                <w:iCs w:val="0"/>
                                <w:sz w:val="22"/>
                                <w:szCs w:val="22"/>
                              </w:rPr>
                              <w:t xml:space="preserve"> used in the study (A). Growth curve of MG1655 derived cells (UTK007) carrying respective plasmids after induction with arabinose concentration of 13.32 mM (B), 6.67 </w:t>
                            </w:r>
                            <w:proofErr w:type="spellStart"/>
                            <w:r w:rsidRPr="007908AC">
                              <w:rPr>
                                <w:iCs w:val="0"/>
                                <w:color w:val="000000"/>
                                <w:spacing w:val="-4"/>
                                <w:kern w:val="1"/>
                                <w:sz w:val="22"/>
                                <w:szCs w:val="22"/>
                              </w:rPr>
                              <w:t>μM</w:t>
                            </w:r>
                            <w:proofErr w:type="spellEnd"/>
                            <w:r w:rsidRPr="007908AC">
                              <w:rPr>
                                <w:iCs w:val="0"/>
                                <w:sz w:val="22"/>
                                <w:szCs w:val="22"/>
                              </w:rPr>
                              <w:t xml:space="preserve"> (C) and 0.67 </w:t>
                            </w:r>
                            <w:proofErr w:type="spellStart"/>
                            <w:r w:rsidRPr="007908AC">
                              <w:rPr>
                                <w:iCs w:val="0"/>
                                <w:color w:val="000000"/>
                                <w:spacing w:val="-4"/>
                                <w:kern w:val="1"/>
                                <w:sz w:val="22"/>
                                <w:szCs w:val="22"/>
                              </w:rPr>
                              <w:t>μM</w:t>
                            </w:r>
                            <w:proofErr w:type="spellEnd"/>
                            <w:r w:rsidRPr="007908AC">
                              <w:rPr>
                                <w:iCs w:val="0"/>
                                <w:sz w:val="22"/>
                                <w:szCs w:val="22"/>
                              </w:rPr>
                              <w:t xml:space="preserve"> (D) during mid-log phase (B-D, </w:t>
                            </w:r>
                            <w:r w:rsidRPr="007908AC">
                              <w:rPr>
                                <w:sz w:val="22"/>
                                <w:szCs w:val="22"/>
                              </w:rPr>
                              <w:t>n</w:t>
                            </w:r>
                            <w:r w:rsidRPr="007908AC">
                              <w:rPr>
                                <w:iCs w:val="0"/>
                                <w:sz w:val="22"/>
                                <w:szCs w:val="22"/>
                              </w:rPr>
                              <w:t xml:space="preserve">=3, shown are mean ± standard deviation [SD]). Log survival (colony forming units) of cells after </w:t>
                            </w:r>
                            <w:proofErr w:type="spellStart"/>
                            <w:r w:rsidRPr="007908AC">
                              <w:rPr>
                                <w:iCs w:val="0"/>
                                <w:sz w:val="22"/>
                                <w:szCs w:val="22"/>
                              </w:rPr>
                              <w:t>ZorO</w:t>
                            </w:r>
                            <w:proofErr w:type="spellEnd"/>
                            <w:r w:rsidRPr="007908AC">
                              <w:rPr>
                                <w:iCs w:val="0"/>
                                <w:sz w:val="22"/>
                                <w:szCs w:val="22"/>
                              </w:rPr>
                              <w:t xml:space="preserve"> overproduction with indicated arabinose concentrations (E) (</w:t>
                            </w:r>
                            <w:r w:rsidRPr="007908AC">
                              <w:rPr>
                                <w:sz w:val="22"/>
                                <w:szCs w:val="22"/>
                              </w:rPr>
                              <w:t>n</w:t>
                            </w:r>
                            <w:r w:rsidRPr="007908AC">
                              <w:rPr>
                                <w:iCs w:val="0"/>
                                <w:sz w:val="22"/>
                                <w:szCs w:val="22"/>
                              </w:rPr>
                              <w:t xml:space="preserve">=9, shown are mean ± SD). Dot blot assay after 30 min with 13.32 mM arabinose induction of FLAG tagged </w:t>
                            </w:r>
                            <w:proofErr w:type="spellStart"/>
                            <w:r w:rsidRPr="007908AC">
                              <w:rPr>
                                <w:iCs w:val="0"/>
                                <w:sz w:val="22"/>
                                <w:szCs w:val="22"/>
                              </w:rPr>
                              <w:t>ZorO</w:t>
                            </w:r>
                            <w:proofErr w:type="spellEnd"/>
                            <w:r w:rsidRPr="007908AC">
                              <w:rPr>
                                <w:iCs w:val="0"/>
                                <w:sz w:val="22"/>
                                <w:szCs w:val="22"/>
                              </w:rPr>
                              <w:t xml:space="preserve"> in </w:t>
                            </w:r>
                            <w:r w:rsidRPr="007908AC">
                              <w:rPr>
                                <w:sz w:val="22"/>
                                <w:szCs w:val="22"/>
                              </w:rPr>
                              <w:t>E. coli</w:t>
                            </w:r>
                            <w:r w:rsidRPr="007908AC">
                              <w:rPr>
                                <w:iCs w:val="0"/>
                                <w:sz w:val="22"/>
                                <w:szCs w:val="22"/>
                              </w:rPr>
                              <w:t xml:space="preserve"> UTK 007 cells from the two 5’ UTR variants (10 </w:t>
                            </w:r>
                            <w:r w:rsidRPr="007908AC">
                              <w:rPr>
                                <w:iCs w:val="0"/>
                                <w:sz w:val="22"/>
                                <w:szCs w:val="22"/>
                              </w:rPr>
                              <w:sym w:font="Symbol" w:char="F06D"/>
                            </w:r>
                            <w:r w:rsidRPr="007908AC">
                              <w:rPr>
                                <w:iCs w:val="0"/>
                                <w:sz w:val="22"/>
                                <w:szCs w:val="22"/>
                              </w:rPr>
                              <w:t xml:space="preserve">g and 20 </w:t>
                            </w:r>
                            <w:r w:rsidRPr="007908AC">
                              <w:rPr>
                                <w:iCs w:val="0"/>
                                <w:sz w:val="22"/>
                                <w:szCs w:val="22"/>
                              </w:rPr>
                              <w:sym w:font="Symbol" w:char="F06D"/>
                            </w:r>
                            <w:r w:rsidRPr="007908AC">
                              <w:rPr>
                                <w:iCs w:val="0"/>
                                <w:sz w:val="22"/>
                                <w:szCs w:val="22"/>
                              </w:rPr>
                              <w:t>g of total protein loaded) (F); pAZ3- negative control, PC- positive control (No-UTR-FLAG-</w:t>
                            </w:r>
                            <w:proofErr w:type="spellStart"/>
                            <w:r w:rsidRPr="007908AC">
                              <w:rPr>
                                <w:sz w:val="22"/>
                                <w:szCs w:val="22"/>
                              </w:rPr>
                              <w:t>zorO</w:t>
                            </w:r>
                            <w:proofErr w:type="spellEnd"/>
                            <w:r w:rsidRPr="007908AC">
                              <w:rPr>
                                <w:iCs w:val="0"/>
                                <w:sz w:val="22"/>
                                <w:szCs w:val="22"/>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6FD2A4DA" id="Text Box 47" o:spid="_x0000_s1028" type="#_x0000_t202" style="position:absolute;margin-left:8.55pt;margin-top:19.95pt;width:444.8pt;height:.05pt;z-index:2517473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" stroked="f">
                <v:textbox style="mso-fit-shape-to-text:t" inset="0,0,0,0">
                  <w:txbxContent>
                    <w:p w14:paraId="4015A2DC" w14:textId="77777777" w:rsidR="00971E1E" w:rsidRPr="007908AC" w:rsidRDefault="00971E1E" w:rsidP="00971E1E">
                      <w:pPr>
                        <w:pStyle w:val="Caption"/>
                        <w:rPr>
                          <w:i/>
                          <w:iCs w:val="0"/>
                          <w:sz w:val="22"/>
                          <w:szCs w:val="22"/>
                        </w:rPr>
                      </w:pPr>
                      <w:r w:rsidRPr="00FA1218">
                        <w:rPr>
                          <w:iCs w:val="0"/>
                          <w:sz w:val="22"/>
                          <w:szCs w:val="22"/>
                        </w:rPr>
                        <w:t xml:space="preserve">Figure 2.2. The 5’UTR variant of </w:t>
                      </w:r>
                      <w:proofErr w:type="spellStart"/>
                      <w:r w:rsidRPr="00FA1218">
                        <w:rPr>
                          <w:sz w:val="22"/>
                          <w:szCs w:val="22"/>
                        </w:rPr>
                        <w:t>zorO</w:t>
                      </w:r>
                      <w:proofErr w:type="spellEnd"/>
                      <w:r w:rsidRPr="00FA1218">
                        <w:rPr>
                          <w:iCs w:val="0"/>
                          <w:sz w:val="22"/>
                          <w:szCs w:val="22"/>
                        </w:rPr>
                        <w:t xml:space="preserve"> gene and its effect on growth, survival and translation.</w:t>
                      </w:r>
                      <w:r w:rsidRPr="007908AC">
                        <w:rPr>
                          <w:iCs w:val="0"/>
                          <w:sz w:val="22"/>
                          <w:szCs w:val="22"/>
                        </w:rPr>
                        <w:t xml:space="preserve"> Schematic of the full-length (174 </w:t>
                      </w:r>
                      <w:proofErr w:type="spellStart"/>
                      <w:r w:rsidRPr="007908AC">
                        <w:rPr>
                          <w:iCs w:val="0"/>
                          <w:sz w:val="22"/>
                          <w:szCs w:val="22"/>
                        </w:rPr>
                        <w:t>nts</w:t>
                      </w:r>
                      <w:proofErr w:type="spellEnd"/>
                      <w:r w:rsidRPr="007908AC">
                        <w:rPr>
                          <w:iCs w:val="0"/>
                          <w:sz w:val="22"/>
                          <w:szCs w:val="22"/>
                        </w:rPr>
                        <w:t>; P</w:t>
                      </w:r>
                      <w:r w:rsidRPr="007908AC">
                        <w:rPr>
                          <w:iCs w:val="0"/>
                          <w:sz w:val="22"/>
                          <w:szCs w:val="22"/>
                          <w:vertAlign w:val="subscript"/>
                        </w:rPr>
                        <w:t>BAD</w:t>
                      </w:r>
                      <w:r w:rsidRPr="007908AC">
                        <w:rPr>
                          <w:iCs w:val="0"/>
                          <w:sz w:val="22"/>
                          <w:szCs w:val="22"/>
                        </w:rPr>
                        <w:t>-</w:t>
                      </w:r>
                      <w:proofErr w:type="spellStart"/>
                      <w:r w:rsidRPr="007908AC">
                        <w:rPr>
                          <w:iCs w:val="0"/>
                          <w:sz w:val="22"/>
                          <w:szCs w:val="22"/>
                        </w:rPr>
                        <w:t>zorO</w:t>
                      </w:r>
                      <w:proofErr w:type="spellEnd"/>
                      <w:r w:rsidRPr="007908AC">
                        <w:rPr>
                          <w:iCs w:val="0"/>
                          <w:sz w:val="22"/>
                          <w:szCs w:val="22"/>
                        </w:rPr>
                        <w:t>-FLAG) and processed (</w:t>
                      </w:r>
                      <w:r w:rsidRPr="007908AC">
                        <w:rPr>
                          <w:iCs w:val="0"/>
                          <w:sz w:val="22"/>
                          <w:szCs w:val="22"/>
                        </w:rPr>
                        <w:sym w:font="Symbol" w:char="F044"/>
                      </w:r>
                      <w:r w:rsidRPr="007908AC">
                        <w:rPr>
                          <w:iCs w:val="0"/>
                          <w:sz w:val="22"/>
                          <w:szCs w:val="22"/>
                        </w:rPr>
                        <w:t>28; P</w:t>
                      </w:r>
                      <w:r w:rsidRPr="007908AC">
                        <w:rPr>
                          <w:iCs w:val="0"/>
                          <w:sz w:val="22"/>
                          <w:szCs w:val="22"/>
                          <w:vertAlign w:val="subscript"/>
                        </w:rPr>
                        <w:t>BAD</w:t>
                      </w:r>
                      <w:r w:rsidRPr="007908AC">
                        <w:rPr>
                          <w:iCs w:val="0"/>
                          <w:sz w:val="22"/>
                          <w:szCs w:val="22"/>
                        </w:rPr>
                        <w:t>-</w:t>
                      </w:r>
                      <w:r w:rsidRPr="007908AC">
                        <w:rPr>
                          <w:iCs w:val="0"/>
                          <w:sz w:val="22"/>
                          <w:szCs w:val="22"/>
                        </w:rPr>
                        <w:sym w:font="Symbol" w:char="F044"/>
                      </w:r>
                      <w:r w:rsidRPr="007908AC">
                        <w:rPr>
                          <w:iCs w:val="0"/>
                          <w:sz w:val="22"/>
                          <w:szCs w:val="22"/>
                        </w:rPr>
                        <w:t xml:space="preserve">28zorO-FLAG) UTR of </w:t>
                      </w:r>
                      <w:proofErr w:type="spellStart"/>
                      <w:r w:rsidRPr="007908AC">
                        <w:rPr>
                          <w:sz w:val="22"/>
                          <w:szCs w:val="22"/>
                        </w:rPr>
                        <w:t>zorO</w:t>
                      </w:r>
                      <w:proofErr w:type="spellEnd"/>
                      <w:r w:rsidRPr="007908AC">
                        <w:rPr>
                          <w:iCs w:val="0"/>
                          <w:sz w:val="22"/>
                          <w:szCs w:val="22"/>
                        </w:rPr>
                        <w:t xml:space="preserve"> used in the study (A). Growth curve of MG1655 derived cells (UTK007) carrying respective plasmids after induction with arabinose concentration of 13.32 mM (B), 6.67 </w:t>
                      </w:r>
                      <w:proofErr w:type="spellStart"/>
                      <w:r w:rsidRPr="007908AC">
                        <w:rPr>
                          <w:iCs w:val="0"/>
                          <w:color w:val="000000"/>
                          <w:spacing w:val="-4"/>
                          <w:kern w:val="1"/>
                          <w:sz w:val="22"/>
                          <w:szCs w:val="22"/>
                        </w:rPr>
                        <w:t>μM</w:t>
                      </w:r>
                      <w:proofErr w:type="spellEnd"/>
                      <w:r w:rsidRPr="007908AC">
                        <w:rPr>
                          <w:iCs w:val="0"/>
                          <w:sz w:val="22"/>
                          <w:szCs w:val="22"/>
                        </w:rPr>
                        <w:t xml:space="preserve"> (C) and 0.67 </w:t>
                      </w:r>
                      <w:proofErr w:type="spellStart"/>
                      <w:r w:rsidRPr="007908AC">
                        <w:rPr>
                          <w:iCs w:val="0"/>
                          <w:color w:val="000000"/>
                          <w:spacing w:val="-4"/>
                          <w:kern w:val="1"/>
                          <w:sz w:val="22"/>
                          <w:szCs w:val="22"/>
                        </w:rPr>
                        <w:t>μM</w:t>
                      </w:r>
                      <w:proofErr w:type="spellEnd"/>
                      <w:r w:rsidRPr="007908AC">
                        <w:rPr>
                          <w:iCs w:val="0"/>
                          <w:sz w:val="22"/>
                          <w:szCs w:val="22"/>
                        </w:rPr>
                        <w:t xml:space="preserve"> (D) during mid-log phase (B-D, </w:t>
                      </w:r>
                      <w:r w:rsidRPr="007908AC">
                        <w:rPr>
                          <w:sz w:val="22"/>
                          <w:szCs w:val="22"/>
                        </w:rPr>
                        <w:t>n</w:t>
                      </w:r>
                      <w:r w:rsidRPr="007908AC">
                        <w:rPr>
                          <w:iCs w:val="0"/>
                          <w:sz w:val="22"/>
                          <w:szCs w:val="22"/>
                        </w:rPr>
                        <w:t xml:space="preserve">=3, shown are mean ± standard deviation [SD]). Log survival (colony forming units) of cells after </w:t>
                      </w:r>
                      <w:proofErr w:type="spellStart"/>
                      <w:r w:rsidRPr="007908AC">
                        <w:rPr>
                          <w:iCs w:val="0"/>
                          <w:sz w:val="22"/>
                          <w:szCs w:val="22"/>
                        </w:rPr>
                        <w:t>ZorO</w:t>
                      </w:r>
                      <w:proofErr w:type="spellEnd"/>
                      <w:r w:rsidRPr="007908AC">
                        <w:rPr>
                          <w:iCs w:val="0"/>
                          <w:sz w:val="22"/>
                          <w:szCs w:val="22"/>
                        </w:rPr>
                        <w:t xml:space="preserve"> overproduction with indicated arabinose concentrations (E) (</w:t>
                      </w:r>
                      <w:r w:rsidRPr="007908AC">
                        <w:rPr>
                          <w:sz w:val="22"/>
                          <w:szCs w:val="22"/>
                        </w:rPr>
                        <w:t>n</w:t>
                      </w:r>
                      <w:r w:rsidRPr="007908AC">
                        <w:rPr>
                          <w:iCs w:val="0"/>
                          <w:sz w:val="22"/>
                          <w:szCs w:val="22"/>
                        </w:rPr>
                        <w:t xml:space="preserve">=9, shown are mean ± SD). Dot blot assay after 30 min with 13.32 mM arabinose induction of FLAG tagged </w:t>
                      </w:r>
                      <w:proofErr w:type="spellStart"/>
                      <w:r w:rsidRPr="007908AC">
                        <w:rPr>
                          <w:iCs w:val="0"/>
                          <w:sz w:val="22"/>
                          <w:szCs w:val="22"/>
                        </w:rPr>
                        <w:t>ZorO</w:t>
                      </w:r>
                      <w:proofErr w:type="spellEnd"/>
                      <w:r w:rsidRPr="007908AC">
                        <w:rPr>
                          <w:iCs w:val="0"/>
                          <w:sz w:val="22"/>
                          <w:szCs w:val="22"/>
                        </w:rPr>
                        <w:t xml:space="preserve"> in </w:t>
                      </w:r>
                      <w:r w:rsidRPr="007908AC">
                        <w:rPr>
                          <w:sz w:val="22"/>
                          <w:szCs w:val="22"/>
                        </w:rPr>
                        <w:t>E. coli</w:t>
                      </w:r>
                      <w:r w:rsidRPr="007908AC">
                        <w:rPr>
                          <w:iCs w:val="0"/>
                          <w:sz w:val="22"/>
                          <w:szCs w:val="22"/>
                        </w:rPr>
                        <w:t xml:space="preserve"> UTK 007 cells from the two 5’ UTR variants (10 </w:t>
                      </w:r>
                      <w:r w:rsidRPr="007908AC">
                        <w:rPr>
                          <w:iCs w:val="0"/>
                          <w:sz w:val="22"/>
                          <w:szCs w:val="22"/>
                        </w:rPr>
                        <w:sym w:font="Symbol" w:char="F06D"/>
                      </w:r>
                      <w:r w:rsidRPr="007908AC">
                        <w:rPr>
                          <w:iCs w:val="0"/>
                          <w:sz w:val="22"/>
                          <w:szCs w:val="22"/>
                        </w:rPr>
                        <w:t xml:space="preserve">g and 20 </w:t>
                      </w:r>
                      <w:r w:rsidRPr="007908AC">
                        <w:rPr>
                          <w:iCs w:val="0"/>
                          <w:sz w:val="22"/>
                          <w:szCs w:val="22"/>
                        </w:rPr>
                        <w:sym w:font="Symbol" w:char="F06D"/>
                      </w:r>
                      <w:r w:rsidRPr="007908AC">
                        <w:rPr>
                          <w:iCs w:val="0"/>
                          <w:sz w:val="22"/>
                          <w:szCs w:val="22"/>
                        </w:rPr>
                        <w:t>g of total protein loaded) (F); pAZ3- negative control, PC- positive control (No-UTR-FLAG-</w:t>
                      </w:r>
                      <w:proofErr w:type="spellStart"/>
                      <w:r w:rsidRPr="007908AC">
                        <w:rPr>
                          <w:sz w:val="22"/>
                          <w:szCs w:val="22"/>
                        </w:rPr>
                        <w:t>zorO</w:t>
                      </w:r>
                      <w:proofErr w:type="spellEnd"/>
                      <w:r w:rsidRPr="007908AC">
                        <w:rPr>
                          <w:iCs w:val="0"/>
                          <w:sz w:val="22"/>
                          <w:szCs w:val="22"/>
                        </w:rPr>
                        <w:t>).</w:t>
                      </w:r>
                    </w:p>
                  </w:txbxContent>
                </v:textbox>
                <w10:wrap type="topAndBottom"/>
              </v:shape>
            </w:pict>
          </mc:Fallback>
        </mc:AlternateContent>
      </w:r>
      <w:r>
        <w:rPr>
          <w:rFonts w:eastAsia="Calibri"/>
          <w:bCs/>
        </w:rPr>
        <w:br w:type="page"/>
      </w:r>
    </w:p>
    <w:p w14:paraId="70BBAA21" w14:textId="0AE63F54" w:rsidR="00F33FC4" w:rsidRPr="00F33FC4" w:rsidRDefault="00F33FC4" w:rsidP="00F33FC4">
      <w:pPr>
        <w:spacing w:line="360" w:lineRule="auto"/>
        <w:rPr>
          <w:rFonts w:eastAsia="Calibri"/>
          <w:bCs/>
        </w:rPr>
      </w:pPr>
      <w:r w:rsidRPr="00F33FC4">
        <w:rPr>
          <w:rFonts w:eastAsia="Calibri"/>
          <w:bCs/>
          <w:noProof/>
        </w:rPr>
        <w:lastRenderedPageBreak/>
        <w:drawing>
          <wp:anchor distT="0" distB="0" distL="114300" distR="114300" simplePos="0" relativeHeight="251675648" behindDoc="0" locked="0" layoutInCell="1" allowOverlap="1" wp14:anchorId="0E16CFB5" wp14:editId="41C5D21E">
            <wp:simplePos x="0" y="0"/>
            <wp:positionH relativeFrom="column">
              <wp:posOffset>375578</wp:posOffset>
            </wp:positionH>
            <wp:positionV relativeFrom="paragraph">
              <wp:posOffset>507610</wp:posOffset>
            </wp:positionV>
            <wp:extent cx="5250815" cy="6517640"/>
            <wp:effectExtent l="0" t="0" r="0" b="0"/>
            <wp:wrapTopAndBottom/>
            <wp:docPr id="53" name="Picture 53"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 engineering drawing&#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50815" cy="6517640"/>
                    </a:xfrm>
                    <a:prstGeom prst="rect">
                      <a:avLst/>
                    </a:prstGeom>
                  </pic:spPr>
                </pic:pic>
              </a:graphicData>
            </a:graphic>
            <wp14:sizeRelH relativeFrom="page">
              <wp14:pctWidth>0</wp14:pctWidth>
            </wp14:sizeRelH>
            <wp14:sizeRelV relativeFrom="page">
              <wp14:pctHeight>0</wp14:pctHeight>
            </wp14:sizeRelV>
          </wp:anchor>
        </w:drawing>
      </w:r>
      <w:r w:rsidRPr="00F33FC4">
        <w:rPr>
          <w:rFonts w:eastAsia="Calibri"/>
          <w:bCs/>
        </w:rPr>
        <w:br w:type="page"/>
      </w:r>
    </w:p>
    <w:p w14:paraId="29A19D82" w14:textId="6C507AC9" w:rsidR="00971E1E" w:rsidRDefault="00971E1E">
      <w:pPr>
        <w:rPr>
          <w:rFonts w:eastAsia="Calibri"/>
        </w:rPr>
      </w:pPr>
      <w:r w:rsidRPr="00F33FC4">
        <w:rPr>
          <w:rFonts w:ascii="Calibri" w:eastAsia="Calibri" w:hAnsi="Calibri" w:cs="Mangal"/>
          <w:noProof/>
        </w:rPr>
        <w:lastRenderedPageBreak/>
        <mc:AlternateContent>
          <mc:Choice Requires="wps">
            <w:drawing>
              <wp:anchor distT="0" distB="0" distL="114300" distR="114300" simplePos="0" relativeHeight="251745280" behindDoc="0" locked="0" layoutInCell="1" allowOverlap="1" wp14:anchorId="5D68AAC7" wp14:editId="66515699">
                <wp:simplePos x="0" y="0"/>
                <wp:positionH relativeFrom="column">
                  <wp:posOffset>81280</wp:posOffset>
                </wp:positionH>
                <wp:positionV relativeFrom="paragraph">
                  <wp:posOffset>389255</wp:posOffset>
                </wp:positionV>
                <wp:extent cx="5522595" cy="635"/>
                <wp:effectExtent l="0" t="0" r="1905" b="0"/>
                <wp:wrapTopAndBottom/>
                <wp:docPr id="48" name="Text Box 48"/>
                <wp:cNvGraphicFramePr/>
                <a:graphic xmlns:a="http://schemas.openxmlformats.org/drawingml/2006/main">
                  <a:graphicData uri="http://schemas.microsoft.com/office/word/2010/wordprocessingShape">
                    <wps:wsp>
                      <wps:cNvSpPr txBox="1"/>
                      <wps:spPr>
                        <a:xfrm>
                          <a:off x="0" y="0"/>
                          <a:ext cx="5522595" cy="635"/>
                        </a:xfrm>
                        <a:prstGeom prst="rect">
                          <a:avLst/>
                        </a:prstGeom>
                        <a:solidFill>
                          <a:prstClr val="white"/>
                        </a:solidFill>
                        <a:ln>
                          <a:noFill/>
                        </a:ln>
                      </wps:spPr>
                      <wps:txbx>
                        <w:txbxContent>
                          <w:p w14:paraId="382454C6" w14:textId="77777777" w:rsidR="00971E1E" w:rsidRPr="00FA1218" w:rsidRDefault="00971E1E" w:rsidP="00971E1E">
                            <w:pPr>
                              <w:spacing w:line="360" w:lineRule="auto"/>
                              <w:rPr>
                                <w:b/>
                                <w:bCs/>
                                <w:color w:val="000000"/>
                                <w:spacing w:val="-4"/>
                                <w:kern w:val="1"/>
                                <w:sz w:val="22"/>
                                <w:szCs w:val="22"/>
                              </w:rPr>
                            </w:pPr>
                            <w:r w:rsidRPr="00F33FC4">
                              <w:rPr>
                                <w:color w:val="000000"/>
                                <w:sz w:val="22"/>
                                <w:szCs w:val="22"/>
                              </w:rPr>
                              <w:t>Figure 2.3</w:t>
                            </w:r>
                            <w:r w:rsidRPr="00F33FC4">
                              <w:rPr>
                                <w:i/>
                                <w:iCs/>
                                <w:color w:val="000000"/>
                                <w:sz w:val="22"/>
                                <w:szCs w:val="22"/>
                              </w:rPr>
                              <w:t xml:space="preserve">. </w:t>
                            </w:r>
                            <w:r w:rsidRPr="00FA1218">
                              <w:rPr>
                                <w:color w:val="000000"/>
                                <w:spacing w:val="-4"/>
                                <w:kern w:val="1"/>
                                <w:sz w:val="22"/>
                                <w:szCs w:val="22"/>
                              </w:rPr>
                              <w:t>The 5’ UTR controls translation. Western blot</w:t>
                            </w:r>
                            <w:r w:rsidRPr="00FA1218">
                              <w:rPr>
                                <w:b/>
                                <w:bCs/>
                                <w:color w:val="000000"/>
                                <w:spacing w:val="-4"/>
                                <w:kern w:val="1"/>
                                <w:sz w:val="22"/>
                                <w:szCs w:val="22"/>
                              </w:rPr>
                              <w:t xml:space="preserve"> </w:t>
                            </w:r>
                            <w:r w:rsidRPr="00F33FC4">
                              <w:rPr>
                                <w:color w:val="000000"/>
                                <w:sz w:val="22"/>
                                <w:szCs w:val="22"/>
                              </w:rPr>
                              <w:t xml:space="preserve">analysis after 30 min with 13.32 mM arabinose induction of FLAG tagged </w:t>
                            </w:r>
                            <w:proofErr w:type="spellStart"/>
                            <w:r w:rsidRPr="00F33FC4">
                              <w:rPr>
                                <w:color w:val="000000"/>
                                <w:sz w:val="22"/>
                                <w:szCs w:val="22"/>
                              </w:rPr>
                              <w:t>ZorO</w:t>
                            </w:r>
                            <w:proofErr w:type="spellEnd"/>
                            <w:r w:rsidRPr="00F33FC4">
                              <w:rPr>
                                <w:color w:val="000000"/>
                                <w:sz w:val="22"/>
                                <w:szCs w:val="22"/>
                              </w:rPr>
                              <w:t xml:space="preserve"> in </w:t>
                            </w:r>
                            <w:r w:rsidRPr="00F33FC4">
                              <w:rPr>
                                <w:i/>
                                <w:iCs/>
                                <w:color w:val="000000"/>
                                <w:sz w:val="22"/>
                                <w:szCs w:val="22"/>
                              </w:rPr>
                              <w:t>E. coli</w:t>
                            </w:r>
                            <w:r w:rsidRPr="00F33FC4">
                              <w:rPr>
                                <w:color w:val="000000"/>
                                <w:sz w:val="22"/>
                                <w:szCs w:val="22"/>
                              </w:rPr>
                              <w:t xml:space="preserve"> UTK 102 from the two 5’ UTR variants (20 </w:t>
                            </w:r>
                            <w:r w:rsidRPr="00F33FC4">
                              <w:rPr>
                                <w:color w:val="000000"/>
                                <w:sz w:val="22"/>
                                <w:szCs w:val="22"/>
                              </w:rPr>
                              <w:sym w:font="Symbol" w:char="F06D"/>
                            </w:r>
                            <w:r w:rsidRPr="00F33FC4">
                              <w:rPr>
                                <w:color w:val="000000"/>
                                <w:sz w:val="22"/>
                                <w:szCs w:val="22"/>
                              </w:rPr>
                              <w:t xml:space="preserve">g of total protein loaded) (A); SPA tagged </w:t>
                            </w:r>
                            <w:proofErr w:type="spellStart"/>
                            <w:r w:rsidRPr="00F33FC4">
                              <w:rPr>
                                <w:color w:val="000000"/>
                                <w:sz w:val="22"/>
                                <w:szCs w:val="22"/>
                              </w:rPr>
                              <w:t>LepB</w:t>
                            </w:r>
                            <w:proofErr w:type="spellEnd"/>
                            <w:r w:rsidRPr="00F33FC4">
                              <w:rPr>
                                <w:color w:val="000000"/>
                                <w:sz w:val="22"/>
                                <w:szCs w:val="22"/>
                              </w:rPr>
                              <w:t xml:space="preserve"> is used as loading control. </w:t>
                            </w:r>
                            <w:r w:rsidRPr="00FA1218">
                              <w:rPr>
                                <w:color w:val="000000"/>
                                <w:spacing w:val="-4"/>
                                <w:kern w:val="1"/>
                                <w:sz w:val="22"/>
                                <w:szCs w:val="22"/>
                              </w:rPr>
                              <w:t xml:space="preserve">Western blot analysis of </w:t>
                            </w:r>
                            <w:proofErr w:type="spellStart"/>
                            <w:r w:rsidRPr="00FA1218">
                              <w:rPr>
                                <w:color w:val="000000"/>
                                <w:spacing w:val="-4"/>
                                <w:kern w:val="1"/>
                                <w:sz w:val="22"/>
                                <w:szCs w:val="22"/>
                              </w:rPr>
                              <w:t>ZorO</w:t>
                            </w:r>
                            <w:proofErr w:type="spellEnd"/>
                            <w:r w:rsidRPr="00FA1218">
                              <w:rPr>
                                <w:color w:val="000000"/>
                                <w:spacing w:val="-4"/>
                                <w:kern w:val="1"/>
                                <w:sz w:val="22"/>
                                <w:szCs w:val="22"/>
                              </w:rPr>
                              <w:t xml:space="preserve"> in cytoplasmic (C), inner membrane (IM) and outer membrane (OM) fraction after 30 min induction with 13.32 mM arabinose from P</w:t>
                            </w:r>
                            <w:r w:rsidRPr="00FA1218">
                              <w:rPr>
                                <w:color w:val="000000"/>
                                <w:spacing w:val="-4"/>
                                <w:kern w:val="1"/>
                                <w:sz w:val="22"/>
                                <w:szCs w:val="22"/>
                                <w:vertAlign w:val="subscript"/>
                              </w:rPr>
                              <w:t>BAD</w:t>
                            </w:r>
                            <w:r w:rsidRPr="00FA1218">
                              <w:rPr>
                                <w:color w:val="000000"/>
                                <w:spacing w:val="-4"/>
                                <w:kern w:val="1"/>
                                <w:sz w:val="22"/>
                                <w:szCs w:val="22"/>
                              </w:rPr>
                              <w:t>-No-UTR-FLAG-</w:t>
                            </w:r>
                            <w:proofErr w:type="spellStart"/>
                            <w:r w:rsidRPr="00FA1218">
                              <w:rPr>
                                <w:i/>
                                <w:iCs/>
                                <w:color w:val="000000"/>
                                <w:spacing w:val="-4"/>
                                <w:kern w:val="1"/>
                                <w:sz w:val="22"/>
                                <w:szCs w:val="22"/>
                              </w:rPr>
                              <w:t>zorO</w:t>
                            </w:r>
                            <w:proofErr w:type="spellEnd"/>
                            <w:r w:rsidRPr="00FA1218">
                              <w:rPr>
                                <w:color w:val="000000"/>
                                <w:spacing w:val="-4"/>
                                <w:kern w:val="1"/>
                                <w:sz w:val="22"/>
                                <w:szCs w:val="22"/>
                              </w:rPr>
                              <w:t xml:space="preserve"> (</w:t>
                            </w:r>
                            <w:r>
                              <w:rPr>
                                <w:color w:val="000000"/>
                                <w:spacing w:val="-4"/>
                                <w:kern w:val="1"/>
                                <w:sz w:val="22"/>
                                <w:szCs w:val="22"/>
                              </w:rPr>
                              <w:t>Fig. 2.5</w:t>
                            </w:r>
                            <w:r w:rsidRPr="00FA1218">
                              <w:rPr>
                                <w:color w:val="000000"/>
                                <w:spacing w:val="-4"/>
                                <w:kern w:val="1"/>
                                <w:sz w:val="22"/>
                                <w:szCs w:val="22"/>
                              </w:rPr>
                              <w:t xml:space="preserve">A) in </w:t>
                            </w:r>
                            <w:r w:rsidRPr="00FA1218">
                              <w:rPr>
                                <w:i/>
                                <w:iCs/>
                                <w:color w:val="000000"/>
                                <w:spacing w:val="-4"/>
                                <w:kern w:val="1"/>
                                <w:sz w:val="22"/>
                                <w:szCs w:val="22"/>
                              </w:rPr>
                              <w:t>E. coli</w:t>
                            </w:r>
                            <w:r w:rsidRPr="00FA1218">
                              <w:rPr>
                                <w:color w:val="000000"/>
                                <w:spacing w:val="-4"/>
                                <w:kern w:val="1"/>
                                <w:sz w:val="22"/>
                                <w:szCs w:val="22"/>
                              </w:rPr>
                              <w:t xml:space="preserve"> UTK 105 (20 </w:t>
                            </w:r>
                            <w:r w:rsidRPr="00FA1218">
                              <w:rPr>
                                <w:sz w:val="22"/>
                                <w:szCs w:val="22"/>
                              </w:rPr>
                              <w:sym w:font="Symbol" w:char="F06D"/>
                            </w:r>
                            <w:r w:rsidRPr="00FA1218">
                              <w:rPr>
                                <w:sz w:val="22"/>
                                <w:szCs w:val="22"/>
                              </w:rPr>
                              <w:t>g</w:t>
                            </w:r>
                            <w:r w:rsidRPr="00FA1218">
                              <w:rPr>
                                <w:color w:val="000000"/>
                                <w:spacing w:val="-4"/>
                                <w:kern w:val="1"/>
                                <w:sz w:val="22"/>
                                <w:szCs w:val="22"/>
                              </w:rPr>
                              <w:t xml:space="preserve"> protein loaded) (B); SPA tagged </w:t>
                            </w:r>
                            <w:proofErr w:type="spellStart"/>
                            <w:r w:rsidRPr="00FA1218">
                              <w:rPr>
                                <w:color w:val="000000"/>
                                <w:spacing w:val="-4"/>
                                <w:kern w:val="1"/>
                                <w:sz w:val="22"/>
                                <w:szCs w:val="22"/>
                              </w:rPr>
                              <w:t>Pgm</w:t>
                            </w:r>
                            <w:proofErr w:type="spellEnd"/>
                            <w:r w:rsidRPr="00FA1218">
                              <w:rPr>
                                <w:color w:val="000000"/>
                                <w:spacing w:val="-4"/>
                                <w:kern w:val="1"/>
                                <w:sz w:val="22"/>
                                <w:szCs w:val="22"/>
                              </w:rPr>
                              <w:t xml:space="preserve"> and </w:t>
                            </w:r>
                            <w:proofErr w:type="spellStart"/>
                            <w:r w:rsidRPr="00FA1218">
                              <w:rPr>
                                <w:color w:val="000000"/>
                                <w:spacing w:val="-4"/>
                                <w:kern w:val="1"/>
                                <w:sz w:val="22"/>
                                <w:szCs w:val="22"/>
                              </w:rPr>
                              <w:t>LepB</w:t>
                            </w:r>
                            <w:proofErr w:type="spellEnd"/>
                            <w:r w:rsidRPr="00FA1218">
                              <w:rPr>
                                <w:color w:val="000000"/>
                                <w:spacing w:val="-4"/>
                                <w:kern w:val="1"/>
                                <w:sz w:val="22"/>
                                <w:szCs w:val="22"/>
                              </w:rPr>
                              <w:t xml:space="preserve"> are used as cytoplasmic and inner membrane control respectively; </w:t>
                            </w:r>
                            <w:proofErr w:type="spellStart"/>
                            <w:r w:rsidRPr="00FA1218">
                              <w:rPr>
                                <w:color w:val="000000"/>
                                <w:spacing w:val="-4"/>
                                <w:kern w:val="1"/>
                                <w:sz w:val="22"/>
                                <w:szCs w:val="22"/>
                              </w:rPr>
                              <w:t>OmpA</w:t>
                            </w:r>
                            <w:proofErr w:type="spellEnd"/>
                            <w:r w:rsidRPr="00FA1218">
                              <w:rPr>
                                <w:color w:val="000000"/>
                                <w:spacing w:val="-4"/>
                                <w:kern w:val="1"/>
                                <w:sz w:val="22"/>
                                <w:szCs w:val="22"/>
                              </w:rPr>
                              <w:t xml:space="preserve"> is used as outer membrane control. Translation of green fluorescent protein under different 5’ untranslated region of </w:t>
                            </w:r>
                            <w:proofErr w:type="spellStart"/>
                            <w:r w:rsidRPr="00FA1218">
                              <w:rPr>
                                <w:i/>
                                <w:iCs/>
                                <w:color w:val="000000"/>
                                <w:spacing w:val="-4"/>
                                <w:kern w:val="1"/>
                                <w:sz w:val="22"/>
                                <w:szCs w:val="22"/>
                              </w:rPr>
                              <w:t>zorO</w:t>
                            </w:r>
                            <w:proofErr w:type="spellEnd"/>
                            <w:r w:rsidRPr="00FA1218">
                              <w:rPr>
                                <w:color w:val="000000"/>
                                <w:spacing w:val="-4"/>
                                <w:kern w:val="1"/>
                                <w:sz w:val="22"/>
                                <w:szCs w:val="22"/>
                              </w:rPr>
                              <w:t>.</w:t>
                            </w:r>
                            <w:r w:rsidRPr="00FA1218">
                              <w:rPr>
                                <w:b/>
                                <w:bCs/>
                                <w:color w:val="000000"/>
                                <w:spacing w:val="-4"/>
                                <w:kern w:val="1"/>
                                <w:sz w:val="22"/>
                                <w:szCs w:val="22"/>
                              </w:rPr>
                              <w:t xml:space="preserve"> </w:t>
                            </w:r>
                            <w:r w:rsidRPr="00FA1218">
                              <w:rPr>
                                <w:color w:val="000000"/>
                                <w:spacing w:val="-4"/>
                                <w:kern w:val="1"/>
                                <w:sz w:val="22"/>
                                <w:szCs w:val="22"/>
                              </w:rPr>
                              <w:t xml:space="preserve">Images of </w:t>
                            </w:r>
                            <w:r w:rsidRPr="00FA1218">
                              <w:rPr>
                                <w:i/>
                                <w:iCs/>
                                <w:color w:val="000000"/>
                                <w:spacing w:val="-4"/>
                                <w:kern w:val="1"/>
                                <w:sz w:val="22"/>
                                <w:szCs w:val="22"/>
                              </w:rPr>
                              <w:t>E. coli</w:t>
                            </w:r>
                            <w:r w:rsidRPr="00FA1218">
                              <w:rPr>
                                <w:color w:val="000000"/>
                                <w:spacing w:val="-4"/>
                                <w:kern w:val="1"/>
                                <w:sz w:val="22"/>
                                <w:szCs w:val="22"/>
                              </w:rPr>
                              <w:t xml:space="preserve"> colonies on LB agar with 13.32 mM arabinose (C) harboring either pAZ3-</w:t>
                            </w:r>
                            <w:r w:rsidRPr="00FA1218">
                              <w:rPr>
                                <w:i/>
                                <w:iCs/>
                                <w:color w:val="000000"/>
                                <w:spacing w:val="-4"/>
                                <w:kern w:val="1"/>
                                <w:sz w:val="22"/>
                                <w:szCs w:val="22"/>
                              </w:rPr>
                              <w:t>zorO</w:t>
                            </w:r>
                            <w:r w:rsidRPr="00FA1218">
                              <w:rPr>
                                <w:color w:val="000000"/>
                                <w:spacing w:val="-4"/>
                                <w:kern w:val="1"/>
                                <w:sz w:val="22"/>
                                <w:szCs w:val="22"/>
                              </w:rPr>
                              <w:t>-UTR-</w:t>
                            </w:r>
                            <w:r w:rsidRPr="00FA1218">
                              <w:rPr>
                                <w:i/>
                                <w:iCs/>
                                <w:color w:val="000000"/>
                                <w:spacing w:val="-4"/>
                                <w:kern w:val="1"/>
                                <w:sz w:val="22"/>
                                <w:szCs w:val="22"/>
                              </w:rPr>
                              <w:t>gfp</w:t>
                            </w:r>
                            <w:r w:rsidRPr="00FA1218">
                              <w:rPr>
                                <w:color w:val="000000"/>
                                <w:spacing w:val="-4"/>
                                <w:kern w:val="1"/>
                                <w:sz w:val="22"/>
                                <w:szCs w:val="22"/>
                              </w:rPr>
                              <w:t xml:space="preserve"> (left) or pAZ3-Δ28-UTR-</w:t>
                            </w:r>
                            <w:r w:rsidRPr="00FA1218">
                              <w:rPr>
                                <w:i/>
                                <w:iCs/>
                                <w:color w:val="000000"/>
                                <w:spacing w:val="-4"/>
                                <w:kern w:val="1"/>
                                <w:sz w:val="22"/>
                                <w:szCs w:val="22"/>
                              </w:rPr>
                              <w:t>gfp</w:t>
                            </w:r>
                            <w:r w:rsidRPr="00FA1218">
                              <w:rPr>
                                <w:color w:val="000000"/>
                                <w:spacing w:val="-4"/>
                                <w:kern w:val="1"/>
                                <w:sz w:val="22"/>
                                <w:szCs w:val="22"/>
                              </w:rPr>
                              <w:t xml:space="preserve"> (right) using bright field (upper panel) and green fluorescent channel (lower panel); 2X magnification. Western blot analysis of GFP </w:t>
                            </w:r>
                            <w:r w:rsidRPr="00F33FC4">
                              <w:rPr>
                                <w:color w:val="000000"/>
                                <w:sz w:val="22"/>
                                <w:szCs w:val="22"/>
                              </w:rPr>
                              <w:t xml:space="preserve">(20 </w:t>
                            </w:r>
                            <w:r w:rsidRPr="00F33FC4">
                              <w:rPr>
                                <w:color w:val="000000"/>
                                <w:sz w:val="22"/>
                                <w:szCs w:val="22"/>
                              </w:rPr>
                              <w:sym w:font="Symbol" w:char="F06D"/>
                            </w:r>
                            <w:r w:rsidRPr="00F33FC4">
                              <w:rPr>
                                <w:color w:val="000000"/>
                                <w:sz w:val="22"/>
                                <w:szCs w:val="22"/>
                              </w:rPr>
                              <w:t xml:space="preserve">g of total protein loaded) </w:t>
                            </w:r>
                            <w:r w:rsidRPr="00FA1218">
                              <w:rPr>
                                <w:color w:val="000000"/>
                                <w:spacing w:val="-4"/>
                                <w:kern w:val="1"/>
                                <w:sz w:val="22"/>
                                <w:szCs w:val="22"/>
                              </w:rPr>
                              <w:t>after induction with 13.32 mM arabinose for 30 min under full-length (pAZ3-</w:t>
                            </w:r>
                            <w:r w:rsidRPr="00FA1218">
                              <w:rPr>
                                <w:i/>
                                <w:iCs/>
                                <w:color w:val="000000"/>
                                <w:spacing w:val="-4"/>
                                <w:kern w:val="1"/>
                                <w:sz w:val="22"/>
                                <w:szCs w:val="22"/>
                              </w:rPr>
                              <w:t>zorO</w:t>
                            </w:r>
                            <w:r w:rsidRPr="00FA1218">
                              <w:rPr>
                                <w:color w:val="000000"/>
                                <w:spacing w:val="-4"/>
                                <w:kern w:val="1"/>
                                <w:sz w:val="22"/>
                                <w:szCs w:val="22"/>
                              </w:rPr>
                              <w:t>-UTR-gfp) or processed 5’ UTR (pAZ3-Δ28-UTR-</w:t>
                            </w:r>
                            <w:r w:rsidRPr="00FA1218">
                              <w:rPr>
                                <w:i/>
                                <w:iCs/>
                                <w:color w:val="000000"/>
                                <w:spacing w:val="-4"/>
                                <w:kern w:val="1"/>
                                <w:sz w:val="22"/>
                                <w:szCs w:val="22"/>
                              </w:rPr>
                              <w:t>gfp</w:t>
                            </w:r>
                            <w:r w:rsidRPr="00FA1218">
                              <w:rPr>
                                <w:color w:val="000000"/>
                                <w:spacing w:val="-4"/>
                                <w:kern w:val="1"/>
                                <w:sz w:val="22"/>
                                <w:szCs w:val="22"/>
                              </w:rPr>
                              <w:t>) (D); asterisk indicates a nonspecific signal and serves as a loading control.</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5D68AAC7" id="Text Box 48" o:spid="_x0000_s1029" type="#_x0000_t202" style="position:absolute;margin-left:6.4pt;margin-top:30.65pt;width:434.85pt;height:.05pt;z-index:2517452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" stroked="f">
                <v:textbox style="mso-fit-shape-to-text:t" inset="0,0,0,0">
                  <w:txbxContent>
                    <w:p w14:paraId="382454C6" w14:textId="77777777" w:rsidR="00971E1E" w:rsidRPr="00FA1218" w:rsidRDefault="00971E1E" w:rsidP="00971E1E">
                      <w:pPr>
                        <w:spacing w:line="360" w:lineRule="auto"/>
                        <w:rPr>
                          <w:b/>
                          <w:bCs/>
                          <w:color w:val="000000"/>
                          <w:spacing w:val="-4"/>
                          <w:kern w:val="1"/>
                          <w:sz w:val="22"/>
                          <w:szCs w:val="22"/>
                        </w:rPr>
                      </w:pPr>
                      <w:r w:rsidRPr="00F33FC4">
                        <w:rPr>
                          <w:color w:val="000000"/>
                          <w:sz w:val="22"/>
                          <w:szCs w:val="22"/>
                        </w:rPr>
                        <w:t>Figure 2.3</w:t>
                      </w:r>
                      <w:r w:rsidRPr="00F33FC4">
                        <w:rPr>
                          <w:i/>
                          <w:iCs/>
                          <w:color w:val="000000"/>
                          <w:sz w:val="22"/>
                          <w:szCs w:val="22"/>
                        </w:rPr>
                        <w:t xml:space="preserve">. </w:t>
                      </w:r>
                      <w:r w:rsidRPr="00FA1218">
                        <w:rPr>
                          <w:color w:val="000000"/>
                          <w:spacing w:val="-4"/>
                          <w:kern w:val="1"/>
                          <w:sz w:val="22"/>
                          <w:szCs w:val="22"/>
                        </w:rPr>
                        <w:t>The 5’ UTR controls translation. Western blot</w:t>
                      </w:r>
                      <w:r w:rsidRPr="00FA1218">
                        <w:rPr>
                          <w:b/>
                          <w:bCs/>
                          <w:color w:val="000000"/>
                          <w:spacing w:val="-4"/>
                          <w:kern w:val="1"/>
                          <w:sz w:val="22"/>
                          <w:szCs w:val="22"/>
                        </w:rPr>
                        <w:t xml:space="preserve"> </w:t>
                      </w:r>
                      <w:r w:rsidRPr="00F33FC4">
                        <w:rPr>
                          <w:color w:val="000000"/>
                          <w:sz w:val="22"/>
                          <w:szCs w:val="22"/>
                        </w:rPr>
                        <w:t xml:space="preserve">analysis after 30 min with 13.32 mM arabinose induction of FLAG tagged </w:t>
                      </w:r>
                      <w:proofErr w:type="spellStart"/>
                      <w:r w:rsidRPr="00F33FC4">
                        <w:rPr>
                          <w:color w:val="000000"/>
                          <w:sz w:val="22"/>
                          <w:szCs w:val="22"/>
                        </w:rPr>
                        <w:t>ZorO</w:t>
                      </w:r>
                      <w:proofErr w:type="spellEnd"/>
                      <w:r w:rsidRPr="00F33FC4">
                        <w:rPr>
                          <w:color w:val="000000"/>
                          <w:sz w:val="22"/>
                          <w:szCs w:val="22"/>
                        </w:rPr>
                        <w:t xml:space="preserve"> in </w:t>
                      </w:r>
                      <w:r w:rsidRPr="00F33FC4">
                        <w:rPr>
                          <w:i/>
                          <w:iCs/>
                          <w:color w:val="000000"/>
                          <w:sz w:val="22"/>
                          <w:szCs w:val="22"/>
                        </w:rPr>
                        <w:t>E. coli</w:t>
                      </w:r>
                      <w:r w:rsidRPr="00F33FC4">
                        <w:rPr>
                          <w:color w:val="000000"/>
                          <w:sz w:val="22"/>
                          <w:szCs w:val="22"/>
                        </w:rPr>
                        <w:t xml:space="preserve"> UTK 102 from the two 5’ UTR variants (20 </w:t>
                      </w:r>
                      <w:r w:rsidRPr="00F33FC4">
                        <w:rPr>
                          <w:color w:val="000000"/>
                          <w:sz w:val="22"/>
                          <w:szCs w:val="22"/>
                        </w:rPr>
                        <w:sym w:font="Symbol" w:char="F06D"/>
                      </w:r>
                      <w:r w:rsidRPr="00F33FC4">
                        <w:rPr>
                          <w:color w:val="000000"/>
                          <w:sz w:val="22"/>
                          <w:szCs w:val="22"/>
                        </w:rPr>
                        <w:t xml:space="preserve">g of total protein loaded) (A); SPA tagged </w:t>
                      </w:r>
                      <w:proofErr w:type="spellStart"/>
                      <w:r w:rsidRPr="00F33FC4">
                        <w:rPr>
                          <w:color w:val="000000"/>
                          <w:sz w:val="22"/>
                          <w:szCs w:val="22"/>
                        </w:rPr>
                        <w:t>LepB</w:t>
                      </w:r>
                      <w:proofErr w:type="spellEnd"/>
                      <w:r w:rsidRPr="00F33FC4">
                        <w:rPr>
                          <w:color w:val="000000"/>
                          <w:sz w:val="22"/>
                          <w:szCs w:val="22"/>
                        </w:rPr>
                        <w:t xml:space="preserve"> is used as loading control. </w:t>
                      </w:r>
                      <w:r w:rsidRPr="00FA1218">
                        <w:rPr>
                          <w:color w:val="000000"/>
                          <w:spacing w:val="-4"/>
                          <w:kern w:val="1"/>
                          <w:sz w:val="22"/>
                          <w:szCs w:val="22"/>
                        </w:rPr>
                        <w:t xml:space="preserve">Western blot analysis of </w:t>
                      </w:r>
                      <w:proofErr w:type="spellStart"/>
                      <w:r w:rsidRPr="00FA1218">
                        <w:rPr>
                          <w:color w:val="000000"/>
                          <w:spacing w:val="-4"/>
                          <w:kern w:val="1"/>
                          <w:sz w:val="22"/>
                          <w:szCs w:val="22"/>
                        </w:rPr>
                        <w:t>ZorO</w:t>
                      </w:r>
                      <w:proofErr w:type="spellEnd"/>
                      <w:r w:rsidRPr="00FA1218">
                        <w:rPr>
                          <w:color w:val="000000"/>
                          <w:spacing w:val="-4"/>
                          <w:kern w:val="1"/>
                          <w:sz w:val="22"/>
                          <w:szCs w:val="22"/>
                        </w:rPr>
                        <w:t xml:space="preserve"> in cytoplasmic (C), inner membrane (IM) and outer membrane (OM) fraction after 30 min induction with 13.32 mM arabinose from P</w:t>
                      </w:r>
                      <w:r w:rsidRPr="00FA1218">
                        <w:rPr>
                          <w:color w:val="000000"/>
                          <w:spacing w:val="-4"/>
                          <w:kern w:val="1"/>
                          <w:sz w:val="22"/>
                          <w:szCs w:val="22"/>
                          <w:vertAlign w:val="subscript"/>
                        </w:rPr>
                        <w:t>BAD</w:t>
                      </w:r>
                      <w:r w:rsidRPr="00FA1218">
                        <w:rPr>
                          <w:color w:val="000000"/>
                          <w:spacing w:val="-4"/>
                          <w:kern w:val="1"/>
                          <w:sz w:val="22"/>
                          <w:szCs w:val="22"/>
                        </w:rPr>
                        <w:t>-No-UTR-FLAG-</w:t>
                      </w:r>
                      <w:proofErr w:type="spellStart"/>
                      <w:r w:rsidRPr="00FA1218">
                        <w:rPr>
                          <w:i/>
                          <w:iCs/>
                          <w:color w:val="000000"/>
                          <w:spacing w:val="-4"/>
                          <w:kern w:val="1"/>
                          <w:sz w:val="22"/>
                          <w:szCs w:val="22"/>
                        </w:rPr>
                        <w:t>zorO</w:t>
                      </w:r>
                      <w:proofErr w:type="spellEnd"/>
                      <w:r w:rsidRPr="00FA1218">
                        <w:rPr>
                          <w:color w:val="000000"/>
                          <w:spacing w:val="-4"/>
                          <w:kern w:val="1"/>
                          <w:sz w:val="22"/>
                          <w:szCs w:val="22"/>
                        </w:rPr>
                        <w:t xml:space="preserve"> (</w:t>
                      </w:r>
                      <w:r>
                        <w:rPr>
                          <w:color w:val="000000"/>
                          <w:spacing w:val="-4"/>
                          <w:kern w:val="1"/>
                          <w:sz w:val="22"/>
                          <w:szCs w:val="22"/>
                        </w:rPr>
                        <w:t>Fig. 2.5</w:t>
                      </w:r>
                      <w:r w:rsidRPr="00FA1218">
                        <w:rPr>
                          <w:color w:val="000000"/>
                          <w:spacing w:val="-4"/>
                          <w:kern w:val="1"/>
                          <w:sz w:val="22"/>
                          <w:szCs w:val="22"/>
                        </w:rPr>
                        <w:t xml:space="preserve">A) in </w:t>
                      </w:r>
                      <w:r w:rsidRPr="00FA1218">
                        <w:rPr>
                          <w:i/>
                          <w:iCs/>
                          <w:color w:val="000000"/>
                          <w:spacing w:val="-4"/>
                          <w:kern w:val="1"/>
                          <w:sz w:val="22"/>
                          <w:szCs w:val="22"/>
                        </w:rPr>
                        <w:t>E. coli</w:t>
                      </w:r>
                      <w:r w:rsidRPr="00FA1218">
                        <w:rPr>
                          <w:color w:val="000000"/>
                          <w:spacing w:val="-4"/>
                          <w:kern w:val="1"/>
                          <w:sz w:val="22"/>
                          <w:szCs w:val="22"/>
                        </w:rPr>
                        <w:t xml:space="preserve"> UTK 105 (20 </w:t>
                      </w:r>
                      <w:r w:rsidRPr="00FA1218">
                        <w:rPr>
                          <w:sz w:val="22"/>
                          <w:szCs w:val="22"/>
                        </w:rPr>
                        <w:sym w:font="Symbol" w:char="F06D"/>
                      </w:r>
                      <w:r w:rsidRPr="00FA1218">
                        <w:rPr>
                          <w:sz w:val="22"/>
                          <w:szCs w:val="22"/>
                        </w:rPr>
                        <w:t>g</w:t>
                      </w:r>
                      <w:r w:rsidRPr="00FA1218">
                        <w:rPr>
                          <w:color w:val="000000"/>
                          <w:spacing w:val="-4"/>
                          <w:kern w:val="1"/>
                          <w:sz w:val="22"/>
                          <w:szCs w:val="22"/>
                        </w:rPr>
                        <w:t xml:space="preserve"> protein loaded) (B); SPA tagged </w:t>
                      </w:r>
                      <w:proofErr w:type="spellStart"/>
                      <w:r w:rsidRPr="00FA1218">
                        <w:rPr>
                          <w:color w:val="000000"/>
                          <w:spacing w:val="-4"/>
                          <w:kern w:val="1"/>
                          <w:sz w:val="22"/>
                          <w:szCs w:val="22"/>
                        </w:rPr>
                        <w:t>Pgm</w:t>
                      </w:r>
                      <w:proofErr w:type="spellEnd"/>
                      <w:r w:rsidRPr="00FA1218">
                        <w:rPr>
                          <w:color w:val="000000"/>
                          <w:spacing w:val="-4"/>
                          <w:kern w:val="1"/>
                          <w:sz w:val="22"/>
                          <w:szCs w:val="22"/>
                        </w:rPr>
                        <w:t xml:space="preserve"> and </w:t>
                      </w:r>
                      <w:proofErr w:type="spellStart"/>
                      <w:r w:rsidRPr="00FA1218">
                        <w:rPr>
                          <w:color w:val="000000"/>
                          <w:spacing w:val="-4"/>
                          <w:kern w:val="1"/>
                          <w:sz w:val="22"/>
                          <w:szCs w:val="22"/>
                        </w:rPr>
                        <w:t>LepB</w:t>
                      </w:r>
                      <w:proofErr w:type="spellEnd"/>
                      <w:r w:rsidRPr="00FA1218">
                        <w:rPr>
                          <w:color w:val="000000"/>
                          <w:spacing w:val="-4"/>
                          <w:kern w:val="1"/>
                          <w:sz w:val="22"/>
                          <w:szCs w:val="22"/>
                        </w:rPr>
                        <w:t xml:space="preserve"> are used as cytoplasmic and inner membrane control respectively; </w:t>
                      </w:r>
                      <w:proofErr w:type="spellStart"/>
                      <w:r w:rsidRPr="00FA1218">
                        <w:rPr>
                          <w:color w:val="000000"/>
                          <w:spacing w:val="-4"/>
                          <w:kern w:val="1"/>
                          <w:sz w:val="22"/>
                          <w:szCs w:val="22"/>
                        </w:rPr>
                        <w:t>OmpA</w:t>
                      </w:r>
                      <w:proofErr w:type="spellEnd"/>
                      <w:r w:rsidRPr="00FA1218">
                        <w:rPr>
                          <w:color w:val="000000"/>
                          <w:spacing w:val="-4"/>
                          <w:kern w:val="1"/>
                          <w:sz w:val="22"/>
                          <w:szCs w:val="22"/>
                        </w:rPr>
                        <w:t xml:space="preserve"> is used as outer membrane control. Translation of green fluorescent protein under different 5’ untranslated region of </w:t>
                      </w:r>
                      <w:proofErr w:type="spellStart"/>
                      <w:r w:rsidRPr="00FA1218">
                        <w:rPr>
                          <w:i/>
                          <w:iCs/>
                          <w:color w:val="000000"/>
                          <w:spacing w:val="-4"/>
                          <w:kern w:val="1"/>
                          <w:sz w:val="22"/>
                          <w:szCs w:val="22"/>
                        </w:rPr>
                        <w:t>zorO</w:t>
                      </w:r>
                      <w:proofErr w:type="spellEnd"/>
                      <w:r w:rsidRPr="00FA1218">
                        <w:rPr>
                          <w:color w:val="000000"/>
                          <w:spacing w:val="-4"/>
                          <w:kern w:val="1"/>
                          <w:sz w:val="22"/>
                          <w:szCs w:val="22"/>
                        </w:rPr>
                        <w:t>.</w:t>
                      </w:r>
                      <w:r w:rsidRPr="00FA1218">
                        <w:rPr>
                          <w:b/>
                          <w:bCs/>
                          <w:color w:val="000000"/>
                          <w:spacing w:val="-4"/>
                          <w:kern w:val="1"/>
                          <w:sz w:val="22"/>
                          <w:szCs w:val="22"/>
                        </w:rPr>
                        <w:t xml:space="preserve"> </w:t>
                      </w:r>
                      <w:r w:rsidRPr="00FA1218">
                        <w:rPr>
                          <w:color w:val="000000"/>
                          <w:spacing w:val="-4"/>
                          <w:kern w:val="1"/>
                          <w:sz w:val="22"/>
                          <w:szCs w:val="22"/>
                        </w:rPr>
                        <w:t xml:space="preserve">Images of </w:t>
                      </w:r>
                      <w:r w:rsidRPr="00FA1218">
                        <w:rPr>
                          <w:i/>
                          <w:iCs/>
                          <w:color w:val="000000"/>
                          <w:spacing w:val="-4"/>
                          <w:kern w:val="1"/>
                          <w:sz w:val="22"/>
                          <w:szCs w:val="22"/>
                        </w:rPr>
                        <w:t>E. coli</w:t>
                      </w:r>
                      <w:r w:rsidRPr="00FA1218">
                        <w:rPr>
                          <w:color w:val="000000"/>
                          <w:spacing w:val="-4"/>
                          <w:kern w:val="1"/>
                          <w:sz w:val="22"/>
                          <w:szCs w:val="22"/>
                        </w:rPr>
                        <w:t xml:space="preserve"> colonies on LB agar with 13.32 mM arabinose (C) harboring either pAZ3-</w:t>
                      </w:r>
                      <w:r w:rsidRPr="00FA1218">
                        <w:rPr>
                          <w:i/>
                          <w:iCs/>
                          <w:color w:val="000000"/>
                          <w:spacing w:val="-4"/>
                          <w:kern w:val="1"/>
                          <w:sz w:val="22"/>
                          <w:szCs w:val="22"/>
                        </w:rPr>
                        <w:t>zorO</w:t>
                      </w:r>
                      <w:r w:rsidRPr="00FA1218">
                        <w:rPr>
                          <w:color w:val="000000"/>
                          <w:spacing w:val="-4"/>
                          <w:kern w:val="1"/>
                          <w:sz w:val="22"/>
                          <w:szCs w:val="22"/>
                        </w:rPr>
                        <w:t>-UTR-</w:t>
                      </w:r>
                      <w:r w:rsidRPr="00FA1218">
                        <w:rPr>
                          <w:i/>
                          <w:iCs/>
                          <w:color w:val="000000"/>
                          <w:spacing w:val="-4"/>
                          <w:kern w:val="1"/>
                          <w:sz w:val="22"/>
                          <w:szCs w:val="22"/>
                        </w:rPr>
                        <w:t>gfp</w:t>
                      </w:r>
                      <w:r w:rsidRPr="00FA1218">
                        <w:rPr>
                          <w:color w:val="000000"/>
                          <w:spacing w:val="-4"/>
                          <w:kern w:val="1"/>
                          <w:sz w:val="22"/>
                          <w:szCs w:val="22"/>
                        </w:rPr>
                        <w:t xml:space="preserve"> (left) or pAZ3-Δ28-UTR-</w:t>
                      </w:r>
                      <w:r w:rsidRPr="00FA1218">
                        <w:rPr>
                          <w:i/>
                          <w:iCs/>
                          <w:color w:val="000000"/>
                          <w:spacing w:val="-4"/>
                          <w:kern w:val="1"/>
                          <w:sz w:val="22"/>
                          <w:szCs w:val="22"/>
                        </w:rPr>
                        <w:t>gfp</w:t>
                      </w:r>
                      <w:r w:rsidRPr="00FA1218">
                        <w:rPr>
                          <w:color w:val="000000"/>
                          <w:spacing w:val="-4"/>
                          <w:kern w:val="1"/>
                          <w:sz w:val="22"/>
                          <w:szCs w:val="22"/>
                        </w:rPr>
                        <w:t xml:space="preserve"> (right) using bright field (upper panel) and </w:t>
                      </w:r>
                      <w:proofErr w:type="gramStart"/>
                      <w:r w:rsidRPr="00FA1218">
                        <w:rPr>
                          <w:color w:val="000000"/>
                          <w:spacing w:val="-4"/>
                          <w:kern w:val="1"/>
                          <w:sz w:val="22"/>
                          <w:szCs w:val="22"/>
                        </w:rPr>
                        <w:t>green fluorescent</w:t>
                      </w:r>
                      <w:proofErr w:type="gramEnd"/>
                      <w:r w:rsidRPr="00FA1218">
                        <w:rPr>
                          <w:color w:val="000000"/>
                          <w:spacing w:val="-4"/>
                          <w:kern w:val="1"/>
                          <w:sz w:val="22"/>
                          <w:szCs w:val="22"/>
                        </w:rPr>
                        <w:t xml:space="preserve"> channel (lower panel); 2X magnification. Western blot analysis of GFP </w:t>
                      </w:r>
                      <w:r w:rsidRPr="00F33FC4">
                        <w:rPr>
                          <w:color w:val="000000"/>
                          <w:sz w:val="22"/>
                          <w:szCs w:val="22"/>
                        </w:rPr>
                        <w:t xml:space="preserve">(20 </w:t>
                      </w:r>
                      <w:r w:rsidRPr="00F33FC4">
                        <w:rPr>
                          <w:color w:val="000000"/>
                          <w:sz w:val="22"/>
                          <w:szCs w:val="22"/>
                        </w:rPr>
                        <w:sym w:font="Symbol" w:char="F06D"/>
                      </w:r>
                      <w:r w:rsidRPr="00F33FC4">
                        <w:rPr>
                          <w:color w:val="000000"/>
                          <w:sz w:val="22"/>
                          <w:szCs w:val="22"/>
                        </w:rPr>
                        <w:t xml:space="preserve">g of total protein loaded) </w:t>
                      </w:r>
                      <w:r w:rsidRPr="00FA1218">
                        <w:rPr>
                          <w:color w:val="000000"/>
                          <w:spacing w:val="-4"/>
                          <w:kern w:val="1"/>
                          <w:sz w:val="22"/>
                          <w:szCs w:val="22"/>
                        </w:rPr>
                        <w:t>after induction with 13.32 mM arabinose for 30 min under full-length (pAZ3-</w:t>
                      </w:r>
                      <w:r w:rsidRPr="00FA1218">
                        <w:rPr>
                          <w:i/>
                          <w:iCs/>
                          <w:color w:val="000000"/>
                          <w:spacing w:val="-4"/>
                          <w:kern w:val="1"/>
                          <w:sz w:val="22"/>
                          <w:szCs w:val="22"/>
                        </w:rPr>
                        <w:t>zorO</w:t>
                      </w:r>
                      <w:r w:rsidRPr="00FA1218">
                        <w:rPr>
                          <w:color w:val="000000"/>
                          <w:spacing w:val="-4"/>
                          <w:kern w:val="1"/>
                          <w:sz w:val="22"/>
                          <w:szCs w:val="22"/>
                        </w:rPr>
                        <w:t>-UTR-gfp) or processed 5’ UTR (pAZ3-Δ28-UTR-</w:t>
                      </w:r>
                      <w:r w:rsidRPr="00FA1218">
                        <w:rPr>
                          <w:i/>
                          <w:iCs/>
                          <w:color w:val="000000"/>
                          <w:spacing w:val="-4"/>
                          <w:kern w:val="1"/>
                          <w:sz w:val="22"/>
                          <w:szCs w:val="22"/>
                        </w:rPr>
                        <w:t>gfp</w:t>
                      </w:r>
                      <w:r w:rsidRPr="00FA1218">
                        <w:rPr>
                          <w:color w:val="000000"/>
                          <w:spacing w:val="-4"/>
                          <w:kern w:val="1"/>
                          <w:sz w:val="22"/>
                          <w:szCs w:val="22"/>
                        </w:rPr>
                        <w:t>) (D); asterisk indicates a nonspecific signal and serves as a loading control.</w:t>
                      </w:r>
                    </w:p>
                  </w:txbxContent>
                </v:textbox>
                <w10:wrap type="topAndBottom"/>
              </v:shape>
            </w:pict>
          </mc:Fallback>
        </mc:AlternateContent>
      </w:r>
      <w:r>
        <w:rPr>
          <w:rFonts w:eastAsia="Calibri"/>
        </w:rPr>
        <w:br w:type="page"/>
      </w:r>
    </w:p>
    <w:p w14:paraId="52CB72B5" w14:textId="3C1FC3A6" w:rsidR="00971E1E" w:rsidRDefault="00971E1E">
      <w:pPr>
        <w:rPr>
          <w:rFonts w:eastAsia="Calibri"/>
        </w:rPr>
      </w:pPr>
      <w:r w:rsidRPr="00F33FC4">
        <w:rPr>
          <w:rFonts w:eastAsia="Calibri"/>
          <w:noProof/>
        </w:rPr>
        <w:lastRenderedPageBreak/>
        <w:drawing>
          <wp:anchor distT="0" distB="0" distL="114300" distR="114300" simplePos="0" relativeHeight="251743232" behindDoc="0" locked="0" layoutInCell="1" allowOverlap="1" wp14:anchorId="69A3179C" wp14:editId="5B3084DB">
            <wp:simplePos x="0" y="0"/>
            <wp:positionH relativeFrom="column">
              <wp:posOffset>492125</wp:posOffset>
            </wp:positionH>
            <wp:positionV relativeFrom="paragraph">
              <wp:posOffset>414020</wp:posOffset>
            </wp:positionV>
            <wp:extent cx="5548630" cy="5447030"/>
            <wp:effectExtent l="0" t="0" r="1270" b="1270"/>
            <wp:wrapTopAndBottom/>
            <wp:docPr id="5" name="Picture 5"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ical user interface&#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548630" cy="5447030"/>
                    </a:xfrm>
                    <a:prstGeom prst="rect">
                      <a:avLst/>
                    </a:prstGeom>
                  </pic:spPr>
                </pic:pic>
              </a:graphicData>
            </a:graphic>
            <wp14:sizeRelH relativeFrom="page">
              <wp14:pctWidth>0</wp14:pctWidth>
            </wp14:sizeRelH>
            <wp14:sizeRelV relativeFrom="page">
              <wp14:pctHeight>0</wp14:pctHeight>
            </wp14:sizeRelV>
          </wp:anchor>
        </w:drawing>
      </w:r>
      <w:r>
        <w:rPr>
          <w:rFonts w:eastAsia="Calibri"/>
        </w:rPr>
        <w:br w:type="page"/>
      </w:r>
    </w:p>
    <w:p w14:paraId="61FC71AD" w14:textId="77777777" w:rsidR="00971E1E" w:rsidRPr="00F33FC4" w:rsidRDefault="00971E1E" w:rsidP="00971E1E">
      <w:pPr>
        <w:spacing w:line="360" w:lineRule="auto"/>
        <w:rPr>
          <w:rFonts w:eastAsia="Calibri"/>
          <w:bCs/>
        </w:rPr>
      </w:pPr>
      <w:r w:rsidRPr="00F33FC4">
        <w:rPr>
          <w:rFonts w:eastAsia="Calibri"/>
          <w:bCs/>
          <w:i/>
          <w:iCs/>
        </w:rPr>
        <w:lastRenderedPageBreak/>
        <w:t>E. coli</w:t>
      </w:r>
      <w:r w:rsidRPr="00F33FC4">
        <w:rPr>
          <w:rFonts w:eastAsia="Calibri"/>
          <w:bCs/>
        </w:rPr>
        <w:t xml:space="preserve"> cells harboring these plasmids with </w:t>
      </w:r>
      <w:proofErr w:type="spellStart"/>
      <w:r w:rsidRPr="00F33FC4">
        <w:rPr>
          <w:rFonts w:eastAsia="Calibri"/>
          <w:bCs/>
          <w:i/>
          <w:iCs/>
        </w:rPr>
        <w:t>gfp</w:t>
      </w:r>
      <w:proofErr w:type="spellEnd"/>
      <w:r w:rsidRPr="00F33FC4">
        <w:rPr>
          <w:rFonts w:eastAsia="Calibri"/>
          <w:bCs/>
        </w:rPr>
        <w:t xml:space="preserve"> under </w:t>
      </w:r>
      <w:proofErr w:type="spellStart"/>
      <w:r w:rsidRPr="00F33FC4">
        <w:rPr>
          <w:rFonts w:eastAsia="Calibri"/>
          <w:bCs/>
          <w:i/>
          <w:iCs/>
        </w:rPr>
        <w:t>zorO</w:t>
      </w:r>
      <w:proofErr w:type="spellEnd"/>
      <w:r w:rsidRPr="00F33FC4">
        <w:rPr>
          <w:rFonts w:eastAsia="Calibri"/>
          <w:bCs/>
        </w:rPr>
        <w:t xml:space="preserve"> 5’UTRs were grown on LB agar with 13.32mM arabinose. We then examined colonies (2X magnification) for GFP production and observed green fluorescence only in the colonies expressing </w:t>
      </w:r>
      <w:proofErr w:type="spellStart"/>
      <w:r w:rsidRPr="00F33FC4">
        <w:rPr>
          <w:rFonts w:eastAsia="Calibri"/>
          <w:bCs/>
          <w:i/>
          <w:iCs/>
        </w:rPr>
        <w:t>gfp</w:t>
      </w:r>
      <w:proofErr w:type="spellEnd"/>
      <w:r w:rsidRPr="00F33FC4">
        <w:rPr>
          <w:rFonts w:eastAsia="Calibri"/>
          <w:bCs/>
        </w:rPr>
        <w:t xml:space="preserve"> under the processed 5’UTR (</w:t>
      </w:r>
      <w:r w:rsidRPr="00F33FC4">
        <w:rPr>
          <w:rFonts w:eastAsia="Calibri"/>
          <w:bCs/>
        </w:rPr>
        <w:sym w:font="Symbol" w:char="F044"/>
      </w:r>
      <w:r w:rsidRPr="00F33FC4">
        <w:rPr>
          <w:rFonts w:eastAsia="Calibri"/>
          <w:bCs/>
        </w:rPr>
        <w:t xml:space="preserve">28 UTR) (Fig. 2.3C). Similarly, GFP detection via western blot analysis was greater from the processed 5’ UTR as compared to the full-length UTR following induction with 13.32 mM arabinose for 30 min (Fig. 2.3D). When lower concentrations of arabinose (3.33 </w:t>
      </w:r>
      <w:r w:rsidRPr="00F33FC4">
        <w:rPr>
          <w:rFonts w:eastAsia="Calibri"/>
          <w:bCs/>
        </w:rPr>
        <w:sym w:font="Symbol" w:char="F06D"/>
      </w:r>
      <w:r w:rsidRPr="00F33FC4">
        <w:rPr>
          <w:rFonts w:eastAsia="Calibri"/>
          <w:bCs/>
        </w:rPr>
        <w:t xml:space="preserve">M and 6.67 </w:t>
      </w:r>
      <w:r w:rsidRPr="00F33FC4">
        <w:rPr>
          <w:rFonts w:eastAsia="Calibri"/>
          <w:bCs/>
        </w:rPr>
        <w:sym w:font="Symbol" w:char="F06D"/>
      </w:r>
      <w:r w:rsidRPr="00F33FC4">
        <w:rPr>
          <w:rFonts w:eastAsia="Calibri"/>
          <w:bCs/>
        </w:rPr>
        <w:t xml:space="preserve">M) were used to induce GFP production, we were only able to detect GFP from the </w:t>
      </w:r>
      <w:r w:rsidRPr="00F33FC4">
        <w:rPr>
          <w:rFonts w:eastAsia="Calibri"/>
          <w:bCs/>
        </w:rPr>
        <w:sym w:font="Symbol" w:char="F044"/>
      </w:r>
      <w:r w:rsidRPr="00F33FC4">
        <w:rPr>
          <w:rFonts w:eastAsia="Calibri"/>
          <w:bCs/>
        </w:rPr>
        <w:t xml:space="preserve">28 UTR and not the full-length 5’UTR (data not shown). Thus, the </w:t>
      </w:r>
      <w:proofErr w:type="spellStart"/>
      <w:r w:rsidRPr="00F33FC4">
        <w:rPr>
          <w:rFonts w:eastAsia="Calibri"/>
          <w:bCs/>
          <w:i/>
        </w:rPr>
        <w:t>zorO</w:t>
      </w:r>
      <w:proofErr w:type="spellEnd"/>
      <w:r w:rsidRPr="00F33FC4">
        <w:rPr>
          <w:rFonts w:eastAsia="Calibri"/>
          <w:bCs/>
        </w:rPr>
        <w:t xml:space="preserve"> UTR is sufficient to control translation of a heterologous mRNA.</w:t>
      </w:r>
    </w:p>
    <w:p w14:paraId="2CA1F794" w14:textId="77777777" w:rsidR="00971E1E" w:rsidRPr="00F33FC4" w:rsidRDefault="00971E1E" w:rsidP="00971E1E">
      <w:pPr>
        <w:spacing w:line="360" w:lineRule="auto"/>
        <w:ind w:firstLine="720"/>
        <w:rPr>
          <w:rFonts w:eastAsia="Calibri"/>
        </w:rPr>
      </w:pPr>
    </w:p>
    <w:p w14:paraId="1536B9A8" w14:textId="77777777" w:rsidR="005234AD" w:rsidRDefault="00971E1E" w:rsidP="00971E1E">
      <w:pPr>
        <w:spacing w:line="360" w:lineRule="auto"/>
        <w:rPr>
          <w:rFonts w:eastAsia="Calibri"/>
          <w:bCs/>
        </w:rPr>
      </w:pPr>
      <w:proofErr w:type="spellStart"/>
      <w:r w:rsidRPr="00F33FC4">
        <w:rPr>
          <w:rFonts w:eastAsia="Calibri"/>
          <w:b/>
        </w:rPr>
        <w:t>ZorO</w:t>
      </w:r>
      <w:proofErr w:type="spellEnd"/>
      <w:r w:rsidRPr="00F33FC4">
        <w:rPr>
          <w:rFonts w:eastAsia="Calibri"/>
          <w:b/>
        </w:rPr>
        <w:t xml:space="preserve"> forms an alpha helix across a lipid bilayer</w:t>
      </w:r>
      <w:r w:rsidRPr="00F33FC4">
        <w:rPr>
          <w:rFonts w:eastAsia="Calibri"/>
          <w:bCs/>
        </w:rPr>
        <w:t xml:space="preserve">. </w:t>
      </w:r>
    </w:p>
    <w:p w14:paraId="50DDAE60" w14:textId="6F7D319A" w:rsidR="00F33FC4" w:rsidRPr="00F33FC4" w:rsidRDefault="005234AD" w:rsidP="00971E1E">
      <w:pPr>
        <w:spacing w:line="360" w:lineRule="auto"/>
        <w:rPr>
          <w:rFonts w:eastAsia="Calibri"/>
        </w:rPr>
      </w:pPr>
      <w:r>
        <w:rPr>
          <w:rFonts w:eastAsia="Calibri"/>
          <w:bCs/>
        </w:rPr>
        <w:tab/>
      </w:r>
      <w:r w:rsidR="00971E1E" w:rsidRPr="00F33FC4">
        <w:rPr>
          <w:rFonts w:eastAsia="Calibri"/>
          <w:bCs/>
        </w:rPr>
        <w:t xml:space="preserve">Given the inner membrane localization of </w:t>
      </w:r>
      <w:proofErr w:type="spellStart"/>
      <w:r w:rsidR="00971E1E" w:rsidRPr="00F33FC4">
        <w:rPr>
          <w:rFonts w:eastAsia="Calibri"/>
          <w:bCs/>
        </w:rPr>
        <w:t>ZorO</w:t>
      </w:r>
      <w:proofErr w:type="spellEnd"/>
      <w:r w:rsidR="00971E1E" w:rsidRPr="00F33FC4">
        <w:rPr>
          <w:rFonts w:eastAsia="Calibri"/>
          <w:bCs/>
        </w:rPr>
        <w:t xml:space="preserve"> (19) (Fig. 2.3B), we </w:t>
      </w:r>
      <w:r w:rsidR="00971E1E" w:rsidRPr="00F33FC4">
        <w:rPr>
          <w:rFonts w:eastAsia="Calibri"/>
        </w:rPr>
        <w:t>determined t</w:t>
      </w:r>
      <w:r w:rsidR="00F33FC4" w:rsidRPr="00F33FC4">
        <w:rPr>
          <w:rFonts w:eastAsia="Calibri"/>
        </w:rPr>
        <w:t xml:space="preserve">he conformation that </w:t>
      </w:r>
      <w:proofErr w:type="spellStart"/>
      <w:r w:rsidR="00F33FC4" w:rsidRPr="00F33FC4">
        <w:rPr>
          <w:rFonts w:eastAsia="Calibri"/>
        </w:rPr>
        <w:t>ZorO</w:t>
      </w:r>
      <w:proofErr w:type="spellEnd"/>
      <w:r w:rsidR="00F33FC4" w:rsidRPr="00F33FC4">
        <w:rPr>
          <w:rFonts w:eastAsia="Calibri"/>
        </w:rPr>
        <w:t xml:space="preserve"> adopts in membranes. We used a reconstituted system to examine the structure of synthetic </w:t>
      </w:r>
      <w:proofErr w:type="spellStart"/>
      <w:r w:rsidR="00F33FC4" w:rsidRPr="00F33FC4">
        <w:rPr>
          <w:rFonts w:eastAsia="Calibri"/>
        </w:rPr>
        <w:t>ZorO</w:t>
      </w:r>
      <w:proofErr w:type="spellEnd"/>
      <w:r w:rsidR="00F33FC4" w:rsidRPr="00F33FC4">
        <w:rPr>
          <w:rFonts w:eastAsia="Calibri"/>
        </w:rPr>
        <w:t xml:space="preserve"> within lipid vesicles. To partially mimic the lipid composition of the </w:t>
      </w:r>
      <w:r w:rsidR="00F33FC4" w:rsidRPr="00F33FC4">
        <w:rPr>
          <w:rFonts w:eastAsia="Calibri"/>
          <w:i/>
        </w:rPr>
        <w:t>E. coli</w:t>
      </w:r>
      <w:r w:rsidR="00F33FC4" w:rsidRPr="00F33FC4">
        <w:rPr>
          <w:rFonts w:eastAsia="Calibri"/>
        </w:rPr>
        <w:t xml:space="preserve"> inner membrane, we utilized vesicles composed of a 3 to 1 molar ratio of two lipids: 1,2-dioleoyl-sn-glycero-3-phosphoethanolamine (DOPE) and 1,2-dioleoyl-sn-glycero-3-phosphoglycerol (DOPG). We first used circular dichroism (CD) to study the conformation that </w:t>
      </w:r>
      <w:proofErr w:type="spellStart"/>
      <w:r w:rsidR="00F33FC4" w:rsidRPr="00F33FC4">
        <w:rPr>
          <w:rFonts w:eastAsia="Calibri"/>
        </w:rPr>
        <w:t>ZorO</w:t>
      </w:r>
      <w:proofErr w:type="spellEnd"/>
      <w:r w:rsidR="00F33FC4" w:rsidRPr="00F33FC4">
        <w:rPr>
          <w:rFonts w:eastAsia="Calibri"/>
        </w:rPr>
        <w:t xml:space="preserve"> adopts in the lipid bilayer. Fig. 2.4A shows a CD spectra with minima at 208 and 222 nm, which is characteristic of an </w:t>
      </w:r>
      <w:r w:rsidR="00F33FC4" w:rsidRPr="00F33FC4">
        <w:rPr>
          <w:rFonts w:eastAsia="Calibri"/>
        </w:rPr>
        <w:sym w:font="Symbol" w:char="F061"/>
      </w:r>
      <w:r w:rsidR="00F33FC4" w:rsidRPr="00F33FC4">
        <w:rPr>
          <w:rFonts w:eastAsia="Calibri"/>
        </w:rPr>
        <w:t xml:space="preserve">-helical conformation (40), indicating that </w:t>
      </w:r>
      <w:proofErr w:type="spellStart"/>
      <w:r w:rsidR="00F33FC4" w:rsidRPr="00F33FC4">
        <w:rPr>
          <w:rFonts w:eastAsia="Calibri"/>
        </w:rPr>
        <w:t>ZorO</w:t>
      </w:r>
      <w:proofErr w:type="spellEnd"/>
      <w:r w:rsidR="00F33FC4" w:rsidRPr="00F33FC4">
        <w:rPr>
          <w:rFonts w:eastAsia="Calibri"/>
        </w:rPr>
        <w:t xml:space="preserve"> folds into an </w:t>
      </w:r>
      <w:r w:rsidR="00F33FC4" w:rsidRPr="00F33FC4">
        <w:rPr>
          <w:rFonts w:eastAsia="Calibri"/>
        </w:rPr>
        <w:sym w:font="Symbol" w:char="F061"/>
      </w:r>
      <w:r w:rsidR="00F33FC4" w:rsidRPr="00F33FC4">
        <w:rPr>
          <w:rFonts w:eastAsia="Calibri"/>
        </w:rPr>
        <w:t xml:space="preserve">-helix. To discriminate if the helix lies on the surface of the membrane, or it is inserted across the lipid bilayer, forming a transmembrane helix, we employed oriented CD (OCD), which allows distinguishing between these two possibilities. The OCD data shown in Fig. 2.4B indicate that </w:t>
      </w:r>
      <w:proofErr w:type="spellStart"/>
      <w:r w:rsidR="00F33FC4" w:rsidRPr="00F33FC4">
        <w:rPr>
          <w:rFonts w:eastAsia="Calibri"/>
        </w:rPr>
        <w:t>ZorO</w:t>
      </w:r>
      <w:proofErr w:type="spellEnd"/>
      <w:r w:rsidR="00F33FC4" w:rsidRPr="00F33FC4">
        <w:rPr>
          <w:rFonts w:eastAsia="Calibri"/>
        </w:rPr>
        <w:t xml:space="preserve"> forms a transmembrane helix, given the single minima at 225 nm (41).</w:t>
      </w:r>
    </w:p>
    <w:p w14:paraId="63776D9E" w14:textId="77777777" w:rsidR="00F33FC4" w:rsidRPr="00F33FC4" w:rsidRDefault="00F33FC4" w:rsidP="00F33FC4">
      <w:pPr>
        <w:spacing w:line="360" w:lineRule="auto"/>
        <w:ind w:firstLine="720"/>
        <w:rPr>
          <w:rFonts w:eastAsia="Calibri"/>
          <w:b/>
          <w:bCs/>
        </w:rPr>
      </w:pPr>
    </w:p>
    <w:p w14:paraId="39DF9CF7" w14:textId="0325CFAF" w:rsidR="00971E1E" w:rsidRDefault="00B86E0D">
      <w:pPr>
        <w:rPr>
          <w:rFonts w:eastAsia="Calibri"/>
        </w:rPr>
      </w:pPr>
      <w:r w:rsidRPr="00F33FC4">
        <w:rPr>
          <w:rFonts w:ascii="Calibri" w:eastAsia="Calibri" w:hAnsi="Calibri" w:cs="Mangal"/>
          <w:noProof/>
        </w:rPr>
        <w:lastRenderedPageBreak/>
        <mc:AlternateContent>
          <mc:Choice Requires="wps">
            <w:drawing>
              <wp:anchor distT="0" distB="0" distL="114300" distR="114300" simplePos="0" relativeHeight="251750400" behindDoc="0" locked="0" layoutInCell="1" allowOverlap="1" wp14:anchorId="36DBEA7C" wp14:editId="2C736628">
                <wp:simplePos x="0" y="0"/>
                <wp:positionH relativeFrom="column">
                  <wp:posOffset>635</wp:posOffset>
                </wp:positionH>
                <wp:positionV relativeFrom="paragraph">
                  <wp:posOffset>2466107</wp:posOffset>
                </wp:positionV>
                <wp:extent cx="5918835" cy="635"/>
                <wp:effectExtent l="0" t="0" r="0" b="5715"/>
                <wp:wrapTopAndBottom/>
                <wp:docPr id="49" name="Text Box 49"/>
                <wp:cNvGraphicFramePr/>
                <a:graphic xmlns:a="http://schemas.openxmlformats.org/drawingml/2006/main">
                  <a:graphicData uri="http://schemas.microsoft.com/office/word/2010/wordprocessingShape">
                    <wps:wsp>
                      <wps:cNvSpPr txBox="1"/>
                      <wps:spPr>
                        <a:xfrm>
                          <a:off x="0" y="0"/>
                          <a:ext cx="5918835" cy="635"/>
                        </a:xfrm>
                        <a:prstGeom prst="rect">
                          <a:avLst/>
                        </a:prstGeom>
                        <a:solidFill>
                          <a:prstClr val="white"/>
                        </a:solidFill>
                        <a:ln>
                          <a:noFill/>
                        </a:ln>
                      </wps:spPr>
                      <wps:txbx>
                        <w:txbxContent>
                          <w:p w14:paraId="52957D81" w14:textId="77777777" w:rsidR="00971E1E" w:rsidRPr="00F12873" w:rsidRDefault="00971E1E" w:rsidP="00971E1E">
                            <w:pPr>
                              <w:pStyle w:val="Caption"/>
                              <w:rPr>
                                <w:i/>
                                <w:iCs w:val="0"/>
                                <w:sz w:val="22"/>
                                <w:szCs w:val="22"/>
                              </w:rPr>
                            </w:pPr>
                            <w:r w:rsidRPr="00F12873">
                              <w:rPr>
                                <w:iCs w:val="0"/>
                                <w:sz w:val="22"/>
                                <w:szCs w:val="22"/>
                              </w:rPr>
                              <w:t xml:space="preserve">Figure </w:t>
                            </w:r>
                            <w:r>
                              <w:rPr>
                                <w:iCs w:val="0"/>
                                <w:sz w:val="22"/>
                                <w:szCs w:val="22"/>
                              </w:rPr>
                              <w:t xml:space="preserve">2.4. </w:t>
                            </w:r>
                            <w:r w:rsidRPr="00F12873">
                              <w:rPr>
                                <w:iCs w:val="0"/>
                                <w:sz w:val="22"/>
                                <w:szCs w:val="22"/>
                              </w:rPr>
                              <w:t xml:space="preserve">Synthetic </w:t>
                            </w:r>
                            <w:proofErr w:type="spellStart"/>
                            <w:r w:rsidRPr="00F12873">
                              <w:rPr>
                                <w:iCs w:val="0"/>
                                <w:sz w:val="22"/>
                                <w:szCs w:val="22"/>
                              </w:rPr>
                              <w:t>ZorO</w:t>
                            </w:r>
                            <w:proofErr w:type="spellEnd"/>
                            <w:r w:rsidRPr="00F12873">
                              <w:rPr>
                                <w:iCs w:val="0"/>
                                <w:sz w:val="22"/>
                                <w:szCs w:val="22"/>
                              </w:rPr>
                              <w:t xml:space="preserve"> peptide can insert across a lipid bilayer. Circular dichroism spectra of </w:t>
                            </w:r>
                            <w:proofErr w:type="spellStart"/>
                            <w:r w:rsidRPr="00F12873">
                              <w:rPr>
                                <w:iCs w:val="0"/>
                                <w:sz w:val="22"/>
                                <w:szCs w:val="22"/>
                              </w:rPr>
                              <w:t>ZorO</w:t>
                            </w:r>
                            <w:proofErr w:type="spellEnd"/>
                            <w:r w:rsidRPr="00F12873">
                              <w:rPr>
                                <w:iCs w:val="0"/>
                                <w:sz w:val="22"/>
                                <w:szCs w:val="22"/>
                              </w:rPr>
                              <w:t xml:space="preserve"> peptide in lipid composition partially mimicking </w:t>
                            </w:r>
                            <w:r w:rsidRPr="00F12873">
                              <w:rPr>
                                <w:sz w:val="22"/>
                                <w:szCs w:val="22"/>
                              </w:rPr>
                              <w:t>E. coli</w:t>
                            </w:r>
                            <w:r w:rsidRPr="00F12873">
                              <w:rPr>
                                <w:iCs w:val="0"/>
                                <w:sz w:val="22"/>
                                <w:szCs w:val="22"/>
                              </w:rPr>
                              <w:t xml:space="preserve"> membrane (A). Oriented circular dichroism of </w:t>
                            </w:r>
                            <w:proofErr w:type="spellStart"/>
                            <w:r w:rsidRPr="00F12873">
                              <w:rPr>
                                <w:iCs w:val="0"/>
                                <w:sz w:val="22"/>
                                <w:szCs w:val="22"/>
                              </w:rPr>
                              <w:t>ZorO</w:t>
                            </w:r>
                            <w:proofErr w:type="spellEnd"/>
                            <w:r w:rsidRPr="00F12873">
                              <w:rPr>
                                <w:iCs w:val="0"/>
                                <w:sz w:val="22"/>
                                <w:szCs w:val="22"/>
                              </w:rPr>
                              <w:t xml:space="preserve"> peptide on lipid bilayer (B).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6DBEA7C" id="Text Box 49" o:spid="_x0000_s1030" type="#_x0000_t202" style="position:absolute;margin-left:.05pt;margin-top:194.2pt;width:466.05pt;height:.05pt;z-index:2517504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" stroked="f">
                <v:textbox style="mso-fit-shape-to-text:t" inset="0,0,0,0">
                  <w:txbxContent>
                    <w:p w14:paraId="52957D81" w14:textId="77777777" w:rsidR="00971E1E" w:rsidRPr="00F12873" w:rsidRDefault="00971E1E" w:rsidP="00971E1E">
                      <w:pPr>
                        <w:pStyle w:val="Caption"/>
                        <w:rPr>
                          <w:i/>
                          <w:iCs w:val="0"/>
                          <w:sz w:val="22"/>
                          <w:szCs w:val="22"/>
                        </w:rPr>
                      </w:pPr>
                      <w:r w:rsidRPr="00F12873">
                        <w:rPr>
                          <w:iCs w:val="0"/>
                          <w:sz w:val="22"/>
                          <w:szCs w:val="22"/>
                        </w:rPr>
                        <w:t xml:space="preserve">Figure </w:t>
                      </w:r>
                      <w:r>
                        <w:rPr>
                          <w:iCs w:val="0"/>
                          <w:sz w:val="22"/>
                          <w:szCs w:val="22"/>
                        </w:rPr>
                        <w:t xml:space="preserve">2.4. </w:t>
                      </w:r>
                      <w:r w:rsidRPr="00F12873">
                        <w:rPr>
                          <w:iCs w:val="0"/>
                          <w:sz w:val="22"/>
                          <w:szCs w:val="22"/>
                        </w:rPr>
                        <w:t xml:space="preserve">Synthetic </w:t>
                      </w:r>
                      <w:proofErr w:type="spellStart"/>
                      <w:r w:rsidRPr="00F12873">
                        <w:rPr>
                          <w:iCs w:val="0"/>
                          <w:sz w:val="22"/>
                          <w:szCs w:val="22"/>
                        </w:rPr>
                        <w:t>ZorO</w:t>
                      </w:r>
                      <w:proofErr w:type="spellEnd"/>
                      <w:r w:rsidRPr="00F12873">
                        <w:rPr>
                          <w:iCs w:val="0"/>
                          <w:sz w:val="22"/>
                          <w:szCs w:val="22"/>
                        </w:rPr>
                        <w:t xml:space="preserve"> peptide can insert across a lipid bilayer. Circular dichroism spectra of </w:t>
                      </w:r>
                      <w:proofErr w:type="spellStart"/>
                      <w:r w:rsidRPr="00F12873">
                        <w:rPr>
                          <w:iCs w:val="0"/>
                          <w:sz w:val="22"/>
                          <w:szCs w:val="22"/>
                        </w:rPr>
                        <w:t>ZorO</w:t>
                      </w:r>
                      <w:proofErr w:type="spellEnd"/>
                      <w:r w:rsidRPr="00F12873">
                        <w:rPr>
                          <w:iCs w:val="0"/>
                          <w:sz w:val="22"/>
                          <w:szCs w:val="22"/>
                        </w:rPr>
                        <w:t xml:space="preserve"> peptide in lipid composition partially mimicking </w:t>
                      </w:r>
                      <w:r w:rsidRPr="00F12873">
                        <w:rPr>
                          <w:sz w:val="22"/>
                          <w:szCs w:val="22"/>
                        </w:rPr>
                        <w:t>E. coli</w:t>
                      </w:r>
                      <w:r w:rsidRPr="00F12873">
                        <w:rPr>
                          <w:iCs w:val="0"/>
                          <w:sz w:val="22"/>
                          <w:szCs w:val="22"/>
                        </w:rPr>
                        <w:t xml:space="preserve"> membrane (A). Oriented circular dichroism of </w:t>
                      </w:r>
                      <w:proofErr w:type="spellStart"/>
                      <w:r w:rsidRPr="00F12873">
                        <w:rPr>
                          <w:iCs w:val="0"/>
                          <w:sz w:val="22"/>
                          <w:szCs w:val="22"/>
                        </w:rPr>
                        <w:t>ZorO</w:t>
                      </w:r>
                      <w:proofErr w:type="spellEnd"/>
                      <w:r w:rsidRPr="00F12873">
                        <w:rPr>
                          <w:iCs w:val="0"/>
                          <w:sz w:val="22"/>
                          <w:szCs w:val="22"/>
                        </w:rPr>
                        <w:t xml:space="preserve"> peptide on lipid bilayer (B). </w:t>
                      </w:r>
                    </w:p>
                  </w:txbxContent>
                </v:textbox>
                <w10:wrap type="topAndBottom"/>
              </v:shape>
            </w:pict>
          </mc:Fallback>
        </mc:AlternateContent>
      </w:r>
      <w:r w:rsidR="00971E1E">
        <w:rPr>
          <w:rFonts w:eastAsia="Calibri"/>
        </w:rPr>
        <w:br w:type="page"/>
      </w:r>
      <w:r w:rsidR="00971E1E" w:rsidRPr="00F33FC4">
        <w:rPr>
          <w:rFonts w:eastAsia="Calibri"/>
          <w:noProof/>
        </w:rPr>
        <w:drawing>
          <wp:anchor distT="0" distB="0" distL="114300" distR="114300" simplePos="0" relativeHeight="251749376" behindDoc="0" locked="0" layoutInCell="1" allowOverlap="1" wp14:anchorId="3773C21C" wp14:editId="0D79B92F">
            <wp:simplePos x="0" y="0"/>
            <wp:positionH relativeFrom="column">
              <wp:posOffset>0</wp:posOffset>
            </wp:positionH>
            <wp:positionV relativeFrom="paragraph">
              <wp:posOffset>172085</wp:posOffset>
            </wp:positionV>
            <wp:extent cx="5667375" cy="2211705"/>
            <wp:effectExtent l="0" t="0" r="0" b="0"/>
            <wp:wrapTopAndBottom/>
            <wp:docPr id="54" name="Picture 54" descr="Chart,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rt, diagram&#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667375" cy="2211705"/>
                    </a:xfrm>
                    <a:prstGeom prst="rect">
                      <a:avLst/>
                    </a:prstGeom>
                  </pic:spPr>
                </pic:pic>
              </a:graphicData>
            </a:graphic>
            <wp14:sizeRelH relativeFrom="page">
              <wp14:pctWidth>0</wp14:pctWidth>
            </wp14:sizeRelH>
            <wp14:sizeRelV relativeFrom="page">
              <wp14:pctHeight>0</wp14:pctHeight>
            </wp14:sizeRelV>
          </wp:anchor>
        </w:drawing>
      </w:r>
    </w:p>
    <w:p w14:paraId="4714133B" w14:textId="77777777" w:rsidR="005234AD" w:rsidRDefault="005234AD" w:rsidP="005234AD">
      <w:pPr>
        <w:spacing w:line="360" w:lineRule="auto"/>
        <w:rPr>
          <w:rFonts w:eastAsia="Calibri"/>
        </w:rPr>
      </w:pPr>
      <w:r w:rsidRPr="00F33FC4">
        <w:rPr>
          <w:rFonts w:eastAsia="Calibri"/>
          <w:b/>
        </w:rPr>
        <w:lastRenderedPageBreak/>
        <w:t xml:space="preserve">Overexpression of </w:t>
      </w:r>
      <w:proofErr w:type="spellStart"/>
      <w:r w:rsidRPr="00F33FC4">
        <w:rPr>
          <w:rFonts w:eastAsia="Calibri"/>
          <w:b/>
          <w:i/>
          <w:iCs/>
        </w:rPr>
        <w:t>zorO</w:t>
      </w:r>
      <w:proofErr w:type="spellEnd"/>
      <w:r w:rsidRPr="00F33FC4">
        <w:rPr>
          <w:rFonts w:eastAsia="Calibri"/>
          <w:b/>
        </w:rPr>
        <w:t xml:space="preserve"> via its processed 5’ UTR causes increased membrane depolarization and ATP depletion</w:t>
      </w:r>
      <w:r w:rsidRPr="00F33FC4">
        <w:rPr>
          <w:rFonts w:eastAsia="Calibri"/>
        </w:rPr>
        <w:t xml:space="preserve">. </w:t>
      </w:r>
    </w:p>
    <w:p w14:paraId="77B530F2" w14:textId="3515385B" w:rsidR="00F33FC4" w:rsidRPr="00F33FC4" w:rsidRDefault="005234AD" w:rsidP="00F33FC4">
      <w:pPr>
        <w:spacing w:line="360" w:lineRule="auto"/>
        <w:rPr>
          <w:rFonts w:eastAsia="Calibri"/>
        </w:rPr>
      </w:pPr>
      <w:r>
        <w:rPr>
          <w:rFonts w:eastAsia="Calibri"/>
        </w:rPr>
        <w:tab/>
      </w:r>
      <w:r w:rsidRPr="00F33FC4">
        <w:rPr>
          <w:rFonts w:eastAsia="Calibri"/>
        </w:rPr>
        <w:t xml:space="preserve">The overproduction of </w:t>
      </w:r>
      <w:proofErr w:type="spellStart"/>
      <w:r w:rsidRPr="00F33FC4">
        <w:rPr>
          <w:rFonts w:eastAsia="Calibri"/>
        </w:rPr>
        <w:t>ZorO</w:t>
      </w:r>
      <w:proofErr w:type="spellEnd"/>
      <w:r w:rsidRPr="00F33FC4">
        <w:rPr>
          <w:rFonts w:eastAsia="Calibri"/>
        </w:rPr>
        <w:t xml:space="preserve">, like other type I toxins including </w:t>
      </w:r>
      <w:proofErr w:type="spellStart"/>
      <w:r w:rsidRPr="00F33FC4">
        <w:rPr>
          <w:rFonts w:eastAsia="Calibri"/>
        </w:rPr>
        <w:t>TisB</w:t>
      </w:r>
      <w:proofErr w:type="spellEnd"/>
      <w:r w:rsidRPr="00F33FC4">
        <w:rPr>
          <w:rFonts w:eastAsia="Calibri"/>
        </w:rPr>
        <w:t xml:space="preserve"> (23, 42), </w:t>
      </w:r>
      <w:proofErr w:type="spellStart"/>
      <w:r w:rsidRPr="00F33FC4">
        <w:rPr>
          <w:rFonts w:eastAsia="Calibri"/>
        </w:rPr>
        <w:t>DinQ</w:t>
      </w:r>
      <w:proofErr w:type="spellEnd"/>
      <w:r w:rsidRPr="00F33FC4">
        <w:rPr>
          <w:rFonts w:eastAsia="Calibri"/>
        </w:rPr>
        <w:t xml:space="preserve"> (43), </w:t>
      </w:r>
      <w:proofErr w:type="spellStart"/>
      <w:r w:rsidRPr="00F33FC4">
        <w:rPr>
          <w:rFonts w:eastAsia="Calibri"/>
        </w:rPr>
        <w:t>HokB</w:t>
      </w:r>
      <w:proofErr w:type="spellEnd"/>
      <w:r w:rsidRPr="00F33FC4">
        <w:rPr>
          <w:rFonts w:eastAsia="Calibri"/>
        </w:rPr>
        <w:t xml:space="preserve"> (1), </w:t>
      </w:r>
      <w:proofErr w:type="spellStart"/>
      <w:r w:rsidRPr="00F33FC4">
        <w:rPr>
          <w:rFonts w:eastAsia="Calibri"/>
        </w:rPr>
        <w:t>IbsC</w:t>
      </w:r>
      <w:proofErr w:type="spellEnd"/>
      <w:r w:rsidRPr="00F33FC4">
        <w:rPr>
          <w:rFonts w:eastAsia="Calibri"/>
        </w:rPr>
        <w:t xml:space="preserve">, and </w:t>
      </w:r>
      <w:proofErr w:type="spellStart"/>
      <w:r w:rsidRPr="00F33FC4">
        <w:rPr>
          <w:rFonts w:eastAsia="Calibri"/>
        </w:rPr>
        <w:t>ShoB</w:t>
      </w:r>
      <w:proofErr w:type="spellEnd"/>
      <w:r w:rsidRPr="00F33FC4">
        <w:rPr>
          <w:rFonts w:eastAsia="Calibri"/>
        </w:rPr>
        <w:t xml:space="preserve"> (25), caused membrane </w:t>
      </w:r>
      <w:r w:rsidR="00F33FC4" w:rsidRPr="00F33FC4">
        <w:rPr>
          <w:rFonts w:eastAsia="Calibri"/>
        </w:rPr>
        <w:t xml:space="preserve">depolarization (19). The data in Fig. 2.3B and the work of others (19) indicated that </w:t>
      </w:r>
      <w:proofErr w:type="spellStart"/>
      <w:r w:rsidR="00F33FC4" w:rsidRPr="00F33FC4">
        <w:rPr>
          <w:rFonts w:eastAsia="Calibri"/>
        </w:rPr>
        <w:t>ZorO</w:t>
      </w:r>
      <w:proofErr w:type="spellEnd"/>
      <w:r w:rsidR="00F33FC4" w:rsidRPr="00F33FC4">
        <w:rPr>
          <w:rFonts w:eastAsia="Calibri"/>
        </w:rPr>
        <w:t xml:space="preserve"> targets the cytoplasmic membrane. However, we did note differences in </w:t>
      </w:r>
      <w:proofErr w:type="spellStart"/>
      <w:r w:rsidR="00F33FC4" w:rsidRPr="00F33FC4">
        <w:rPr>
          <w:rFonts w:eastAsia="Calibri"/>
        </w:rPr>
        <w:t>ZorO</w:t>
      </w:r>
      <w:proofErr w:type="spellEnd"/>
      <w:r w:rsidR="00F33FC4" w:rsidRPr="00F33FC4">
        <w:rPr>
          <w:rFonts w:eastAsia="Calibri"/>
        </w:rPr>
        <w:t xml:space="preserve"> production (Fig. 2.2F, 2.3A) dependent upon whether it was expressed from the full-length or </w:t>
      </w:r>
      <w:r w:rsidR="00F33FC4" w:rsidRPr="00F33FC4">
        <w:rPr>
          <w:rFonts w:eastAsia="Calibri"/>
        </w:rPr>
        <w:sym w:font="Symbol" w:char="F044"/>
      </w:r>
      <w:r w:rsidR="00F33FC4" w:rsidRPr="00F33FC4">
        <w:rPr>
          <w:rFonts w:eastAsia="Calibri"/>
        </w:rPr>
        <w:t xml:space="preserve">28 UTR and wanted to further investigate how expression from the differing UTRs may influence </w:t>
      </w:r>
      <w:proofErr w:type="spellStart"/>
      <w:r w:rsidR="00F33FC4" w:rsidRPr="00F33FC4">
        <w:rPr>
          <w:rFonts w:eastAsia="Calibri"/>
        </w:rPr>
        <w:t>ZorO</w:t>
      </w:r>
      <w:proofErr w:type="spellEnd"/>
      <w:r w:rsidR="00F33FC4" w:rsidRPr="00F33FC4">
        <w:rPr>
          <w:rFonts w:eastAsia="Calibri"/>
        </w:rPr>
        <w:t xml:space="preserve">-induced physiology. We first assessed the differences in membrane depolarization using bis-(1,3-dibtylbarbituric acid) </w:t>
      </w:r>
      <w:proofErr w:type="spellStart"/>
      <w:r w:rsidR="00F33FC4" w:rsidRPr="00F33FC4">
        <w:rPr>
          <w:rFonts w:eastAsia="Calibri"/>
        </w:rPr>
        <w:t>trimethine</w:t>
      </w:r>
      <w:proofErr w:type="spellEnd"/>
      <w:r w:rsidR="00F33FC4" w:rsidRPr="00F33FC4">
        <w:rPr>
          <w:rFonts w:eastAsia="Calibri"/>
        </w:rPr>
        <w:t xml:space="preserve"> </w:t>
      </w:r>
      <w:proofErr w:type="spellStart"/>
      <w:r w:rsidR="00F33FC4" w:rsidRPr="00F33FC4">
        <w:rPr>
          <w:rFonts w:eastAsia="Calibri"/>
        </w:rPr>
        <w:t>oxonol</w:t>
      </w:r>
      <w:proofErr w:type="spellEnd"/>
      <w:r w:rsidR="00F33FC4" w:rsidRPr="00F33FC4">
        <w:rPr>
          <w:rFonts w:eastAsia="Calibri"/>
        </w:rPr>
        <w:t xml:space="preserve"> dye (DiBAC</w:t>
      </w:r>
      <w:r w:rsidR="00F33FC4" w:rsidRPr="00F33FC4">
        <w:rPr>
          <w:rFonts w:eastAsia="Calibri"/>
          <w:vertAlign w:val="subscript"/>
        </w:rPr>
        <w:t>4</w:t>
      </w:r>
      <w:r w:rsidR="00F33FC4" w:rsidRPr="00F33FC4">
        <w:rPr>
          <w:rFonts w:eastAsia="Calibri"/>
        </w:rPr>
        <w:t xml:space="preserve">-3) which is a potential-dependent distributional fluorescent dye. This dye selectively enters cells upon membrane depolarization which are then measured using a flow cytometer (44). </w:t>
      </w:r>
    </w:p>
    <w:p w14:paraId="378AE270" w14:textId="4DEA130C" w:rsidR="00971E1E" w:rsidRDefault="00F33FC4" w:rsidP="00971E1E">
      <w:pPr>
        <w:spacing w:line="360" w:lineRule="auto"/>
        <w:ind w:firstLine="720"/>
        <w:rPr>
          <w:rFonts w:eastAsia="Calibri"/>
        </w:rPr>
      </w:pPr>
      <w:r w:rsidRPr="00F33FC4">
        <w:rPr>
          <w:rFonts w:eastAsia="Calibri"/>
        </w:rPr>
        <w:t xml:space="preserve">We used plasmids harboring </w:t>
      </w:r>
      <w:proofErr w:type="spellStart"/>
      <w:r w:rsidRPr="00F33FC4">
        <w:rPr>
          <w:rFonts w:eastAsia="Calibri"/>
          <w:i/>
          <w:iCs/>
        </w:rPr>
        <w:t>zorO</w:t>
      </w:r>
      <w:proofErr w:type="spellEnd"/>
      <w:r w:rsidRPr="00F33FC4">
        <w:rPr>
          <w:rFonts w:eastAsia="Calibri"/>
        </w:rPr>
        <w:t xml:space="preserve"> with differing lengths of its 5’ UTR (full-length and </w:t>
      </w:r>
      <w:r w:rsidRPr="00F33FC4">
        <w:rPr>
          <w:rFonts w:eastAsia="Calibri"/>
        </w:rPr>
        <w:sym w:font="Symbol" w:char="F044"/>
      </w:r>
      <w:r w:rsidRPr="00F33FC4">
        <w:rPr>
          <w:rFonts w:eastAsia="Calibri"/>
        </w:rPr>
        <w:t xml:space="preserve">28 UTR lacking FLAG tag). </w:t>
      </w:r>
      <w:r w:rsidRPr="00F33FC4">
        <w:rPr>
          <w:rFonts w:eastAsia="Calibri"/>
          <w:i/>
          <w:iCs/>
        </w:rPr>
        <w:t>E. coli</w:t>
      </w:r>
      <w:r w:rsidRPr="00F33FC4">
        <w:rPr>
          <w:rFonts w:eastAsia="Calibri"/>
        </w:rPr>
        <w:t xml:space="preserve"> UTK007 cells transformed with these plasmids were induced with a final arabinose concentration of 1.33 </w:t>
      </w:r>
      <w:r w:rsidRPr="00F33FC4">
        <w:rPr>
          <w:rFonts w:eastAsia="Calibri"/>
        </w:rPr>
        <w:sym w:font="Symbol" w:char="F06D"/>
      </w:r>
      <w:r w:rsidRPr="00F33FC4">
        <w:rPr>
          <w:rFonts w:eastAsia="Calibri"/>
        </w:rPr>
        <w:t>M (0.00002%) and analyzed for membrane depolarization, as this arabinose concentration yielded growth inhibition of the P</w:t>
      </w:r>
      <w:r w:rsidRPr="00F33FC4">
        <w:rPr>
          <w:rFonts w:eastAsia="Calibri"/>
          <w:vertAlign w:val="subscript"/>
        </w:rPr>
        <w:t>BAD</w:t>
      </w:r>
      <w:r w:rsidRPr="00F33FC4">
        <w:rPr>
          <w:rFonts w:eastAsia="Calibri"/>
        </w:rPr>
        <w:t>-</w:t>
      </w:r>
      <w:r w:rsidRPr="00F33FC4">
        <w:rPr>
          <w:rFonts w:eastAsia="Calibri"/>
        </w:rPr>
        <w:sym w:font="Symbol" w:char="F044"/>
      </w:r>
      <w:r w:rsidRPr="00F33FC4">
        <w:rPr>
          <w:rFonts w:eastAsia="Calibri"/>
        </w:rPr>
        <w:t>28-</w:t>
      </w:r>
      <w:r w:rsidRPr="00F33FC4">
        <w:rPr>
          <w:rFonts w:eastAsia="Calibri"/>
          <w:i/>
          <w:iCs/>
        </w:rPr>
        <w:t>zorO</w:t>
      </w:r>
      <w:r w:rsidRPr="00F33FC4">
        <w:rPr>
          <w:rFonts w:eastAsia="Calibri"/>
        </w:rPr>
        <w:t xml:space="preserve"> (Fig. 2.5B).</w:t>
      </w:r>
      <w:r w:rsidR="000725B7">
        <w:rPr>
          <w:rFonts w:eastAsia="Calibri"/>
        </w:rPr>
        <w:t xml:space="preserve"> </w:t>
      </w:r>
      <w:r w:rsidRPr="00F33FC4">
        <w:rPr>
          <w:rFonts w:eastAsia="Calibri"/>
        </w:rPr>
        <w:t xml:space="preserve">Under this low level of arabinose induction, membrane depolarization occurred within 15 minutes of </w:t>
      </w:r>
      <w:proofErr w:type="spellStart"/>
      <w:r w:rsidRPr="00F33FC4">
        <w:rPr>
          <w:rFonts w:eastAsia="Calibri"/>
        </w:rPr>
        <w:t>ZorO</w:t>
      </w:r>
      <w:proofErr w:type="spellEnd"/>
      <w:r w:rsidRPr="00F33FC4">
        <w:rPr>
          <w:rFonts w:eastAsia="Calibri"/>
        </w:rPr>
        <w:t xml:space="preserve"> overproduction (Fig. 2.6A). </w:t>
      </w:r>
    </w:p>
    <w:p w14:paraId="0D14B9C5" w14:textId="50189AC4" w:rsidR="00971E1E" w:rsidRDefault="00F33FC4" w:rsidP="005234AD">
      <w:pPr>
        <w:spacing w:line="360" w:lineRule="auto"/>
        <w:ind w:firstLine="720"/>
        <w:rPr>
          <w:rFonts w:eastAsia="Calibri"/>
        </w:rPr>
      </w:pPr>
      <w:r w:rsidRPr="00F33FC4">
        <w:rPr>
          <w:rFonts w:eastAsia="Calibri"/>
        </w:rPr>
        <w:t xml:space="preserve">We did observe that the percentage of cells positive for membrane depolarization was significantly lower (**, </w:t>
      </w:r>
      <w:r w:rsidRPr="00F33FC4">
        <w:rPr>
          <w:rFonts w:eastAsia="Calibri"/>
          <w:i/>
          <w:iCs/>
        </w:rPr>
        <w:t>p</w:t>
      </w:r>
      <w:r w:rsidRPr="00F33FC4">
        <w:rPr>
          <w:rFonts w:eastAsia="Calibri"/>
        </w:rPr>
        <w:t xml:space="preserve">&lt;0.01, ***, </w:t>
      </w:r>
      <w:r w:rsidRPr="00F33FC4">
        <w:rPr>
          <w:rFonts w:eastAsia="Calibri"/>
          <w:i/>
          <w:iCs/>
        </w:rPr>
        <w:t>p</w:t>
      </w:r>
      <w:r w:rsidRPr="00F33FC4">
        <w:rPr>
          <w:rFonts w:eastAsia="Calibri"/>
        </w:rPr>
        <w:t xml:space="preserve"> &lt;0.001) for those harboring the plasmid containing the full-length 5’ UTR of </w:t>
      </w:r>
      <w:proofErr w:type="spellStart"/>
      <w:r w:rsidRPr="00F33FC4">
        <w:rPr>
          <w:rFonts w:eastAsia="Calibri"/>
          <w:i/>
          <w:iCs/>
        </w:rPr>
        <w:t>zorO</w:t>
      </w:r>
      <w:proofErr w:type="spellEnd"/>
      <w:r w:rsidRPr="00F33FC4">
        <w:rPr>
          <w:rFonts w:eastAsia="Calibri"/>
        </w:rPr>
        <w:t xml:space="preserve"> (~20%), as compared to the truncated (</w:t>
      </w:r>
      <w:r w:rsidRPr="00F33FC4">
        <w:rPr>
          <w:rFonts w:eastAsia="Calibri"/>
        </w:rPr>
        <w:sym w:font="Symbol" w:char="F044"/>
      </w:r>
      <w:r w:rsidRPr="00F33FC4">
        <w:rPr>
          <w:rFonts w:eastAsia="Calibri"/>
        </w:rPr>
        <w:t>28-</w:t>
      </w:r>
      <w:r w:rsidRPr="00F33FC4">
        <w:rPr>
          <w:rFonts w:eastAsia="Calibri"/>
          <w:i/>
          <w:iCs/>
        </w:rPr>
        <w:t>zorO</w:t>
      </w:r>
      <w:r w:rsidRPr="00F33FC4">
        <w:rPr>
          <w:rFonts w:eastAsia="Calibri"/>
        </w:rPr>
        <w:t xml:space="preserve">) UTR constructs </w:t>
      </w:r>
      <w:r w:rsidRPr="00F33FC4">
        <w:rPr>
          <w:rFonts w:eastAsia="Calibri"/>
          <w:iCs/>
        </w:rPr>
        <w:t>(~95%)</w:t>
      </w:r>
      <w:r w:rsidRPr="00F33FC4">
        <w:rPr>
          <w:rFonts w:eastAsia="Calibri"/>
          <w:i/>
        </w:rPr>
        <w:t xml:space="preserve"> </w:t>
      </w:r>
      <w:r w:rsidRPr="00F33FC4">
        <w:rPr>
          <w:rFonts w:eastAsia="Calibri"/>
          <w:iCs/>
        </w:rPr>
        <w:t>(Fig. 2.6A)</w:t>
      </w:r>
      <w:r w:rsidRPr="00F33FC4">
        <w:rPr>
          <w:rFonts w:eastAsia="Calibri"/>
        </w:rPr>
        <w:t xml:space="preserve">. When the concentration of arabinose was raised to 3.33 </w:t>
      </w:r>
      <w:r w:rsidRPr="00F33FC4">
        <w:rPr>
          <w:rFonts w:eastAsia="Calibri"/>
        </w:rPr>
        <w:sym w:font="Symbol" w:char="F06D"/>
      </w:r>
      <w:r w:rsidRPr="00F33FC4">
        <w:rPr>
          <w:rFonts w:eastAsia="Calibri"/>
        </w:rPr>
        <w:t xml:space="preserve">M (0.00005%, Fig. 2.6B) or higher (data not shown), the impact on membrane depolarization was similar across all constructs examined with depolarization of most cells (&gt;95%) within 15 min of </w:t>
      </w:r>
      <w:proofErr w:type="spellStart"/>
      <w:r w:rsidRPr="00F33FC4">
        <w:rPr>
          <w:rFonts w:eastAsia="Calibri"/>
        </w:rPr>
        <w:t>ZorO</w:t>
      </w:r>
      <w:proofErr w:type="spellEnd"/>
      <w:r w:rsidRPr="00F33FC4">
        <w:rPr>
          <w:rFonts w:eastAsia="Calibri"/>
        </w:rPr>
        <w:t xml:space="preserve"> overproduction (Fig. 2.6B). It is important to note that despite this severe impact on membrane depolarization when overproduced via the full-length 5’UTR, the translated </w:t>
      </w:r>
      <w:proofErr w:type="spellStart"/>
      <w:r w:rsidRPr="00F33FC4">
        <w:rPr>
          <w:rFonts w:eastAsia="Calibri"/>
        </w:rPr>
        <w:t>ZorO</w:t>
      </w:r>
      <w:proofErr w:type="spellEnd"/>
      <w:r w:rsidRPr="00F33FC4">
        <w:rPr>
          <w:rFonts w:eastAsia="Calibri"/>
        </w:rPr>
        <w:t xml:space="preserve"> protein was below our </w:t>
      </w:r>
    </w:p>
    <w:p w14:paraId="56C0ED26" w14:textId="3AD72716" w:rsidR="00971E1E" w:rsidRDefault="005234AD">
      <w:pPr>
        <w:rPr>
          <w:rFonts w:eastAsia="Calibri"/>
        </w:rPr>
      </w:pPr>
      <w:r w:rsidRPr="00F33FC4">
        <w:rPr>
          <w:rFonts w:eastAsia="Calibri"/>
          <w:noProof/>
        </w:rPr>
        <w:lastRenderedPageBreak/>
        <w:drawing>
          <wp:anchor distT="0" distB="0" distL="114300" distR="114300" simplePos="0" relativeHeight="251754496" behindDoc="0" locked="0" layoutInCell="1" allowOverlap="1" wp14:anchorId="77710019" wp14:editId="055BD5B7">
            <wp:simplePos x="0" y="0"/>
            <wp:positionH relativeFrom="column">
              <wp:posOffset>0</wp:posOffset>
            </wp:positionH>
            <wp:positionV relativeFrom="paragraph">
              <wp:posOffset>484310</wp:posOffset>
            </wp:positionV>
            <wp:extent cx="5943600" cy="1851660"/>
            <wp:effectExtent l="0" t="0" r="0" b="2540"/>
            <wp:wrapTopAndBottom/>
            <wp:docPr id="9" name="Picture 9"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hart&#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1851660"/>
                    </a:xfrm>
                    <a:prstGeom prst="rect">
                      <a:avLst/>
                    </a:prstGeom>
                  </pic:spPr>
                </pic:pic>
              </a:graphicData>
            </a:graphic>
            <wp14:sizeRelH relativeFrom="page">
              <wp14:pctWidth>0</wp14:pctWidth>
            </wp14:sizeRelH>
            <wp14:sizeRelV relativeFrom="page">
              <wp14:pctHeight>0</wp14:pctHeight>
            </wp14:sizeRelV>
          </wp:anchor>
        </w:drawing>
      </w:r>
      <w:r w:rsidRPr="00F33FC4">
        <w:rPr>
          <w:rFonts w:ascii="Calibri" w:eastAsia="Calibri" w:hAnsi="Calibri" w:cs="Mangal"/>
          <w:noProof/>
        </w:rPr>
        <mc:AlternateContent>
          <mc:Choice Requires="wps">
            <w:drawing>
              <wp:anchor distT="0" distB="0" distL="114300" distR="114300" simplePos="0" relativeHeight="251755520" behindDoc="0" locked="0" layoutInCell="1" allowOverlap="1" wp14:anchorId="1D7A50B9" wp14:editId="25185CC9">
                <wp:simplePos x="0" y="0"/>
                <wp:positionH relativeFrom="column">
                  <wp:posOffset>0</wp:posOffset>
                </wp:positionH>
                <wp:positionV relativeFrom="paragraph">
                  <wp:posOffset>2585134</wp:posOffset>
                </wp:positionV>
                <wp:extent cx="5943600" cy="1367790"/>
                <wp:effectExtent l="0" t="0" r="0" b="3810"/>
                <wp:wrapTopAndBottom/>
                <wp:docPr id="10" name="Text Box 10"/>
                <wp:cNvGraphicFramePr/>
                <a:graphic xmlns:a="http://schemas.openxmlformats.org/drawingml/2006/main">
                  <a:graphicData uri="http://schemas.microsoft.com/office/word/2010/wordprocessingShape">
                    <wps:wsp>
                      <wps:cNvSpPr txBox="1"/>
                      <wps:spPr>
                        <a:xfrm>
                          <a:off x="0" y="0"/>
                          <a:ext cx="5943600" cy="1367790"/>
                        </a:xfrm>
                        <a:prstGeom prst="rect">
                          <a:avLst/>
                        </a:prstGeom>
                        <a:solidFill>
                          <a:prstClr val="white"/>
                        </a:solidFill>
                        <a:ln>
                          <a:noFill/>
                        </a:ln>
                      </wps:spPr>
                      <wps:txbx>
                        <w:txbxContent>
                          <w:p w14:paraId="1432FA5F" w14:textId="77777777" w:rsidR="00971E1E" w:rsidRPr="005F3E8F" w:rsidRDefault="00971E1E" w:rsidP="00971E1E">
                            <w:pPr>
                              <w:pStyle w:val="Caption"/>
                              <w:rPr>
                                <w:i/>
                                <w:iCs w:val="0"/>
                                <w:sz w:val="22"/>
                                <w:szCs w:val="22"/>
                              </w:rPr>
                            </w:pPr>
                            <w:r w:rsidRPr="005F3E8F">
                              <w:rPr>
                                <w:iCs w:val="0"/>
                                <w:sz w:val="22"/>
                                <w:szCs w:val="22"/>
                              </w:rPr>
                              <w:t xml:space="preserve">Figure </w:t>
                            </w:r>
                            <w:r>
                              <w:rPr>
                                <w:iCs w:val="0"/>
                                <w:sz w:val="22"/>
                                <w:szCs w:val="22"/>
                              </w:rPr>
                              <w:t xml:space="preserve">2.5. </w:t>
                            </w:r>
                            <w:r w:rsidRPr="005F3E8F">
                              <w:rPr>
                                <w:iCs w:val="0"/>
                                <w:color w:val="000000"/>
                                <w:spacing w:val="-4"/>
                                <w:kern w:val="1"/>
                                <w:sz w:val="22"/>
                                <w:szCs w:val="22"/>
                              </w:rPr>
                              <w:t xml:space="preserve">Truncation and modification of the 5’ UTR of </w:t>
                            </w:r>
                            <w:proofErr w:type="spellStart"/>
                            <w:r w:rsidRPr="005F3E8F">
                              <w:rPr>
                                <w:iCs w:val="0"/>
                                <w:color w:val="000000"/>
                                <w:spacing w:val="-4"/>
                                <w:kern w:val="1"/>
                                <w:sz w:val="22"/>
                                <w:szCs w:val="22"/>
                              </w:rPr>
                              <w:t>ZorO</w:t>
                            </w:r>
                            <w:proofErr w:type="spellEnd"/>
                            <w:r w:rsidRPr="005F3E8F">
                              <w:rPr>
                                <w:iCs w:val="0"/>
                                <w:color w:val="000000"/>
                                <w:spacing w:val="-4"/>
                                <w:kern w:val="1"/>
                                <w:sz w:val="22"/>
                                <w:szCs w:val="22"/>
                              </w:rPr>
                              <w:t xml:space="preserve"> results in cellular toxicity similar to that induced by Δ28-</w:t>
                            </w:r>
                            <w:r w:rsidRPr="00B86E0D">
                              <w:rPr>
                                <w:i/>
                                <w:iCs w:val="0"/>
                                <w:color w:val="000000"/>
                                <w:spacing w:val="-4"/>
                                <w:kern w:val="1"/>
                                <w:sz w:val="22"/>
                                <w:szCs w:val="22"/>
                              </w:rPr>
                              <w:t>zorO</w:t>
                            </w:r>
                            <w:r w:rsidRPr="005F3E8F">
                              <w:rPr>
                                <w:iCs w:val="0"/>
                                <w:color w:val="000000"/>
                                <w:spacing w:val="-4"/>
                                <w:kern w:val="1"/>
                                <w:sz w:val="22"/>
                                <w:szCs w:val="22"/>
                              </w:rPr>
                              <w:t>.  P</w:t>
                            </w:r>
                            <w:r w:rsidRPr="005F3E8F">
                              <w:rPr>
                                <w:iCs w:val="0"/>
                                <w:color w:val="000000"/>
                                <w:spacing w:val="-4"/>
                                <w:kern w:val="1"/>
                                <w:sz w:val="22"/>
                                <w:szCs w:val="22"/>
                                <w:vertAlign w:val="subscript"/>
                              </w:rPr>
                              <w:t>BAD</w:t>
                            </w:r>
                            <w:r w:rsidRPr="005F3E8F">
                              <w:rPr>
                                <w:iCs w:val="0"/>
                                <w:color w:val="000000"/>
                                <w:spacing w:val="-4"/>
                                <w:kern w:val="1"/>
                                <w:sz w:val="22"/>
                                <w:szCs w:val="22"/>
                              </w:rPr>
                              <w:t>-No-UTR-</w:t>
                            </w:r>
                            <w:proofErr w:type="spellStart"/>
                            <w:r w:rsidRPr="00B86E0D">
                              <w:rPr>
                                <w:i/>
                                <w:iCs w:val="0"/>
                                <w:color w:val="000000"/>
                                <w:spacing w:val="-4"/>
                                <w:kern w:val="1"/>
                                <w:sz w:val="22"/>
                                <w:szCs w:val="22"/>
                              </w:rPr>
                              <w:t>zorO</w:t>
                            </w:r>
                            <w:proofErr w:type="spellEnd"/>
                            <w:r w:rsidRPr="005F3E8F">
                              <w:rPr>
                                <w:color w:val="000000"/>
                                <w:spacing w:val="-4"/>
                                <w:kern w:val="1"/>
                                <w:sz w:val="22"/>
                                <w:szCs w:val="22"/>
                              </w:rPr>
                              <w:t xml:space="preserve"> </w:t>
                            </w:r>
                            <w:r w:rsidRPr="005F3E8F">
                              <w:rPr>
                                <w:iCs w:val="0"/>
                                <w:color w:val="000000"/>
                                <w:spacing w:val="-4"/>
                                <w:kern w:val="1"/>
                                <w:sz w:val="22"/>
                                <w:szCs w:val="22"/>
                              </w:rPr>
                              <w:t>construct (A). The long 5’UTR was removed leaving 22 nucleotides and mutated sequence predicted to form stem loop (italicized and underlined) with RBS (underlined). Effects of No-UTR-</w:t>
                            </w:r>
                            <w:proofErr w:type="spellStart"/>
                            <w:r w:rsidRPr="00B86E0D">
                              <w:rPr>
                                <w:i/>
                                <w:iCs w:val="0"/>
                                <w:color w:val="000000"/>
                                <w:spacing w:val="-4"/>
                                <w:kern w:val="1"/>
                                <w:sz w:val="22"/>
                                <w:szCs w:val="22"/>
                              </w:rPr>
                              <w:t>zorO</w:t>
                            </w:r>
                            <w:proofErr w:type="spellEnd"/>
                            <w:r w:rsidRPr="005F3E8F">
                              <w:rPr>
                                <w:iCs w:val="0"/>
                                <w:color w:val="000000"/>
                                <w:spacing w:val="-4"/>
                                <w:kern w:val="1"/>
                                <w:sz w:val="22"/>
                                <w:szCs w:val="22"/>
                              </w:rPr>
                              <w:t xml:space="preserve"> as compared to the Δ28-</w:t>
                            </w:r>
                            <w:r w:rsidRPr="00B86E0D">
                              <w:rPr>
                                <w:i/>
                                <w:iCs w:val="0"/>
                                <w:color w:val="000000"/>
                                <w:spacing w:val="-4"/>
                                <w:kern w:val="1"/>
                                <w:sz w:val="22"/>
                                <w:szCs w:val="22"/>
                              </w:rPr>
                              <w:t>zorO</w:t>
                            </w:r>
                            <w:r w:rsidRPr="005F3E8F">
                              <w:rPr>
                                <w:iCs w:val="0"/>
                                <w:color w:val="000000"/>
                                <w:spacing w:val="-4"/>
                                <w:kern w:val="1"/>
                                <w:sz w:val="22"/>
                                <w:szCs w:val="22"/>
                              </w:rPr>
                              <w:t xml:space="preserve"> on growth of </w:t>
                            </w:r>
                            <w:r w:rsidRPr="00B86E0D">
                              <w:rPr>
                                <w:i/>
                                <w:iCs w:val="0"/>
                                <w:color w:val="000000"/>
                                <w:spacing w:val="-4"/>
                                <w:kern w:val="1"/>
                                <w:sz w:val="22"/>
                                <w:szCs w:val="22"/>
                              </w:rPr>
                              <w:t>E. coli</w:t>
                            </w:r>
                            <w:r w:rsidRPr="005F3E8F">
                              <w:rPr>
                                <w:iCs w:val="0"/>
                                <w:color w:val="000000"/>
                                <w:spacing w:val="-4"/>
                                <w:kern w:val="1"/>
                                <w:sz w:val="22"/>
                                <w:szCs w:val="22"/>
                              </w:rPr>
                              <w:t xml:space="preserve"> UTK 007 strains when induced with 1.33 </w:t>
                            </w:r>
                            <w:proofErr w:type="spellStart"/>
                            <w:r w:rsidRPr="005F3E8F">
                              <w:rPr>
                                <w:iCs w:val="0"/>
                                <w:color w:val="000000"/>
                                <w:spacing w:val="-4"/>
                                <w:kern w:val="1"/>
                                <w:sz w:val="22"/>
                                <w:szCs w:val="22"/>
                              </w:rPr>
                              <w:t>μM</w:t>
                            </w:r>
                            <w:proofErr w:type="spellEnd"/>
                            <w:r w:rsidRPr="005F3E8F">
                              <w:rPr>
                                <w:iCs w:val="0"/>
                                <w:color w:val="000000"/>
                                <w:spacing w:val="-4"/>
                                <w:kern w:val="1"/>
                                <w:sz w:val="22"/>
                                <w:szCs w:val="22"/>
                              </w:rPr>
                              <w:t xml:space="preserve"> arabinose (B), </w:t>
                            </w:r>
                            <w:r w:rsidRPr="00275960">
                              <w:rPr>
                                <w:color w:val="000000"/>
                                <w:spacing w:val="-4"/>
                                <w:kern w:val="1"/>
                                <w:sz w:val="22"/>
                                <w:szCs w:val="22"/>
                              </w:rPr>
                              <w:t>n</w:t>
                            </w:r>
                            <w:r>
                              <w:rPr>
                                <w:color w:val="000000"/>
                                <w:spacing w:val="-4"/>
                                <w:kern w:val="1"/>
                                <w:sz w:val="22"/>
                                <w:szCs w:val="22"/>
                              </w:rPr>
                              <w:t xml:space="preserve"> </w:t>
                            </w:r>
                            <w:r w:rsidRPr="00275960">
                              <w:rPr>
                                <w:color w:val="000000"/>
                                <w:spacing w:val="-4"/>
                                <w:kern w:val="1"/>
                                <w:sz w:val="22"/>
                                <w:szCs w:val="22"/>
                              </w:rPr>
                              <w:t>=</w:t>
                            </w:r>
                            <w:r>
                              <w:rPr>
                                <w:color w:val="000000"/>
                                <w:spacing w:val="-4"/>
                                <w:kern w:val="1"/>
                                <w:sz w:val="22"/>
                                <w:szCs w:val="22"/>
                              </w:rPr>
                              <w:t xml:space="preserve"> </w:t>
                            </w:r>
                            <w:r w:rsidRPr="00275960">
                              <w:rPr>
                                <w:color w:val="000000"/>
                                <w:spacing w:val="-4"/>
                                <w:kern w:val="1"/>
                                <w:sz w:val="22"/>
                                <w:szCs w:val="22"/>
                              </w:rPr>
                              <w:t>3</w:t>
                            </w:r>
                            <w:r w:rsidRPr="005F3E8F">
                              <w:rPr>
                                <w:iCs w:val="0"/>
                                <w:color w:val="000000"/>
                                <w:spacing w:val="-4"/>
                                <w:kern w:val="1"/>
                                <w:sz w:val="22"/>
                                <w:szCs w:val="22"/>
                              </w:rPr>
                              <w:t>, shown are mean ± SD.</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D7A50B9" id="Text Box 10" o:spid="_x0000_s1031" type="#_x0000_t202" style="position:absolute;margin-left:0;margin-top:203.55pt;width:468pt;height:107.7pt;z-index:2517555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" stroked="f">
                <v:textbox inset="0,0,0,0">
                  <w:txbxContent>
                    <w:p w14:paraId="1432FA5F" w14:textId="77777777" w:rsidR="00971E1E" w:rsidRPr="005F3E8F" w:rsidRDefault="00971E1E" w:rsidP="00971E1E">
                      <w:pPr>
                        <w:pStyle w:val="Caption"/>
                        <w:rPr>
                          <w:i/>
                          <w:iCs w:val="0"/>
                          <w:sz w:val="22"/>
                          <w:szCs w:val="22"/>
                        </w:rPr>
                      </w:pPr>
                      <w:r w:rsidRPr="005F3E8F">
                        <w:rPr>
                          <w:iCs w:val="0"/>
                          <w:sz w:val="22"/>
                          <w:szCs w:val="22"/>
                        </w:rPr>
                        <w:t xml:space="preserve">Figure </w:t>
                      </w:r>
                      <w:r>
                        <w:rPr>
                          <w:iCs w:val="0"/>
                          <w:sz w:val="22"/>
                          <w:szCs w:val="22"/>
                        </w:rPr>
                        <w:t xml:space="preserve">2.5. </w:t>
                      </w:r>
                      <w:r w:rsidRPr="005F3E8F">
                        <w:rPr>
                          <w:iCs w:val="0"/>
                          <w:color w:val="000000"/>
                          <w:spacing w:val="-4"/>
                          <w:kern w:val="1"/>
                          <w:sz w:val="22"/>
                          <w:szCs w:val="22"/>
                        </w:rPr>
                        <w:t xml:space="preserve">Truncation and modification of the 5’ UTR of </w:t>
                      </w:r>
                      <w:proofErr w:type="spellStart"/>
                      <w:r w:rsidRPr="005F3E8F">
                        <w:rPr>
                          <w:iCs w:val="0"/>
                          <w:color w:val="000000"/>
                          <w:spacing w:val="-4"/>
                          <w:kern w:val="1"/>
                          <w:sz w:val="22"/>
                          <w:szCs w:val="22"/>
                        </w:rPr>
                        <w:t>ZorO</w:t>
                      </w:r>
                      <w:proofErr w:type="spellEnd"/>
                      <w:r w:rsidRPr="005F3E8F">
                        <w:rPr>
                          <w:iCs w:val="0"/>
                          <w:color w:val="000000"/>
                          <w:spacing w:val="-4"/>
                          <w:kern w:val="1"/>
                          <w:sz w:val="22"/>
                          <w:szCs w:val="22"/>
                        </w:rPr>
                        <w:t xml:space="preserve"> results in cellular toxicity </w:t>
                      </w:r>
                      <w:proofErr w:type="gramStart"/>
                      <w:r w:rsidRPr="005F3E8F">
                        <w:rPr>
                          <w:iCs w:val="0"/>
                          <w:color w:val="000000"/>
                          <w:spacing w:val="-4"/>
                          <w:kern w:val="1"/>
                          <w:sz w:val="22"/>
                          <w:szCs w:val="22"/>
                        </w:rPr>
                        <w:t>similar to</w:t>
                      </w:r>
                      <w:proofErr w:type="gramEnd"/>
                      <w:r w:rsidRPr="005F3E8F">
                        <w:rPr>
                          <w:iCs w:val="0"/>
                          <w:color w:val="000000"/>
                          <w:spacing w:val="-4"/>
                          <w:kern w:val="1"/>
                          <w:sz w:val="22"/>
                          <w:szCs w:val="22"/>
                        </w:rPr>
                        <w:t xml:space="preserve"> that induced by Δ28-</w:t>
                      </w:r>
                      <w:r w:rsidRPr="00B86E0D">
                        <w:rPr>
                          <w:i/>
                          <w:iCs w:val="0"/>
                          <w:color w:val="000000"/>
                          <w:spacing w:val="-4"/>
                          <w:kern w:val="1"/>
                          <w:sz w:val="22"/>
                          <w:szCs w:val="22"/>
                        </w:rPr>
                        <w:t>zorO</w:t>
                      </w:r>
                      <w:r w:rsidRPr="005F3E8F">
                        <w:rPr>
                          <w:iCs w:val="0"/>
                          <w:color w:val="000000"/>
                          <w:spacing w:val="-4"/>
                          <w:kern w:val="1"/>
                          <w:sz w:val="22"/>
                          <w:szCs w:val="22"/>
                        </w:rPr>
                        <w:t>.  P</w:t>
                      </w:r>
                      <w:r w:rsidRPr="005F3E8F">
                        <w:rPr>
                          <w:iCs w:val="0"/>
                          <w:color w:val="000000"/>
                          <w:spacing w:val="-4"/>
                          <w:kern w:val="1"/>
                          <w:sz w:val="22"/>
                          <w:szCs w:val="22"/>
                          <w:vertAlign w:val="subscript"/>
                        </w:rPr>
                        <w:t>BAD</w:t>
                      </w:r>
                      <w:r w:rsidRPr="005F3E8F">
                        <w:rPr>
                          <w:iCs w:val="0"/>
                          <w:color w:val="000000"/>
                          <w:spacing w:val="-4"/>
                          <w:kern w:val="1"/>
                          <w:sz w:val="22"/>
                          <w:szCs w:val="22"/>
                        </w:rPr>
                        <w:t>-No-UTR-</w:t>
                      </w:r>
                      <w:proofErr w:type="spellStart"/>
                      <w:r w:rsidRPr="00B86E0D">
                        <w:rPr>
                          <w:i/>
                          <w:iCs w:val="0"/>
                          <w:color w:val="000000"/>
                          <w:spacing w:val="-4"/>
                          <w:kern w:val="1"/>
                          <w:sz w:val="22"/>
                          <w:szCs w:val="22"/>
                        </w:rPr>
                        <w:t>zorO</w:t>
                      </w:r>
                      <w:proofErr w:type="spellEnd"/>
                      <w:r w:rsidRPr="005F3E8F">
                        <w:rPr>
                          <w:color w:val="000000"/>
                          <w:spacing w:val="-4"/>
                          <w:kern w:val="1"/>
                          <w:sz w:val="22"/>
                          <w:szCs w:val="22"/>
                        </w:rPr>
                        <w:t xml:space="preserve"> </w:t>
                      </w:r>
                      <w:r w:rsidRPr="005F3E8F">
                        <w:rPr>
                          <w:iCs w:val="0"/>
                          <w:color w:val="000000"/>
                          <w:spacing w:val="-4"/>
                          <w:kern w:val="1"/>
                          <w:sz w:val="22"/>
                          <w:szCs w:val="22"/>
                        </w:rPr>
                        <w:t>construct (A). The long 5’UTR was removed leaving 22 nucleotides and mutated sequence predicted to form stem loop (italicized and underlined) with RBS (underlined). Effects of No-UTR-</w:t>
                      </w:r>
                      <w:proofErr w:type="spellStart"/>
                      <w:r w:rsidRPr="00B86E0D">
                        <w:rPr>
                          <w:i/>
                          <w:iCs w:val="0"/>
                          <w:color w:val="000000"/>
                          <w:spacing w:val="-4"/>
                          <w:kern w:val="1"/>
                          <w:sz w:val="22"/>
                          <w:szCs w:val="22"/>
                        </w:rPr>
                        <w:t>zorO</w:t>
                      </w:r>
                      <w:proofErr w:type="spellEnd"/>
                      <w:r w:rsidRPr="005F3E8F">
                        <w:rPr>
                          <w:iCs w:val="0"/>
                          <w:color w:val="000000"/>
                          <w:spacing w:val="-4"/>
                          <w:kern w:val="1"/>
                          <w:sz w:val="22"/>
                          <w:szCs w:val="22"/>
                        </w:rPr>
                        <w:t xml:space="preserve"> as compared to the Δ28-</w:t>
                      </w:r>
                      <w:r w:rsidRPr="00B86E0D">
                        <w:rPr>
                          <w:i/>
                          <w:iCs w:val="0"/>
                          <w:color w:val="000000"/>
                          <w:spacing w:val="-4"/>
                          <w:kern w:val="1"/>
                          <w:sz w:val="22"/>
                          <w:szCs w:val="22"/>
                        </w:rPr>
                        <w:t>zorO</w:t>
                      </w:r>
                      <w:r w:rsidRPr="005F3E8F">
                        <w:rPr>
                          <w:iCs w:val="0"/>
                          <w:color w:val="000000"/>
                          <w:spacing w:val="-4"/>
                          <w:kern w:val="1"/>
                          <w:sz w:val="22"/>
                          <w:szCs w:val="22"/>
                        </w:rPr>
                        <w:t xml:space="preserve"> on growth of </w:t>
                      </w:r>
                      <w:r w:rsidRPr="00B86E0D">
                        <w:rPr>
                          <w:i/>
                          <w:iCs w:val="0"/>
                          <w:color w:val="000000"/>
                          <w:spacing w:val="-4"/>
                          <w:kern w:val="1"/>
                          <w:sz w:val="22"/>
                          <w:szCs w:val="22"/>
                        </w:rPr>
                        <w:t>E. coli</w:t>
                      </w:r>
                      <w:r w:rsidRPr="005F3E8F">
                        <w:rPr>
                          <w:iCs w:val="0"/>
                          <w:color w:val="000000"/>
                          <w:spacing w:val="-4"/>
                          <w:kern w:val="1"/>
                          <w:sz w:val="22"/>
                          <w:szCs w:val="22"/>
                        </w:rPr>
                        <w:t xml:space="preserve"> UTK 007 strains when induced with 1.33 </w:t>
                      </w:r>
                      <w:proofErr w:type="spellStart"/>
                      <w:r w:rsidRPr="005F3E8F">
                        <w:rPr>
                          <w:iCs w:val="0"/>
                          <w:color w:val="000000"/>
                          <w:spacing w:val="-4"/>
                          <w:kern w:val="1"/>
                          <w:sz w:val="22"/>
                          <w:szCs w:val="22"/>
                        </w:rPr>
                        <w:t>μM</w:t>
                      </w:r>
                      <w:proofErr w:type="spellEnd"/>
                      <w:r w:rsidRPr="005F3E8F">
                        <w:rPr>
                          <w:iCs w:val="0"/>
                          <w:color w:val="000000"/>
                          <w:spacing w:val="-4"/>
                          <w:kern w:val="1"/>
                          <w:sz w:val="22"/>
                          <w:szCs w:val="22"/>
                        </w:rPr>
                        <w:t xml:space="preserve"> arabinose (B), </w:t>
                      </w:r>
                      <w:r w:rsidRPr="00275960">
                        <w:rPr>
                          <w:color w:val="000000"/>
                          <w:spacing w:val="-4"/>
                          <w:kern w:val="1"/>
                          <w:sz w:val="22"/>
                          <w:szCs w:val="22"/>
                        </w:rPr>
                        <w:t>n</w:t>
                      </w:r>
                      <w:r>
                        <w:rPr>
                          <w:color w:val="000000"/>
                          <w:spacing w:val="-4"/>
                          <w:kern w:val="1"/>
                          <w:sz w:val="22"/>
                          <w:szCs w:val="22"/>
                        </w:rPr>
                        <w:t xml:space="preserve"> </w:t>
                      </w:r>
                      <w:r w:rsidRPr="00275960">
                        <w:rPr>
                          <w:color w:val="000000"/>
                          <w:spacing w:val="-4"/>
                          <w:kern w:val="1"/>
                          <w:sz w:val="22"/>
                          <w:szCs w:val="22"/>
                        </w:rPr>
                        <w:t>=</w:t>
                      </w:r>
                      <w:r>
                        <w:rPr>
                          <w:color w:val="000000"/>
                          <w:spacing w:val="-4"/>
                          <w:kern w:val="1"/>
                          <w:sz w:val="22"/>
                          <w:szCs w:val="22"/>
                        </w:rPr>
                        <w:t xml:space="preserve"> </w:t>
                      </w:r>
                      <w:r w:rsidRPr="00275960">
                        <w:rPr>
                          <w:color w:val="000000"/>
                          <w:spacing w:val="-4"/>
                          <w:kern w:val="1"/>
                          <w:sz w:val="22"/>
                          <w:szCs w:val="22"/>
                        </w:rPr>
                        <w:t>3</w:t>
                      </w:r>
                      <w:r w:rsidRPr="005F3E8F">
                        <w:rPr>
                          <w:iCs w:val="0"/>
                          <w:color w:val="000000"/>
                          <w:spacing w:val="-4"/>
                          <w:kern w:val="1"/>
                          <w:sz w:val="22"/>
                          <w:szCs w:val="22"/>
                        </w:rPr>
                        <w:t>, shown are mean ± SD.</w:t>
                      </w:r>
                    </w:p>
                  </w:txbxContent>
                </v:textbox>
                <w10:wrap type="topAndBottom"/>
              </v:shape>
            </w:pict>
          </mc:Fallback>
        </mc:AlternateContent>
      </w:r>
      <w:r w:rsidR="00971E1E">
        <w:rPr>
          <w:rFonts w:eastAsia="Calibri"/>
        </w:rPr>
        <w:br w:type="page"/>
      </w:r>
    </w:p>
    <w:p w14:paraId="3B657C97" w14:textId="6BB7839F" w:rsidR="00971E1E" w:rsidRDefault="00194719">
      <w:pPr>
        <w:rPr>
          <w:rFonts w:eastAsia="Calibri"/>
        </w:rPr>
      </w:pPr>
      <w:r w:rsidRPr="00F33FC4">
        <w:rPr>
          <w:rFonts w:ascii="Calibri" w:eastAsia="Calibri" w:hAnsi="Calibri" w:cs="Mangal"/>
          <w:noProof/>
        </w:rPr>
        <w:lastRenderedPageBreak/>
        <mc:AlternateContent>
          <mc:Choice Requires="wps">
            <w:drawing>
              <wp:anchor distT="0" distB="0" distL="114300" distR="114300" simplePos="0" relativeHeight="251758592" behindDoc="0" locked="0" layoutInCell="1" allowOverlap="1" wp14:anchorId="326A0771" wp14:editId="476290F5">
                <wp:simplePos x="0" y="0"/>
                <wp:positionH relativeFrom="column">
                  <wp:posOffset>0</wp:posOffset>
                </wp:positionH>
                <wp:positionV relativeFrom="paragraph">
                  <wp:posOffset>4512530</wp:posOffset>
                </wp:positionV>
                <wp:extent cx="5943600" cy="635"/>
                <wp:effectExtent l="0" t="0" r="0" b="12065"/>
                <wp:wrapTopAndBottom/>
                <wp:docPr id="50" name="Text Box 50"/>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0C07F94A" w14:textId="77777777" w:rsidR="00971E1E" w:rsidRPr="005F3E8F" w:rsidRDefault="00971E1E" w:rsidP="00194719">
                            <w:pPr>
                              <w:spacing w:line="360" w:lineRule="auto"/>
                              <w:rPr>
                                <w:color w:val="000000"/>
                                <w:spacing w:val="-4"/>
                                <w:kern w:val="1"/>
                                <w:sz w:val="22"/>
                                <w:szCs w:val="22"/>
                              </w:rPr>
                            </w:pPr>
                            <w:r w:rsidRPr="00F33FC4">
                              <w:rPr>
                                <w:color w:val="000000"/>
                                <w:sz w:val="22"/>
                                <w:szCs w:val="22"/>
                              </w:rPr>
                              <w:t>Figure 2.6</w:t>
                            </w:r>
                            <w:r w:rsidRPr="00F33FC4">
                              <w:rPr>
                                <w:i/>
                                <w:iCs/>
                                <w:color w:val="000000"/>
                                <w:sz w:val="22"/>
                                <w:szCs w:val="22"/>
                              </w:rPr>
                              <w:t xml:space="preserve">. </w:t>
                            </w:r>
                            <w:proofErr w:type="spellStart"/>
                            <w:r w:rsidRPr="005F3E8F">
                              <w:rPr>
                                <w:color w:val="000000"/>
                                <w:spacing w:val="-4"/>
                                <w:kern w:val="1"/>
                                <w:sz w:val="22"/>
                                <w:szCs w:val="22"/>
                              </w:rPr>
                              <w:t>ZorO</w:t>
                            </w:r>
                            <w:proofErr w:type="spellEnd"/>
                            <w:r w:rsidRPr="005F3E8F">
                              <w:rPr>
                                <w:color w:val="000000"/>
                                <w:spacing w:val="-4"/>
                                <w:kern w:val="1"/>
                                <w:sz w:val="22"/>
                                <w:szCs w:val="22"/>
                              </w:rPr>
                              <w:t xml:space="preserve"> overproduction leads to membrane depolarization and ATP depletion. Cells overproducing </w:t>
                            </w:r>
                            <w:proofErr w:type="spellStart"/>
                            <w:r w:rsidRPr="005F3E8F">
                              <w:rPr>
                                <w:color w:val="000000"/>
                                <w:spacing w:val="-4"/>
                                <w:kern w:val="1"/>
                                <w:sz w:val="22"/>
                                <w:szCs w:val="22"/>
                              </w:rPr>
                              <w:t>ZorO</w:t>
                            </w:r>
                            <w:proofErr w:type="spellEnd"/>
                            <w:r w:rsidRPr="005F3E8F">
                              <w:rPr>
                                <w:color w:val="000000"/>
                                <w:spacing w:val="-4"/>
                                <w:kern w:val="1"/>
                                <w:sz w:val="22"/>
                                <w:szCs w:val="22"/>
                              </w:rPr>
                              <w:t xml:space="preserve"> under the control of the two 5’ UTR variants; 15 and 30 min post-induction were analyzed via flow-cytometry after staining with DiBAC</w:t>
                            </w:r>
                            <w:r w:rsidRPr="005F3E8F">
                              <w:rPr>
                                <w:color w:val="000000"/>
                                <w:spacing w:val="-4"/>
                                <w:kern w:val="1"/>
                                <w:sz w:val="22"/>
                                <w:szCs w:val="22"/>
                                <w:vertAlign w:val="subscript"/>
                              </w:rPr>
                              <w:t>4</w:t>
                            </w:r>
                            <w:r w:rsidRPr="005F3E8F">
                              <w:rPr>
                                <w:color w:val="000000"/>
                                <w:spacing w:val="-4"/>
                                <w:kern w:val="1"/>
                                <w:sz w:val="22"/>
                                <w:szCs w:val="22"/>
                              </w:rPr>
                              <w:t xml:space="preserve">-3. Bar graphs quantifying percent of depolarized cells with 1.33 </w:t>
                            </w:r>
                            <w:proofErr w:type="spellStart"/>
                            <w:r w:rsidRPr="005F3E8F">
                              <w:rPr>
                                <w:color w:val="000000"/>
                                <w:spacing w:val="-4"/>
                                <w:kern w:val="1"/>
                                <w:sz w:val="22"/>
                                <w:szCs w:val="22"/>
                              </w:rPr>
                              <w:t>μM</w:t>
                            </w:r>
                            <w:proofErr w:type="spellEnd"/>
                            <w:r w:rsidRPr="005F3E8F">
                              <w:rPr>
                                <w:color w:val="000000"/>
                                <w:spacing w:val="-4"/>
                                <w:kern w:val="1"/>
                                <w:sz w:val="22"/>
                                <w:szCs w:val="22"/>
                              </w:rPr>
                              <w:t xml:space="preserve"> (A) and 3.33 </w:t>
                            </w:r>
                            <w:proofErr w:type="spellStart"/>
                            <w:r w:rsidRPr="005F3E8F">
                              <w:rPr>
                                <w:color w:val="000000"/>
                                <w:spacing w:val="-4"/>
                                <w:kern w:val="1"/>
                                <w:sz w:val="22"/>
                                <w:szCs w:val="22"/>
                              </w:rPr>
                              <w:t>μM</w:t>
                            </w:r>
                            <w:proofErr w:type="spellEnd"/>
                            <w:r w:rsidRPr="005F3E8F">
                              <w:rPr>
                                <w:color w:val="000000"/>
                                <w:spacing w:val="-4"/>
                                <w:kern w:val="1"/>
                                <w:sz w:val="22"/>
                                <w:szCs w:val="22"/>
                              </w:rPr>
                              <w:t xml:space="preserve"> (B) arabinose concentration (</w:t>
                            </w:r>
                            <w:r w:rsidRPr="005F3E8F">
                              <w:rPr>
                                <w:i/>
                                <w:iCs/>
                                <w:color w:val="000000"/>
                                <w:spacing w:val="-4"/>
                                <w:kern w:val="1"/>
                                <w:sz w:val="22"/>
                                <w:szCs w:val="22"/>
                              </w:rPr>
                              <w:t>n</w:t>
                            </w:r>
                            <w:r w:rsidRPr="005F3E8F">
                              <w:rPr>
                                <w:color w:val="000000"/>
                                <w:spacing w:val="-4"/>
                                <w:kern w:val="1"/>
                                <w:sz w:val="22"/>
                                <w:szCs w:val="22"/>
                              </w:rPr>
                              <w:t xml:space="preserve"> </w:t>
                            </w:r>
                            <w:r w:rsidRPr="005F3E8F">
                              <w:rPr>
                                <w:color w:val="000000"/>
                                <w:spacing w:val="-4"/>
                                <w:kern w:val="1"/>
                                <w:sz w:val="22"/>
                                <w:szCs w:val="22"/>
                              </w:rPr>
                              <w:sym w:font="Symbol" w:char="F0B3"/>
                            </w:r>
                            <w:r w:rsidRPr="005F3E8F">
                              <w:rPr>
                                <w:color w:val="000000"/>
                                <w:spacing w:val="-4"/>
                                <w:kern w:val="1"/>
                                <w:sz w:val="22"/>
                                <w:szCs w:val="22"/>
                              </w:rPr>
                              <w:t xml:space="preserve"> 5). Relative ATP levels after </w:t>
                            </w:r>
                            <w:proofErr w:type="spellStart"/>
                            <w:r w:rsidRPr="005F3E8F">
                              <w:rPr>
                                <w:color w:val="000000"/>
                                <w:spacing w:val="-4"/>
                                <w:kern w:val="1"/>
                                <w:sz w:val="22"/>
                                <w:szCs w:val="22"/>
                              </w:rPr>
                              <w:t>ZorO</w:t>
                            </w:r>
                            <w:proofErr w:type="spellEnd"/>
                            <w:r w:rsidRPr="005F3E8F">
                              <w:rPr>
                                <w:color w:val="000000"/>
                                <w:spacing w:val="-4"/>
                                <w:kern w:val="1"/>
                                <w:sz w:val="22"/>
                                <w:szCs w:val="22"/>
                              </w:rPr>
                              <w:t xml:space="preserve"> overexpression from respective 5’UTRs and arabinose induction after 15 min (C) and 30 min (D) (</w:t>
                            </w:r>
                            <w:r w:rsidRPr="005F3E8F">
                              <w:rPr>
                                <w:i/>
                                <w:iCs/>
                                <w:color w:val="000000"/>
                                <w:spacing w:val="-4"/>
                                <w:kern w:val="1"/>
                                <w:sz w:val="22"/>
                                <w:szCs w:val="22"/>
                              </w:rPr>
                              <w:t>n</w:t>
                            </w:r>
                            <w:r>
                              <w:rPr>
                                <w:i/>
                                <w:iCs/>
                                <w:color w:val="000000"/>
                                <w:spacing w:val="-4"/>
                                <w:kern w:val="1"/>
                                <w:sz w:val="22"/>
                                <w:szCs w:val="22"/>
                              </w:rPr>
                              <w:t xml:space="preserve"> </w:t>
                            </w:r>
                            <w:r w:rsidRPr="005F3E8F">
                              <w:rPr>
                                <w:color w:val="000000"/>
                                <w:spacing w:val="-4"/>
                                <w:kern w:val="1"/>
                                <w:sz w:val="22"/>
                                <w:szCs w:val="22"/>
                              </w:rPr>
                              <w:t>=</w:t>
                            </w:r>
                            <w:r>
                              <w:rPr>
                                <w:color w:val="000000"/>
                                <w:spacing w:val="-4"/>
                                <w:kern w:val="1"/>
                                <w:sz w:val="22"/>
                                <w:szCs w:val="22"/>
                              </w:rPr>
                              <w:t xml:space="preserve"> </w:t>
                            </w:r>
                            <w:r w:rsidRPr="005F3E8F">
                              <w:rPr>
                                <w:color w:val="000000"/>
                                <w:spacing w:val="-4"/>
                                <w:kern w:val="1"/>
                                <w:sz w:val="22"/>
                                <w:szCs w:val="22"/>
                              </w:rPr>
                              <w:t xml:space="preserve">3). For all panels shown are mean </w:t>
                            </w:r>
                            <w:r w:rsidRPr="005F3E8F">
                              <w:rPr>
                                <w:color w:val="000000"/>
                                <w:spacing w:val="-4"/>
                                <w:kern w:val="1"/>
                                <w:sz w:val="22"/>
                                <w:szCs w:val="22"/>
                              </w:rPr>
                              <w:sym w:font="Symbol" w:char="F0B1"/>
                            </w:r>
                            <w:r w:rsidRPr="005F3E8F">
                              <w:rPr>
                                <w:color w:val="000000"/>
                                <w:spacing w:val="-4"/>
                                <w:kern w:val="1"/>
                                <w:sz w:val="22"/>
                                <w:szCs w:val="22"/>
                              </w:rPr>
                              <w:t xml:space="preserve"> SD. The </w:t>
                            </w:r>
                            <w:r w:rsidRPr="005F3E8F">
                              <w:rPr>
                                <w:i/>
                                <w:iCs/>
                                <w:color w:val="000000"/>
                                <w:spacing w:val="-4"/>
                                <w:kern w:val="1"/>
                                <w:sz w:val="22"/>
                                <w:szCs w:val="22"/>
                              </w:rPr>
                              <w:t>p</w:t>
                            </w:r>
                            <w:r w:rsidRPr="005F3E8F">
                              <w:rPr>
                                <w:color w:val="000000"/>
                                <w:spacing w:val="-4"/>
                                <w:kern w:val="1"/>
                                <w:sz w:val="22"/>
                                <w:szCs w:val="22"/>
                              </w:rPr>
                              <w:t xml:space="preserve"> values were calculated using a multiple unpaired </w:t>
                            </w:r>
                            <w:r w:rsidRPr="005F3E8F">
                              <w:rPr>
                                <w:i/>
                                <w:iCs/>
                                <w:color w:val="000000"/>
                                <w:spacing w:val="-4"/>
                                <w:kern w:val="1"/>
                                <w:sz w:val="22"/>
                                <w:szCs w:val="22"/>
                              </w:rPr>
                              <w:t>t</w:t>
                            </w:r>
                            <w:r w:rsidRPr="005F3E8F">
                              <w:rPr>
                                <w:color w:val="000000"/>
                                <w:spacing w:val="-4"/>
                                <w:kern w:val="1"/>
                                <w:sz w:val="22"/>
                                <w:szCs w:val="22"/>
                              </w:rPr>
                              <w:t xml:space="preserve"> test with Welch correction (ns, not significant, *, </w:t>
                            </w:r>
                            <w:r w:rsidRPr="005F3E8F">
                              <w:rPr>
                                <w:i/>
                                <w:iCs/>
                                <w:color w:val="000000"/>
                                <w:spacing w:val="-4"/>
                                <w:kern w:val="1"/>
                                <w:sz w:val="22"/>
                                <w:szCs w:val="22"/>
                              </w:rPr>
                              <w:t xml:space="preserve">p </w:t>
                            </w:r>
                            <w:r w:rsidRPr="005F3E8F">
                              <w:rPr>
                                <w:color w:val="000000"/>
                                <w:spacing w:val="-4"/>
                                <w:kern w:val="1"/>
                                <w:sz w:val="22"/>
                                <w:szCs w:val="22"/>
                              </w:rPr>
                              <w:t xml:space="preserve">&lt; 0.05, **, </w:t>
                            </w:r>
                            <w:r w:rsidRPr="005F3E8F">
                              <w:rPr>
                                <w:i/>
                                <w:iCs/>
                                <w:color w:val="000000"/>
                                <w:spacing w:val="-4"/>
                                <w:kern w:val="1"/>
                                <w:sz w:val="22"/>
                                <w:szCs w:val="22"/>
                              </w:rPr>
                              <w:t xml:space="preserve">p </w:t>
                            </w:r>
                            <w:r w:rsidRPr="005F3E8F">
                              <w:rPr>
                                <w:color w:val="000000"/>
                                <w:spacing w:val="-4"/>
                                <w:kern w:val="1"/>
                                <w:sz w:val="22"/>
                                <w:szCs w:val="22"/>
                              </w:rPr>
                              <w:t xml:space="preserve">&lt; 0.01, ***, </w:t>
                            </w:r>
                            <w:r w:rsidRPr="005F3E8F">
                              <w:rPr>
                                <w:i/>
                                <w:iCs/>
                                <w:color w:val="000000"/>
                                <w:spacing w:val="-4"/>
                                <w:kern w:val="1"/>
                                <w:sz w:val="22"/>
                                <w:szCs w:val="22"/>
                              </w:rPr>
                              <w:t xml:space="preserve">p </w:t>
                            </w:r>
                            <w:r w:rsidRPr="005F3E8F">
                              <w:rPr>
                                <w:color w:val="000000"/>
                                <w:spacing w:val="-4"/>
                                <w:kern w:val="1"/>
                                <w:sz w:val="22"/>
                                <w:szCs w:val="22"/>
                              </w:rPr>
                              <w:t>&lt; 0.001).</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26A0771" id="Text Box 50" o:spid="_x0000_s1032" type="#_x0000_t202" style="position:absolute;margin-left:0;margin-top:355.3pt;width:468pt;height:.05pt;z-index:2517585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" stroked="f">
                <v:textbox style="mso-fit-shape-to-text:t" inset="0,0,0,0">
                  <w:txbxContent>
                    <w:p w14:paraId="0C07F94A" w14:textId="77777777" w:rsidR="00971E1E" w:rsidRPr="005F3E8F" w:rsidRDefault="00971E1E" w:rsidP="00194719">
                      <w:pPr>
                        <w:spacing w:line="360" w:lineRule="auto"/>
                        <w:rPr>
                          <w:color w:val="000000"/>
                          <w:spacing w:val="-4"/>
                          <w:kern w:val="1"/>
                          <w:sz w:val="22"/>
                          <w:szCs w:val="22"/>
                        </w:rPr>
                      </w:pPr>
                      <w:r w:rsidRPr="00F33FC4">
                        <w:rPr>
                          <w:color w:val="000000"/>
                          <w:sz w:val="22"/>
                          <w:szCs w:val="22"/>
                        </w:rPr>
                        <w:t>Figure 2.6</w:t>
                      </w:r>
                      <w:r w:rsidRPr="00F33FC4">
                        <w:rPr>
                          <w:i/>
                          <w:iCs/>
                          <w:color w:val="000000"/>
                          <w:sz w:val="22"/>
                          <w:szCs w:val="22"/>
                        </w:rPr>
                        <w:t xml:space="preserve">. </w:t>
                      </w:r>
                      <w:proofErr w:type="spellStart"/>
                      <w:r w:rsidRPr="005F3E8F">
                        <w:rPr>
                          <w:color w:val="000000"/>
                          <w:spacing w:val="-4"/>
                          <w:kern w:val="1"/>
                          <w:sz w:val="22"/>
                          <w:szCs w:val="22"/>
                        </w:rPr>
                        <w:t>ZorO</w:t>
                      </w:r>
                      <w:proofErr w:type="spellEnd"/>
                      <w:r w:rsidRPr="005F3E8F">
                        <w:rPr>
                          <w:color w:val="000000"/>
                          <w:spacing w:val="-4"/>
                          <w:kern w:val="1"/>
                          <w:sz w:val="22"/>
                          <w:szCs w:val="22"/>
                        </w:rPr>
                        <w:t xml:space="preserve"> overproduction leads to membrane depolarization and ATP depletion. Cells overproducing </w:t>
                      </w:r>
                      <w:proofErr w:type="spellStart"/>
                      <w:r w:rsidRPr="005F3E8F">
                        <w:rPr>
                          <w:color w:val="000000"/>
                          <w:spacing w:val="-4"/>
                          <w:kern w:val="1"/>
                          <w:sz w:val="22"/>
                          <w:szCs w:val="22"/>
                        </w:rPr>
                        <w:t>ZorO</w:t>
                      </w:r>
                      <w:proofErr w:type="spellEnd"/>
                      <w:r w:rsidRPr="005F3E8F">
                        <w:rPr>
                          <w:color w:val="000000"/>
                          <w:spacing w:val="-4"/>
                          <w:kern w:val="1"/>
                          <w:sz w:val="22"/>
                          <w:szCs w:val="22"/>
                        </w:rPr>
                        <w:t xml:space="preserve"> under the control of the two 5’ UTR variants; </w:t>
                      </w:r>
                      <w:proofErr w:type="gramStart"/>
                      <w:r w:rsidRPr="005F3E8F">
                        <w:rPr>
                          <w:color w:val="000000"/>
                          <w:spacing w:val="-4"/>
                          <w:kern w:val="1"/>
                          <w:sz w:val="22"/>
                          <w:szCs w:val="22"/>
                        </w:rPr>
                        <w:t>15 and 30 min</w:t>
                      </w:r>
                      <w:proofErr w:type="gramEnd"/>
                      <w:r w:rsidRPr="005F3E8F">
                        <w:rPr>
                          <w:color w:val="000000"/>
                          <w:spacing w:val="-4"/>
                          <w:kern w:val="1"/>
                          <w:sz w:val="22"/>
                          <w:szCs w:val="22"/>
                        </w:rPr>
                        <w:t xml:space="preserve"> post-induction were analyzed via flow-cytometry after staining with DiBAC</w:t>
                      </w:r>
                      <w:r w:rsidRPr="005F3E8F">
                        <w:rPr>
                          <w:color w:val="000000"/>
                          <w:spacing w:val="-4"/>
                          <w:kern w:val="1"/>
                          <w:sz w:val="22"/>
                          <w:szCs w:val="22"/>
                          <w:vertAlign w:val="subscript"/>
                        </w:rPr>
                        <w:t>4</w:t>
                      </w:r>
                      <w:r w:rsidRPr="005F3E8F">
                        <w:rPr>
                          <w:color w:val="000000"/>
                          <w:spacing w:val="-4"/>
                          <w:kern w:val="1"/>
                          <w:sz w:val="22"/>
                          <w:szCs w:val="22"/>
                        </w:rPr>
                        <w:t xml:space="preserve">-3. Bar graphs quantifying percent of depolarized cells with 1.33 </w:t>
                      </w:r>
                      <w:proofErr w:type="spellStart"/>
                      <w:r w:rsidRPr="005F3E8F">
                        <w:rPr>
                          <w:color w:val="000000"/>
                          <w:spacing w:val="-4"/>
                          <w:kern w:val="1"/>
                          <w:sz w:val="22"/>
                          <w:szCs w:val="22"/>
                        </w:rPr>
                        <w:t>μM</w:t>
                      </w:r>
                      <w:proofErr w:type="spellEnd"/>
                      <w:r w:rsidRPr="005F3E8F">
                        <w:rPr>
                          <w:color w:val="000000"/>
                          <w:spacing w:val="-4"/>
                          <w:kern w:val="1"/>
                          <w:sz w:val="22"/>
                          <w:szCs w:val="22"/>
                        </w:rPr>
                        <w:t xml:space="preserve"> (A) and 3.33 </w:t>
                      </w:r>
                      <w:proofErr w:type="spellStart"/>
                      <w:r w:rsidRPr="005F3E8F">
                        <w:rPr>
                          <w:color w:val="000000"/>
                          <w:spacing w:val="-4"/>
                          <w:kern w:val="1"/>
                          <w:sz w:val="22"/>
                          <w:szCs w:val="22"/>
                        </w:rPr>
                        <w:t>μM</w:t>
                      </w:r>
                      <w:proofErr w:type="spellEnd"/>
                      <w:r w:rsidRPr="005F3E8F">
                        <w:rPr>
                          <w:color w:val="000000"/>
                          <w:spacing w:val="-4"/>
                          <w:kern w:val="1"/>
                          <w:sz w:val="22"/>
                          <w:szCs w:val="22"/>
                        </w:rPr>
                        <w:t xml:space="preserve"> (B) arabinose concentration (</w:t>
                      </w:r>
                      <w:r w:rsidRPr="005F3E8F">
                        <w:rPr>
                          <w:i/>
                          <w:iCs/>
                          <w:color w:val="000000"/>
                          <w:spacing w:val="-4"/>
                          <w:kern w:val="1"/>
                          <w:sz w:val="22"/>
                          <w:szCs w:val="22"/>
                        </w:rPr>
                        <w:t>n</w:t>
                      </w:r>
                      <w:r w:rsidRPr="005F3E8F">
                        <w:rPr>
                          <w:color w:val="000000"/>
                          <w:spacing w:val="-4"/>
                          <w:kern w:val="1"/>
                          <w:sz w:val="22"/>
                          <w:szCs w:val="22"/>
                        </w:rPr>
                        <w:t xml:space="preserve"> </w:t>
                      </w:r>
                      <w:r w:rsidRPr="005F3E8F">
                        <w:rPr>
                          <w:color w:val="000000"/>
                          <w:spacing w:val="-4"/>
                          <w:kern w:val="1"/>
                          <w:sz w:val="22"/>
                          <w:szCs w:val="22"/>
                        </w:rPr>
                        <w:sym w:font="Symbol" w:char="F0B3"/>
                      </w:r>
                      <w:r w:rsidRPr="005F3E8F">
                        <w:rPr>
                          <w:color w:val="000000"/>
                          <w:spacing w:val="-4"/>
                          <w:kern w:val="1"/>
                          <w:sz w:val="22"/>
                          <w:szCs w:val="22"/>
                        </w:rPr>
                        <w:t xml:space="preserve"> 5). Relative ATP levels after </w:t>
                      </w:r>
                      <w:proofErr w:type="spellStart"/>
                      <w:r w:rsidRPr="005F3E8F">
                        <w:rPr>
                          <w:color w:val="000000"/>
                          <w:spacing w:val="-4"/>
                          <w:kern w:val="1"/>
                          <w:sz w:val="22"/>
                          <w:szCs w:val="22"/>
                        </w:rPr>
                        <w:t>ZorO</w:t>
                      </w:r>
                      <w:proofErr w:type="spellEnd"/>
                      <w:r w:rsidRPr="005F3E8F">
                        <w:rPr>
                          <w:color w:val="000000"/>
                          <w:spacing w:val="-4"/>
                          <w:kern w:val="1"/>
                          <w:sz w:val="22"/>
                          <w:szCs w:val="22"/>
                        </w:rPr>
                        <w:t xml:space="preserve"> overexpression from respective 5’UTRs and arabinose induction after 15 min (C) and 30 min (D) (</w:t>
                      </w:r>
                      <w:r w:rsidRPr="005F3E8F">
                        <w:rPr>
                          <w:i/>
                          <w:iCs/>
                          <w:color w:val="000000"/>
                          <w:spacing w:val="-4"/>
                          <w:kern w:val="1"/>
                          <w:sz w:val="22"/>
                          <w:szCs w:val="22"/>
                        </w:rPr>
                        <w:t>n</w:t>
                      </w:r>
                      <w:r>
                        <w:rPr>
                          <w:i/>
                          <w:iCs/>
                          <w:color w:val="000000"/>
                          <w:spacing w:val="-4"/>
                          <w:kern w:val="1"/>
                          <w:sz w:val="22"/>
                          <w:szCs w:val="22"/>
                        </w:rPr>
                        <w:t xml:space="preserve"> </w:t>
                      </w:r>
                      <w:r w:rsidRPr="005F3E8F">
                        <w:rPr>
                          <w:color w:val="000000"/>
                          <w:spacing w:val="-4"/>
                          <w:kern w:val="1"/>
                          <w:sz w:val="22"/>
                          <w:szCs w:val="22"/>
                        </w:rPr>
                        <w:t>=</w:t>
                      </w:r>
                      <w:r>
                        <w:rPr>
                          <w:color w:val="000000"/>
                          <w:spacing w:val="-4"/>
                          <w:kern w:val="1"/>
                          <w:sz w:val="22"/>
                          <w:szCs w:val="22"/>
                        </w:rPr>
                        <w:t xml:space="preserve"> </w:t>
                      </w:r>
                      <w:r w:rsidRPr="005F3E8F">
                        <w:rPr>
                          <w:color w:val="000000"/>
                          <w:spacing w:val="-4"/>
                          <w:kern w:val="1"/>
                          <w:sz w:val="22"/>
                          <w:szCs w:val="22"/>
                        </w:rPr>
                        <w:t xml:space="preserve">3). For all panels shown are mean </w:t>
                      </w:r>
                      <w:r w:rsidRPr="005F3E8F">
                        <w:rPr>
                          <w:color w:val="000000"/>
                          <w:spacing w:val="-4"/>
                          <w:kern w:val="1"/>
                          <w:sz w:val="22"/>
                          <w:szCs w:val="22"/>
                        </w:rPr>
                        <w:sym w:font="Symbol" w:char="F0B1"/>
                      </w:r>
                      <w:r w:rsidRPr="005F3E8F">
                        <w:rPr>
                          <w:color w:val="000000"/>
                          <w:spacing w:val="-4"/>
                          <w:kern w:val="1"/>
                          <w:sz w:val="22"/>
                          <w:szCs w:val="22"/>
                        </w:rPr>
                        <w:t xml:space="preserve"> SD. The </w:t>
                      </w:r>
                      <w:r w:rsidRPr="005F3E8F">
                        <w:rPr>
                          <w:i/>
                          <w:iCs/>
                          <w:color w:val="000000"/>
                          <w:spacing w:val="-4"/>
                          <w:kern w:val="1"/>
                          <w:sz w:val="22"/>
                          <w:szCs w:val="22"/>
                        </w:rPr>
                        <w:t>p</w:t>
                      </w:r>
                      <w:r w:rsidRPr="005F3E8F">
                        <w:rPr>
                          <w:color w:val="000000"/>
                          <w:spacing w:val="-4"/>
                          <w:kern w:val="1"/>
                          <w:sz w:val="22"/>
                          <w:szCs w:val="22"/>
                        </w:rPr>
                        <w:t xml:space="preserve"> values were calculated using a multiple unpaired </w:t>
                      </w:r>
                      <w:r w:rsidRPr="005F3E8F">
                        <w:rPr>
                          <w:i/>
                          <w:iCs/>
                          <w:color w:val="000000"/>
                          <w:spacing w:val="-4"/>
                          <w:kern w:val="1"/>
                          <w:sz w:val="22"/>
                          <w:szCs w:val="22"/>
                        </w:rPr>
                        <w:t>t</w:t>
                      </w:r>
                      <w:r w:rsidRPr="005F3E8F">
                        <w:rPr>
                          <w:color w:val="000000"/>
                          <w:spacing w:val="-4"/>
                          <w:kern w:val="1"/>
                          <w:sz w:val="22"/>
                          <w:szCs w:val="22"/>
                        </w:rPr>
                        <w:t xml:space="preserve"> test with Welch correction (ns, not significant, *, </w:t>
                      </w:r>
                      <w:r w:rsidRPr="005F3E8F">
                        <w:rPr>
                          <w:i/>
                          <w:iCs/>
                          <w:color w:val="000000"/>
                          <w:spacing w:val="-4"/>
                          <w:kern w:val="1"/>
                          <w:sz w:val="22"/>
                          <w:szCs w:val="22"/>
                        </w:rPr>
                        <w:t xml:space="preserve">p </w:t>
                      </w:r>
                      <w:r w:rsidRPr="005F3E8F">
                        <w:rPr>
                          <w:color w:val="000000"/>
                          <w:spacing w:val="-4"/>
                          <w:kern w:val="1"/>
                          <w:sz w:val="22"/>
                          <w:szCs w:val="22"/>
                        </w:rPr>
                        <w:t xml:space="preserve">&lt; 0.05, **, </w:t>
                      </w:r>
                      <w:r w:rsidRPr="005F3E8F">
                        <w:rPr>
                          <w:i/>
                          <w:iCs/>
                          <w:color w:val="000000"/>
                          <w:spacing w:val="-4"/>
                          <w:kern w:val="1"/>
                          <w:sz w:val="22"/>
                          <w:szCs w:val="22"/>
                        </w:rPr>
                        <w:t xml:space="preserve">p </w:t>
                      </w:r>
                      <w:r w:rsidRPr="005F3E8F">
                        <w:rPr>
                          <w:color w:val="000000"/>
                          <w:spacing w:val="-4"/>
                          <w:kern w:val="1"/>
                          <w:sz w:val="22"/>
                          <w:szCs w:val="22"/>
                        </w:rPr>
                        <w:t xml:space="preserve">&lt; 0.01, ***, </w:t>
                      </w:r>
                      <w:r w:rsidRPr="005F3E8F">
                        <w:rPr>
                          <w:i/>
                          <w:iCs/>
                          <w:color w:val="000000"/>
                          <w:spacing w:val="-4"/>
                          <w:kern w:val="1"/>
                          <w:sz w:val="22"/>
                          <w:szCs w:val="22"/>
                        </w:rPr>
                        <w:t xml:space="preserve">p </w:t>
                      </w:r>
                      <w:r w:rsidRPr="005F3E8F">
                        <w:rPr>
                          <w:color w:val="000000"/>
                          <w:spacing w:val="-4"/>
                          <w:kern w:val="1"/>
                          <w:sz w:val="22"/>
                          <w:szCs w:val="22"/>
                        </w:rPr>
                        <w:t>&lt; 0.001).</w:t>
                      </w:r>
                    </w:p>
                  </w:txbxContent>
                </v:textbox>
                <w10:wrap type="topAndBottom"/>
              </v:shape>
            </w:pict>
          </mc:Fallback>
        </mc:AlternateContent>
      </w:r>
      <w:r w:rsidR="00971E1E">
        <w:rPr>
          <w:rFonts w:eastAsia="Calibri"/>
        </w:rPr>
        <w:br w:type="page"/>
      </w:r>
      <w:r w:rsidR="00971E1E" w:rsidRPr="00F33FC4">
        <w:rPr>
          <w:rFonts w:eastAsia="Calibri"/>
          <w:noProof/>
        </w:rPr>
        <w:drawing>
          <wp:anchor distT="0" distB="0" distL="114300" distR="114300" simplePos="0" relativeHeight="251757568" behindDoc="0" locked="0" layoutInCell="1" allowOverlap="1" wp14:anchorId="196D6018" wp14:editId="166F6C97">
            <wp:simplePos x="0" y="0"/>
            <wp:positionH relativeFrom="column">
              <wp:posOffset>0</wp:posOffset>
            </wp:positionH>
            <wp:positionV relativeFrom="paragraph">
              <wp:posOffset>172085</wp:posOffset>
            </wp:positionV>
            <wp:extent cx="5943600" cy="4165600"/>
            <wp:effectExtent l="0" t="0" r="0" b="0"/>
            <wp:wrapTopAndBottom/>
            <wp:docPr id="55" name="Picture 55" descr="Chart, bar 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hart, bar chart&#10;&#10;Description automatically generated with medium confidenc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600" cy="4165600"/>
                    </a:xfrm>
                    <a:prstGeom prst="rect">
                      <a:avLst/>
                    </a:prstGeom>
                  </pic:spPr>
                </pic:pic>
              </a:graphicData>
            </a:graphic>
            <wp14:sizeRelH relativeFrom="page">
              <wp14:pctWidth>0</wp14:pctWidth>
            </wp14:sizeRelH>
            <wp14:sizeRelV relativeFrom="page">
              <wp14:pctHeight>0</wp14:pctHeight>
            </wp14:sizeRelV>
          </wp:anchor>
        </w:drawing>
      </w:r>
    </w:p>
    <w:p w14:paraId="5AF637B4" w14:textId="77777777" w:rsidR="005234AD" w:rsidRPr="00F33FC4" w:rsidRDefault="005234AD" w:rsidP="005234AD">
      <w:pPr>
        <w:spacing w:line="360" w:lineRule="auto"/>
        <w:rPr>
          <w:rFonts w:eastAsia="Calibri"/>
        </w:rPr>
      </w:pPr>
      <w:r w:rsidRPr="00F33FC4">
        <w:rPr>
          <w:rFonts w:eastAsia="Calibri"/>
        </w:rPr>
        <w:lastRenderedPageBreak/>
        <w:t>detection limit using western blot analysis (Fig. 2.3A) even when induced with higher (13.32 mM) arabinose concentration.</w:t>
      </w:r>
    </w:p>
    <w:p w14:paraId="23664838" w14:textId="3648FC10" w:rsidR="00F33FC4" w:rsidRPr="00F33FC4" w:rsidRDefault="005234AD" w:rsidP="00F33FC4">
      <w:pPr>
        <w:spacing w:line="360" w:lineRule="auto"/>
        <w:ind w:firstLine="720"/>
        <w:rPr>
          <w:rFonts w:eastAsia="Calibri"/>
        </w:rPr>
      </w:pPr>
      <w:r w:rsidRPr="00F33FC4">
        <w:rPr>
          <w:rFonts w:eastAsia="Calibri"/>
        </w:rPr>
        <w:t>Given the differences in membrane depolarization, we examined how the 5’ UTR impacted ATP depletion using a quantitative luciferase-based assay (</w:t>
      </w:r>
      <w:proofErr w:type="spellStart"/>
      <w:r w:rsidRPr="00F33FC4">
        <w:rPr>
          <w:rFonts w:eastAsia="Calibri"/>
        </w:rPr>
        <w:t>BacTiter-Glo</w:t>
      </w:r>
      <w:r w:rsidRPr="00F33FC4">
        <w:rPr>
          <w:rFonts w:eastAsia="Calibri"/>
          <w:vertAlign w:val="superscript"/>
        </w:rPr>
        <w:t>TM</w:t>
      </w:r>
      <w:proofErr w:type="spellEnd"/>
      <w:r>
        <w:rPr>
          <w:rFonts w:eastAsia="Calibri"/>
        </w:rPr>
        <w:t xml:space="preserve"> </w:t>
      </w:r>
      <w:r w:rsidR="00F33FC4" w:rsidRPr="00F33FC4">
        <w:rPr>
          <w:rFonts w:eastAsia="Calibri"/>
        </w:rPr>
        <w:t xml:space="preserve">Microbial Cell Viability Assay, Promega). In agreement with the membrane depolarization analyses, we observed that, at high levels of arabinose induction for 30 min, both 5’UTR variants depleted the ATP levels similarly (Fig. 2.6D). However, 15 min after addition of either 3.33 </w:t>
      </w:r>
      <w:r w:rsidR="00F33FC4" w:rsidRPr="00F33FC4">
        <w:rPr>
          <w:rFonts w:eastAsia="Calibri"/>
        </w:rPr>
        <w:sym w:font="Symbol" w:char="F06D"/>
      </w:r>
      <w:r w:rsidR="00F33FC4" w:rsidRPr="00F33FC4">
        <w:rPr>
          <w:rFonts w:eastAsia="Calibri"/>
        </w:rPr>
        <w:t xml:space="preserve">M (0.00005%) or 6.6 </w:t>
      </w:r>
      <w:r w:rsidR="00F33FC4" w:rsidRPr="00F33FC4">
        <w:rPr>
          <w:rFonts w:eastAsia="Calibri"/>
        </w:rPr>
        <w:sym w:font="Symbol" w:char="F06D"/>
      </w:r>
      <w:r w:rsidR="00F33FC4" w:rsidRPr="00F33FC4">
        <w:rPr>
          <w:rFonts w:eastAsia="Calibri"/>
        </w:rPr>
        <w:t xml:space="preserve">M (0.0001%) arabinose, overexpression of </w:t>
      </w:r>
      <w:proofErr w:type="spellStart"/>
      <w:r w:rsidR="00F33FC4" w:rsidRPr="00F33FC4">
        <w:rPr>
          <w:rFonts w:eastAsia="Calibri"/>
          <w:i/>
          <w:iCs/>
        </w:rPr>
        <w:t>zorO</w:t>
      </w:r>
      <w:proofErr w:type="spellEnd"/>
      <w:r w:rsidR="00F33FC4" w:rsidRPr="00F33FC4">
        <w:rPr>
          <w:rFonts w:eastAsia="Calibri"/>
        </w:rPr>
        <w:t xml:space="preserve"> from the </w:t>
      </w:r>
      <w:r w:rsidR="00F33FC4" w:rsidRPr="00F33FC4">
        <w:rPr>
          <w:rFonts w:eastAsia="Calibri"/>
        </w:rPr>
        <w:sym w:font="Symbol" w:char="F044"/>
      </w:r>
      <w:r w:rsidR="00F33FC4" w:rsidRPr="00F33FC4">
        <w:rPr>
          <w:rFonts w:eastAsia="Calibri"/>
        </w:rPr>
        <w:t>28-UTR significantly reduced cellular ATP levels as compared to the full-length 5’ UTR (Fig. 2.6C).</w:t>
      </w:r>
    </w:p>
    <w:p w14:paraId="25ED618A" w14:textId="77777777" w:rsidR="00F33FC4" w:rsidRPr="00F33FC4" w:rsidRDefault="00F33FC4" w:rsidP="00F33FC4">
      <w:pPr>
        <w:spacing w:line="360" w:lineRule="auto"/>
        <w:ind w:firstLine="720"/>
        <w:rPr>
          <w:rFonts w:eastAsia="Calibri"/>
          <w:b/>
          <w:bCs/>
        </w:rPr>
      </w:pPr>
    </w:p>
    <w:p w14:paraId="0423A069" w14:textId="77777777" w:rsidR="005234AD" w:rsidRDefault="00F33FC4" w:rsidP="00F33FC4">
      <w:pPr>
        <w:spacing w:line="360" w:lineRule="auto"/>
        <w:rPr>
          <w:rFonts w:eastAsia="Calibri"/>
          <w:b/>
          <w:bCs/>
        </w:rPr>
      </w:pPr>
      <w:proofErr w:type="spellStart"/>
      <w:r w:rsidRPr="00F33FC4">
        <w:rPr>
          <w:rFonts w:eastAsia="Calibri"/>
          <w:b/>
          <w:bCs/>
        </w:rPr>
        <w:t>ZorO</w:t>
      </w:r>
      <w:proofErr w:type="spellEnd"/>
      <w:r w:rsidRPr="00F33FC4">
        <w:rPr>
          <w:rFonts w:eastAsia="Calibri"/>
          <w:b/>
          <w:bCs/>
        </w:rPr>
        <w:t xml:space="preserve"> induced damage is not due to gross morphological changes. </w:t>
      </w:r>
    </w:p>
    <w:p w14:paraId="1EC3B2C4" w14:textId="65CD89C6" w:rsidR="00F33FC4" w:rsidRPr="00F33FC4" w:rsidRDefault="005234AD" w:rsidP="00F33FC4">
      <w:pPr>
        <w:spacing w:line="360" w:lineRule="auto"/>
        <w:rPr>
          <w:rFonts w:eastAsia="Calibri"/>
        </w:rPr>
      </w:pPr>
      <w:r>
        <w:rPr>
          <w:rFonts w:eastAsia="Calibri"/>
          <w:b/>
          <w:bCs/>
        </w:rPr>
        <w:tab/>
      </w:r>
      <w:r w:rsidR="00F33FC4" w:rsidRPr="00F33FC4">
        <w:rPr>
          <w:rFonts w:eastAsia="Calibri"/>
          <w:bCs/>
        </w:rPr>
        <w:t xml:space="preserve">Regardless as to whether its 5’ UTR is processed or not, </w:t>
      </w:r>
      <w:proofErr w:type="spellStart"/>
      <w:r w:rsidR="00F33FC4" w:rsidRPr="00F33FC4">
        <w:rPr>
          <w:rFonts w:eastAsia="Calibri"/>
          <w:bCs/>
        </w:rPr>
        <w:t>ZorO</w:t>
      </w:r>
      <w:proofErr w:type="spellEnd"/>
      <w:r w:rsidR="00F33FC4" w:rsidRPr="00F33FC4">
        <w:rPr>
          <w:rFonts w:eastAsia="Calibri"/>
          <w:bCs/>
        </w:rPr>
        <w:t xml:space="preserve"> overproduction can still lead to severe membrane damage.</w:t>
      </w:r>
      <w:r w:rsidR="00F33FC4" w:rsidRPr="00F33FC4">
        <w:rPr>
          <w:rFonts w:eastAsia="Calibri"/>
          <w:b/>
          <w:bCs/>
        </w:rPr>
        <w:t xml:space="preserve"> </w:t>
      </w:r>
      <w:r w:rsidR="00F33FC4" w:rsidRPr="00F33FC4">
        <w:rPr>
          <w:rFonts w:eastAsia="Calibri"/>
        </w:rPr>
        <w:t xml:space="preserve">The type I toxin protein </w:t>
      </w:r>
      <w:proofErr w:type="spellStart"/>
      <w:r w:rsidR="00F33FC4" w:rsidRPr="00F33FC4">
        <w:rPr>
          <w:rFonts w:eastAsia="Calibri"/>
        </w:rPr>
        <w:t>HokB</w:t>
      </w:r>
      <w:proofErr w:type="spellEnd"/>
      <w:r w:rsidR="00F33FC4" w:rsidRPr="00F33FC4">
        <w:rPr>
          <w:rFonts w:eastAsia="Calibri"/>
        </w:rPr>
        <w:t xml:space="preserve"> also causes membrane damage: it has been shown to insert in the cytoplasmic membrane and forms pores causing leakage of intracellular ATP (17, 45). We thus tested if </w:t>
      </w:r>
      <w:proofErr w:type="spellStart"/>
      <w:r w:rsidR="00F33FC4" w:rsidRPr="00F33FC4">
        <w:rPr>
          <w:rFonts w:eastAsia="Calibri"/>
        </w:rPr>
        <w:t>ZorO</w:t>
      </w:r>
      <w:proofErr w:type="spellEnd"/>
      <w:r w:rsidR="00F33FC4" w:rsidRPr="00F33FC4">
        <w:rPr>
          <w:rFonts w:eastAsia="Calibri"/>
        </w:rPr>
        <w:t xml:space="preserve"> formed large pores in the inner membrane that could result in ATP leakage. To enhance the overproduction of </w:t>
      </w:r>
      <w:proofErr w:type="spellStart"/>
      <w:r w:rsidR="00F33FC4" w:rsidRPr="00F33FC4">
        <w:rPr>
          <w:rFonts w:eastAsia="Calibri"/>
        </w:rPr>
        <w:t>ZorO</w:t>
      </w:r>
      <w:proofErr w:type="spellEnd"/>
      <w:r w:rsidR="00F33FC4" w:rsidRPr="00F33FC4">
        <w:rPr>
          <w:rFonts w:eastAsia="Calibri"/>
        </w:rPr>
        <w:t>, we constructed the plasmid P</w:t>
      </w:r>
      <w:r w:rsidR="00F33FC4" w:rsidRPr="00F33FC4">
        <w:rPr>
          <w:rFonts w:eastAsia="Calibri"/>
          <w:vertAlign w:val="subscript"/>
        </w:rPr>
        <w:t>BAD</w:t>
      </w:r>
      <w:r w:rsidR="00F33FC4" w:rsidRPr="00F33FC4">
        <w:rPr>
          <w:rFonts w:eastAsia="Calibri"/>
        </w:rPr>
        <w:t>-No-UTR-</w:t>
      </w:r>
      <w:proofErr w:type="spellStart"/>
      <w:r w:rsidR="00F33FC4" w:rsidRPr="00F33FC4">
        <w:rPr>
          <w:rFonts w:eastAsia="Calibri"/>
          <w:i/>
          <w:iCs/>
        </w:rPr>
        <w:t>zorO</w:t>
      </w:r>
      <w:proofErr w:type="spellEnd"/>
      <w:r w:rsidR="00F33FC4" w:rsidRPr="00F33FC4">
        <w:rPr>
          <w:rFonts w:eastAsia="Calibri"/>
        </w:rPr>
        <w:t xml:space="preserve"> by removing the 5’UTR and only leaving the ribosome binding site (Fig. 2.5A). The growth inhibition </w:t>
      </w:r>
      <w:r w:rsidR="00F33FC4" w:rsidRPr="00F33FC4">
        <w:rPr>
          <w:rFonts w:eastAsia="Calibri"/>
          <w:i/>
          <w:iCs/>
        </w:rPr>
        <w:t>via</w:t>
      </w:r>
      <w:r w:rsidR="00F33FC4" w:rsidRPr="00F33FC4">
        <w:rPr>
          <w:rFonts w:eastAsia="Calibri"/>
        </w:rPr>
        <w:t xml:space="preserve"> this construct was similar to that of the P</w:t>
      </w:r>
      <w:r w:rsidR="00F33FC4" w:rsidRPr="00F33FC4">
        <w:rPr>
          <w:rFonts w:eastAsia="Calibri"/>
          <w:vertAlign w:val="subscript"/>
        </w:rPr>
        <w:t>BAD</w:t>
      </w:r>
      <w:r w:rsidR="00F33FC4" w:rsidRPr="00F33FC4">
        <w:rPr>
          <w:rFonts w:eastAsia="Calibri"/>
        </w:rPr>
        <w:t>-</w:t>
      </w:r>
      <w:r w:rsidR="00F33FC4" w:rsidRPr="00F33FC4">
        <w:rPr>
          <w:rFonts w:eastAsia="Calibri"/>
        </w:rPr>
        <w:sym w:font="Symbol" w:char="F044"/>
      </w:r>
      <w:r w:rsidR="00F33FC4" w:rsidRPr="00F33FC4">
        <w:rPr>
          <w:rFonts w:eastAsia="Calibri"/>
        </w:rPr>
        <w:t>28-UTR-</w:t>
      </w:r>
      <w:r w:rsidR="00F33FC4" w:rsidRPr="00F33FC4">
        <w:rPr>
          <w:rFonts w:eastAsia="Calibri"/>
          <w:i/>
        </w:rPr>
        <w:t>zorO</w:t>
      </w:r>
      <w:r w:rsidR="00F33FC4" w:rsidRPr="00F33FC4">
        <w:rPr>
          <w:rFonts w:eastAsia="Calibri"/>
        </w:rPr>
        <w:t xml:space="preserve"> (Fig. 2.5B). We then tested if leakage of ATP occurred when </w:t>
      </w:r>
      <w:proofErr w:type="spellStart"/>
      <w:r w:rsidR="00F33FC4" w:rsidRPr="00F33FC4">
        <w:rPr>
          <w:rFonts w:eastAsia="Calibri"/>
        </w:rPr>
        <w:t>ZorO</w:t>
      </w:r>
      <w:proofErr w:type="spellEnd"/>
      <w:r w:rsidR="00F33FC4" w:rsidRPr="00F33FC4">
        <w:rPr>
          <w:rFonts w:eastAsia="Calibri"/>
        </w:rPr>
        <w:t xml:space="preserve"> was overproduced by measuring extracellular ATP but did not observe increase in ATP levels in the supernatant compared to that of the cultures with empty vector (Fig. 2.7A). We treated an aliquot of the cells carrying empty vector with butanol which resulted in a large amount of ATP detected in the supernatant.</w:t>
      </w:r>
    </w:p>
    <w:p w14:paraId="3A0C9837" w14:textId="184DE9BA" w:rsidR="005234AD" w:rsidRDefault="00F33FC4" w:rsidP="005234AD">
      <w:pPr>
        <w:spacing w:line="360" w:lineRule="auto"/>
        <w:ind w:firstLine="720"/>
        <w:rPr>
          <w:rFonts w:eastAsia="Calibri"/>
        </w:rPr>
      </w:pPr>
      <w:r w:rsidRPr="00F33FC4">
        <w:rPr>
          <w:rFonts w:eastAsia="Calibri"/>
        </w:rPr>
        <w:t xml:space="preserve">We further validated these findings using a reconstituted system to examine if </w:t>
      </w:r>
      <w:proofErr w:type="spellStart"/>
      <w:r w:rsidRPr="00F33FC4">
        <w:rPr>
          <w:rFonts w:eastAsia="Calibri"/>
        </w:rPr>
        <w:t>ZorO</w:t>
      </w:r>
      <w:proofErr w:type="spellEnd"/>
      <w:r w:rsidRPr="00F33FC4">
        <w:rPr>
          <w:rFonts w:eastAsia="Calibri"/>
        </w:rPr>
        <w:t xml:space="preserve">-permeabilized membranes allowed the release of medium-sized organic molecules. To this end, we performed a leakage assay where the fluorescent dye </w:t>
      </w:r>
      <w:proofErr w:type="spellStart"/>
      <w:r w:rsidRPr="00F33FC4">
        <w:rPr>
          <w:rFonts w:eastAsia="Calibri"/>
        </w:rPr>
        <w:t>calcein</w:t>
      </w:r>
      <w:proofErr w:type="spellEnd"/>
      <w:r w:rsidRPr="00F33FC4">
        <w:rPr>
          <w:rFonts w:eastAsia="Calibri"/>
        </w:rPr>
        <w:t xml:space="preserve"> was encapsulated in lipid vesicles. </w:t>
      </w:r>
      <w:proofErr w:type="spellStart"/>
      <w:r w:rsidRPr="00F33FC4">
        <w:rPr>
          <w:rFonts w:eastAsia="Calibri"/>
        </w:rPr>
        <w:t>Calcein</w:t>
      </w:r>
      <w:proofErr w:type="spellEnd"/>
      <w:r w:rsidRPr="00F33FC4">
        <w:rPr>
          <w:rFonts w:eastAsia="Calibri"/>
        </w:rPr>
        <w:t xml:space="preserve"> has a molecular mass of 622.5 Da, similar to that of ATP (507.2 Da). We performed a titration experiment and observed </w:t>
      </w:r>
    </w:p>
    <w:p w14:paraId="58F99860" w14:textId="7F3846EE" w:rsidR="005234AD" w:rsidRDefault="00194719">
      <w:pPr>
        <w:rPr>
          <w:rFonts w:eastAsia="Calibri"/>
        </w:rPr>
      </w:pPr>
      <w:r w:rsidRPr="00F33FC4">
        <w:rPr>
          <w:rFonts w:ascii="Calibri" w:eastAsia="Calibri" w:hAnsi="Calibri" w:cs="Mangal"/>
          <w:noProof/>
        </w:rPr>
        <w:lastRenderedPageBreak/>
        <mc:AlternateContent>
          <mc:Choice Requires="wps">
            <w:drawing>
              <wp:anchor distT="0" distB="0" distL="114300" distR="114300" simplePos="0" relativeHeight="251761664" behindDoc="0" locked="0" layoutInCell="1" allowOverlap="1" wp14:anchorId="713553EF" wp14:editId="14531F30">
                <wp:simplePos x="0" y="0"/>
                <wp:positionH relativeFrom="column">
                  <wp:posOffset>163830</wp:posOffset>
                </wp:positionH>
                <wp:positionV relativeFrom="paragraph">
                  <wp:posOffset>3390014</wp:posOffset>
                </wp:positionV>
                <wp:extent cx="5466715" cy="635"/>
                <wp:effectExtent l="0" t="0" r="0" b="12065"/>
                <wp:wrapTopAndBottom/>
                <wp:docPr id="14" name="Text Box 14"/>
                <wp:cNvGraphicFramePr/>
                <a:graphic xmlns:a="http://schemas.openxmlformats.org/drawingml/2006/main">
                  <a:graphicData uri="http://schemas.microsoft.com/office/word/2010/wordprocessingShape">
                    <wps:wsp>
                      <wps:cNvSpPr txBox="1"/>
                      <wps:spPr>
                        <a:xfrm>
                          <a:off x="0" y="0"/>
                          <a:ext cx="5466715" cy="635"/>
                        </a:xfrm>
                        <a:prstGeom prst="rect">
                          <a:avLst/>
                        </a:prstGeom>
                        <a:solidFill>
                          <a:prstClr val="white"/>
                        </a:solidFill>
                        <a:ln>
                          <a:noFill/>
                        </a:ln>
                      </wps:spPr>
                      <wps:txbx>
                        <w:txbxContent>
                          <w:p w14:paraId="7A5791EF" w14:textId="77777777" w:rsidR="005234AD" w:rsidRPr="002E1890" w:rsidRDefault="005234AD" w:rsidP="00194719">
                            <w:pPr>
                              <w:spacing w:line="360" w:lineRule="auto"/>
                              <w:rPr>
                                <w:color w:val="000000"/>
                                <w:spacing w:val="-4"/>
                                <w:kern w:val="1"/>
                                <w:sz w:val="22"/>
                                <w:szCs w:val="22"/>
                              </w:rPr>
                            </w:pPr>
                            <w:r w:rsidRPr="00F33FC4">
                              <w:rPr>
                                <w:color w:val="000000"/>
                                <w:sz w:val="22"/>
                                <w:szCs w:val="22"/>
                              </w:rPr>
                              <w:t xml:space="preserve">Figure 2.7. </w:t>
                            </w:r>
                            <w:proofErr w:type="spellStart"/>
                            <w:r w:rsidRPr="00F33FC4">
                              <w:rPr>
                                <w:color w:val="000000"/>
                                <w:sz w:val="22"/>
                                <w:szCs w:val="22"/>
                              </w:rPr>
                              <w:t>ZorO</w:t>
                            </w:r>
                            <w:proofErr w:type="spellEnd"/>
                            <w:r w:rsidRPr="00F33FC4">
                              <w:rPr>
                                <w:color w:val="000000"/>
                                <w:sz w:val="22"/>
                                <w:szCs w:val="22"/>
                              </w:rPr>
                              <w:t xml:space="preserve"> does not form large pores.</w:t>
                            </w:r>
                            <w:r w:rsidRPr="00F33FC4">
                              <w:rPr>
                                <w:i/>
                                <w:iCs/>
                                <w:color w:val="000000"/>
                                <w:sz w:val="22"/>
                                <w:szCs w:val="22"/>
                              </w:rPr>
                              <w:t xml:space="preserve"> </w:t>
                            </w:r>
                            <w:r w:rsidRPr="002E1890">
                              <w:rPr>
                                <w:color w:val="000000"/>
                                <w:spacing w:val="-4"/>
                                <w:kern w:val="1"/>
                                <w:sz w:val="22"/>
                                <w:szCs w:val="22"/>
                              </w:rPr>
                              <w:t>Extracellular ATP levels after induction with 13.32 mM arabinose from P</w:t>
                            </w:r>
                            <w:r w:rsidRPr="002E1890">
                              <w:rPr>
                                <w:color w:val="000000"/>
                                <w:spacing w:val="-4"/>
                                <w:kern w:val="1"/>
                                <w:sz w:val="22"/>
                                <w:szCs w:val="22"/>
                                <w:vertAlign w:val="subscript"/>
                              </w:rPr>
                              <w:t>BAD</w:t>
                            </w:r>
                            <w:r w:rsidRPr="002E1890">
                              <w:rPr>
                                <w:color w:val="000000"/>
                                <w:spacing w:val="-4"/>
                                <w:kern w:val="1"/>
                                <w:sz w:val="22"/>
                                <w:szCs w:val="22"/>
                              </w:rPr>
                              <w:t>-No-UTR-</w:t>
                            </w:r>
                            <w:proofErr w:type="spellStart"/>
                            <w:r w:rsidRPr="002E1890">
                              <w:rPr>
                                <w:i/>
                                <w:iCs/>
                                <w:color w:val="000000"/>
                                <w:spacing w:val="-4"/>
                                <w:kern w:val="1"/>
                                <w:sz w:val="22"/>
                                <w:szCs w:val="22"/>
                              </w:rPr>
                              <w:t>zorO</w:t>
                            </w:r>
                            <w:proofErr w:type="spellEnd"/>
                            <w:r w:rsidRPr="002E1890">
                              <w:rPr>
                                <w:color w:val="000000"/>
                                <w:spacing w:val="-4"/>
                                <w:kern w:val="1"/>
                                <w:sz w:val="22"/>
                                <w:szCs w:val="22"/>
                              </w:rPr>
                              <w:t xml:space="preserve"> plasmid and empty vector in </w:t>
                            </w:r>
                            <w:r w:rsidRPr="002E1890">
                              <w:rPr>
                                <w:i/>
                                <w:iCs/>
                                <w:color w:val="000000"/>
                                <w:spacing w:val="-4"/>
                                <w:kern w:val="1"/>
                                <w:sz w:val="22"/>
                                <w:szCs w:val="22"/>
                              </w:rPr>
                              <w:t>E. coli</w:t>
                            </w:r>
                            <w:r w:rsidRPr="002E1890">
                              <w:rPr>
                                <w:color w:val="000000"/>
                                <w:spacing w:val="-4"/>
                                <w:kern w:val="1"/>
                                <w:sz w:val="22"/>
                                <w:szCs w:val="22"/>
                              </w:rPr>
                              <w:t xml:space="preserve"> UTK007 (A); Cells (1 ml) harboring the empty vector were treated with 50 </w:t>
                            </w:r>
                            <w:r w:rsidRPr="002E1890">
                              <w:rPr>
                                <w:sz w:val="22"/>
                                <w:szCs w:val="22"/>
                              </w:rPr>
                              <w:t xml:space="preserve">µl of butanol for 5 mins to lyse cells and release ATP to use as positive control. </w:t>
                            </w:r>
                            <w:r w:rsidRPr="00275960">
                              <w:rPr>
                                <w:i/>
                                <w:color w:val="000000"/>
                                <w:spacing w:val="-4"/>
                                <w:kern w:val="1"/>
                                <w:sz w:val="22"/>
                                <w:szCs w:val="22"/>
                              </w:rPr>
                              <w:t>n</w:t>
                            </w:r>
                            <w:r>
                              <w:rPr>
                                <w:i/>
                                <w:color w:val="000000"/>
                                <w:spacing w:val="-4"/>
                                <w:kern w:val="1"/>
                                <w:sz w:val="22"/>
                                <w:szCs w:val="22"/>
                              </w:rPr>
                              <w:t xml:space="preserve"> </w:t>
                            </w:r>
                            <w:r w:rsidRPr="00275960">
                              <w:rPr>
                                <w:i/>
                                <w:color w:val="000000"/>
                                <w:spacing w:val="-4"/>
                                <w:kern w:val="1"/>
                                <w:sz w:val="22"/>
                                <w:szCs w:val="22"/>
                              </w:rPr>
                              <w:t>=</w:t>
                            </w:r>
                            <w:r>
                              <w:rPr>
                                <w:i/>
                                <w:color w:val="000000"/>
                                <w:spacing w:val="-4"/>
                                <w:kern w:val="1"/>
                                <w:sz w:val="22"/>
                                <w:szCs w:val="22"/>
                              </w:rPr>
                              <w:t xml:space="preserve"> </w:t>
                            </w:r>
                            <w:r w:rsidRPr="00275960">
                              <w:rPr>
                                <w:i/>
                                <w:color w:val="000000"/>
                                <w:spacing w:val="-4"/>
                                <w:kern w:val="1"/>
                                <w:sz w:val="22"/>
                                <w:szCs w:val="22"/>
                              </w:rPr>
                              <w:t>4</w:t>
                            </w:r>
                            <w:r w:rsidRPr="002E1890">
                              <w:rPr>
                                <w:color w:val="000000"/>
                                <w:spacing w:val="-4"/>
                                <w:kern w:val="1"/>
                                <w:sz w:val="22"/>
                                <w:szCs w:val="22"/>
                              </w:rPr>
                              <w:t xml:space="preserve">, shown are mean ± SD.  Relative percentage of </w:t>
                            </w:r>
                            <w:proofErr w:type="spellStart"/>
                            <w:r w:rsidRPr="002E1890">
                              <w:rPr>
                                <w:color w:val="000000"/>
                                <w:spacing w:val="-4"/>
                                <w:kern w:val="1"/>
                                <w:sz w:val="22"/>
                                <w:szCs w:val="22"/>
                              </w:rPr>
                              <w:t>calcein</w:t>
                            </w:r>
                            <w:proofErr w:type="spellEnd"/>
                            <w:r w:rsidRPr="002E1890">
                              <w:rPr>
                                <w:color w:val="000000"/>
                                <w:spacing w:val="-4"/>
                                <w:kern w:val="1"/>
                                <w:sz w:val="22"/>
                                <w:szCs w:val="22"/>
                              </w:rPr>
                              <w:t xml:space="preserve"> leakage compared to Triton X 100 treatment from lipid vesicles after </w:t>
                            </w:r>
                            <w:proofErr w:type="spellStart"/>
                            <w:r w:rsidRPr="002E1890">
                              <w:rPr>
                                <w:color w:val="000000"/>
                                <w:spacing w:val="-4"/>
                                <w:kern w:val="1"/>
                                <w:sz w:val="22"/>
                                <w:szCs w:val="22"/>
                              </w:rPr>
                              <w:t>ZorO</w:t>
                            </w:r>
                            <w:proofErr w:type="spellEnd"/>
                            <w:r w:rsidRPr="002E1890">
                              <w:rPr>
                                <w:color w:val="000000"/>
                                <w:spacing w:val="-4"/>
                                <w:kern w:val="1"/>
                                <w:sz w:val="22"/>
                                <w:szCs w:val="22"/>
                              </w:rPr>
                              <w:t xml:space="preserve"> peptide interaction (B).</w:t>
                            </w:r>
                          </w:p>
                          <w:p w14:paraId="0C866FB8" w14:textId="77777777" w:rsidR="005234AD" w:rsidRPr="002E1890" w:rsidRDefault="005234AD" w:rsidP="00194719">
                            <w:pPr>
                              <w:pStyle w:val="Caption"/>
                              <w:rPr>
                                <w:bCs/>
                                <w:i/>
                                <w:iCs w:val="0"/>
                                <w:sz w:val="22"/>
                                <w:szCs w:val="2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13553EF" id="Text Box 14" o:spid="_x0000_s1033" type="#_x0000_t202" style="position:absolute;margin-left:12.9pt;margin-top:266.95pt;width:430.45pt;height:.05pt;z-index:251761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" stroked="f">
                <v:textbox style="mso-fit-shape-to-text:t" inset="0,0,0,0">
                  <w:txbxContent>
                    <w:p w14:paraId="7A5791EF" w14:textId="77777777" w:rsidR="005234AD" w:rsidRPr="002E1890" w:rsidRDefault="005234AD" w:rsidP="00194719">
                      <w:pPr>
                        <w:spacing w:line="360" w:lineRule="auto"/>
                        <w:rPr>
                          <w:color w:val="000000"/>
                          <w:spacing w:val="-4"/>
                          <w:kern w:val="1"/>
                          <w:sz w:val="22"/>
                          <w:szCs w:val="22"/>
                        </w:rPr>
                      </w:pPr>
                      <w:r w:rsidRPr="00F33FC4">
                        <w:rPr>
                          <w:color w:val="000000"/>
                          <w:sz w:val="22"/>
                          <w:szCs w:val="22"/>
                        </w:rPr>
                        <w:t xml:space="preserve">Figure 2.7. </w:t>
                      </w:r>
                      <w:proofErr w:type="spellStart"/>
                      <w:r w:rsidRPr="00F33FC4">
                        <w:rPr>
                          <w:color w:val="000000"/>
                          <w:sz w:val="22"/>
                          <w:szCs w:val="22"/>
                        </w:rPr>
                        <w:t>ZorO</w:t>
                      </w:r>
                      <w:proofErr w:type="spellEnd"/>
                      <w:r w:rsidRPr="00F33FC4">
                        <w:rPr>
                          <w:color w:val="000000"/>
                          <w:sz w:val="22"/>
                          <w:szCs w:val="22"/>
                        </w:rPr>
                        <w:t xml:space="preserve"> does not form large pores.</w:t>
                      </w:r>
                      <w:r w:rsidRPr="00F33FC4">
                        <w:rPr>
                          <w:i/>
                          <w:iCs/>
                          <w:color w:val="000000"/>
                          <w:sz w:val="22"/>
                          <w:szCs w:val="22"/>
                        </w:rPr>
                        <w:t xml:space="preserve"> </w:t>
                      </w:r>
                      <w:r w:rsidRPr="002E1890">
                        <w:rPr>
                          <w:color w:val="000000"/>
                          <w:spacing w:val="-4"/>
                          <w:kern w:val="1"/>
                          <w:sz w:val="22"/>
                          <w:szCs w:val="22"/>
                        </w:rPr>
                        <w:t>Extracellular ATP levels after induction with 13.32 mM arabinose from P</w:t>
                      </w:r>
                      <w:r w:rsidRPr="002E1890">
                        <w:rPr>
                          <w:color w:val="000000"/>
                          <w:spacing w:val="-4"/>
                          <w:kern w:val="1"/>
                          <w:sz w:val="22"/>
                          <w:szCs w:val="22"/>
                          <w:vertAlign w:val="subscript"/>
                        </w:rPr>
                        <w:t>BAD</w:t>
                      </w:r>
                      <w:r w:rsidRPr="002E1890">
                        <w:rPr>
                          <w:color w:val="000000"/>
                          <w:spacing w:val="-4"/>
                          <w:kern w:val="1"/>
                          <w:sz w:val="22"/>
                          <w:szCs w:val="22"/>
                        </w:rPr>
                        <w:t>-No-UTR-</w:t>
                      </w:r>
                      <w:proofErr w:type="spellStart"/>
                      <w:r w:rsidRPr="002E1890">
                        <w:rPr>
                          <w:i/>
                          <w:iCs/>
                          <w:color w:val="000000"/>
                          <w:spacing w:val="-4"/>
                          <w:kern w:val="1"/>
                          <w:sz w:val="22"/>
                          <w:szCs w:val="22"/>
                        </w:rPr>
                        <w:t>zorO</w:t>
                      </w:r>
                      <w:proofErr w:type="spellEnd"/>
                      <w:r w:rsidRPr="002E1890">
                        <w:rPr>
                          <w:color w:val="000000"/>
                          <w:spacing w:val="-4"/>
                          <w:kern w:val="1"/>
                          <w:sz w:val="22"/>
                          <w:szCs w:val="22"/>
                        </w:rPr>
                        <w:t xml:space="preserve"> plasmid and empty vector in </w:t>
                      </w:r>
                      <w:r w:rsidRPr="002E1890">
                        <w:rPr>
                          <w:i/>
                          <w:iCs/>
                          <w:color w:val="000000"/>
                          <w:spacing w:val="-4"/>
                          <w:kern w:val="1"/>
                          <w:sz w:val="22"/>
                          <w:szCs w:val="22"/>
                        </w:rPr>
                        <w:t>E. coli</w:t>
                      </w:r>
                      <w:r w:rsidRPr="002E1890">
                        <w:rPr>
                          <w:color w:val="000000"/>
                          <w:spacing w:val="-4"/>
                          <w:kern w:val="1"/>
                          <w:sz w:val="22"/>
                          <w:szCs w:val="22"/>
                        </w:rPr>
                        <w:t xml:space="preserve"> UTK007 (A); Cells (1 ml) harboring the empty vector were treated with 50 </w:t>
                      </w:r>
                      <w:r w:rsidRPr="002E1890">
                        <w:rPr>
                          <w:sz w:val="22"/>
                          <w:szCs w:val="22"/>
                        </w:rPr>
                        <w:t xml:space="preserve">µl of butanol for 5 mins to lyse cells and release ATP to use as positive control. </w:t>
                      </w:r>
                      <w:r w:rsidRPr="00275960">
                        <w:rPr>
                          <w:i/>
                          <w:color w:val="000000"/>
                          <w:spacing w:val="-4"/>
                          <w:kern w:val="1"/>
                          <w:sz w:val="22"/>
                          <w:szCs w:val="22"/>
                        </w:rPr>
                        <w:t>n</w:t>
                      </w:r>
                      <w:r>
                        <w:rPr>
                          <w:i/>
                          <w:color w:val="000000"/>
                          <w:spacing w:val="-4"/>
                          <w:kern w:val="1"/>
                          <w:sz w:val="22"/>
                          <w:szCs w:val="22"/>
                        </w:rPr>
                        <w:t xml:space="preserve"> </w:t>
                      </w:r>
                      <w:r w:rsidRPr="00275960">
                        <w:rPr>
                          <w:i/>
                          <w:color w:val="000000"/>
                          <w:spacing w:val="-4"/>
                          <w:kern w:val="1"/>
                          <w:sz w:val="22"/>
                          <w:szCs w:val="22"/>
                        </w:rPr>
                        <w:t>=</w:t>
                      </w:r>
                      <w:r>
                        <w:rPr>
                          <w:i/>
                          <w:color w:val="000000"/>
                          <w:spacing w:val="-4"/>
                          <w:kern w:val="1"/>
                          <w:sz w:val="22"/>
                          <w:szCs w:val="22"/>
                        </w:rPr>
                        <w:t xml:space="preserve"> </w:t>
                      </w:r>
                      <w:r w:rsidRPr="00275960">
                        <w:rPr>
                          <w:i/>
                          <w:color w:val="000000"/>
                          <w:spacing w:val="-4"/>
                          <w:kern w:val="1"/>
                          <w:sz w:val="22"/>
                          <w:szCs w:val="22"/>
                        </w:rPr>
                        <w:t>4</w:t>
                      </w:r>
                      <w:r w:rsidRPr="002E1890">
                        <w:rPr>
                          <w:color w:val="000000"/>
                          <w:spacing w:val="-4"/>
                          <w:kern w:val="1"/>
                          <w:sz w:val="22"/>
                          <w:szCs w:val="22"/>
                        </w:rPr>
                        <w:t xml:space="preserve">, shown are mean ± SD.  Relative percentage of </w:t>
                      </w:r>
                      <w:proofErr w:type="spellStart"/>
                      <w:r w:rsidRPr="002E1890">
                        <w:rPr>
                          <w:color w:val="000000"/>
                          <w:spacing w:val="-4"/>
                          <w:kern w:val="1"/>
                          <w:sz w:val="22"/>
                          <w:szCs w:val="22"/>
                        </w:rPr>
                        <w:t>calcein</w:t>
                      </w:r>
                      <w:proofErr w:type="spellEnd"/>
                      <w:r w:rsidRPr="002E1890">
                        <w:rPr>
                          <w:color w:val="000000"/>
                          <w:spacing w:val="-4"/>
                          <w:kern w:val="1"/>
                          <w:sz w:val="22"/>
                          <w:szCs w:val="22"/>
                        </w:rPr>
                        <w:t xml:space="preserve"> leakage compared to Triton X 100 treatment from lipid vesicles after </w:t>
                      </w:r>
                      <w:proofErr w:type="spellStart"/>
                      <w:r w:rsidRPr="002E1890">
                        <w:rPr>
                          <w:color w:val="000000"/>
                          <w:spacing w:val="-4"/>
                          <w:kern w:val="1"/>
                          <w:sz w:val="22"/>
                          <w:szCs w:val="22"/>
                        </w:rPr>
                        <w:t>ZorO</w:t>
                      </w:r>
                      <w:proofErr w:type="spellEnd"/>
                      <w:r w:rsidRPr="002E1890">
                        <w:rPr>
                          <w:color w:val="000000"/>
                          <w:spacing w:val="-4"/>
                          <w:kern w:val="1"/>
                          <w:sz w:val="22"/>
                          <w:szCs w:val="22"/>
                        </w:rPr>
                        <w:t xml:space="preserve"> peptide interaction (B).</w:t>
                      </w:r>
                    </w:p>
                    <w:p w14:paraId="0C866FB8" w14:textId="77777777" w:rsidR="005234AD" w:rsidRPr="002E1890" w:rsidRDefault="005234AD" w:rsidP="00194719">
                      <w:pPr>
                        <w:pStyle w:val="Caption"/>
                        <w:rPr>
                          <w:bCs/>
                          <w:i/>
                          <w:iCs w:val="0"/>
                          <w:sz w:val="22"/>
                          <w:szCs w:val="22"/>
                        </w:rPr>
                      </w:pPr>
                    </w:p>
                  </w:txbxContent>
                </v:textbox>
                <w10:wrap type="topAndBottom"/>
              </v:shape>
            </w:pict>
          </mc:Fallback>
        </mc:AlternateContent>
      </w:r>
      <w:r w:rsidR="005234AD" w:rsidRPr="00F33FC4">
        <w:rPr>
          <w:rFonts w:eastAsia="Calibri"/>
          <w:bCs/>
          <w:noProof/>
        </w:rPr>
        <w:drawing>
          <wp:anchor distT="0" distB="0" distL="114300" distR="114300" simplePos="0" relativeHeight="251760640" behindDoc="0" locked="0" layoutInCell="1" allowOverlap="1" wp14:anchorId="5A28AA41" wp14:editId="38DC6F52">
            <wp:simplePos x="0" y="0"/>
            <wp:positionH relativeFrom="column">
              <wp:posOffset>163830</wp:posOffset>
            </wp:positionH>
            <wp:positionV relativeFrom="paragraph">
              <wp:posOffset>273685</wp:posOffset>
            </wp:positionV>
            <wp:extent cx="5466715" cy="2932430"/>
            <wp:effectExtent l="0" t="0" r="0" b="1270"/>
            <wp:wrapTopAndBottom/>
            <wp:docPr id="13" name="Picture 13"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Chart&#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466715" cy="2932430"/>
                    </a:xfrm>
                    <a:prstGeom prst="rect">
                      <a:avLst/>
                    </a:prstGeom>
                  </pic:spPr>
                </pic:pic>
              </a:graphicData>
            </a:graphic>
            <wp14:sizeRelH relativeFrom="page">
              <wp14:pctWidth>0</wp14:pctWidth>
            </wp14:sizeRelH>
            <wp14:sizeRelV relativeFrom="page">
              <wp14:pctHeight>0</wp14:pctHeight>
            </wp14:sizeRelV>
          </wp:anchor>
        </w:drawing>
      </w:r>
      <w:r w:rsidR="005234AD">
        <w:rPr>
          <w:rFonts w:eastAsia="Calibri"/>
        </w:rPr>
        <w:br w:type="page"/>
      </w:r>
    </w:p>
    <w:p w14:paraId="54ADD58E" w14:textId="000C4C81" w:rsidR="00F33FC4" w:rsidRPr="00F33FC4" w:rsidRDefault="005234AD" w:rsidP="005234AD">
      <w:pPr>
        <w:spacing w:line="360" w:lineRule="auto"/>
        <w:rPr>
          <w:rFonts w:eastAsia="Calibri"/>
        </w:rPr>
      </w:pPr>
      <w:r w:rsidRPr="00F33FC4">
        <w:rPr>
          <w:rFonts w:eastAsia="Calibri"/>
        </w:rPr>
        <w:lastRenderedPageBreak/>
        <w:t xml:space="preserve">that the addition of </w:t>
      </w:r>
      <w:proofErr w:type="spellStart"/>
      <w:r w:rsidRPr="00F33FC4">
        <w:rPr>
          <w:rFonts w:eastAsia="Calibri"/>
        </w:rPr>
        <w:t>ZorO</w:t>
      </w:r>
      <w:proofErr w:type="spellEnd"/>
      <w:r w:rsidRPr="00F33FC4">
        <w:rPr>
          <w:rFonts w:eastAsia="Calibri"/>
        </w:rPr>
        <w:t xml:space="preserve"> resulted in no significant release of the </w:t>
      </w:r>
      <w:proofErr w:type="spellStart"/>
      <w:r w:rsidRPr="00F33FC4">
        <w:rPr>
          <w:rFonts w:eastAsia="Calibri"/>
        </w:rPr>
        <w:t>calcein</w:t>
      </w:r>
      <w:proofErr w:type="spellEnd"/>
      <w:r w:rsidRPr="00F33FC4">
        <w:rPr>
          <w:rFonts w:eastAsia="Calibri"/>
        </w:rPr>
        <w:t xml:space="preserve"> molecules from the vesicles (Fig. 2.7B). TritonX-100 was used to obtain a total </w:t>
      </w:r>
      <w:proofErr w:type="spellStart"/>
      <w:r w:rsidRPr="00F33FC4">
        <w:rPr>
          <w:rFonts w:eastAsia="Calibri"/>
        </w:rPr>
        <w:t>calcein</w:t>
      </w:r>
      <w:proofErr w:type="spellEnd"/>
      <w:r w:rsidRPr="00F33FC4">
        <w:rPr>
          <w:rFonts w:eastAsia="Calibri"/>
        </w:rPr>
        <w:t xml:space="preserve"> release from the vesicles and the fluorescence corresponding to this sample was used to normalize the fluorescence observed after addition of </w:t>
      </w:r>
      <w:proofErr w:type="spellStart"/>
      <w:r w:rsidRPr="00F33FC4">
        <w:rPr>
          <w:rFonts w:eastAsia="Calibri"/>
        </w:rPr>
        <w:t>ZorO</w:t>
      </w:r>
      <w:proofErr w:type="spellEnd"/>
      <w:r w:rsidRPr="00F33FC4">
        <w:rPr>
          <w:rFonts w:eastAsia="Calibri"/>
        </w:rPr>
        <w:t xml:space="preserve">. These results indicate that </w:t>
      </w:r>
      <w:proofErr w:type="spellStart"/>
      <w:r w:rsidRPr="00F33FC4">
        <w:rPr>
          <w:rFonts w:eastAsia="Calibri"/>
        </w:rPr>
        <w:t>ZorO</w:t>
      </w:r>
      <w:proofErr w:type="spellEnd"/>
      <w:r w:rsidRPr="00F33FC4">
        <w:rPr>
          <w:rFonts w:eastAsia="Calibri"/>
        </w:rPr>
        <w:t xml:space="preserve"> does not </w:t>
      </w:r>
      <w:r w:rsidR="00F33FC4" w:rsidRPr="00F33FC4">
        <w:rPr>
          <w:rFonts w:eastAsia="Calibri"/>
        </w:rPr>
        <w:t xml:space="preserve">cause a large disruption of the membrane integrity, leading to </w:t>
      </w:r>
      <w:proofErr w:type="spellStart"/>
      <w:r w:rsidR="00F33FC4" w:rsidRPr="00F33FC4">
        <w:rPr>
          <w:rFonts w:eastAsia="Calibri"/>
        </w:rPr>
        <w:t>calcein</w:t>
      </w:r>
      <w:proofErr w:type="spellEnd"/>
      <w:r w:rsidR="00F33FC4" w:rsidRPr="00F33FC4">
        <w:rPr>
          <w:rFonts w:eastAsia="Calibri"/>
        </w:rPr>
        <w:t xml:space="preserve"> exiting the vesicle, in the concentration range studied. </w:t>
      </w:r>
    </w:p>
    <w:p w14:paraId="2BE685F3" w14:textId="30F9E4D5" w:rsidR="00F33FC4" w:rsidRPr="00F33FC4" w:rsidRDefault="00F33FC4" w:rsidP="00F33FC4">
      <w:pPr>
        <w:spacing w:line="360" w:lineRule="auto"/>
        <w:ind w:firstLine="720"/>
        <w:rPr>
          <w:rFonts w:eastAsia="Calibri"/>
          <w:bCs/>
        </w:rPr>
      </w:pPr>
      <w:r w:rsidRPr="00F33FC4">
        <w:rPr>
          <w:rFonts w:eastAsia="Calibri"/>
        </w:rPr>
        <w:t>We</w:t>
      </w:r>
      <w:r w:rsidRPr="00F33FC4">
        <w:rPr>
          <w:rFonts w:eastAsia="Calibri"/>
          <w:bCs/>
        </w:rPr>
        <w:t xml:space="preserve"> also performed scanning electron microscopy (SEM) of cells overproducing </w:t>
      </w:r>
      <w:proofErr w:type="spellStart"/>
      <w:r w:rsidRPr="00F33FC4">
        <w:rPr>
          <w:rFonts w:eastAsia="Calibri"/>
          <w:bCs/>
        </w:rPr>
        <w:t>ZorO</w:t>
      </w:r>
      <w:proofErr w:type="spellEnd"/>
      <w:r w:rsidRPr="00F33FC4">
        <w:rPr>
          <w:rFonts w:eastAsia="Calibri"/>
          <w:bCs/>
        </w:rPr>
        <w:t xml:space="preserve"> (using P</w:t>
      </w:r>
      <w:r w:rsidRPr="00F33FC4">
        <w:rPr>
          <w:rFonts w:eastAsia="Calibri"/>
          <w:bCs/>
          <w:vertAlign w:val="subscript"/>
        </w:rPr>
        <w:t>BAD</w:t>
      </w:r>
      <w:r w:rsidRPr="00F33FC4">
        <w:rPr>
          <w:rFonts w:eastAsia="Calibri"/>
          <w:bCs/>
        </w:rPr>
        <w:t>-No-UTR-</w:t>
      </w:r>
      <w:proofErr w:type="spellStart"/>
      <w:r w:rsidRPr="00F33FC4">
        <w:rPr>
          <w:rFonts w:eastAsia="Calibri"/>
          <w:bCs/>
          <w:i/>
          <w:iCs/>
        </w:rPr>
        <w:t>zorO</w:t>
      </w:r>
      <w:proofErr w:type="spellEnd"/>
      <w:r w:rsidRPr="00F33FC4">
        <w:rPr>
          <w:rFonts w:eastAsia="Calibri"/>
          <w:bCs/>
        </w:rPr>
        <w:t>; Fig. 2.5A) to determine if the toxin caused</w:t>
      </w:r>
      <w:r w:rsidRPr="00F33FC4">
        <w:rPr>
          <w:rFonts w:eastAsia="Calibri"/>
          <w:bCs/>
          <w:i/>
          <w:iCs/>
        </w:rPr>
        <w:t xml:space="preserve"> </w:t>
      </w:r>
      <w:r w:rsidRPr="00F33FC4">
        <w:rPr>
          <w:rFonts w:eastAsia="Calibri"/>
          <w:bCs/>
          <w:iCs/>
        </w:rPr>
        <w:t>any</w:t>
      </w:r>
      <w:r w:rsidRPr="00F33FC4">
        <w:rPr>
          <w:rFonts w:eastAsia="Calibri"/>
          <w:bCs/>
          <w:i/>
          <w:iCs/>
        </w:rPr>
        <w:t xml:space="preserve"> </w:t>
      </w:r>
      <w:r w:rsidRPr="00F33FC4">
        <w:rPr>
          <w:rFonts w:eastAsia="Calibri"/>
          <w:bCs/>
        </w:rPr>
        <w:t xml:space="preserve">morphological alterations. In contrast to the marked growth inhibition and cell death after </w:t>
      </w:r>
      <w:proofErr w:type="spellStart"/>
      <w:r w:rsidRPr="00F33FC4">
        <w:rPr>
          <w:rFonts w:eastAsia="Calibri"/>
          <w:bCs/>
        </w:rPr>
        <w:t>ZorO</w:t>
      </w:r>
      <w:proofErr w:type="spellEnd"/>
      <w:r w:rsidRPr="00F33FC4">
        <w:rPr>
          <w:rFonts w:eastAsia="Calibri"/>
          <w:bCs/>
        </w:rPr>
        <w:t xml:space="preserve"> overproduction, there were no overt differences in morphology (Fig. 2.8A) even when induced with a high concentration of arabinose (13.32 mM). Measurement of cell length (see Materials and Methods) revealed that </w:t>
      </w:r>
      <w:proofErr w:type="spellStart"/>
      <w:r w:rsidRPr="00F33FC4">
        <w:rPr>
          <w:rFonts w:eastAsia="Calibri"/>
          <w:bCs/>
        </w:rPr>
        <w:t>ZorO</w:t>
      </w:r>
      <w:proofErr w:type="spellEnd"/>
      <w:r w:rsidRPr="00F33FC4">
        <w:rPr>
          <w:rFonts w:eastAsia="Calibri"/>
          <w:bCs/>
        </w:rPr>
        <w:t xml:space="preserve"> induced cells were longer than uninduced cells (****, </w:t>
      </w:r>
      <w:r w:rsidRPr="00F33FC4">
        <w:rPr>
          <w:rFonts w:eastAsia="Calibri"/>
          <w:bCs/>
          <w:i/>
        </w:rPr>
        <w:t>p</w:t>
      </w:r>
      <w:r w:rsidR="00D25092">
        <w:rPr>
          <w:rFonts w:eastAsia="Calibri"/>
          <w:bCs/>
          <w:i/>
        </w:rPr>
        <w:t xml:space="preserve"> </w:t>
      </w:r>
      <w:r w:rsidRPr="00F33FC4">
        <w:rPr>
          <w:rFonts w:eastAsia="Calibri"/>
          <w:bCs/>
        </w:rPr>
        <w:t>&lt;</w:t>
      </w:r>
      <w:r w:rsidR="00D25092">
        <w:rPr>
          <w:rFonts w:eastAsia="Calibri"/>
          <w:bCs/>
        </w:rPr>
        <w:t xml:space="preserve"> </w:t>
      </w:r>
      <w:r w:rsidRPr="00F33FC4">
        <w:rPr>
          <w:rFonts w:eastAsia="Calibri"/>
          <w:bCs/>
        </w:rPr>
        <w:t xml:space="preserve">0.0001)(Fig. 2.8B) but this was the only observable morphological difference. </w:t>
      </w:r>
    </w:p>
    <w:p w14:paraId="45AD7B31" w14:textId="77777777" w:rsidR="00F33FC4" w:rsidRPr="00F33FC4" w:rsidRDefault="00F33FC4" w:rsidP="00F33FC4">
      <w:pPr>
        <w:spacing w:line="360" w:lineRule="auto"/>
        <w:ind w:firstLine="720"/>
        <w:rPr>
          <w:rFonts w:eastAsia="Calibri"/>
        </w:rPr>
      </w:pPr>
    </w:p>
    <w:p w14:paraId="29A62F08" w14:textId="46DA83B0" w:rsidR="00F33FC4" w:rsidRPr="00F33FC4" w:rsidRDefault="00F33FC4" w:rsidP="005234AD">
      <w:pPr>
        <w:spacing w:line="360" w:lineRule="auto"/>
        <w:rPr>
          <w:rFonts w:eastAsia="Calibri"/>
          <w:b/>
        </w:rPr>
      </w:pPr>
      <w:r w:rsidRPr="00F33FC4">
        <w:rPr>
          <w:rFonts w:eastAsia="Calibri"/>
          <w:b/>
        </w:rPr>
        <w:t>Multiple copies of</w:t>
      </w:r>
      <w:r w:rsidRPr="00F33FC4">
        <w:rPr>
          <w:rFonts w:eastAsia="Calibri"/>
          <w:b/>
          <w:i/>
          <w:iCs/>
        </w:rPr>
        <w:t xml:space="preserve"> </w:t>
      </w:r>
      <w:proofErr w:type="spellStart"/>
      <w:r w:rsidRPr="00F33FC4">
        <w:rPr>
          <w:rFonts w:eastAsia="Calibri"/>
          <w:b/>
          <w:i/>
          <w:iCs/>
        </w:rPr>
        <w:t>zor-orz</w:t>
      </w:r>
      <w:proofErr w:type="spellEnd"/>
      <w:r w:rsidRPr="00F33FC4">
        <w:rPr>
          <w:rFonts w:eastAsia="Calibri"/>
          <w:b/>
        </w:rPr>
        <w:t xml:space="preserve"> locus contributes to survival in the presence of aminoglycosides. </w:t>
      </w:r>
      <w:r w:rsidRPr="00F33FC4">
        <w:rPr>
          <w:rFonts w:eastAsia="Calibri"/>
          <w:bCs/>
        </w:rPr>
        <w:t>Virtually all antibiotics target active cellular processes, therefore active cellular metabolism is critical for effective killing by these drugs.</w:t>
      </w:r>
      <w:r w:rsidR="000725B7">
        <w:rPr>
          <w:rFonts w:eastAsia="Calibri"/>
          <w:bCs/>
        </w:rPr>
        <w:t xml:space="preserve"> </w:t>
      </w:r>
      <w:proofErr w:type="spellStart"/>
      <w:r w:rsidRPr="00F33FC4">
        <w:rPr>
          <w:rFonts w:eastAsia="Calibri"/>
          <w:bCs/>
        </w:rPr>
        <w:t>ZorO</w:t>
      </w:r>
      <w:proofErr w:type="spellEnd"/>
      <w:r w:rsidRPr="00F33FC4">
        <w:rPr>
          <w:rFonts w:eastAsia="Calibri"/>
          <w:bCs/>
        </w:rPr>
        <w:t xml:space="preserve"> overproduction caused membrane depolarization and reduced cellular ATP levels, which is expected to decrease metabolic activity. Reduced ATP levels in turn are linked to increased bacterial survival in the presence of antibiotics (1, 17, 46, 47). Further, type I toxins </w:t>
      </w:r>
      <w:proofErr w:type="spellStart"/>
      <w:r w:rsidRPr="00F33FC4">
        <w:rPr>
          <w:rFonts w:eastAsia="Calibri"/>
          <w:bCs/>
        </w:rPr>
        <w:t>TisB</w:t>
      </w:r>
      <w:proofErr w:type="spellEnd"/>
      <w:r w:rsidRPr="00F33FC4">
        <w:rPr>
          <w:rFonts w:eastAsia="Calibri"/>
          <w:bCs/>
        </w:rPr>
        <w:t xml:space="preserve"> and </w:t>
      </w:r>
      <w:proofErr w:type="spellStart"/>
      <w:r w:rsidRPr="00F33FC4">
        <w:rPr>
          <w:rFonts w:eastAsia="Calibri"/>
          <w:bCs/>
        </w:rPr>
        <w:t>HokB</w:t>
      </w:r>
      <w:proofErr w:type="spellEnd"/>
      <w:r w:rsidRPr="00F33FC4">
        <w:rPr>
          <w:rFonts w:eastAsia="Calibri"/>
          <w:bCs/>
        </w:rPr>
        <w:t xml:space="preserve"> are known to increase survival in the antibiotic ciprofloxacin or ofloxacin, we investigated whether the </w:t>
      </w:r>
      <w:proofErr w:type="spellStart"/>
      <w:r w:rsidRPr="00F33FC4">
        <w:rPr>
          <w:rFonts w:eastAsia="Calibri"/>
          <w:bCs/>
          <w:i/>
          <w:iCs/>
        </w:rPr>
        <w:t>zor-orz</w:t>
      </w:r>
      <w:proofErr w:type="spellEnd"/>
      <w:r w:rsidRPr="00F33FC4">
        <w:rPr>
          <w:rFonts w:eastAsia="Calibri"/>
          <w:bCs/>
        </w:rPr>
        <w:t xml:space="preserve"> locus impacted cell </w:t>
      </w:r>
      <w:r w:rsidRPr="00F33FC4">
        <w:rPr>
          <w:rFonts w:eastAsia="Calibri"/>
          <w:bCs/>
          <w:iCs/>
        </w:rPr>
        <w:t>growth and inhibition by antibiotics</w:t>
      </w:r>
      <w:r w:rsidRPr="00F33FC4">
        <w:rPr>
          <w:rFonts w:eastAsia="Calibri"/>
          <w:bCs/>
        </w:rPr>
        <w:t xml:space="preserve"> (1, 48, 49).</w:t>
      </w:r>
    </w:p>
    <w:p w14:paraId="029C795E" w14:textId="4FF1786F" w:rsidR="005234AD" w:rsidRDefault="00F33FC4" w:rsidP="005234AD">
      <w:pPr>
        <w:spacing w:line="360" w:lineRule="auto"/>
        <w:ind w:firstLine="720"/>
        <w:rPr>
          <w:rFonts w:eastAsia="Calibri"/>
          <w:bCs/>
        </w:rPr>
      </w:pPr>
      <w:r w:rsidRPr="00F33FC4">
        <w:rPr>
          <w:rFonts w:eastAsia="Calibri"/>
          <w:bCs/>
        </w:rPr>
        <w:t xml:space="preserve">Given that </w:t>
      </w:r>
      <w:proofErr w:type="spellStart"/>
      <w:r w:rsidRPr="00F33FC4">
        <w:rPr>
          <w:rFonts w:eastAsia="Calibri"/>
          <w:bCs/>
        </w:rPr>
        <w:t>ZorO</w:t>
      </w:r>
      <w:proofErr w:type="spellEnd"/>
      <w:r w:rsidRPr="00F33FC4">
        <w:rPr>
          <w:rFonts w:eastAsia="Calibri"/>
          <w:bCs/>
        </w:rPr>
        <w:t xml:space="preserve"> overproduction is toxic, we first examined how increasing the copy number of the entire </w:t>
      </w:r>
      <w:proofErr w:type="spellStart"/>
      <w:r w:rsidRPr="00F33FC4">
        <w:rPr>
          <w:rFonts w:eastAsia="Calibri"/>
          <w:bCs/>
          <w:i/>
        </w:rPr>
        <w:t>zor-orz</w:t>
      </w:r>
      <w:proofErr w:type="spellEnd"/>
      <w:r w:rsidRPr="00F33FC4">
        <w:rPr>
          <w:rFonts w:eastAsia="Calibri"/>
          <w:bCs/>
        </w:rPr>
        <w:t xml:space="preserve"> locus would influence growth in the presence of antibiotics. To this end we cloned the entire </w:t>
      </w:r>
      <w:proofErr w:type="spellStart"/>
      <w:r w:rsidRPr="00F33FC4">
        <w:rPr>
          <w:rFonts w:eastAsia="Calibri"/>
          <w:bCs/>
          <w:i/>
          <w:iCs/>
        </w:rPr>
        <w:t>zor-orz</w:t>
      </w:r>
      <w:proofErr w:type="spellEnd"/>
      <w:r w:rsidRPr="00F33FC4">
        <w:rPr>
          <w:rFonts w:eastAsia="Calibri"/>
          <w:bCs/>
        </w:rPr>
        <w:t xml:space="preserve"> locus, including all transcriptional and translational control elements, into pBR322 (</w:t>
      </w:r>
      <w:proofErr w:type="spellStart"/>
      <w:r w:rsidRPr="00F33FC4">
        <w:rPr>
          <w:rFonts w:eastAsia="Calibri"/>
          <w:bCs/>
        </w:rPr>
        <w:t>pBR-</w:t>
      </w:r>
      <w:r w:rsidRPr="00F33FC4">
        <w:rPr>
          <w:rFonts w:eastAsia="Calibri"/>
          <w:bCs/>
          <w:i/>
          <w:iCs/>
        </w:rPr>
        <w:t>zor-orz</w:t>
      </w:r>
      <w:proofErr w:type="spellEnd"/>
      <w:r w:rsidRPr="00F33FC4">
        <w:rPr>
          <w:rFonts w:eastAsia="Calibri"/>
          <w:bCs/>
        </w:rPr>
        <w:t xml:space="preserve">) and examined the effects on antibiotic sensitivity in </w:t>
      </w:r>
      <w:r w:rsidRPr="00F33FC4">
        <w:rPr>
          <w:rFonts w:eastAsia="Calibri"/>
          <w:bCs/>
          <w:i/>
          <w:iCs/>
        </w:rPr>
        <w:t>E. coli</w:t>
      </w:r>
      <w:r w:rsidRPr="00F33FC4">
        <w:rPr>
          <w:rFonts w:eastAsia="Calibri"/>
          <w:bCs/>
        </w:rPr>
        <w:t xml:space="preserve"> UTK007 (that naturally lacks the </w:t>
      </w:r>
      <w:proofErr w:type="spellStart"/>
      <w:r w:rsidRPr="00F33FC4">
        <w:rPr>
          <w:rFonts w:eastAsia="Calibri"/>
          <w:bCs/>
          <w:i/>
          <w:iCs/>
        </w:rPr>
        <w:t>zor-orz</w:t>
      </w:r>
      <w:proofErr w:type="spellEnd"/>
      <w:r w:rsidRPr="00F33FC4">
        <w:rPr>
          <w:rFonts w:eastAsia="Calibri"/>
          <w:bCs/>
        </w:rPr>
        <w:t xml:space="preserve"> locus using a disc diffusion assay. Cells harboring </w:t>
      </w:r>
      <w:proofErr w:type="spellStart"/>
      <w:r w:rsidRPr="00F33FC4">
        <w:rPr>
          <w:rFonts w:eastAsia="Calibri"/>
          <w:bCs/>
          <w:i/>
        </w:rPr>
        <w:t>zor-orz</w:t>
      </w:r>
      <w:proofErr w:type="spellEnd"/>
      <w:r w:rsidRPr="00F33FC4">
        <w:rPr>
          <w:rFonts w:eastAsia="Calibri"/>
          <w:bCs/>
        </w:rPr>
        <w:t xml:space="preserve"> had statistically smaller zones of inhibition </w:t>
      </w:r>
      <w:r w:rsidR="005234AD">
        <w:rPr>
          <w:rFonts w:eastAsia="Calibri"/>
          <w:bCs/>
        </w:rPr>
        <w:br w:type="page"/>
      </w:r>
    </w:p>
    <w:p w14:paraId="565B6DAC" w14:textId="3983698F" w:rsidR="005234AD" w:rsidRDefault="00194719">
      <w:pPr>
        <w:rPr>
          <w:rFonts w:eastAsia="Calibri"/>
          <w:bCs/>
        </w:rPr>
      </w:pPr>
      <w:r w:rsidRPr="00F33FC4">
        <w:rPr>
          <w:rFonts w:ascii="Calibri" w:eastAsia="Calibri" w:hAnsi="Calibri" w:cs="Mangal"/>
          <w:noProof/>
        </w:rPr>
        <w:lastRenderedPageBreak/>
        <mc:AlternateContent>
          <mc:Choice Requires="wps">
            <w:drawing>
              <wp:anchor distT="0" distB="0" distL="114300" distR="114300" simplePos="0" relativeHeight="251764736" behindDoc="0" locked="0" layoutInCell="1" allowOverlap="1" wp14:anchorId="5B955774" wp14:editId="5D1B0CEA">
                <wp:simplePos x="0" y="0"/>
                <wp:positionH relativeFrom="column">
                  <wp:posOffset>0</wp:posOffset>
                </wp:positionH>
                <wp:positionV relativeFrom="paragraph">
                  <wp:posOffset>2939308</wp:posOffset>
                </wp:positionV>
                <wp:extent cx="5943600" cy="635"/>
                <wp:effectExtent l="0" t="0" r="0" b="12065"/>
                <wp:wrapTopAndBottom/>
                <wp:docPr id="16" name="Text Box 16"/>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40D30227" w14:textId="77777777" w:rsidR="005234AD" w:rsidRPr="0081186C" w:rsidRDefault="005234AD" w:rsidP="00194719">
                            <w:pPr>
                              <w:adjustRightInd w:val="0"/>
                              <w:spacing w:line="360" w:lineRule="auto"/>
                              <w:rPr>
                                <w:color w:val="000000"/>
                                <w:spacing w:val="-4"/>
                                <w:kern w:val="1"/>
                                <w:sz w:val="22"/>
                                <w:szCs w:val="22"/>
                              </w:rPr>
                            </w:pPr>
                            <w:r w:rsidRPr="00F33FC4">
                              <w:rPr>
                                <w:color w:val="000000"/>
                                <w:sz w:val="22"/>
                                <w:szCs w:val="22"/>
                              </w:rPr>
                              <w:t>Figure 2.8.</w:t>
                            </w:r>
                            <w:r w:rsidRPr="00F33FC4">
                              <w:rPr>
                                <w:i/>
                                <w:iCs/>
                                <w:color w:val="000000"/>
                                <w:sz w:val="22"/>
                                <w:szCs w:val="22"/>
                              </w:rPr>
                              <w:t xml:space="preserve"> </w:t>
                            </w:r>
                            <w:proofErr w:type="spellStart"/>
                            <w:r w:rsidRPr="0081186C">
                              <w:rPr>
                                <w:sz w:val="22"/>
                                <w:szCs w:val="22"/>
                              </w:rPr>
                              <w:t>ZorO</w:t>
                            </w:r>
                            <w:proofErr w:type="spellEnd"/>
                            <w:r w:rsidRPr="0081186C">
                              <w:rPr>
                                <w:sz w:val="22"/>
                                <w:szCs w:val="22"/>
                              </w:rPr>
                              <w:t xml:space="preserve"> overproduction does not lead to gross alterations of cellular morphology. Scanning electron microgram of</w:t>
                            </w:r>
                            <w:r w:rsidRPr="0081186C">
                              <w:rPr>
                                <w:i/>
                                <w:iCs/>
                                <w:sz w:val="22"/>
                                <w:szCs w:val="22"/>
                              </w:rPr>
                              <w:t xml:space="preserve"> E. coli</w:t>
                            </w:r>
                            <w:r w:rsidRPr="0081186C">
                              <w:rPr>
                                <w:sz w:val="22"/>
                                <w:szCs w:val="22"/>
                              </w:rPr>
                              <w:t xml:space="preserve"> cells overproducing </w:t>
                            </w:r>
                            <w:proofErr w:type="spellStart"/>
                            <w:r w:rsidRPr="0081186C">
                              <w:rPr>
                                <w:sz w:val="22"/>
                                <w:szCs w:val="22"/>
                              </w:rPr>
                              <w:t>ZorO</w:t>
                            </w:r>
                            <w:proofErr w:type="spellEnd"/>
                            <w:r w:rsidRPr="0081186C">
                              <w:rPr>
                                <w:sz w:val="22"/>
                                <w:szCs w:val="22"/>
                              </w:rPr>
                              <w:t xml:space="preserve"> from P</w:t>
                            </w:r>
                            <w:r w:rsidRPr="0081186C">
                              <w:rPr>
                                <w:sz w:val="22"/>
                                <w:szCs w:val="22"/>
                                <w:vertAlign w:val="subscript"/>
                              </w:rPr>
                              <w:t>BAD</w:t>
                            </w:r>
                            <w:r w:rsidRPr="0081186C">
                              <w:rPr>
                                <w:sz w:val="22"/>
                                <w:szCs w:val="22"/>
                              </w:rPr>
                              <w:t>-No-UTR-</w:t>
                            </w:r>
                            <w:proofErr w:type="spellStart"/>
                            <w:r w:rsidRPr="0081186C">
                              <w:rPr>
                                <w:i/>
                                <w:iCs/>
                                <w:sz w:val="22"/>
                                <w:szCs w:val="22"/>
                              </w:rPr>
                              <w:t>zorO</w:t>
                            </w:r>
                            <w:proofErr w:type="spellEnd"/>
                            <w:r w:rsidRPr="0081186C">
                              <w:rPr>
                                <w:i/>
                                <w:iCs/>
                                <w:sz w:val="22"/>
                                <w:szCs w:val="22"/>
                              </w:rPr>
                              <w:t xml:space="preserve"> </w:t>
                            </w:r>
                            <w:r w:rsidRPr="0081186C">
                              <w:rPr>
                                <w:sz w:val="22"/>
                                <w:szCs w:val="22"/>
                              </w:rPr>
                              <w:t xml:space="preserve">plasmids with 13.32 mM arabinose induction for 30 min (A) compared to that of uninduced cells (B); right panels 20000X and left panels 5000X magnification. Comparison of cell length after </w:t>
                            </w:r>
                            <w:proofErr w:type="spellStart"/>
                            <w:r w:rsidRPr="0081186C">
                              <w:rPr>
                                <w:sz w:val="22"/>
                                <w:szCs w:val="22"/>
                              </w:rPr>
                              <w:t>ZorO</w:t>
                            </w:r>
                            <w:proofErr w:type="spellEnd"/>
                            <w:r w:rsidRPr="0081186C">
                              <w:rPr>
                                <w:sz w:val="22"/>
                                <w:szCs w:val="22"/>
                              </w:rPr>
                              <w:t xml:space="preserve"> overproduction.</w:t>
                            </w:r>
                            <w:r w:rsidRPr="0081186C">
                              <w:rPr>
                                <w:color w:val="000000"/>
                                <w:spacing w:val="-4"/>
                                <w:kern w:val="1"/>
                                <w:sz w:val="22"/>
                                <w:szCs w:val="22"/>
                              </w:rPr>
                              <w:t xml:space="preserve"> Shown are mean </w:t>
                            </w:r>
                            <w:r w:rsidRPr="0081186C">
                              <w:rPr>
                                <w:color w:val="000000"/>
                                <w:spacing w:val="-4"/>
                                <w:kern w:val="1"/>
                                <w:sz w:val="22"/>
                                <w:szCs w:val="22"/>
                              </w:rPr>
                              <w:sym w:font="Symbol" w:char="F0B1"/>
                            </w:r>
                            <w:r w:rsidRPr="0081186C">
                              <w:rPr>
                                <w:color w:val="000000"/>
                                <w:spacing w:val="-4"/>
                                <w:kern w:val="1"/>
                                <w:sz w:val="22"/>
                                <w:szCs w:val="22"/>
                              </w:rPr>
                              <w:t xml:space="preserve"> SD. The </w:t>
                            </w:r>
                            <w:r w:rsidRPr="0081186C">
                              <w:rPr>
                                <w:i/>
                                <w:iCs/>
                                <w:color w:val="000000"/>
                                <w:spacing w:val="-4"/>
                                <w:kern w:val="1"/>
                                <w:sz w:val="22"/>
                                <w:szCs w:val="22"/>
                              </w:rPr>
                              <w:t>p</w:t>
                            </w:r>
                            <w:r w:rsidRPr="0081186C">
                              <w:rPr>
                                <w:color w:val="000000"/>
                                <w:spacing w:val="-4"/>
                                <w:kern w:val="1"/>
                                <w:sz w:val="22"/>
                                <w:szCs w:val="22"/>
                              </w:rPr>
                              <w:t xml:space="preserve"> values were calculated using </w:t>
                            </w:r>
                            <w:r w:rsidRPr="0081186C">
                              <w:rPr>
                                <w:i/>
                                <w:iCs/>
                                <w:color w:val="000000"/>
                                <w:spacing w:val="-4"/>
                                <w:kern w:val="1"/>
                                <w:sz w:val="22"/>
                                <w:szCs w:val="22"/>
                              </w:rPr>
                              <w:t>t</w:t>
                            </w:r>
                            <w:r w:rsidRPr="0081186C">
                              <w:rPr>
                                <w:color w:val="000000"/>
                                <w:spacing w:val="-4"/>
                                <w:kern w:val="1"/>
                                <w:sz w:val="22"/>
                                <w:szCs w:val="22"/>
                              </w:rPr>
                              <w:t xml:space="preserve"> test with Welch correction (****, </w:t>
                            </w:r>
                            <w:r w:rsidRPr="0081186C">
                              <w:rPr>
                                <w:i/>
                                <w:iCs/>
                                <w:color w:val="000000"/>
                                <w:spacing w:val="-4"/>
                                <w:kern w:val="1"/>
                                <w:sz w:val="22"/>
                                <w:szCs w:val="22"/>
                              </w:rPr>
                              <w:t xml:space="preserve">p </w:t>
                            </w:r>
                            <w:r w:rsidRPr="0081186C">
                              <w:rPr>
                                <w:color w:val="000000"/>
                                <w:spacing w:val="-4"/>
                                <w:kern w:val="1"/>
                                <w:sz w:val="22"/>
                                <w:szCs w:val="22"/>
                              </w:rPr>
                              <w:t>&lt; 0.0001).</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B955774" id="Text Box 16" o:spid="_x0000_s1034" type="#_x0000_t202" style="position:absolute;margin-left:0;margin-top:231.45pt;width:468pt;height:.05pt;z-index:2517647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" stroked="f">
                <v:textbox style="mso-fit-shape-to-text:t" inset="0,0,0,0">
                  <w:txbxContent>
                    <w:p w14:paraId="40D30227" w14:textId="77777777" w:rsidR="005234AD" w:rsidRPr="0081186C" w:rsidRDefault="005234AD" w:rsidP="00194719">
                      <w:pPr>
                        <w:adjustRightInd w:val="0"/>
                        <w:spacing w:line="360" w:lineRule="auto"/>
                        <w:rPr>
                          <w:color w:val="000000"/>
                          <w:spacing w:val="-4"/>
                          <w:kern w:val="1"/>
                          <w:sz w:val="22"/>
                          <w:szCs w:val="22"/>
                        </w:rPr>
                      </w:pPr>
                      <w:r w:rsidRPr="00F33FC4">
                        <w:rPr>
                          <w:color w:val="000000"/>
                          <w:sz w:val="22"/>
                          <w:szCs w:val="22"/>
                        </w:rPr>
                        <w:t>Figure 2.8.</w:t>
                      </w:r>
                      <w:r w:rsidRPr="00F33FC4">
                        <w:rPr>
                          <w:i/>
                          <w:iCs/>
                          <w:color w:val="000000"/>
                          <w:sz w:val="22"/>
                          <w:szCs w:val="22"/>
                        </w:rPr>
                        <w:t xml:space="preserve"> </w:t>
                      </w:r>
                      <w:proofErr w:type="spellStart"/>
                      <w:r w:rsidRPr="0081186C">
                        <w:rPr>
                          <w:sz w:val="22"/>
                          <w:szCs w:val="22"/>
                        </w:rPr>
                        <w:t>ZorO</w:t>
                      </w:r>
                      <w:proofErr w:type="spellEnd"/>
                      <w:r w:rsidRPr="0081186C">
                        <w:rPr>
                          <w:sz w:val="22"/>
                          <w:szCs w:val="22"/>
                        </w:rPr>
                        <w:t xml:space="preserve"> overproduction does not lead to gross alterations of cellular morphology. Scanning electron microgram of</w:t>
                      </w:r>
                      <w:r w:rsidRPr="0081186C">
                        <w:rPr>
                          <w:i/>
                          <w:iCs/>
                          <w:sz w:val="22"/>
                          <w:szCs w:val="22"/>
                        </w:rPr>
                        <w:t xml:space="preserve"> E. coli</w:t>
                      </w:r>
                      <w:r w:rsidRPr="0081186C">
                        <w:rPr>
                          <w:sz w:val="22"/>
                          <w:szCs w:val="22"/>
                        </w:rPr>
                        <w:t xml:space="preserve"> cells overproducing </w:t>
                      </w:r>
                      <w:proofErr w:type="spellStart"/>
                      <w:r w:rsidRPr="0081186C">
                        <w:rPr>
                          <w:sz w:val="22"/>
                          <w:szCs w:val="22"/>
                        </w:rPr>
                        <w:t>ZorO</w:t>
                      </w:r>
                      <w:proofErr w:type="spellEnd"/>
                      <w:r w:rsidRPr="0081186C">
                        <w:rPr>
                          <w:sz w:val="22"/>
                          <w:szCs w:val="22"/>
                        </w:rPr>
                        <w:t xml:space="preserve"> from P</w:t>
                      </w:r>
                      <w:r w:rsidRPr="0081186C">
                        <w:rPr>
                          <w:sz w:val="22"/>
                          <w:szCs w:val="22"/>
                          <w:vertAlign w:val="subscript"/>
                        </w:rPr>
                        <w:t>BAD</w:t>
                      </w:r>
                      <w:r w:rsidRPr="0081186C">
                        <w:rPr>
                          <w:sz w:val="22"/>
                          <w:szCs w:val="22"/>
                        </w:rPr>
                        <w:t>-No-UTR-</w:t>
                      </w:r>
                      <w:proofErr w:type="spellStart"/>
                      <w:r w:rsidRPr="0081186C">
                        <w:rPr>
                          <w:i/>
                          <w:iCs/>
                          <w:sz w:val="22"/>
                          <w:szCs w:val="22"/>
                        </w:rPr>
                        <w:t>zorO</w:t>
                      </w:r>
                      <w:proofErr w:type="spellEnd"/>
                      <w:r w:rsidRPr="0081186C">
                        <w:rPr>
                          <w:i/>
                          <w:iCs/>
                          <w:sz w:val="22"/>
                          <w:szCs w:val="22"/>
                        </w:rPr>
                        <w:t xml:space="preserve"> </w:t>
                      </w:r>
                      <w:r w:rsidRPr="0081186C">
                        <w:rPr>
                          <w:sz w:val="22"/>
                          <w:szCs w:val="22"/>
                        </w:rPr>
                        <w:t xml:space="preserve">plasmids with 13.32 mM arabinose induction for 30 min (A) compared to that of uninduced cells (B); right panels 20000X and left panels 5000X magnification. Comparison of cell length after </w:t>
                      </w:r>
                      <w:proofErr w:type="spellStart"/>
                      <w:r w:rsidRPr="0081186C">
                        <w:rPr>
                          <w:sz w:val="22"/>
                          <w:szCs w:val="22"/>
                        </w:rPr>
                        <w:t>ZorO</w:t>
                      </w:r>
                      <w:proofErr w:type="spellEnd"/>
                      <w:r w:rsidRPr="0081186C">
                        <w:rPr>
                          <w:sz w:val="22"/>
                          <w:szCs w:val="22"/>
                        </w:rPr>
                        <w:t xml:space="preserve"> overproduction.</w:t>
                      </w:r>
                      <w:r w:rsidRPr="0081186C">
                        <w:rPr>
                          <w:color w:val="000000"/>
                          <w:spacing w:val="-4"/>
                          <w:kern w:val="1"/>
                          <w:sz w:val="22"/>
                          <w:szCs w:val="22"/>
                        </w:rPr>
                        <w:t xml:space="preserve"> Shown are mean </w:t>
                      </w:r>
                      <w:r w:rsidRPr="0081186C">
                        <w:rPr>
                          <w:color w:val="000000"/>
                          <w:spacing w:val="-4"/>
                          <w:kern w:val="1"/>
                          <w:sz w:val="22"/>
                          <w:szCs w:val="22"/>
                        </w:rPr>
                        <w:sym w:font="Symbol" w:char="F0B1"/>
                      </w:r>
                      <w:r w:rsidRPr="0081186C">
                        <w:rPr>
                          <w:color w:val="000000"/>
                          <w:spacing w:val="-4"/>
                          <w:kern w:val="1"/>
                          <w:sz w:val="22"/>
                          <w:szCs w:val="22"/>
                        </w:rPr>
                        <w:t xml:space="preserve"> SD. The </w:t>
                      </w:r>
                      <w:r w:rsidRPr="0081186C">
                        <w:rPr>
                          <w:i/>
                          <w:iCs/>
                          <w:color w:val="000000"/>
                          <w:spacing w:val="-4"/>
                          <w:kern w:val="1"/>
                          <w:sz w:val="22"/>
                          <w:szCs w:val="22"/>
                        </w:rPr>
                        <w:t>p</w:t>
                      </w:r>
                      <w:r w:rsidRPr="0081186C">
                        <w:rPr>
                          <w:color w:val="000000"/>
                          <w:spacing w:val="-4"/>
                          <w:kern w:val="1"/>
                          <w:sz w:val="22"/>
                          <w:szCs w:val="22"/>
                        </w:rPr>
                        <w:t xml:space="preserve"> values were calculated using </w:t>
                      </w:r>
                      <w:r w:rsidRPr="0081186C">
                        <w:rPr>
                          <w:i/>
                          <w:iCs/>
                          <w:color w:val="000000"/>
                          <w:spacing w:val="-4"/>
                          <w:kern w:val="1"/>
                          <w:sz w:val="22"/>
                          <w:szCs w:val="22"/>
                        </w:rPr>
                        <w:t>t</w:t>
                      </w:r>
                      <w:r w:rsidRPr="0081186C">
                        <w:rPr>
                          <w:color w:val="000000"/>
                          <w:spacing w:val="-4"/>
                          <w:kern w:val="1"/>
                          <w:sz w:val="22"/>
                          <w:szCs w:val="22"/>
                        </w:rPr>
                        <w:t xml:space="preserve"> test with Welch correction (****, </w:t>
                      </w:r>
                      <w:r w:rsidRPr="0081186C">
                        <w:rPr>
                          <w:i/>
                          <w:iCs/>
                          <w:color w:val="000000"/>
                          <w:spacing w:val="-4"/>
                          <w:kern w:val="1"/>
                          <w:sz w:val="22"/>
                          <w:szCs w:val="22"/>
                        </w:rPr>
                        <w:t xml:space="preserve">p </w:t>
                      </w:r>
                      <w:r w:rsidRPr="0081186C">
                        <w:rPr>
                          <w:color w:val="000000"/>
                          <w:spacing w:val="-4"/>
                          <w:kern w:val="1"/>
                          <w:sz w:val="22"/>
                          <w:szCs w:val="22"/>
                        </w:rPr>
                        <w:t>&lt; 0.0001).</w:t>
                      </w:r>
                    </w:p>
                  </w:txbxContent>
                </v:textbox>
                <w10:wrap type="topAndBottom"/>
              </v:shape>
            </w:pict>
          </mc:Fallback>
        </mc:AlternateContent>
      </w:r>
      <w:r w:rsidR="005234AD" w:rsidRPr="00F33FC4">
        <w:rPr>
          <w:rFonts w:eastAsia="Calibri"/>
          <w:bCs/>
          <w:noProof/>
        </w:rPr>
        <w:drawing>
          <wp:anchor distT="0" distB="0" distL="114300" distR="114300" simplePos="0" relativeHeight="251763712" behindDoc="0" locked="0" layoutInCell="1" allowOverlap="1" wp14:anchorId="644A904F" wp14:editId="29C2C8D9">
            <wp:simplePos x="0" y="0"/>
            <wp:positionH relativeFrom="column">
              <wp:posOffset>0</wp:posOffset>
            </wp:positionH>
            <wp:positionV relativeFrom="paragraph">
              <wp:posOffset>172085</wp:posOffset>
            </wp:positionV>
            <wp:extent cx="5943600" cy="2454910"/>
            <wp:effectExtent l="0" t="0" r="0" b="0"/>
            <wp:wrapTopAndBottom/>
            <wp:docPr id="15" name="Picture 15"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Qr code&#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2454910"/>
                    </a:xfrm>
                    <a:prstGeom prst="rect">
                      <a:avLst/>
                    </a:prstGeom>
                  </pic:spPr>
                </pic:pic>
              </a:graphicData>
            </a:graphic>
            <wp14:sizeRelH relativeFrom="page">
              <wp14:pctWidth>0</wp14:pctWidth>
            </wp14:sizeRelH>
            <wp14:sizeRelV relativeFrom="page">
              <wp14:pctHeight>0</wp14:pctHeight>
            </wp14:sizeRelV>
          </wp:anchor>
        </w:drawing>
      </w:r>
      <w:r w:rsidR="005234AD">
        <w:rPr>
          <w:rFonts w:eastAsia="Calibri"/>
          <w:bCs/>
        </w:rPr>
        <w:br w:type="page"/>
      </w:r>
    </w:p>
    <w:p w14:paraId="7DA61D73" w14:textId="77777777" w:rsidR="005234AD" w:rsidRDefault="005234AD" w:rsidP="005234AD">
      <w:pPr>
        <w:spacing w:line="360" w:lineRule="auto"/>
        <w:rPr>
          <w:rFonts w:eastAsia="Calibri"/>
          <w:bCs/>
        </w:rPr>
      </w:pPr>
      <w:r w:rsidRPr="00F33FC4">
        <w:rPr>
          <w:rFonts w:eastAsia="Calibri"/>
          <w:bCs/>
        </w:rPr>
        <w:lastRenderedPageBreak/>
        <w:t xml:space="preserve">upon exposure to the aminoglycoside kanamycin, a protein synthesis inhibitor, but not to ciprofloxacin (DNA gyrase inhibitor) (Fig. 2.9). </w:t>
      </w:r>
      <w:r w:rsidRPr="00F33FC4">
        <w:rPr>
          <w:rFonts w:eastAsia="Calibri"/>
          <w:bCs/>
          <w:i/>
          <w:iCs/>
        </w:rPr>
        <w:t>E. coli</w:t>
      </w:r>
      <w:r w:rsidRPr="00F33FC4">
        <w:rPr>
          <w:rFonts w:eastAsia="Calibri"/>
          <w:bCs/>
        </w:rPr>
        <w:t xml:space="preserve"> with multiple copies of </w:t>
      </w:r>
      <w:proofErr w:type="spellStart"/>
      <w:r w:rsidRPr="00F33FC4">
        <w:rPr>
          <w:rFonts w:eastAsia="Calibri"/>
          <w:bCs/>
          <w:i/>
          <w:iCs/>
        </w:rPr>
        <w:t>zor-orz</w:t>
      </w:r>
      <w:proofErr w:type="spellEnd"/>
      <w:r w:rsidRPr="00F33FC4">
        <w:rPr>
          <w:rFonts w:eastAsia="Calibri"/>
          <w:bCs/>
        </w:rPr>
        <w:t xml:space="preserve"> also had higher minimum inhibitory concentration (MIC) to kanamycin and gentamicin </w:t>
      </w:r>
    </w:p>
    <w:p w14:paraId="676708AA" w14:textId="6E1C7FB0" w:rsidR="00F33FC4" w:rsidRPr="00F33FC4" w:rsidRDefault="00F33FC4" w:rsidP="00F33FC4">
      <w:pPr>
        <w:spacing w:line="360" w:lineRule="auto"/>
        <w:ind w:firstLine="720"/>
        <w:rPr>
          <w:rFonts w:eastAsia="Calibri"/>
          <w:bCs/>
        </w:rPr>
      </w:pPr>
      <w:r w:rsidRPr="00F33FC4">
        <w:rPr>
          <w:rFonts w:eastAsia="Calibri"/>
          <w:bCs/>
        </w:rPr>
        <w:t>but not to chloramphenicol or ciprofloxacin when grown in Mueller Hinton broth, as is standard in clinical laboratories (Table 2.3).</w:t>
      </w:r>
    </w:p>
    <w:p w14:paraId="76C45BE3" w14:textId="77777777" w:rsidR="00F33FC4" w:rsidRPr="00F33FC4" w:rsidRDefault="00F33FC4" w:rsidP="00F33FC4">
      <w:pPr>
        <w:spacing w:line="360" w:lineRule="auto"/>
        <w:ind w:firstLine="720"/>
        <w:rPr>
          <w:rFonts w:eastAsia="Calibri"/>
          <w:bCs/>
        </w:rPr>
      </w:pPr>
      <w:r w:rsidRPr="00F33FC4">
        <w:rPr>
          <w:rFonts w:eastAsia="Calibri"/>
          <w:bCs/>
        </w:rPr>
        <w:t xml:space="preserve">Given the increase in MIC, we then examined whether cells harboring multiple copies of the </w:t>
      </w:r>
      <w:proofErr w:type="spellStart"/>
      <w:r w:rsidRPr="00F33FC4">
        <w:rPr>
          <w:rFonts w:eastAsia="Calibri"/>
          <w:bCs/>
          <w:i/>
        </w:rPr>
        <w:t>zor-orz</w:t>
      </w:r>
      <w:proofErr w:type="spellEnd"/>
      <w:r w:rsidRPr="00F33FC4">
        <w:rPr>
          <w:rFonts w:eastAsia="Calibri"/>
          <w:bCs/>
        </w:rPr>
        <w:t xml:space="preserve"> locus could grow better in the presence of antibiotics than control cells. As </w:t>
      </w:r>
      <w:proofErr w:type="spellStart"/>
      <w:r w:rsidRPr="00F33FC4">
        <w:rPr>
          <w:rFonts w:eastAsia="Calibri"/>
          <w:bCs/>
          <w:i/>
          <w:iCs/>
        </w:rPr>
        <w:t>zorO</w:t>
      </w:r>
      <w:proofErr w:type="spellEnd"/>
      <w:r w:rsidRPr="00F33FC4">
        <w:rPr>
          <w:rFonts w:eastAsia="Calibri"/>
          <w:bCs/>
        </w:rPr>
        <w:t xml:space="preserve"> transcription may be sensitive to carbon source (data not shown), we investigated growth in rich media (LB) as well as minimal media with either glucose or fructose as a carbon source. Further, we utilized a microplate as opposed to glass tubes which were used for MIC determination (see Materials and Methods for details). We noted that cells harboring </w:t>
      </w:r>
      <w:proofErr w:type="spellStart"/>
      <w:r w:rsidRPr="00F33FC4">
        <w:rPr>
          <w:rFonts w:eastAsia="Calibri"/>
          <w:bCs/>
        </w:rPr>
        <w:t>pBR-</w:t>
      </w:r>
      <w:r w:rsidRPr="00F33FC4">
        <w:rPr>
          <w:rFonts w:eastAsia="Calibri"/>
          <w:bCs/>
          <w:i/>
        </w:rPr>
        <w:t>zor-orz</w:t>
      </w:r>
      <w:proofErr w:type="spellEnd"/>
      <w:r w:rsidRPr="00F33FC4">
        <w:rPr>
          <w:rFonts w:eastAsia="Calibri"/>
          <w:bCs/>
        </w:rPr>
        <w:t xml:space="preserve"> grew far better in the presence of kanamycin in LB and also in M9 minimal media supplemented with 0.2% glucose, or 0.4% fructose (Fig. 2.10). Similar improved growth was observed with gentamycin (data not shown), but not in the presence of ciprofloxacin or chloramphenicol (Fig. 2.11). </w:t>
      </w:r>
    </w:p>
    <w:p w14:paraId="66061683" w14:textId="77777777" w:rsidR="00F33FC4" w:rsidRPr="00F33FC4" w:rsidRDefault="00F33FC4" w:rsidP="00F33FC4">
      <w:pPr>
        <w:spacing w:line="360" w:lineRule="auto"/>
        <w:ind w:firstLine="720"/>
        <w:rPr>
          <w:rFonts w:eastAsia="Calibri"/>
          <w:bCs/>
        </w:rPr>
      </w:pPr>
      <w:r w:rsidRPr="00F33FC4">
        <w:rPr>
          <w:rFonts w:eastAsia="Calibri"/>
          <w:bCs/>
        </w:rPr>
        <w:t xml:space="preserve">To test the effect of multiple copies of the </w:t>
      </w:r>
      <w:proofErr w:type="spellStart"/>
      <w:r w:rsidRPr="00F33FC4">
        <w:rPr>
          <w:rFonts w:eastAsia="Calibri"/>
          <w:bCs/>
          <w:i/>
          <w:iCs/>
        </w:rPr>
        <w:t>zor-orz</w:t>
      </w:r>
      <w:proofErr w:type="spellEnd"/>
      <w:r w:rsidRPr="00F33FC4">
        <w:rPr>
          <w:rFonts w:eastAsia="Calibri"/>
          <w:bCs/>
        </w:rPr>
        <w:t xml:space="preserve"> locus in its native strain EDL933, we transformed these plasmids into an ELD933 strain in which we deleted the entire </w:t>
      </w:r>
      <w:proofErr w:type="spellStart"/>
      <w:r w:rsidRPr="00F33FC4">
        <w:rPr>
          <w:rFonts w:eastAsia="Calibri"/>
          <w:bCs/>
          <w:i/>
          <w:iCs/>
        </w:rPr>
        <w:t>zor-orz</w:t>
      </w:r>
      <w:proofErr w:type="spellEnd"/>
      <w:r w:rsidRPr="00F33FC4">
        <w:rPr>
          <w:rFonts w:eastAsia="Calibri"/>
          <w:bCs/>
        </w:rPr>
        <w:t xml:space="preserve"> locus (EDL933-</w:t>
      </w:r>
      <w:r w:rsidRPr="00F33FC4">
        <w:rPr>
          <w:rFonts w:eastAsia="Calibri"/>
          <w:bCs/>
        </w:rPr>
        <w:sym w:font="Symbol" w:char="F044"/>
      </w:r>
      <w:proofErr w:type="spellStart"/>
      <w:r w:rsidRPr="00F33FC4">
        <w:rPr>
          <w:rFonts w:eastAsia="Calibri"/>
          <w:bCs/>
          <w:i/>
          <w:iCs/>
        </w:rPr>
        <w:t>zor-orz</w:t>
      </w:r>
      <w:proofErr w:type="spellEnd"/>
      <w:r w:rsidRPr="00F33FC4">
        <w:rPr>
          <w:rFonts w:eastAsia="Calibri"/>
          <w:bCs/>
        </w:rPr>
        <w:t xml:space="preserve">). Similarly, there was improved growth of the cells harboring </w:t>
      </w:r>
      <w:proofErr w:type="spellStart"/>
      <w:r w:rsidRPr="00F33FC4">
        <w:rPr>
          <w:rFonts w:eastAsia="Calibri"/>
          <w:bCs/>
        </w:rPr>
        <w:t>pBR-</w:t>
      </w:r>
      <w:r w:rsidRPr="00F33FC4">
        <w:rPr>
          <w:rFonts w:eastAsia="Calibri"/>
          <w:bCs/>
          <w:i/>
          <w:iCs/>
        </w:rPr>
        <w:t>zor-orz</w:t>
      </w:r>
      <w:proofErr w:type="spellEnd"/>
      <w:r w:rsidRPr="00F33FC4">
        <w:rPr>
          <w:rFonts w:eastAsia="Calibri"/>
          <w:bCs/>
        </w:rPr>
        <w:t xml:space="preserve"> plasmids in LB and minimal media (with glucose or fructose) in the presence of kanamycin (Fig. 2.12). </w:t>
      </w:r>
    </w:p>
    <w:p w14:paraId="129A93F5" w14:textId="07492DA9" w:rsidR="005234AD" w:rsidRDefault="00F33FC4" w:rsidP="00F33FC4">
      <w:pPr>
        <w:spacing w:line="360" w:lineRule="auto"/>
        <w:ind w:firstLine="720"/>
        <w:rPr>
          <w:rFonts w:eastAsia="Calibri"/>
          <w:bCs/>
        </w:rPr>
      </w:pPr>
      <w:r w:rsidRPr="00F33FC4">
        <w:rPr>
          <w:rFonts w:eastAsia="Calibri"/>
          <w:bCs/>
        </w:rPr>
        <w:t xml:space="preserve">The uptake of kanamycin is dependent upon membrane potential and ATP (50). As artificial overproduction of </w:t>
      </w:r>
      <w:proofErr w:type="spellStart"/>
      <w:r w:rsidRPr="00F33FC4">
        <w:rPr>
          <w:rFonts w:eastAsia="Calibri"/>
          <w:bCs/>
        </w:rPr>
        <w:t>ZorO</w:t>
      </w:r>
      <w:proofErr w:type="spellEnd"/>
      <w:r w:rsidRPr="00F33FC4">
        <w:rPr>
          <w:rFonts w:eastAsia="Calibri"/>
          <w:bCs/>
        </w:rPr>
        <w:t xml:space="preserve"> can result in ATP depletion (Fig. 2.6), we wanted to determine if cells harboring multiple copies of the </w:t>
      </w:r>
      <w:proofErr w:type="spellStart"/>
      <w:r w:rsidRPr="00F33FC4">
        <w:rPr>
          <w:rFonts w:eastAsia="Calibri"/>
          <w:bCs/>
          <w:i/>
        </w:rPr>
        <w:t>zor-orz</w:t>
      </w:r>
      <w:proofErr w:type="spellEnd"/>
      <w:r w:rsidRPr="00F33FC4">
        <w:rPr>
          <w:rFonts w:eastAsia="Calibri"/>
          <w:bCs/>
        </w:rPr>
        <w:t xml:space="preserve"> locus had a reduced ATP levels. To test this, we grew EDL933-</w:t>
      </w:r>
      <w:r w:rsidRPr="00F33FC4">
        <w:rPr>
          <w:rFonts w:eastAsia="Calibri"/>
          <w:bCs/>
        </w:rPr>
        <w:sym w:font="Symbol" w:char="F044"/>
      </w:r>
      <w:proofErr w:type="spellStart"/>
      <w:r w:rsidRPr="00F33FC4">
        <w:rPr>
          <w:rFonts w:eastAsia="Calibri"/>
          <w:bCs/>
          <w:i/>
          <w:iCs/>
        </w:rPr>
        <w:t>zor-orz</w:t>
      </w:r>
      <w:proofErr w:type="spellEnd"/>
      <w:r w:rsidRPr="00F33FC4">
        <w:rPr>
          <w:rFonts w:eastAsia="Calibri"/>
          <w:bCs/>
          <w:i/>
          <w:iCs/>
        </w:rPr>
        <w:t xml:space="preserve"> </w:t>
      </w:r>
      <w:r w:rsidRPr="00F33FC4">
        <w:rPr>
          <w:rFonts w:eastAsia="Calibri"/>
          <w:bCs/>
        </w:rPr>
        <w:t xml:space="preserve">transformed with either </w:t>
      </w:r>
      <w:proofErr w:type="spellStart"/>
      <w:r w:rsidRPr="00F33FC4">
        <w:rPr>
          <w:rFonts w:eastAsia="Calibri"/>
          <w:bCs/>
        </w:rPr>
        <w:t>pBR</w:t>
      </w:r>
      <w:proofErr w:type="spellEnd"/>
      <w:r w:rsidRPr="00F33FC4">
        <w:rPr>
          <w:rFonts w:eastAsia="Calibri"/>
          <w:bCs/>
        </w:rPr>
        <w:t xml:space="preserve"> or </w:t>
      </w:r>
      <w:proofErr w:type="spellStart"/>
      <w:r w:rsidRPr="00F33FC4">
        <w:rPr>
          <w:rFonts w:eastAsia="Calibri"/>
          <w:bCs/>
        </w:rPr>
        <w:t>pBR-</w:t>
      </w:r>
      <w:r w:rsidRPr="00F33FC4">
        <w:rPr>
          <w:rFonts w:eastAsia="Calibri"/>
          <w:bCs/>
          <w:i/>
          <w:iCs/>
        </w:rPr>
        <w:t>zor-orz</w:t>
      </w:r>
      <w:proofErr w:type="spellEnd"/>
      <w:r w:rsidRPr="00F33FC4">
        <w:rPr>
          <w:rFonts w:eastAsia="Calibri"/>
          <w:bCs/>
        </w:rPr>
        <w:t xml:space="preserve"> in LB until mid-log phase, split the culture, and treated half the culture as mock or </w:t>
      </w:r>
    </w:p>
    <w:p w14:paraId="1D696E2F" w14:textId="77777777" w:rsidR="005234AD" w:rsidRDefault="005234AD">
      <w:pPr>
        <w:rPr>
          <w:rFonts w:eastAsia="Calibri"/>
          <w:bCs/>
        </w:rPr>
      </w:pPr>
      <w:r>
        <w:rPr>
          <w:rFonts w:eastAsia="Calibri"/>
          <w:bCs/>
        </w:rPr>
        <w:br w:type="page"/>
      </w:r>
    </w:p>
    <w:p w14:paraId="4CEEFC12" w14:textId="08A55AEB" w:rsidR="00F33FC4" w:rsidRPr="00F33FC4" w:rsidRDefault="005234AD" w:rsidP="00F33FC4">
      <w:pPr>
        <w:spacing w:line="360" w:lineRule="auto"/>
        <w:ind w:firstLine="720"/>
        <w:rPr>
          <w:rFonts w:eastAsia="Calibri"/>
          <w:bCs/>
        </w:rPr>
      </w:pPr>
      <w:r w:rsidRPr="00F33FC4">
        <w:rPr>
          <w:rFonts w:eastAsia="Calibri"/>
          <w:bCs/>
          <w:noProof/>
        </w:rPr>
        <w:lastRenderedPageBreak/>
        <w:drawing>
          <wp:anchor distT="0" distB="0" distL="114300" distR="114300" simplePos="0" relativeHeight="251766784" behindDoc="0" locked="0" layoutInCell="1" allowOverlap="1" wp14:anchorId="2ADF29B0" wp14:editId="4E4EFC3C">
            <wp:simplePos x="0" y="0"/>
            <wp:positionH relativeFrom="column">
              <wp:posOffset>648335</wp:posOffset>
            </wp:positionH>
            <wp:positionV relativeFrom="paragraph">
              <wp:posOffset>265430</wp:posOffset>
            </wp:positionV>
            <wp:extent cx="3288030" cy="2985770"/>
            <wp:effectExtent l="0" t="0" r="1270" b="0"/>
            <wp:wrapTopAndBottom/>
            <wp:docPr id="17" name="Picture 17"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Chart&#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288030" cy="2985770"/>
                    </a:xfrm>
                    <a:prstGeom prst="rect">
                      <a:avLst/>
                    </a:prstGeom>
                  </pic:spPr>
                </pic:pic>
              </a:graphicData>
            </a:graphic>
            <wp14:sizeRelH relativeFrom="page">
              <wp14:pctWidth>0</wp14:pctWidth>
            </wp14:sizeRelH>
            <wp14:sizeRelV relativeFrom="page">
              <wp14:pctHeight>0</wp14:pctHeight>
            </wp14:sizeRelV>
          </wp:anchor>
        </w:drawing>
      </w:r>
    </w:p>
    <w:p w14:paraId="4F2AD4DA" w14:textId="4A9D9AAC" w:rsidR="00F33FC4" w:rsidRPr="00F33FC4" w:rsidRDefault="005234AD" w:rsidP="00F33FC4">
      <w:pPr>
        <w:rPr>
          <w:rFonts w:eastAsia="Calibri"/>
          <w:bCs/>
        </w:rPr>
      </w:pPr>
      <w:r w:rsidRPr="00F33FC4">
        <w:rPr>
          <w:rFonts w:eastAsia="Calibri"/>
          <w:bCs/>
          <w:noProof/>
        </w:rPr>
        <mc:AlternateContent>
          <mc:Choice Requires="wps">
            <w:drawing>
              <wp:anchor distT="0" distB="0" distL="114300" distR="114300" simplePos="0" relativeHeight="251767808" behindDoc="0" locked="0" layoutInCell="1" allowOverlap="1" wp14:anchorId="472F6595" wp14:editId="68C7B608">
                <wp:simplePos x="0" y="0"/>
                <wp:positionH relativeFrom="column">
                  <wp:posOffset>148492</wp:posOffset>
                </wp:positionH>
                <wp:positionV relativeFrom="paragraph">
                  <wp:posOffset>3299069</wp:posOffset>
                </wp:positionV>
                <wp:extent cx="5349240" cy="635"/>
                <wp:effectExtent l="0" t="0" r="0" b="0"/>
                <wp:wrapTopAndBottom/>
                <wp:docPr id="51" name="Text Box 51"/>
                <wp:cNvGraphicFramePr/>
                <a:graphic xmlns:a="http://schemas.openxmlformats.org/drawingml/2006/main">
                  <a:graphicData uri="http://schemas.microsoft.com/office/word/2010/wordprocessingShape">
                    <wps:wsp>
                      <wps:cNvSpPr txBox="1"/>
                      <wps:spPr>
                        <a:xfrm>
                          <a:off x="0" y="0"/>
                          <a:ext cx="5349240" cy="635"/>
                        </a:xfrm>
                        <a:prstGeom prst="rect">
                          <a:avLst/>
                        </a:prstGeom>
                        <a:solidFill>
                          <a:prstClr val="white"/>
                        </a:solidFill>
                        <a:ln>
                          <a:noFill/>
                        </a:ln>
                      </wps:spPr>
                      <wps:txbx>
                        <w:txbxContent>
                          <w:p w14:paraId="70B4C6FB" w14:textId="77777777" w:rsidR="005234AD" w:rsidRPr="0081186C" w:rsidRDefault="005234AD" w:rsidP="005234AD">
                            <w:pPr>
                              <w:spacing w:line="360" w:lineRule="auto"/>
                              <w:rPr>
                                <w:bCs/>
                                <w:i/>
                                <w:iCs/>
                                <w:color w:val="000000" w:themeColor="text1"/>
                                <w:sz w:val="22"/>
                                <w:szCs w:val="22"/>
                              </w:rPr>
                            </w:pPr>
                            <w:r w:rsidRPr="0081186C">
                              <w:rPr>
                                <w:color w:val="000000" w:themeColor="text1"/>
                                <w:sz w:val="22"/>
                                <w:szCs w:val="22"/>
                              </w:rPr>
                              <w:t xml:space="preserve">Figure </w:t>
                            </w:r>
                            <w:r>
                              <w:rPr>
                                <w:color w:val="000000" w:themeColor="text1"/>
                                <w:sz w:val="22"/>
                                <w:szCs w:val="22"/>
                              </w:rPr>
                              <w:t xml:space="preserve">2.9. Role of </w:t>
                            </w:r>
                            <w:proofErr w:type="spellStart"/>
                            <w:r w:rsidRPr="00F24DF8">
                              <w:rPr>
                                <w:i/>
                                <w:iCs/>
                                <w:color w:val="000000" w:themeColor="text1"/>
                                <w:sz w:val="22"/>
                                <w:szCs w:val="22"/>
                              </w:rPr>
                              <w:t>zor-orz</w:t>
                            </w:r>
                            <w:proofErr w:type="spellEnd"/>
                            <w:r>
                              <w:rPr>
                                <w:color w:val="000000" w:themeColor="text1"/>
                                <w:sz w:val="22"/>
                                <w:szCs w:val="22"/>
                              </w:rPr>
                              <w:t xml:space="preserve"> locus in antibiotic susceptibility. </w:t>
                            </w:r>
                            <w:r w:rsidRPr="0081186C">
                              <w:rPr>
                                <w:color w:val="000000" w:themeColor="text1"/>
                                <w:sz w:val="22"/>
                                <w:szCs w:val="22"/>
                              </w:rPr>
                              <w:t>Zone of inhibition (mm) for E. coli UTK007 cells carrying indicated plasmid vectors for kanamycin (Kan) and ciprofloxacin (</w:t>
                            </w:r>
                            <w:proofErr w:type="spellStart"/>
                            <w:r w:rsidRPr="0081186C">
                              <w:rPr>
                                <w:color w:val="000000" w:themeColor="text1"/>
                                <w:sz w:val="22"/>
                                <w:szCs w:val="22"/>
                              </w:rPr>
                              <w:t>Cip</w:t>
                            </w:r>
                            <w:proofErr w:type="spellEnd"/>
                            <w:r w:rsidRPr="0081186C">
                              <w:rPr>
                                <w:color w:val="000000" w:themeColor="text1"/>
                                <w:sz w:val="22"/>
                                <w:szCs w:val="22"/>
                              </w:rPr>
                              <w:t xml:space="preserve">) antibiotics. </w:t>
                            </w:r>
                            <w:r w:rsidRPr="00275960">
                              <w:rPr>
                                <w:color w:val="000000" w:themeColor="text1"/>
                                <w:sz w:val="22"/>
                                <w:szCs w:val="22"/>
                              </w:rPr>
                              <w:t>n = 6</w:t>
                            </w:r>
                            <w:r w:rsidRPr="0081186C">
                              <w:rPr>
                                <w:color w:val="000000" w:themeColor="text1"/>
                                <w:sz w:val="22"/>
                                <w:szCs w:val="22"/>
                              </w:rPr>
                              <w:t xml:space="preserve">, shown are mean </w:t>
                            </w:r>
                            <w:r w:rsidRPr="0081186C">
                              <w:rPr>
                                <w:color w:val="000000" w:themeColor="text1"/>
                                <w:sz w:val="22"/>
                                <w:szCs w:val="22"/>
                              </w:rPr>
                              <w:sym w:font="Symbol" w:char="F0B1"/>
                            </w:r>
                            <w:r w:rsidRPr="0081186C">
                              <w:rPr>
                                <w:color w:val="000000" w:themeColor="text1"/>
                                <w:sz w:val="22"/>
                                <w:szCs w:val="22"/>
                              </w:rPr>
                              <w:t xml:space="preserve"> SD. The p values were calculated using a multiple unpaired t test with Welch correction (***,p &lt; 0.001).</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72F6595" id="Text Box 51" o:spid="_x0000_s1035" type="#_x0000_t202" style="position:absolute;margin-left:11.7pt;margin-top:259.75pt;width:421.2pt;height:.05pt;z-index:2517678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" stroked="f">
                <v:textbox style="mso-fit-shape-to-text:t" inset="0,0,0,0">
                  <w:txbxContent>
                    <w:p w14:paraId="70B4C6FB" w14:textId="77777777" w:rsidR="005234AD" w:rsidRPr="0081186C" w:rsidRDefault="005234AD" w:rsidP="005234AD">
                      <w:pPr>
                        <w:spacing w:line="360" w:lineRule="auto"/>
                        <w:rPr>
                          <w:bCs/>
                          <w:i/>
                          <w:iCs/>
                          <w:color w:val="000000" w:themeColor="text1"/>
                          <w:sz w:val="22"/>
                          <w:szCs w:val="22"/>
                        </w:rPr>
                      </w:pPr>
                      <w:r w:rsidRPr="0081186C">
                        <w:rPr>
                          <w:color w:val="000000" w:themeColor="text1"/>
                          <w:sz w:val="22"/>
                          <w:szCs w:val="22"/>
                        </w:rPr>
                        <w:t xml:space="preserve">Figure </w:t>
                      </w:r>
                      <w:r>
                        <w:rPr>
                          <w:color w:val="000000" w:themeColor="text1"/>
                          <w:sz w:val="22"/>
                          <w:szCs w:val="22"/>
                        </w:rPr>
                        <w:t xml:space="preserve">2.9. Role of </w:t>
                      </w:r>
                      <w:proofErr w:type="spellStart"/>
                      <w:r w:rsidRPr="00F24DF8">
                        <w:rPr>
                          <w:i/>
                          <w:iCs/>
                          <w:color w:val="000000" w:themeColor="text1"/>
                          <w:sz w:val="22"/>
                          <w:szCs w:val="22"/>
                        </w:rPr>
                        <w:t>zor-orz</w:t>
                      </w:r>
                      <w:proofErr w:type="spellEnd"/>
                      <w:r>
                        <w:rPr>
                          <w:color w:val="000000" w:themeColor="text1"/>
                          <w:sz w:val="22"/>
                          <w:szCs w:val="22"/>
                        </w:rPr>
                        <w:t xml:space="preserve"> locus in antibiotic susceptibility. </w:t>
                      </w:r>
                      <w:r w:rsidRPr="0081186C">
                        <w:rPr>
                          <w:color w:val="000000" w:themeColor="text1"/>
                          <w:sz w:val="22"/>
                          <w:szCs w:val="22"/>
                        </w:rPr>
                        <w:t>Zone of inhibition (mm) for E. coli UTK007 cells carrying indicated plasmid vectors for kanamycin (Kan) and ciprofloxacin (</w:t>
                      </w:r>
                      <w:proofErr w:type="spellStart"/>
                      <w:r w:rsidRPr="0081186C">
                        <w:rPr>
                          <w:color w:val="000000" w:themeColor="text1"/>
                          <w:sz w:val="22"/>
                          <w:szCs w:val="22"/>
                        </w:rPr>
                        <w:t>Cip</w:t>
                      </w:r>
                      <w:proofErr w:type="spellEnd"/>
                      <w:r w:rsidRPr="0081186C">
                        <w:rPr>
                          <w:color w:val="000000" w:themeColor="text1"/>
                          <w:sz w:val="22"/>
                          <w:szCs w:val="22"/>
                        </w:rPr>
                        <w:t xml:space="preserve">) antibiotics. </w:t>
                      </w:r>
                      <w:r w:rsidRPr="00275960">
                        <w:rPr>
                          <w:color w:val="000000" w:themeColor="text1"/>
                          <w:sz w:val="22"/>
                          <w:szCs w:val="22"/>
                        </w:rPr>
                        <w:t>n = 6</w:t>
                      </w:r>
                      <w:r w:rsidRPr="0081186C">
                        <w:rPr>
                          <w:color w:val="000000" w:themeColor="text1"/>
                          <w:sz w:val="22"/>
                          <w:szCs w:val="22"/>
                        </w:rPr>
                        <w:t xml:space="preserve">, shown are mean </w:t>
                      </w:r>
                      <w:r w:rsidRPr="0081186C">
                        <w:rPr>
                          <w:color w:val="000000" w:themeColor="text1"/>
                          <w:sz w:val="22"/>
                          <w:szCs w:val="22"/>
                        </w:rPr>
                        <w:sym w:font="Symbol" w:char="F0B1"/>
                      </w:r>
                      <w:r w:rsidRPr="0081186C">
                        <w:rPr>
                          <w:color w:val="000000" w:themeColor="text1"/>
                          <w:sz w:val="22"/>
                          <w:szCs w:val="22"/>
                        </w:rPr>
                        <w:t xml:space="preserve"> SD. The p values were calculated using a multiple unpaired t test with Welch correction (**</w:t>
                      </w:r>
                      <w:proofErr w:type="gramStart"/>
                      <w:r w:rsidRPr="0081186C">
                        <w:rPr>
                          <w:color w:val="000000" w:themeColor="text1"/>
                          <w:sz w:val="22"/>
                          <w:szCs w:val="22"/>
                        </w:rPr>
                        <w:t>*,p</w:t>
                      </w:r>
                      <w:proofErr w:type="gramEnd"/>
                      <w:r w:rsidRPr="0081186C">
                        <w:rPr>
                          <w:color w:val="000000" w:themeColor="text1"/>
                          <w:sz w:val="22"/>
                          <w:szCs w:val="22"/>
                        </w:rPr>
                        <w:t xml:space="preserve"> &lt; 0.001).</w:t>
                      </w:r>
                    </w:p>
                  </w:txbxContent>
                </v:textbox>
                <w10:wrap type="topAndBottom"/>
              </v:shape>
            </w:pict>
          </mc:Fallback>
        </mc:AlternateContent>
      </w:r>
      <w:r w:rsidR="00F33FC4" w:rsidRPr="00F33FC4">
        <w:rPr>
          <w:rFonts w:eastAsia="Calibri"/>
          <w:bCs/>
        </w:rPr>
        <w:br w:type="page"/>
      </w:r>
    </w:p>
    <w:p w14:paraId="39348789" w14:textId="77777777" w:rsidR="00F33FC4" w:rsidRPr="00F33FC4" w:rsidRDefault="00F33FC4" w:rsidP="00F33FC4">
      <w:pPr>
        <w:keepNext/>
        <w:spacing w:after="200" w:line="360" w:lineRule="auto"/>
        <w:rPr>
          <w:rFonts w:eastAsia="Calibri"/>
          <w:color w:val="000000"/>
          <w:sz w:val="22"/>
          <w:szCs w:val="22"/>
        </w:rPr>
      </w:pPr>
      <w:r w:rsidRPr="00F33FC4">
        <w:rPr>
          <w:rFonts w:eastAsia="Calibri"/>
          <w:color w:val="000000"/>
          <w:sz w:val="22"/>
          <w:szCs w:val="22"/>
        </w:rPr>
        <w:lastRenderedPageBreak/>
        <w:t xml:space="preserve">Table 2.3. Median minimum inhibitory concentration for </w:t>
      </w:r>
      <w:r w:rsidRPr="00F33FC4">
        <w:rPr>
          <w:rFonts w:eastAsia="Calibri"/>
          <w:i/>
          <w:iCs/>
          <w:color w:val="000000"/>
          <w:sz w:val="22"/>
          <w:szCs w:val="22"/>
        </w:rPr>
        <w:t>E. coli</w:t>
      </w:r>
      <w:r w:rsidRPr="00F33FC4">
        <w:rPr>
          <w:rFonts w:eastAsia="Calibri"/>
          <w:color w:val="000000"/>
          <w:sz w:val="22"/>
          <w:szCs w:val="22"/>
        </w:rPr>
        <w:t xml:space="preserve"> cells harboring pBR322 or </w:t>
      </w:r>
      <w:proofErr w:type="spellStart"/>
      <w:r w:rsidRPr="00F33FC4">
        <w:rPr>
          <w:rFonts w:eastAsia="Calibri"/>
          <w:color w:val="000000"/>
          <w:sz w:val="22"/>
          <w:szCs w:val="22"/>
        </w:rPr>
        <w:t>pBR-</w:t>
      </w:r>
      <w:r w:rsidRPr="00F33FC4">
        <w:rPr>
          <w:rFonts w:eastAsia="Calibri"/>
          <w:i/>
          <w:iCs/>
          <w:color w:val="000000"/>
          <w:sz w:val="22"/>
          <w:szCs w:val="22"/>
        </w:rPr>
        <w:t>zor-orz</w:t>
      </w:r>
      <w:proofErr w:type="spellEnd"/>
      <w:r w:rsidRPr="00F33FC4">
        <w:rPr>
          <w:rFonts w:eastAsia="Calibri"/>
          <w:color w:val="000000"/>
          <w:sz w:val="22"/>
          <w:szCs w:val="22"/>
        </w:rPr>
        <w:t xml:space="preserve"> plasmids grown in Mueller Hinton (</w:t>
      </w:r>
      <w:r w:rsidRPr="00F33FC4">
        <w:rPr>
          <w:rFonts w:eastAsia="Calibri"/>
          <w:i/>
          <w:iCs/>
          <w:color w:val="000000"/>
          <w:sz w:val="22"/>
          <w:szCs w:val="22"/>
        </w:rPr>
        <w:t>n ≥ 3</w:t>
      </w:r>
      <w:r w:rsidRPr="00F33FC4">
        <w:rPr>
          <w:rFonts w:eastAsia="Calibri"/>
          <w:color w:val="000000"/>
          <w:sz w:val="22"/>
          <w:szCs w:val="22"/>
        </w:rPr>
        <w:t>).</w:t>
      </w:r>
    </w:p>
    <w:tbl>
      <w:tblPr>
        <w:tblW w:w="9489" w:type="dxa"/>
        <w:tblLook w:val="04A0" w:firstRow="1" w:lastRow="0" w:firstColumn="1" w:lastColumn="0" w:noHBand="0" w:noVBand="1"/>
      </w:tblPr>
      <w:tblGrid>
        <w:gridCol w:w="2148"/>
        <w:gridCol w:w="938"/>
        <w:gridCol w:w="1352"/>
        <w:gridCol w:w="1382"/>
        <w:gridCol w:w="938"/>
        <w:gridCol w:w="1352"/>
        <w:gridCol w:w="1382"/>
      </w:tblGrid>
      <w:tr w:rsidR="00F33FC4" w:rsidRPr="00F33FC4" w14:paraId="1BB7ACB9" w14:textId="77777777" w:rsidTr="006408A7">
        <w:trPr>
          <w:trHeight w:val="298"/>
        </w:trPr>
        <w:tc>
          <w:tcPr>
            <w:tcW w:w="214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F407287" w14:textId="77777777" w:rsidR="00F33FC4" w:rsidRPr="00F33FC4" w:rsidRDefault="00F33FC4" w:rsidP="00F33FC4">
            <w:pPr>
              <w:spacing w:line="480" w:lineRule="auto"/>
              <w:jc w:val="center"/>
              <w:rPr>
                <w:rFonts w:eastAsia="Calibri"/>
                <w:b/>
                <w:bCs/>
                <w:color w:val="000000"/>
                <w:sz w:val="22"/>
                <w:szCs w:val="22"/>
              </w:rPr>
            </w:pPr>
            <w:r w:rsidRPr="00F33FC4">
              <w:rPr>
                <w:rFonts w:eastAsia="Calibri"/>
                <w:b/>
                <w:bCs/>
                <w:color w:val="000000"/>
                <w:sz w:val="22"/>
                <w:szCs w:val="22"/>
              </w:rPr>
              <w:t>Antibiotic (</w:t>
            </w:r>
            <w:proofErr w:type="spellStart"/>
            <w:r w:rsidRPr="00F33FC4">
              <w:rPr>
                <w:rFonts w:eastAsia="Calibri"/>
                <w:b/>
                <w:bCs/>
                <w:color w:val="000000"/>
                <w:sz w:val="22"/>
                <w:szCs w:val="22"/>
              </w:rPr>
              <w:t>μg</w:t>
            </w:r>
            <w:proofErr w:type="spellEnd"/>
            <w:r w:rsidRPr="00F33FC4">
              <w:rPr>
                <w:rFonts w:eastAsia="Calibri"/>
                <w:b/>
                <w:bCs/>
                <w:color w:val="000000"/>
                <w:sz w:val="22"/>
                <w:szCs w:val="22"/>
              </w:rPr>
              <w:t>/ml)</w:t>
            </w:r>
          </w:p>
        </w:tc>
        <w:tc>
          <w:tcPr>
            <w:tcW w:w="7341" w:type="dxa"/>
            <w:gridSpan w:val="6"/>
            <w:tcBorders>
              <w:top w:val="single" w:sz="4" w:space="0" w:color="auto"/>
              <w:left w:val="nil"/>
              <w:bottom w:val="single" w:sz="4" w:space="0" w:color="auto"/>
              <w:right w:val="single" w:sz="4" w:space="0" w:color="auto"/>
            </w:tcBorders>
            <w:shd w:val="clear" w:color="auto" w:fill="auto"/>
            <w:noWrap/>
            <w:vAlign w:val="center"/>
            <w:hideMark/>
          </w:tcPr>
          <w:p w14:paraId="56768420" w14:textId="77777777" w:rsidR="00F33FC4" w:rsidRPr="00F33FC4" w:rsidRDefault="00F33FC4" w:rsidP="00F33FC4">
            <w:pPr>
              <w:spacing w:line="480" w:lineRule="auto"/>
              <w:jc w:val="center"/>
              <w:rPr>
                <w:rFonts w:eastAsia="Calibri"/>
                <w:b/>
                <w:bCs/>
                <w:color w:val="000000"/>
                <w:sz w:val="22"/>
                <w:szCs w:val="22"/>
              </w:rPr>
            </w:pPr>
            <w:r w:rsidRPr="00F33FC4">
              <w:rPr>
                <w:rFonts w:eastAsia="Calibri"/>
                <w:b/>
                <w:bCs/>
                <w:i/>
                <w:iCs/>
                <w:color w:val="000000"/>
                <w:sz w:val="22"/>
                <w:szCs w:val="22"/>
              </w:rPr>
              <w:t>E. coli</w:t>
            </w:r>
            <w:r w:rsidRPr="00F33FC4">
              <w:rPr>
                <w:rFonts w:eastAsia="Calibri"/>
                <w:b/>
                <w:bCs/>
                <w:color w:val="000000"/>
                <w:sz w:val="22"/>
                <w:szCs w:val="22"/>
              </w:rPr>
              <w:t xml:space="preserve"> UTK007 strain transformed with</w:t>
            </w:r>
          </w:p>
        </w:tc>
      </w:tr>
      <w:tr w:rsidR="00F33FC4" w:rsidRPr="00F33FC4" w14:paraId="59D56F6C" w14:textId="77777777" w:rsidTr="006408A7">
        <w:trPr>
          <w:trHeight w:val="466"/>
        </w:trPr>
        <w:tc>
          <w:tcPr>
            <w:tcW w:w="2148" w:type="dxa"/>
            <w:vMerge/>
            <w:tcBorders>
              <w:top w:val="single" w:sz="4" w:space="0" w:color="auto"/>
              <w:left w:val="single" w:sz="4" w:space="0" w:color="auto"/>
              <w:bottom w:val="single" w:sz="4" w:space="0" w:color="000000"/>
              <w:right w:val="single" w:sz="4" w:space="0" w:color="auto"/>
            </w:tcBorders>
            <w:vAlign w:val="center"/>
            <w:hideMark/>
          </w:tcPr>
          <w:p w14:paraId="7069FAAA" w14:textId="77777777" w:rsidR="00F33FC4" w:rsidRPr="00F33FC4" w:rsidRDefault="00F33FC4" w:rsidP="00F33FC4">
            <w:pPr>
              <w:spacing w:line="480" w:lineRule="auto"/>
              <w:jc w:val="center"/>
              <w:rPr>
                <w:rFonts w:eastAsia="Calibri"/>
                <w:b/>
                <w:bCs/>
                <w:color w:val="000000"/>
                <w:sz w:val="22"/>
                <w:szCs w:val="22"/>
              </w:rPr>
            </w:pPr>
          </w:p>
        </w:tc>
        <w:tc>
          <w:tcPr>
            <w:tcW w:w="3670" w:type="dxa"/>
            <w:gridSpan w:val="3"/>
            <w:tcBorders>
              <w:top w:val="single" w:sz="4" w:space="0" w:color="auto"/>
              <w:left w:val="nil"/>
              <w:bottom w:val="single" w:sz="4" w:space="0" w:color="auto"/>
              <w:right w:val="single" w:sz="4" w:space="0" w:color="auto"/>
            </w:tcBorders>
            <w:shd w:val="clear" w:color="auto" w:fill="auto"/>
            <w:noWrap/>
            <w:vAlign w:val="center"/>
            <w:hideMark/>
          </w:tcPr>
          <w:p w14:paraId="2CC23436" w14:textId="77777777" w:rsidR="00F33FC4" w:rsidRPr="00F33FC4" w:rsidRDefault="00F33FC4" w:rsidP="00F33FC4">
            <w:pPr>
              <w:spacing w:line="480" w:lineRule="auto"/>
              <w:jc w:val="center"/>
              <w:rPr>
                <w:rFonts w:eastAsia="Calibri"/>
                <w:b/>
                <w:bCs/>
                <w:color w:val="000000"/>
                <w:sz w:val="22"/>
                <w:szCs w:val="22"/>
              </w:rPr>
            </w:pPr>
            <w:r w:rsidRPr="00F33FC4">
              <w:rPr>
                <w:rFonts w:eastAsia="Calibri"/>
                <w:b/>
                <w:bCs/>
                <w:color w:val="000000"/>
                <w:sz w:val="22"/>
                <w:szCs w:val="22"/>
              </w:rPr>
              <w:t>pBR322</w:t>
            </w:r>
          </w:p>
        </w:tc>
        <w:tc>
          <w:tcPr>
            <w:tcW w:w="3671" w:type="dxa"/>
            <w:gridSpan w:val="3"/>
            <w:tcBorders>
              <w:top w:val="single" w:sz="4" w:space="0" w:color="auto"/>
              <w:left w:val="nil"/>
              <w:bottom w:val="single" w:sz="4" w:space="0" w:color="auto"/>
              <w:right w:val="single" w:sz="4" w:space="0" w:color="auto"/>
            </w:tcBorders>
            <w:shd w:val="clear" w:color="auto" w:fill="auto"/>
            <w:noWrap/>
            <w:vAlign w:val="center"/>
            <w:hideMark/>
          </w:tcPr>
          <w:p w14:paraId="3159B730" w14:textId="77777777" w:rsidR="00F33FC4" w:rsidRPr="00F33FC4" w:rsidRDefault="00F33FC4" w:rsidP="00F33FC4">
            <w:pPr>
              <w:spacing w:line="480" w:lineRule="auto"/>
              <w:jc w:val="center"/>
              <w:rPr>
                <w:rFonts w:eastAsia="Calibri"/>
                <w:b/>
                <w:bCs/>
                <w:color w:val="000000"/>
                <w:sz w:val="22"/>
                <w:szCs w:val="22"/>
              </w:rPr>
            </w:pPr>
            <w:proofErr w:type="spellStart"/>
            <w:r w:rsidRPr="00F33FC4">
              <w:rPr>
                <w:rFonts w:eastAsia="Calibri"/>
                <w:b/>
                <w:bCs/>
                <w:color w:val="000000"/>
                <w:sz w:val="22"/>
                <w:szCs w:val="22"/>
              </w:rPr>
              <w:t>pBR-</w:t>
            </w:r>
            <w:r w:rsidRPr="00F33FC4">
              <w:rPr>
                <w:rFonts w:eastAsia="Calibri"/>
                <w:b/>
                <w:bCs/>
                <w:i/>
                <w:iCs/>
                <w:color w:val="000000"/>
                <w:sz w:val="22"/>
                <w:szCs w:val="22"/>
              </w:rPr>
              <w:t>zor-orz</w:t>
            </w:r>
            <w:proofErr w:type="spellEnd"/>
          </w:p>
        </w:tc>
      </w:tr>
      <w:tr w:rsidR="00F33FC4" w:rsidRPr="00F33FC4" w14:paraId="5E39F725" w14:textId="77777777" w:rsidTr="006408A7">
        <w:trPr>
          <w:trHeight w:val="732"/>
        </w:trPr>
        <w:tc>
          <w:tcPr>
            <w:tcW w:w="2148" w:type="dxa"/>
            <w:vMerge/>
            <w:tcBorders>
              <w:top w:val="single" w:sz="4" w:space="0" w:color="auto"/>
              <w:left w:val="single" w:sz="4" w:space="0" w:color="auto"/>
              <w:bottom w:val="single" w:sz="4" w:space="0" w:color="000000"/>
              <w:right w:val="single" w:sz="4" w:space="0" w:color="auto"/>
            </w:tcBorders>
            <w:vAlign w:val="center"/>
            <w:hideMark/>
          </w:tcPr>
          <w:p w14:paraId="6C206AE8" w14:textId="77777777" w:rsidR="00F33FC4" w:rsidRPr="00F33FC4" w:rsidRDefault="00F33FC4" w:rsidP="00F33FC4">
            <w:pPr>
              <w:spacing w:line="480" w:lineRule="auto"/>
              <w:jc w:val="center"/>
              <w:rPr>
                <w:rFonts w:eastAsia="Calibri"/>
                <w:b/>
                <w:bCs/>
                <w:color w:val="000000"/>
                <w:sz w:val="22"/>
                <w:szCs w:val="22"/>
              </w:rPr>
            </w:pPr>
          </w:p>
        </w:tc>
        <w:tc>
          <w:tcPr>
            <w:tcW w:w="936" w:type="dxa"/>
            <w:tcBorders>
              <w:top w:val="nil"/>
              <w:left w:val="nil"/>
              <w:bottom w:val="single" w:sz="4" w:space="0" w:color="auto"/>
              <w:right w:val="single" w:sz="4" w:space="0" w:color="auto"/>
            </w:tcBorders>
            <w:shd w:val="clear" w:color="auto" w:fill="auto"/>
            <w:noWrap/>
            <w:vAlign w:val="center"/>
            <w:hideMark/>
          </w:tcPr>
          <w:p w14:paraId="32B23CF8" w14:textId="77777777" w:rsidR="00F33FC4" w:rsidRPr="00F33FC4" w:rsidRDefault="00F33FC4" w:rsidP="00F33FC4">
            <w:pPr>
              <w:jc w:val="center"/>
              <w:rPr>
                <w:rFonts w:eastAsia="Calibri"/>
                <w:color w:val="000000"/>
                <w:sz w:val="22"/>
                <w:szCs w:val="22"/>
              </w:rPr>
            </w:pPr>
            <w:r w:rsidRPr="00F33FC4">
              <w:rPr>
                <w:rFonts w:eastAsia="Calibri"/>
                <w:color w:val="000000"/>
                <w:sz w:val="22"/>
                <w:szCs w:val="22"/>
              </w:rPr>
              <w:t>Median</w:t>
            </w:r>
          </w:p>
        </w:tc>
        <w:tc>
          <w:tcPr>
            <w:tcW w:w="1352" w:type="dxa"/>
            <w:tcBorders>
              <w:top w:val="nil"/>
              <w:left w:val="nil"/>
              <w:bottom w:val="single" w:sz="4" w:space="0" w:color="auto"/>
              <w:right w:val="single" w:sz="4" w:space="0" w:color="auto"/>
            </w:tcBorders>
            <w:shd w:val="clear" w:color="auto" w:fill="auto"/>
            <w:noWrap/>
            <w:vAlign w:val="center"/>
            <w:hideMark/>
          </w:tcPr>
          <w:p w14:paraId="7AD9C524" w14:textId="77777777" w:rsidR="00F33FC4" w:rsidRPr="00F33FC4" w:rsidRDefault="00F33FC4" w:rsidP="00F33FC4">
            <w:pPr>
              <w:rPr>
                <w:rFonts w:eastAsia="Calibri"/>
                <w:color w:val="000000"/>
                <w:sz w:val="22"/>
                <w:szCs w:val="22"/>
              </w:rPr>
            </w:pPr>
            <w:r w:rsidRPr="00F33FC4">
              <w:rPr>
                <w:rFonts w:eastAsia="Calibri"/>
                <w:color w:val="000000"/>
                <w:sz w:val="22"/>
                <w:szCs w:val="22"/>
              </w:rPr>
              <w:t>Upper limit</w:t>
            </w:r>
          </w:p>
        </w:tc>
        <w:tc>
          <w:tcPr>
            <w:tcW w:w="1382" w:type="dxa"/>
            <w:tcBorders>
              <w:top w:val="nil"/>
              <w:left w:val="nil"/>
              <w:bottom w:val="single" w:sz="4" w:space="0" w:color="auto"/>
              <w:right w:val="single" w:sz="4" w:space="0" w:color="auto"/>
            </w:tcBorders>
            <w:shd w:val="clear" w:color="auto" w:fill="auto"/>
            <w:noWrap/>
            <w:vAlign w:val="center"/>
            <w:hideMark/>
          </w:tcPr>
          <w:p w14:paraId="0F6CE81F" w14:textId="77777777" w:rsidR="00F33FC4" w:rsidRPr="00F33FC4" w:rsidRDefault="00F33FC4" w:rsidP="00F33FC4">
            <w:pPr>
              <w:rPr>
                <w:rFonts w:eastAsia="Calibri"/>
                <w:color w:val="000000"/>
                <w:sz w:val="22"/>
                <w:szCs w:val="22"/>
              </w:rPr>
            </w:pPr>
            <w:r w:rsidRPr="00F33FC4">
              <w:rPr>
                <w:rFonts w:eastAsia="Calibri"/>
                <w:color w:val="000000"/>
                <w:sz w:val="22"/>
                <w:szCs w:val="22"/>
              </w:rPr>
              <w:t>Lower limit</w:t>
            </w:r>
          </w:p>
        </w:tc>
        <w:tc>
          <w:tcPr>
            <w:tcW w:w="937" w:type="dxa"/>
            <w:tcBorders>
              <w:top w:val="nil"/>
              <w:left w:val="nil"/>
              <w:bottom w:val="single" w:sz="4" w:space="0" w:color="auto"/>
              <w:right w:val="single" w:sz="4" w:space="0" w:color="auto"/>
            </w:tcBorders>
            <w:shd w:val="clear" w:color="auto" w:fill="auto"/>
            <w:noWrap/>
            <w:vAlign w:val="center"/>
            <w:hideMark/>
          </w:tcPr>
          <w:p w14:paraId="6011B26B" w14:textId="77777777" w:rsidR="00F33FC4" w:rsidRPr="00F33FC4" w:rsidRDefault="00F33FC4" w:rsidP="00F33FC4">
            <w:pPr>
              <w:jc w:val="center"/>
              <w:rPr>
                <w:rFonts w:eastAsia="Calibri"/>
                <w:color w:val="000000"/>
                <w:sz w:val="22"/>
                <w:szCs w:val="22"/>
              </w:rPr>
            </w:pPr>
            <w:r w:rsidRPr="00F33FC4">
              <w:rPr>
                <w:rFonts w:eastAsia="Calibri"/>
                <w:color w:val="000000"/>
                <w:sz w:val="22"/>
                <w:szCs w:val="22"/>
              </w:rPr>
              <w:t>Median</w:t>
            </w:r>
          </w:p>
        </w:tc>
        <w:tc>
          <w:tcPr>
            <w:tcW w:w="1352" w:type="dxa"/>
            <w:tcBorders>
              <w:top w:val="nil"/>
              <w:left w:val="nil"/>
              <w:bottom w:val="single" w:sz="4" w:space="0" w:color="auto"/>
              <w:right w:val="single" w:sz="4" w:space="0" w:color="auto"/>
            </w:tcBorders>
            <w:shd w:val="clear" w:color="auto" w:fill="auto"/>
            <w:noWrap/>
            <w:vAlign w:val="center"/>
            <w:hideMark/>
          </w:tcPr>
          <w:p w14:paraId="21F6A5D0" w14:textId="77777777" w:rsidR="00F33FC4" w:rsidRPr="00F33FC4" w:rsidRDefault="00F33FC4" w:rsidP="00F33FC4">
            <w:pPr>
              <w:rPr>
                <w:rFonts w:eastAsia="Calibri"/>
                <w:color w:val="000000"/>
                <w:sz w:val="22"/>
                <w:szCs w:val="22"/>
              </w:rPr>
            </w:pPr>
            <w:r w:rsidRPr="00F33FC4">
              <w:rPr>
                <w:rFonts w:eastAsia="Calibri"/>
                <w:color w:val="000000"/>
                <w:sz w:val="22"/>
                <w:szCs w:val="22"/>
              </w:rPr>
              <w:t>Upper limit</w:t>
            </w:r>
          </w:p>
        </w:tc>
        <w:tc>
          <w:tcPr>
            <w:tcW w:w="1382" w:type="dxa"/>
            <w:tcBorders>
              <w:top w:val="nil"/>
              <w:left w:val="nil"/>
              <w:bottom w:val="single" w:sz="4" w:space="0" w:color="auto"/>
              <w:right w:val="single" w:sz="4" w:space="0" w:color="auto"/>
            </w:tcBorders>
            <w:shd w:val="clear" w:color="auto" w:fill="auto"/>
            <w:noWrap/>
            <w:vAlign w:val="center"/>
            <w:hideMark/>
          </w:tcPr>
          <w:p w14:paraId="0E43E878" w14:textId="77777777" w:rsidR="00F33FC4" w:rsidRPr="00F33FC4" w:rsidRDefault="00F33FC4" w:rsidP="00F33FC4">
            <w:pPr>
              <w:rPr>
                <w:rFonts w:eastAsia="Calibri"/>
                <w:color w:val="000000"/>
                <w:sz w:val="22"/>
                <w:szCs w:val="22"/>
              </w:rPr>
            </w:pPr>
            <w:r w:rsidRPr="00F33FC4">
              <w:rPr>
                <w:rFonts w:eastAsia="Calibri"/>
                <w:color w:val="000000"/>
                <w:sz w:val="22"/>
                <w:szCs w:val="22"/>
              </w:rPr>
              <w:t>Lower limit</w:t>
            </w:r>
          </w:p>
        </w:tc>
      </w:tr>
      <w:tr w:rsidR="00F33FC4" w:rsidRPr="00F33FC4" w14:paraId="5F6CDB0E" w14:textId="77777777" w:rsidTr="006408A7">
        <w:trPr>
          <w:trHeight w:val="466"/>
        </w:trPr>
        <w:tc>
          <w:tcPr>
            <w:tcW w:w="2148" w:type="dxa"/>
            <w:tcBorders>
              <w:top w:val="nil"/>
              <w:left w:val="single" w:sz="4" w:space="0" w:color="auto"/>
              <w:bottom w:val="single" w:sz="4" w:space="0" w:color="auto"/>
              <w:right w:val="single" w:sz="4" w:space="0" w:color="auto"/>
            </w:tcBorders>
            <w:shd w:val="clear" w:color="auto" w:fill="auto"/>
            <w:noWrap/>
            <w:vAlign w:val="center"/>
            <w:hideMark/>
          </w:tcPr>
          <w:p w14:paraId="70CB1F14" w14:textId="77777777" w:rsidR="00F33FC4" w:rsidRPr="00F33FC4" w:rsidRDefault="00F33FC4" w:rsidP="00F33FC4">
            <w:pPr>
              <w:spacing w:line="480" w:lineRule="auto"/>
              <w:rPr>
                <w:rFonts w:eastAsia="Calibri"/>
                <w:b/>
                <w:bCs/>
                <w:sz w:val="22"/>
                <w:szCs w:val="22"/>
              </w:rPr>
            </w:pPr>
            <w:r w:rsidRPr="00F33FC4">
              <w:rPr>
                <w:rFonts w:eastAsia="Calibri"/>
                <w:b/>
                <w:bCs/>
                <w:sz w:val="22"/>
                <w:szCs w:val="22"/>
              </w:rPr>
              <w:t>Kanamycin</w:t>
            </w:r>
          </w:p>
        </w:tc>
        <w:tc>
          <w:tcPr>
            <w:tcW w:w="936" w:type="dxa"/>
            <w:tcBorders>
              <w:top w:val="nil"/>
              <w:left w:val="nil"/>
              <w:bottom w:val="single" w:sz="4" w:space="0" w:color="auto"/>
              <w:right w:val="single" w:sz="4" w:space="0" w:color="auto"/>
            </w:tcBorders>
            <w:shd w:val="clear" w:color="auto" w:fill="auto"/>
            <w:noWrap/>
            <w:vAlign w:val="center"/>
            <w:hideMark/>
          </w:tcPr>
          <w:p w14:paraId="3B743DE6" w14:textId="77777777" w:rsidR="00F33FC4" w:rsidRPr="00F33FC4" w:rsidRDefault="00F33FC4" w:rsidP="00F33FC4">
            <w:pPr>
              <w:spacing w:line="480" w:lineRule="auto"/>
              <w:jc w:val="center"/>
              <w:rPr>
                <w:rFonts w:eastAsia="Calibri"/>
                <w:sz w:val="22"/>
                <w:szCs w:val="22"/>
              </w:rPr>
            </w:pPr>
            <w:r w:rsidRPr="00F33FC4">
              <w:rPr>
                <w:rFonts w:eastAsia="Calibri"/>
                <w:sz w:val="22"/>
                <w:szCs w:val="22"/>
              </w:rPr>
              <w:t>1.6</w:t>
            </w:r>
          </w:p>
        </w:tc>
        <w:tc>
          <w:tcPr>
            <w:tcW w:w="1352" w:type="dxa"/>
            <w:tcBorders>
              <w:top w:val="nil"/>
              <w:left w:val="nil"/>
              <w:bottom w:val="single" w:sz="4" w:space="0" w:color="auto"/>
              <w:right w:val="single" w:sz="4" w:space="0" w:color="auto"/>
            </w:tcBorders>
            <w:shd w:val="clear" w:color="auto" w:fill="auto"/>
            <w:noWrap/>
            <w:vAlign w:val="center"/>
            <w:hideMark/>
          </w:tcPr>
          <w:p w14:paraId="75776F4D" w14:textId="77777777" w:rsidR="00F33FC4" w:rsidRPr="00F33FC4" w:rsidRDefault="00F33FC4" w:rsidP="00F33FC4">
            <w:pPr>
              <w:spacing w:line="480" w:lineRule="auto"/>
              <w:jc w:val="center"/>
              <w:rPr>
                <w:rFonts w:eastAsia="Calibri"/>
                <w:sz w:val="22"/>
                <w:szCs w:val="22"/>
              </w:rPr>
            </w:pPr>
            <w:r w:rsidRPr="00F33FC4">
              <w:rPr>
                <w:rFonts w:eastAsia="Calibri"/>
                <w:sz w:val="22"/>
                <w:szCs w:val="22"/>
              </w:rPr>
              <w:t>1.6</w:t>
            </w:r>
          </w:p>
        </w:tc>
        <w:tc>
          <w:tcPr>
            <w:tcW w:w="1382" w:type="dxa"/>
            <w:tcBorders>
              <w:top w:val="nil"/>
              <w:left w:val="nil"/>
              <w:bottom w:val="single" w:sz="4" w:space="0" w:color="auto"/>
              <w:right w:val="single" w:sz="4" w:space="0" w:color="auto"/>
            </w:tcBorders>
            <w:shd w:val="clear" w:color="auto" w:fill="auto"/>
            <w:noWrap/>
            <w:vAlign w:val="center"/>
            <w:hideMark/>
          </w:tcPr>
          <w:p w14:paraId="01F5D982" w14:textId="77777777" w:rsidR="00F33FC4" w:rsidRPr="00F33FC4" w:rsidRDefault="00F33FC4" w:rsidP="00F33FC4">
            <w:pPr>
              <w:spacing w:line="480" w:lineRule="auto"/>
              <w:jc w:val="center"/>
              <w:rPr>
                <w:rFonts w:eastAsia="Calibri"/>
                <w:sz w:val="22"/>
                <w:szCs w:val="22"/>
              </w:rPr>
            </w:pPr>
            <w:r w:rsidRPr="00F33FC4">
              <w:rPr>
                <w:rFonts w:eastAsia="Calibri"/>
                <w:sz w:val="22"/>
                <w:szCs w:val="22"/>
              </w:rPr>
              <w:t>0.8</w:t>
            </w:r>
          </w:p>
        </w:tc>
        <w:tc>
          <w:tcPr>
            <w:tcW w:w="937" w:type="dxa"/>
            <w:tcBorders>
              <w:top w:val="nil"/>
              <w:left w:val="nil"/>
              <w:bottom w:val="single" w:sz="4" w:space="0" w:color="auto"/>
              <w:right w:val="single" w:sz="4" w:space="0" w:color="auto"/>
            </w:tcBorders>
            <w:shd w:val="clear" w:color="auto" w:fill="auto"/>
            <w:noWrap/>
            <w:vAlign w:val="center"/>
            <w:hideMark/>
          </w:tcPr>
          <w:p w14:paraId="4FA5FF81" w14:textId="77777777" w:rsidR="00F33FC4" w:rsidRPr="00F33FC4" w:rsidRDefault="00F33FC4" w:rsidP="00F33FC4">
            <w:pPr>
              <w:spacing w:line="480" w:lineRule="auto"/>
              <w:jc w:val="center"/>
              <w:rPr>
                <w:rFonts w:eastAsia="Calibri"/>
                <w:sz w:val="22"/>
                <w:szCs w:val="22"/>
              </w:rPr>
            </w:pPr>
            <w:r w:rsidRPr="00F33FC4">
              <w:rPr>
                <w:rFonts w:eastAsia="Calibri"/>
                <w:sz w:val="22"/>
                <w:szCs w:val="22"/>
              </w:rPr>
              <w:t>6.4</w:t>
            </w:r>
          </w:p>
        </w:tc>
        <w:tc>
          <w:tcPr>
            <w:tcW w:w="1352" w:type="dxa"/>
            <w:tcBorders>
              <w:top w:val="nil"/>
              <w:left w:val="nil"/>
              <w:bottom w:val="single" w:sz="4" w:space="0" w:color="auto"/>
              <w:right w:val="single" w:sz="4" w:space="0" w:color="auto"/>
            </w:tcBorders>
            <w:shd w:val="clear" w:color="auto" w:fill="auto"/>
            <w:noWrap/>
            <w:vAlign w:val="center"/>
            <w:hideMark/>
          </w:tcPr>
          <w:p w14:paraId="2E47E94F" w14:textId="77777777" w:rsidR="00F33FC4" w:rsidRPr="00F33FC4" w:rsidRDefault="00F33FC4" w:rsidP="00F33FC4">
            <w:pPr>
              <w:spacing w:line="480" w:lineRule="auto"/>
              <w:jc w:val="center"/>
              <w:rPr>
                <w:rFonts w:eastAsia="Calibri"/>
                <w:sz w:val="22"/>
                <w:szCs w:val="22"/>
              </w:rPr>
            </w:pPr>
            <w:r w:rsidRPr="00F33FC4">
              <w:rPr>
                <w:rFonts w:eastAsia="Calibri"/>
                <w:sz w:val="22"/>
                <w:szCs w:val="22"/>
              </w:rPr>
              <w:t>6.4</w:t>
            </w:r>
          </w:p>
        </w:tc>
        <w:tc>
          <w:tcPr>
            <w:tcW w:w="1382" w:type="dxa"/>
            <w:tcBorders>
              <w:top w:val="nil"/>
              <w:left w:val="nil"/>
              <w:bottom w:val="single" w:sz="4" w:space="0" w:color="auto"/>
              <w:right w:val="single" w:sz="4" w:space="0" w:color="auto"/>
            </w:tcBorders>
            <w:shd w:val="clear" w:color="auto" w:fill="auto"/>
            <w:noWrap/>
            <w:vAlign w:val="center"/>
            <w:hideMark/>
          </w:tcPr>
          <w:p w14:paraId="17CE4655" w14:textId="77777777" w:rsidR="00F33FC4" w:rsidRPr="00F33FC4" w:rsidRDefault="00F33FC4" w:rsidP="00F33FC4">
            <w:pPr>
              <w:spacing w:line="480" w:lineRule="auto"/>
              <w:jc w:val="center"/>
              <w:rPr>
                <w:rFonts w:eastAsia="Calibri"/>
                <w:sz w:val="22"/>
                <w:szCs w:val="22"/>
              </w:rPr>
            </w:pPr>
            <w:r w:rsidRPr="00F33FC4">
              <w:rPr>
                <w:rFonts w:eastAsia="Calibri"/>
                <w:sz w:val="22"/>
                <w:szCs w:val="22"/>
              </w:rPr>
              <w:t>3.2</w:t>
            </w:r>
          </w:p>
        </w:tc>
      </w:tr>
      <w:tr w:rsidR="00F33FC4" w:rsidRPr="00F33FC4" w14:paraId="38312775" w14:textId="77777777" w:rsidTr="006408A7">
        <w:trPr>
          <w:trHeight w:val="466"/>
        </w:trPr>
        <w:tc>
          <w:tcPr>
            <w:tcW w:w="2148" w:type="dxa"/>
            <w:tcBorders>
              <w:top w:val="nil"/>
              <w:left w:val="single" w:sz="4" w:space="0" w:color="auto"/>
              <w:bottom w:val="single" w:sz="4" w:space="0" w:color="auto"/>
              <w:right w:val="single" w:sz="4" w:space="0" w:color="auto"/>
            </w:tcBorders>
            <w:shd w:val="clear" w:color="auto" w:fill="auto"/>
            <w:noWrap/>
            <w:vAlign w:val="center"/>
            <w:hideMark/>
          </w:tcPr>
          <w:p w14:paraId="6E1CA06B" w14:textId="77777777" w:rsidR="00F33FC4" w:rsidRPr="00F33FC4" w:rsidRDefault="00F33FC4" w:rsidP="00F33FC4">
            <w:pPr>
              <w:spacing w:line="480" w:lineRule="auto"/>
              <w:rPr>
                <w:rFonts w:eastAsia="Calibri"/>
                <w:b/>
                <w:bCs/>
                <w:sz w:val="22"/>
                <w:szCs w:val="22"/>
              </w:rPr>
            </w:pPr>
            <w:r w:rsidRPr="00F33FC4">
              <w:rPr>
                <w:rFonts w:eastAsia="Calibri"/>
                <w:b/>
                <w:bCs/>
                <w:sz w:val="22"/>
                <w:szCs w:val="22"/>
              </w:rPr>
              <w:t>Gentamicin</w:t>
            </w:r>
          </w:p>
        </w:tc>
        <w:tc>
          <w:tcPr>
            <w:tcW w:w="936" w:type="dxa"/>
            <w:tcBorders>
              <w:top w:val="nil"/>
              <w:left w:val="nil"/>
              <w:bottom w:val="single" w:sz="4" w:space="0" w:color="auto"/>
              <w:right w:val="single" w:sz="4" w:space="0" w:color="auto"/>
            </w:tcBorders>
            <w:shd w:val="clear" w:color="auto" w:fill="auto"/>
            <w:noWrap/>
            <w:vAlign w:val="center"/>
            <w:hideMark/>
          </w:tcPr>
          <w:p w14:paraId="5B431E22" w14:textId="77777777" w:rsidR="00F33FC4" w:rsidRPr="00F33FC4" w:rsidRDefault="00F33FC4" w:rsidP="00F33FC4">
            <w:pPr>
              <w:spacing w:line="480" w:lineRule="auto"/>
              <w:jc w:val="center"/>
              <w:rPr>
                <w:rFonts w:eastAsia="Calibri"/>
                <w:sz w:val="22"/>
                <w:szCs w:val="22"/>
              </w:rPr>
            </w:pPr>
            <w:r w:rsidRPr="00F33FC4">
              <w:rPr>
                <w:rFonts w:eastAsia="Calibri"/>
                <w:sz w:val="22"/>
                <w:szCs w:val="22"/>
              </w:rPr>
              <w:t>0.4</w:t>
            </w:r>
          </w:p>
        </w:tc>
        <w:tc>
          <w:tcPr>
            <w:tcW w:w="1352" w:type="dxa"/>
            <w:tcBorders>
              <w:top w:val="nil"/>
              <w:left w:val="nil"/>
              <w:bottom w:val="single" w:sz="4" w:space="0" w:color="auto"/>
              <w:right w:val="single" w:sz="4" w:space="0" w:color="auto"/>
            </w:tcBorders>
            <w:shd w:val="clear" w:color="auto" w:fill="auto"/>
            <w:noWrap/>
            <w:vAlign w:val="center"/>
            <w:hideMark/>
          </w:tcPr>
          <w:p w14:paraId="38E7E288" w14:textId="77777777" w:rsidR="00F33FC4" w:rsidRPr="00F33FC4" w:rsidRDefault="00F33FC4" w:rsidP="00F33FC4">
            <w:pPr>
              <w:spacing w:line="480" w:lineRule="auto"/>
              <w:jc w:val="center"/>
              <w:rPr>
                <w:rFonts w:eastAsia="Calibri"/>
                <w:sz w:val="22"/>
                <w:szCs w:val="22"/>
              </w:rPr>
            </w:pPr>
            <w:r w:rsidRPr="00F33FC4">
              <w:rPr>
                <w:rFonts w:eastAsia="Calibri"/>
                <w:sz w:val="22"/>
                <w:szCs w:val="22"/>
              </w:rPr>
              <w:t>0.4</w:t>
            </w:r>
          </w:p>
        </w:tc>
        <w:tc>
          <w:tcPr>
            <w:tcW w:w="1382" w:type="dxa"/>
            <w:tcBorders>
              <w:top w:val="nil"/>
              <w:left w:val="nil"/>
              <w:bottom w:val="single" w:sz="4" w:space="0" w:color="auto"/>
              <w:right w:val="single" w:sz="4" w:space="0" w:color="auto"/>
            </w:tcBorders>
            <w:shd w:val="clear" w:color="auto" w:fill="auto"/>
            <w:noWrap/>
            <w:vAlign w:val="center"/>
            <w:hideMark/>
          </w:tcPr>
          <w:p w14:paraId="32EA4FA0" w14:textId="77777777" w:rsidR="00F33FC4" w:rsidRPr="00F33FC4" w:rsidRDefault="00F33FC4" w:rsidP="00F33FC4">
            <w:pPr>
              <w:spacing w:line="480" w:lineRule="auto"/>
              <w:jc w:val="center"/>
              <w:rPr>
                <w:rFonts w:eastAsia="Calibri"/>
                <w:sz w:val="22"/>
                <w:szCs w:val="22"/>
              </w:rPr>
            </w:pPr>
            <w:r w:rsidRPr="00F33FC4">
              <w:rPr>
                <w:rFonts w:eastAsia="Calibri"/>
                <w:sz w:val="22"/>
                <w:szCs w:val="22"/>
              </w:rPr>
              <w:t>0.4</w:t>
            </w:r>
          </w:p>
        </w:tc>
        <w:tc>
          <w:tcPr>
            <w:tcW w:w="937" w:type="dxa"/>
            <w:tcBorders>
              <w:top w:val="nil"/>
              <w:left w:val="nil"/>
              <w:bottom w:val="single" w:sz="4" w:space="0" w:color="auto"/>
              <w:right w:val="single" w:sz="4" w:space="0" w:color="auto"/>
            </w:tcBorders>
            <w:shd w:val="clear" w:color="auto" w:fill="auto"/>
            <w:noWrap/>
            <w:vAlign w:val="center"/>
            <w:hideMark/>
          </w:tcPr>
          <w:p w14:paraId="61FD8D42" w14:textId="77777777" w:rsidR="00F33FC4" w:rsidRPr="00F33FC4" w:rsidRDefault="00F33FC4" w:rsidP="00F33FC4">
            <w:pPr>
              <w:spacing w:line="480" w:lineRule="auto"/>
              <w:jc w:val="center"/>
              <w:rPr>
                <w:rFonts w:eastAsia="Calibri"/>
                <w:sz w:val="22"/>
                <w:szCs w:val="22"/>
              </w:rPr>
            </w:pPr>
            <w:r w:rsidRPr="00F33FC4">
              <w:rPr>
                <w:rFonts w:eastAsia="Calibri"/>
                <w:sz w:val="22"/>
                <w:szCs w:val="22"/>
              </w:rPr>
              <w:t>0.8</w:t>
            </w:r>
          </w:p>
        </w:tc>
        <w:tc>
          <w:tcPr>
            <w:tcW w:w="1352" w:type="dxa"/>
            <w:tcBorders>
              <w:top w:val="nil"/>
              <w:left w:val="nil"/>
              <w:bottom w:val="single" w:sz="4" w:space="0" w:color="auto"/>
              <w:right w:val="single" w:sz="4" w:space="0" w:color="auto"/>
            </w:tcBorders>
            <w:shd w:val="clear" w:color="auto" w:fill="auto"/>
            <w:noWrap/>
            <w:vAlign w:val="center"/>
            <w:hideMark/>
          </w:tcPr>
          <w:p w14:paraId="5720F88A" w14:textId="77777777" w:rsidR="00F33FC4" w:rsidRPr="00F33FC4" w:rsidRDefault="00F33FC4" w:rsidP="00F33FC4">
            <w:pPr>
              <w:spacing w:line="480" w:lineRule="auto"/>
              <w:jc w:val="center"/>
              <w:rPr>
                <w:rFonts w:eastAsia="Calibri"/>
                <w:sz w:val="22"/>
                <w:szCs w:val="22"/>
              </w:rPr>
            </w:pPr>
            <w:r w:rsidRPr="00F33FC4">
              <w:rPr>
                <w:rFonts w:eastAsia="Calibri"/>
                <w:sz w:val="22"/>
                <w:szCs w:val="22"/>
              </w:rPr>
              <w:t>1.6</w:t>
            </w:r>
          </w:p>
        </w:tc>
        <w:tc>
          <w:tcPr>
            <w:tcW w:w="1382" w:type="dxa"/>
            <w:tcBorders>
              <w:top w:val="nil"/>
              <w:left w:val="nil"/>
              <w:bottom w:val="single" w:sz="4" w:space="0" w:color="auto"/>
              <w:right w:val="single" w:sz="4" w:space="0" w:color="auto"/>
            </w:tcBorders>
            <w:shd w:val="clear" w:color="auto" w:fill="auto"/>
            <w:noWrap/>
            <w:vAlign w:val="center"/>
            <w:hideMark/>
          </w:tcPr>
          <w:p w14:paraId="26EB9EA0" w14:textId="77777777" w:rsidR="00F33FC4" w:rsidRPr="00F33FC4" w:rsidRDefault="00F33FC4" w:rsidP="00F33FC4">
            <w:pPr>
              <w:spacing w:line="480" w:lineRule="auto"/>
              <w:jc w:val="center"/>
              <w:rPr>
                <w:rFonts w:eastAsia="Calibri"/>
                <w:sz w:val="22"/>
                <w:szCs w:val="22"/>
              </w:rPr>
            </w:pPr>
            <w:r w:rsidRPr="00F33FC4">
              <w:rPr>
                <w:rFonts w:eastAsia="Calibri"/>
                <w:sz w:val="22"/>
                <w:szCs w:val="22"/>
              </w:rPr>
              <w:t>0.8</w:t>
            </w:r>
          </w:p>
        </w:tc>
      </w:tr>
      <w:tr w:rsidR="00F33FC4" w:rsidRPr="00F33FC4" w14:paraId="62C6C011" w14:textId="77777777" w:rsidTr="006408A7">
        <w:trPr>
          <w:trHeight w:val="466"/>
        </w:trPr>
        <w:tc>
          <w:tcPr>
            <w:tcW w:w="2148" w:type="dxa"/>
            <w:tcBorders>
              <w:top w:val="nil"/>
              <w:left w:val="single" w:sz="4" w:space="0" w:color="auto"/>
              <w:bottom w:val="single" w:sz="4" w:space="0" w:color="auto"/>
              <w:right w:val="single" w:sz="4" w:space="0" w:color="auto"/>
            </w:tcBorders>
            <w:shd w:val="clear" w:color="auto" w:fill="auto"/>
            <w:noWrap/>
            <w:vAlign w:val="center"/>
            <w:hideMark/>
          </w:tcPr>
          <w:p w14:paraId="50C38A58" w14:textId="77777777" w:rsidR="00F33FC4" w:rsidRPr="00F33FC4" w:rsidRDefault="00F33FC4" w:rsidP="00F33FC4">
            <w:pPr>
              <w:spacing w:line="480" w:lineRule="auto"/>
              <w:rPr>
                <w:rFonts w:eastAsia="Calibri"/>
                <w:b/>
                <w:bCs/>
                <w:sz w:val="22"/>
                <w:szCs w:val="22"/>
              </w:rPr>
            </w:pPr>
            <w:r w:rsidRPr="00F33FC4">
              <w:rPr>
                <w:rFonts w:eastAsia="Calibri"/>
                <w:b/>
                <w:bCs/>
                <w:sz w:val="22"/>
                <w:szCs w:val="22"/>
              </w:rPr>
              <w:t>Chloramphenicol</w:t>
            </w:r>
          </w:p>
        </w:tc>
        <w:tc>
          <w:tcPr>
            <w:tcW w:w="936" w:type="dxa"/>
            <w:tcBorders>
              <w:top w:val="nil"/>
              <w:left w:val="nil"/>
              <w:bottom w:val="single" w:sz="4" w:space="0" w:color="auto"/>
              <w:right w:val="single" w:sz="4" w:space="0" w:color="auto"/>
            </w:tcBorders>
            <w:shd w:val="clear" w:color="auto" w:fill="auto"/>
            <w:noWrap/>
            <w:vAlign w:val="center"/>
            <w:hideMark/>
          </w:tcPr>
          <w:p w14:paraId="789F3FCF" w14:textId="77777777" w:rsidR="00F33FC4" w:rsidRPr="00F33FC4" w:rsidRDefault="00F33FC4" w:rsidP="00F33FC4">
            <w:pPr>
              <w:spacing w:line="480" w:lineRule="auto"/>
              <w:jc w:val="center"/>
              <w:rPr>
                <w:rFonts w:eastAsia="Calibri"/>
                <w:sz w:val="22"/>
                <w:szCs w:val="22"/>
              </w:rPr>
            </w:pPr>
            <w:r w:rsidRPr="00F33FC4">
              <w:rPr>
                <w:rFonts w:eastAsia="Calibri"/>
                <w:sz w:val="22"/>
                <w:szCs w:val="22"/>
              </w:rPr>
              <w:t>6.4</w:t>
            </w:r>
          </w:p>
        </w:tc>
        <w:tc>
          <w:tcPr>
            <w:tcW w:w="1352" w:type="dxa"/>
            <w:tcBorders>
              <w:top w:val="nil"/>
              <w:left w:val="nil"/>
              <w:bottom w:val="single" w:sz="4" w:space="0" w:color="auto"/>
              <w:right w:val="single" w:sz="4" w:space="0" w:color="auto"/>
            </w:tcBorders>
            <w:shd w:val="clear" w:color="auto" w:fill="auto"/>
            <w:noWrap/>
            <w:vAlign w:val="center"/>
            <w:hideMark/>
          </w:tcPr>
          <w:p w14:paraId="105FF358" w14:textId="77777777" w:rsidR="00F33FC4" w:rsidRPr="00F33FC4" w:rsidRDefault="00F33FC4" w:rsidP="00F33FC4">
            <w:pPr>
              <w:spacing w:line="480" w:lineRule="auto"/>
              <w:jc w:val="center"/>
              <w:rPr>
                <w:rFonts w:eastAsia="Calibri"/>
                <w:sz w:val="22"/>
                <w:szCs w:val="22"/>
              </w:rPr>
            </w:pPr>
            <w:r w:rsidRPr="00F33FC4">
              <w:rPr>
                <w:rFonts w:eastAsia="Calibri"/>
                <w:sz w:val="22"/>
                <w:szCs w:val="22"/>
              </w:rPr>
              <w:t>6.4</w:t>
            </w:r>
          </w:p>
        </w:tc>
        <w:tc>
          <w:tcPr>
            <w:tcW w:w="1382" w:type="dxa"/>
            <w:tcBorders>
              <w:top w:val="nil"/>
              <w:left w:val="nil"/>
              <w:bottom w:val="single" w:sz="4" w:space="0" w:color="auto"/>
              <w:right w:val="single" w:sz="4" w:space="0" w:color="auto"/>
            </w:tcBorders>
            <w:shd w:val="clear" w:color="auto" w:fill="auto"/>
            <w:noWrap/>
            <w:vAlign w:val="center"/>
            <w:hideMark/>
          </w:tcPr>
          <w:p w14:paraId="4C073648" w14:textId="77777777" w:rsidR="00F33FC4" w:rsidRPr="00F33FC4" w:rsidRDefault="00F33FC4" w:rsidP="00F33FC4">
            <w:pPr>
              <w:spacing w:line="480" w:lineRule="auto"/>
              <w:jc w:val="center"/>
              <w:rPr>
                <w:rFonts w:eastAsia="Calibri"/>
                <w:sz w:val="22"/>
                <w:szCs w:val="22"/>
              </w:rPr>
            </w:pPr>
            <w:r w:rsidRPr="00F33FC4">
              <w:rPr>
                <w:rFonts w:eastAsia="Calibri"/>
                <w:sz w:val="22"/>
                <w:szCs w:val="22"/>
              </w:rPr>
              <w:t>6.4</w:t>
            </w:r>
          </w:p>
        </w:tc>
        <w:tc>
          <w:tcPr>
            <w:tcW w:w="937" w:type="dxa"/>
            <w:tcBorders>
              <w:top w:val="nil"/>
              <w:left w:val="nil"/>
              <w:bottom w:val="single" w:sz="4" w:space="0" w:color="auto"/>
              <w:right w:val="single" w:sz="4" w:space="0" w:color="auto"/>
            </w:tcBorders>
            <w:shd w:val="clear" w:color="auto" w:fill="auto"/>
            <w:noWrap/>
            <w:vAlign w:val="center"/>
            <w:hideMark/>
          </w:tcPr>
          <w:p w14:paraId="4BBA54A7" w14:textId="77777777" w:rsidR="00F33FC4" w:rsidRPr="00F33FC4" w:rsidRDefault="00F33FC4" w:rsidP="00F33FC4">
            <w:pPr>
              <w:spacing w:line="480" w:lineRule="auto"/>
              <w:jc w:val="center"/>
              <w:rPr>
                <w:rFonts w:eastAsia="Calibri"/>
                <w:sz w:val="22"/>
                <w:szCs w:val="22"/>
              </w:rPr>
            </w:pPr>
            <w:r w:rsidRPr="00F33FC4">
              <w:rPr>
                <w:rFonts w:eastAsia="Calibri"/>
                <w:sz w:val="22"/>
                <w:szCs w:val="22"/>
              </w:rPr>
              <w:t>6.4</w:t>
            </w:r>
          </w:p>
        </w:tc>
        <w:tc>
          <w:tcPr>
            <w:tcW w:w="1352" w:type="dxa"/>
            <w:tcBorders>
              <w:top w:val="nil"/>
              <w:left w:val="nil"/>
              <w:bottom w:val="single" w:sz="4" w:space="0" w:color="auto"/>
              <w:right w:val="single" w:sz="4" w:space="0" w:color="auto"/>
            </w:tcBorders>
            <w:shd w:val="clear" w:color="auto" w:fill="auto"/>
            <w:noWrap/>
            <w:vAlign w:val="center"/>
            <w:hideMark/>
          </w:tcPr>
          <w:p w14:paraId="464E651B" w14:textId="77777777" w:rsidR="00F33FC4" w:rsidRPr="00F33FC4" w:rsidRDefault="00F33FC4" w:rsidP="00F33FC4">
            <w:pPr>
              <w:spacing w:line="480" w:lineRule="auto"/>
              <w:jc w:val="center"/>
              <w:rPr>
                <w:rFonts w:eastAsia="Calibri"/>
                <w:sz w:val="22"/>
                <w:szCs w:val="22"/>
              </w:rPr>
            </w:pPr>
            <w:r w:rsidRPr="00F33FC4">
              <w:rPr>
                <w:rFonts w:eastAsia="Calibri"/>
                <w:sz w:val="22"/>
                <w:szCs w:val="22"/>
              </w:rPr>
              <w:t>6.4</w:t>
            </w:r>
          </w:p>
        </w:tc>
        <w:tc>
          <w:tcPr>
            <w:tcW w:w="1382" w:type="dxa"/>
            <w:tcBorders>
              <w:top w:val="nil"/>
              <w:left w:val="nil"/>
              <w:bottom w:val="single" w:sz="4" w:space="0" w:color="auto"/>
              <w:right w:val="single" w:sz="4" w:space="0" w:color="auto"/>
            </w:tcBorders>
            <w:shd w:val="clear" w:color="auto" w:fill="auto"/>
            <w:noWrap/>
            <w:vAlign w:val="center"/>
            <w:hideMark/>
          </w:tcPr>
          <w:p w14:paraId="48899FDD" w14:textId="77777777" w:rsidR="00F33FC4" w:rsidRPr="00F33FC4" w:rsidRDefault="00F33FC4" w:rsidP="00F33FC4">
            <w:pPr>
              <w:spacing w:line="480" w:lineRule="auto"/>
              <w:jc w:val="center"/>
              <w:rPr>
                <w:rFonts w:eastAsia="Calibri"/>
                <w:sz w:val="22"/>
                <w:szCs w:val="22"/>
              </w:rPr>
            </w:pPr>
            <w:r w:rsidRPr="00F33FC4">
              <w:rPr>
                <w:rFonts w:eastAsia="Calibri"/>
                <w:sz w:val="22"/>
                <w:szCs w:val="22"/>
              </w:rPr>
              <w:t>6.4</w:t>
            </w:r>
          </w:p>
        </w:tc>
      </w:tr>
      <w:tr w:rsidR="00F33FC4" w:rsidRPr="00F33FC4" w14:paraId="3962F51D" w14:textId="77777777" w:rsidTr="006408A7">
        <w:trPr>
          <w:trHeight w:val="466"/>
        </w:trPr>
        <w:tc>
          <w:tcPr>
            <w:tcW w:w="2148" w:type="dxa"/>
            <w:tcBorders>
              <w:top w:val="nil"/>
              <w:left w:val="single" w:sz="4" w:space="0" w:color="auto"/>
              <w:bottom w:val="single" w:sz="4" w:space="0" w:color="auto"/>
              <w:right w:val="single" w:sz="4" w:space="0" w:color="auto"/>
            </w:tcBorders>
            <w:shd w:val="clear" w:color="auto" w:fill="auto"/>
            <w:noWrap/>
            <w:vAlign w:val="center"/>
            <w:hideMark/>
          </w:tcPr>
          <w:p w14:paraId="7DC343C2" w14:textId="77777777" w:rsidR="00F33FC4" w:rsidRPr="00F33FC4" w:rsidRDefault="00F33FC4" w:rsidP="00F33FC4">
            <w:pPr>
              <w:spacing w:line="480" w:lineRule="auto"/>
              <w:rPr>
                <w:rFonts w:eastAsia="Calibri"/>
                <w:b/>
                <w:bCs/>
                <w:sz w:val="22"/>
                <w:szCs w:val="22"/>
              </w:rPr>
            </w:pPr>
            <w:r w:rsidRPr="00F33FC4">
              <w:rPr>
                <w:rFonts w:eastAsia="Calibri"/>
                <w:b/>
                <w:bCs/>
                <w:sz w:val="22"/>
                <w:szCs w:val="22"/>
              </w:rPr>
              <w:t>Ciprofloxacin</w:t>
            </w:r>
          </w:p>
        </w:tc>
        <w:tc>
          <w:tcPr>
            <w:tcW w:w="936" w:type="dxa"/>
            <w:tcBorders>
              <w:top w:val="nil"/>
              <w:left w:val="nil"/>
              <w:bottom w:val="single" w:sz="4" w:space="0" w:color="auto"/>
              <w:right w:val="single" w:sz="4" w:space="0" w:color="auto"/>
            </w:tcBorders>
            <w:shd w:val="clear" w:color="auto" w:fill="auto"/>
            <w:noWrap/>
            <w:vAlign w:val="center"/>
            <w:hideMark/>
          </w:tcPr>
          <w:p w14:paraId="470B65C8" w14:textId="77777777" w:rsidR="00F33FC4" w:rsidRPr="00F33FC4" w:rsidRDefault="00F33FC4" w:rsidP="00F33FC4">
            <w:pPr>
              <w:spacing w:line="480" w:lineRule="auto"/>
              <w:jc w:val="center"/>
              <w:rPr>
                <w:rFonts w:eastAsia="Calibri"/>
                <w:sz w:val="22"/>
                <w:szCs w:val="22"/>
              </w:rPr>
            </w:pPr>
            <w:r w:rsidRPr="00F33FC4">
              <w:rPr>
                <w:rFonts w:eastAsia="Calibri"/>
                <w:sz w:val="22"/>
                <w:szCs w:val="22"/>
              </w:rPr>
              <w:t>0.02</w:t>
            </w:r>
          </w:p>
        </w:tc>
        <w:tc>
          <w:tcPr>
            <w:tcW w:w="1352" w:type="dxa"/>
            <w:tcBorders>
              <w:top w:val="nil"/>
              <w:left w:val="nil"/>
              <w:bottom w:val="single" w:sz="4" w:space="0" w:color="auto"/>
              <w:right w:val="single" w:sz="4" w:space="0" w:color="auto"/>
            </w:tcBorders>
            <w:shd w:val="clear" w:color="auto" w:fill="auto"/>
            <w:noWrap/>
            <w:vAlign w:val="center"/>
            <w:hideMark/>
          </w:tcPr>
          <w:p w14:paraId="1B4C90AF" w14:textId="77777777" w:rsidR="00F33FC4" w:rsidRPr="00F33FC4" w:rsidRDefault="00F33FC4" w:rsidP="00F33FC4">
            <w:pPr>
              <w:spacing w:line="480" w:lineRule="auto"/>
              <w:jc w:val="center"/>
              <w:rPr>
                <w:rFonts w:eastAsia="Calibri"/>
                <w:sz w:val="22"/>
                <w:szCs w:val="22"/>
              </w:rPr>
            </w:pPr>
            <w:r w:rsidRPr="00F33FC4">
              <w:rPr>
                <w:rFonts w:eastAsia="Calibri"/>
                <w:sz w:val="22"/>
                <w:szCs w:val="22"/>
              </w:rPr>
              <w:t>0.02</w:t>
            </w:r>
          </w:p>
        </w:tc>
        <w:tc>
          <w:tcPr>
            <w:tcW w:w="1382" w:type="dxa"/>
            <w:tcBorders>
              <w:top w:val="nil"/>
              <w:left w:val="nil"/>
              <w:bottom w:val="single" w:sz="4" w:space="0" w:color="auto"/>
              <w:right w:val="single" w:sz="4" w:space="0" w:color="auto"/>
            </w:tcBorders>
            <w:shd w:val="clear" w:color="auto" w:fill="auto"/>
            <w:noWrap/>
            <w:vAlign w:val="center"/>
            <w:hideMark/>
          </w:tcPr>
          <w:p w14:paraId="63575A0C" w14:textId="77777777" w:rsidR="00F33FC4" w:rsidRPr="00F33FC4" w:rsidRDefault="00F33FC4" w:rsidP="00F33FC4">
            <w:pPr>
              <w:spacing w:line="480" w:lineRule="auto"/>
              <w:jc w:val="center"/>
              <w:rPr>
                <w:rFonts w:eastAsia="Calibri"/>
                <w:sz w:val="22"/>
                <w:szCs w:val="22"/>
              </w:rPr>
            </w:pPr>
            <w:r w:rsidRPr="00F33FC4">
              <w:rPr>
                <w:rFonts w:eastAsia="Calibri"/>
                <w:sz w:val="22"/>
                <w:szCs w:val="22"/>
              </w:rPr>
              <w:t>0.02</w:t>
            </w:r>
          </w:p>
        </w:tc>
        <w:tc>
          <w:tcPr>
            <w:tcW w:w="937" w:type="dxa"/>
            <w:tcBorders>
              <w:top w:val="nil"/>
              <w:left w:val="nil"/>
              <w:bottom w:val="single" w:sz="4" w:space="0" w:color="auto"/>
              <w:right w:val="single" w:sz="4" w:space="0" w:color="auto"/>
            </w:tcBorders>
            <w:shd w:val="clear" w:color="auto" w:fill="auto"/>
            <w:noWrap/>
            <w:vAlign w:val="center"/>
            <w:hideMark/>
          </w:tcPr>
          <w:p w14:paraId="29265B59" w14:textId="77777777" w:rsidR="00F33FC4" w:rsidRPr="00F33FC4" w:rsidRDefault="00F33FC4" w:rsidP="00F33FC4">
            <w:pPr>
              <w:spacing w:line="480" w:lineRule="auto"/>
              <w:jc w:val="center"/>
              <w:rPr>
                <w:rFonts w:eastAsia="Calibri"/>
                <w:sz w:val="22"/>
                <w:szCs w:val="22"/>
              </w:rPr>
            </w:pPr>
            <w:r w:rsidRPr="00F33FC4">
              <w:rPr>
                <w:rFonts w:eastAsia="Calibri"/>
                <w:sz w:val="22"/>
                <w:szCs w:val="22"/>
              </w:rPr>
              <w:t>0.02</w:t>
            </w:r>
          </w:p>
        </w:tc>
        <w:tc>
          <w:tcPr>
            <w:tcW w:w="1352" w:type="dxa"/>
            <w:tcBorders>
              <w:top w:val="nil"/>
              <w:left w:val="nil"/>
              <w:bottom w:val="single" w:sz="4" w:space="0" w:color="auto"/>
              <w:right w:val="single" w:sz="4" w:space="0" w:color="auto"/>
            </w:tcBorders>
            <w:shd w:val="clear" w:color="auto" w:fill="auto"/>
            <w:noWrap/>
            <w:vAlign w:val="center"/>
            <w:hideMark/>
          </w:tcPr>
          <w:p w14:paraId="3F8B28C5" w14:textId="77777777" w:rsidR="00F33FC4" w:rsidRPr="00F33FC4" w:rsidRDefault="00F33FC4" w:rsidP="00F33FC4">
            <w:pPr>
              <w:spacing w:line="480" w:lineRule="auto"/>
              <w:jc w:val="center"/>
              <w:rPr>
                <w:rFonts w:eastAsia="Calibri"/>
                <w:sz w:val="22"/>
                <w:szCs w:val="22"/>
              </w:rPr>
            </w:pPr>
            <w:r w:rsidRPr="00F33FC4">
              <w:rPr>
                <w:rFonts w:eastAsia="Calibri"/>
                <w:sz w:val="22"/>
                <w:szCs w:val="22"/>
              </w:rPr>
              <w:t>0.02</w:t>
            </w:r>
          </w:p>
        </w:tc>
        <w:tc>
          <w:tcPr>
            <w:tcW w:w="1382" w:type="dxa"/>
            <w:tcBorders>
              <w:top w:val="nil"/>
              <w:left w:val="nil"/>
              <w:bottom w:val="single" w:sz="4" w:space="0" w:color="auto"/>
              <w:right w:val="single" w:sz="4" w:space="0" w:color="auto"/>
            </w:tcBorders>
            <w:shd w:val="clear" w:color="auto" w:fill="auto"/>
            <w:noWrap/>
            <w:vAlign w:val="center"/>
            <w:hideMark/>
          </w:tcPr>
          <w:p w14:paraId="58A7D353" w14:textId="77777777" w:rsidR="00F33FC4" w:rsidRPr="00F33FC4" w:rsidRDefault="00F33FC4" w:rsidP="00F33FC4">
            <w:pPr>
              <w:spacing w:line="480" w:lineRule="auto"/>
              <w:jc w:val="center"/>
              <w:rPr>
                <w:rFonts w:eastAsia="Calibri"/>
                <w:sz w:val="22"/>
                <w:szCs w:val="22"/>
              </w:rPr>
            </w:pPr>
            <w:r w:rsidRPr="00F33FC4">
              <w:rPr>
                <w:rFonts w:eastAsia="Calibri"/>
                <w:sz w:val="22"/>
                <w:szCs w:val="22"/>
              </w:rPr>
              <w:t>0.02</w:t>
            </w:r>
          </w:p>
        </w:tc>
      </w:tr>
    </w:tbl>
    <w:p w14:paraId="24622AD6" w14:textId="77777777" w:rsidR="00F33FC4" w:rsidRPr="00F33FC4" w:rsidRDefault="00F33FC4" w:rsidP="00F33FC4">
      <w:pPr>
        <w:rPr>
          <w:rFonts w:eastAsia="Calibri"/>
          <w:bCs/>
        </w:rPr>
      </w:pPr>
      <w:r w:rsidRPr="00F33FC4">
        <w:rPr>
          <w:rFonts w:eastAsia="Calibri"/>
          <w:bCs/>
        </w:rPr>
        <w:br w:type="page"/>
      </w:r>
    </w:p>
    <w:p w14:paraId="2417636A" w14:textId="616E3EF7" w:rsidR="003E1EFB" w:rsidRDefault="003E1EFB">
      <w:pPr>
        <w:rPr>
          <w:rFonts w:eastAsia="Calibri"/>
          <w:bCs/>
        </w:rPr>
      </w:pPr>
      <w:r w:rsidRPr="00F33FC4">
        <w:rPr>
          <w:rFonts w:ascii="Calibri" w:eastAsia="Calibri" w:hAnsi="Calibri" w:cs="Mangal"/>
          <w:noProof/>
        </w:rPr>
        <w:lastRenderedPageBreak/>
        <mc:AlternateContent>
          <mc:Choice Requires="wps">
            <w:drawing>
              <wp:anchor distT="0" distB="0" distL="114300" distR="114300" simplePos="0" relativeHeight="251769856" behindDoc="0" locked="0" layoutInCell="1" allowOverlap="1" wp14:anchorId="452C5B04" wp14:editId="76C76192">
                <wp:simplePos x="0" y="0"/>
                <wp:positionH relativeFrom="column">
                  <wp:posOffset>0</wp:posOffset>
                </wp:positionH>
                <wp:positionV relativeFrom="paragraph">
                  <wp:posOffset>570230</wp:posOffset>
                </wp:positionV>
                <wp:extent cx="5920740" cy="635"/>
                <wp:effectExtent l="0" t="0" r="0" b="2540"/>
                <wp:wrapTopAndBottom/>
                <wp:docPr id="20" name="Text Box 20"/>
                <wp:cNvGraphicFramePr/>
                <a:graphic xmlns:a="http://schemas.openxmlformats.org/drawingml/2006/main">
                  <a:graphicData uri="http://schemas.microsoft.com/office/word/2010/wordprocessingShape">
                    <wps:wsp>
                      <wps:cNvSpPr txBox="1"/>
                      <wps:spPr>
                        <a:xfrm>
                          <a:off x="0" y="0"/>
                          <a:ext cx="5920740" cy="635"/>
                        </a:xfrm>
                        <a:prstGeom prst="rect">
                          <a:avLst/>
                        </a:prstGeom>
                        <a:solidFill>
                          <a:prstClr val="white"/>
                        </a:solidFill>
                        <a:ln>
                          <a:noFill/>
                        </a:ln>
                      </wps:spPr>
                      <wps:txbx>
                        <w:txbxContent>
                          <w:p w14:paraId="304D8F88" w14:textId="77777777" w:rsidR="003E1EFB" w:rsidRPr="005F3A8C" w:rsidRDefault="003E1EFB" w:rsidP="003E1EFB">
                            <w:pPr>
                              <w:pStyle w:val="Caption"/>
                              <w:rPr>
                                <w:bCs/>
                                <w:i/>
                                <w:iCs w:val="0"/>
                                <w:sz w:val="22"/>
                                <w:szCs w:val="22"/>
                              </w:rPr>
                            </w:pPr>
                            <w:r w:rsidRPr="005F3A8C">
                              <w:rPr>
                                <w:iCs w:val="0"/>
                                <w:sz w:val="22"/>
                                <w:szCs w:val="22"/>
                              </w:rPr>
                              <w:t xml:space="preserve">Figure 2.10. Multiple copies of the </w:t>
                            </w:r>
                            <w:proofErr w:type="spellStart"/>
                            <w:r w:rsidRPr="00F24DF8">
                              <w:rPr>
                                <w:i/>
                                <w:iCs w:val="0"/>
                                <w:sz w:val="22"/>
                                <w:szCs w:val="22"/>
                              </w:rPr>
                              <w:t>zor-orz</w:t>
                            </w:r>
                            <w:proofErr w:type="spellEnd"/>
                            <w:r w:rsidRPr="005F3A8C">
                              <w:rPr>
                                <w:iCs w:val="0"/>
                                <w:sz w:val="22"/>
                                <w:szCs w:val="22"/>
                              </w:rPr>
                              <w:t xml:space="preserve"> locus allows for growth in the presence of kanamycin in MG1655. Growth curve of </w:t>
                            </w:r>
                            <w:r w:rsidRPr="005F3A8C">
                              <w:rPr>
                                <w:sz w:val="22"/>
                                <w:szCs w:val="22"/>
                              </w:rPr>
                              <w:t>E. coli</w:t>
                            </w:r>
                            <w:r w:rsidRPr="005F3A8C">
                              <w:rPr>
                                <w:iCs w:val="0"/>
                                <w:sz w:val="22"/>
                                <w:szCs w:val="22"/>
                              </w:rPr>
                              <w:t xml:space="preserve"> UTK007 harboring pBR322 (black) or </w:t>
                            </w:r>
                            <w:proofErr w:type="spellStart"/>
                            <w:r w:rsidRPr="005F3A8C">
                              <w:rPr>
                                <w:iCs w:val="0"/>
                                <w:sz w:val="22"/>
                                <w:szCs w:val="22"/>
                              </w:rPr>
                              <w:t>pBR-</w:t>
                            </w:r>
                            <w:r w:rsidRPr="00F24DF8">
                              <w:rPr>
                                <w:i/>
                                <w:iCs w:val="0"/>
                                <w:sz w:val="22"/>
                                <w:szCs w:val="22"/>
                              </w:rPr>
                              <w:t>zor-orz</w:t>
                            </w:r>
                            <w:proofErr w:type="spellEnd"/>
                            <w:r w:rsidRPr="005F3A8C">
                              <w:rPr>
                                <w:iCs w:val="0"/>
                                <w:sz w:val="22"/>
                                <w:szCs w:val="22"/>
                              </w:rPr>
                              <w:t xml:space="preserve"> (turquoise) in LB (A), LB with 4</w:t>
                            </w:r>
                            <w:r w:rsidRPr="005F3A8C">
                              <w:rPr>
                                <w:iCs w:val="0"/>
                                <w:sz w:val="22"/>
                                <w:szCs w:val="22"/>
                              </w:rPr>
                              <w:sym w:font="Symbol" w:char="F06D"/>
                            </w:r>
                            <w:r w:rsidRPr="005F3A8C">
                              <w:rPr>
                                <w:iCs w:val="0"/>
                                <w:sz w:val="22"/>
                                <w:szCs w:val="22"/>
                              </w:rPr>
                              <w:t xml:space="preserve">g/mL kanamycin (B), M9 minimal media with 0.2% glucose (C), M9 minimal media with 0.2% glucose and 4 </w:t>
                            </w:r>
                            <w:r w:rsidRPr="005F3A8C">
                              <w:rPr>
                                <w:iCs w:val="0"/>
                                <w:sz w:val="22"/>
                                <w:szCs w:val="22"/>
                              </w:rPr>
                              <w:sym w:font="Symbol" w:char="F06D"/>
                            </w:r>
                            <w:r w:rsidRPr="005F3A8C">
                              <w:rPr>
                                <w:iCs w:val="0"/>
                                <w:sz w:val="22"/>
                                <w:szCs w:val="22"/>
                              </w:rPr>
                              <w:t xml:space="preserve">g/mL kanamycin (D), M9 minimal media with 0.4% fructose (E), and M9 minimal media with 0.4% fructose and 4 </w:t>
                            </w:r>
                            <w:r w:rsidRPr="005F3A8C">
                              <w:rPr>
                                <w:iCs w:val="0"/>
                                <w:sz w:val="22"/>
                                <w:szCs w:val="22"/>
                              </w:rPr>
                              <w:sym w:font="Symbol" w:char="F06D"/>
                            </w:r>
                            <w:r w:rsidRPr="005F3A8C">
                              <w:rPr>
                                <w:iCs w:val="0"/>
                                <w:sz w:val="22"/>
                                <w:szCs w:val="22"/>
                              </w:rPr>
                              <w:t xml:space="preserve">g/mL kanamycin (F). </w:t>
                            </w:r>
                            <w:r w:rsidRPr="003E1EFB">
                              <w:rPr>
                                <w:i/>
                                <w:sz w:val="22"/>
                                <w:szCs w:val="22"/>
                              </w:rPr>
                              <w:t>n ≥ 9</w:t>
                            </w:r>
                            <w:r w:rsidRPr="005F3A8C">
                              <w:rPr>
                                <w:iCs w:val="0"/>
                                <w:sz w:val="22"/>
                                <w:szCs w:val="22"/>
                              </w:rPr>
                              <w:t xml:space="preserve">; </w:t>
                            </w:r>
                            <w:r w:rsidRPr="005F3A8C">
                              <w:rPr>
                                <w:iCs w:val="0"/>
                                <w:spacing w:val="-4"/>
                                <w:kern w:val="1"/>
                                <w:sz w:val="22"/>
                                <w:szCs w:val="22"/>
                              </w:rPr>
                              <w:t>shown are mean ± SD.</w:t>
                            </w:r>
                            <w:r w:rsidRPr="005F3A8C">
                              <w:rPr>
                                <w:b/>
                                <w:bCs/>
                                <w:iCs w:val="0"/>
                                <w:spacing w:val="-4"/>
                                <w:kern w:val="1"/>
                                <w:sz w:val="22"/>
                                <w:szCs w:val="22"/>
                              </w:rPr>
                              <w:t xml:space="preserve"> </w:t>
                            </w:r>
                            <w:r w:rsidRPr="005F3A8C">
                              <w:rPr>
                                <w:iCs w:val="0"/>
                                <w:sz w:val="22"/>
                                <w:szCs w:val="22"/>
                              </w:rPr>
                              <w:t xml:space="preserve">All growth conditions contained 100 </w:t>
                            </w:r>
                            <w:r w:rsidRPr="005F3A8C">
                              <w:rPr>
                                <w:iCs w:val="0"/>
                                <w:sz w:val="22"/>
                                <w:szCs w:val="22"/>
                              </w:rPr>
                              <w:sym w:font="Symbol" w:char="F06D"/>
                            </w:r>
                            <w:r w:rsidRPr="005F3A8C">
                              <w:rPr>
                                <w:iCs w:val="0"/>
                                <w:sz w:val="22"/>
                                <w:szCs w:val="22"/>
                              </w:rPr>
                              <w:t>g/mL ampicillin for plasmid maintenance.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52C5B04" id="Text Box 20" o:spid="_x0000_s1036" type="#_x0000_t202" style="position:absolute;margin-left:0;margin-top:44.9pt;width:466.2pt;height:.05pt;z-index:2517698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" stroked="f">
                <v:textbox style="mso-fit-shape-to-text:t" inset="0,0,0,0">
                  <w:txbxContent>
                    <w:p w14:paraId="304D8F88" w14:textId="77777777" w:rsidR="003E1EFB" w:rsidRPr="005F3A8C" w:rsidRDefault="003E1EFB" w:rsidP="003E1EFB">
                      <w:pPr>
                        <w:pStyle w:val="Caption"/>
                        <w:rPr>
                          <w:bCs/>
                          <w:i/>
                          <w:iCs w:val="0"/>
                          <w:sz w:val="22"/>
                          <w:szCs w:val="22"/>
                        </w:rPr>
                      </w:pPr>
                      <w:r w:rsidRPr="005F3A8C">
                        <w:rPr>
                          <w:iCs w:val="0"/>
                          <w:sz w:val="22"/>
                          <w:szCs w:val="22"/>
                        </w:rPr>
                        <w:t xml:space="preserve">Figure 2.10. Multiple copies of the </w:t>
                      </w:r>
                      <w:proofErr w:type="spellStart"/>
                      <w:r w:rsidRPr="00F24DF8">
                        <w:rPr>
                          <w:i/>
                          <w:iCs w:val="0"/>
                          <w:sz w:val="22"/>
                          <w:szCs w:val="22"/>
                        </w:rPr>
                        <w:t>zor-orz</w:t>
                      </w:r>
                      <w:proofErr w:type="spellEnd"/>
                      <w:r w:rsidRPr="005F3A8C">
                        <w:rPr>
                          <w:iCs w:val="0"/>
                          <w:sz w:val="22"/>
                          <w:szCs w:val="22"/>
                        </w:rPr>
                        <w:t xml:space="preserve"> locus allows for growth in the presence of kanamycin in MG1655. Growth curve of </w:t>
                      </w:r>
                      <w:r w:rsidRPr="005F3A8C">
                        <w:rPr>
                          <w:sz w:val="22"/>
                          <w:szCs w:val="22"/>
                        </w:rPr>
                        <w:t>E. coli</w:t>
                      </w:r>
                      <w:r w:rsidRPr="005F3A8C">
                        <w:rPr>
                          <w:iCs w:val="0"/>
                          <w:sz w:val="22"/>
                          <w:szCs w:val="22"/>
                        </w:rPr>
                        <w:t xml:space="preserve"> UTK007 harboring pBR322 (black) or </w:t>
                      </w:r>
                      <w:proofErr w:type="spellStart"/>
                      <w:r w:rsidRPr="005F3A8C">
                        <w:rPr>
                          <w:iCs w:val="0"/>
                          <w:sz w:val="22"/>
                          <w:szCs w:val="22"/>
                        </w:rPr>
                        <w:t>pBR-</w:t>
                      </w:r>
                      <w:r w:rsidRPr="00F24DF8">
                        <w:rPr>
                          <w:i/>
                          <w:iCs w:val="0"/>
                          <w:sz w:val="22"/>
                          <w:szCs w:val="22"/>
                        </w:rPr>
                        <w:t>zor-orz</w:t>
                      </w:r>
                      <w:proofErr w:type="spellEnd"/>
                      <w:r w:rsidRPr="005F3A8C">
                        <w:rPr>
                          <w:iCs w:val="0"/>
                          <w:sz w:val="22"/>
                          <w:szCs w:val="22"/>
                        </w:rPr>
                        <w:t xml:space="preserve"> (turquoise) in LB (A), LB with 4</w:t>
                      </w:r>
                      <w:r w:rsidRPr="005F3A8C">
                        <w:rPr>
                          <w:iCs w:val="0"/>
                          <w:sz w:val="22"/>
                          <w:szCs w:val="22"/>
                        </w:rPr>
                        <w:sym w:font="Symbol" w:char="F06D"/>
                      </w:r>
                      <w:r w:rsidRPr="005F3A8C">
                        <w:rPr>
                          <w:iCs w:val="0"/>
                          <w:sz w:val="22"/>
                          <w:szCs w:val="22"/>
                        </w:rPr>
                        <w:t xml:space="preserve">g/mL kanamycin (B), M9 minimal media with 0.2% glucose (C), M9 minimal media with 0.2% glucose and 4 </w:t>
                      </w:r>
                      <w:r w:rsidRPr="005F3A8C">
                        <w:rPr>
                          <w:iCs w:val="0"/>
                          <w:sz w:val="22"/>
                          <w:szCs w:val="22"/>
                        </w:rPr>
                        <w:sym w:font="Symbol" w:char="F06D"/>
                      </w:r>
                      <w:r w:rsidRPr="005F3A8C">
                        <w:rPr>
                          <w:iCs w:val="0"/>
                          <w:sz w:val="22"/>
                          <w:szCs w:val="22"/>
                        </w:rPr>
                        <w:t xml:space="preserve">g/mL kanamycin (D), M9 minimal media with 0.4% fructose (E), and M9 minimal media with 0.4% fructose and 4 </w:t>
                      </w:r>
                      <w:r w:rsidRPr="005F3A8C">
                        <w:rPr>
                          <w:iCs w:val="0"/>
                          <w:sz w:val="22"/>
                          <w:szCs w:val="22"/>
                        </w:rPr>
                        <w:sym w:font="Symbol" w:char="F06D"/>
                      </w:r>
                      <w:r w:rsidRPr="005F3A8C">
                        <w:rPr>
                          <w:iCs w:val="0"/>
                          <w:sz w:val="22"/>
                          <w:szCs w:val="22"/>
                        </w:rPr>
                        <w:t xml:space="preserve">g/mL kanamycin (F). </w:t>
                      </w:r>
                      <w:r w:rsidRPr="003E1EFB">
                        <w:rPr>
                          <w:i/>
                          <w:sz w:val="22"/>
                          <w:szCs w:val="22"/>
                        </w:rPr>
                        <w:t>n ≥ 9</w:t>
                      </w:r>
                      <w:r w:rsidRPr="005F3A8C">
                        <w:rPr>
                          <w:iCs w:val="0"/>
                          <w:sz w:val="22"/>
                          <w:szCs w:val="22"/>
                        </w:rPr>
                        <w:t xml:space="preserve">; </w:t>
                      </w:r>
                      <w:r w:rsidRPr="005F3A8C">
                        <w:rPr>
                          <w:iCs w:val="0"/>
                          <w:spacing w:val="-4"/>
                          <w:kern w:val="1"/>
                          <w:sz w:val="22"/>
                          <w:szCs w:val="22"/>
                        </w:rPr>
                        <w:t>shown are mean ± SD.</w:t>
                      </w:r>
                      <w:r w:rsidRPr="005F3A8C">
                        <w:rPr>
                          <w:b/>
                          <w:bCs/>
                          <w:iCs w:val="0"/>
                          <w:spacing w:val="-4"/>
                          <w:kern w:val="1"/>
                          <w:sz w:val="22"/>
                          <w:szCs w:val="22"/>
                        </w:rPr>
                        <w:t xml:space="preserve"> </w:t>
                      </w:r>
                      <w:r w:rsidRPr="005F3A8C">
                        <w:rPr>
                          <w:iCs w:val="0"/>
                          <w:sz w:val="22"/>
                          <w:szCs w:val="22"/>
                        </w:rPr>
                        <w:t xml:space="preserve">All growth conditions contained 100 </w:t>
                      </w:r>
                      <w:r w:rsidRPr="005F3A8C">
                        <w:rPr>
                          <w:iCs w:val="0"/>
                          <w:sz w:val="22"/>
                          <w:szCs w:val="22"/>
                        </w:rPr>
                        <w:sym w:font="Symbol" w:char="F06D"/>
                      </w:r>
                      <w:r w:rsidRPr="005F3A8C">
                        <w:rPr>
                          <w:iCs w:val="0"/>
                          <w:sz w:val="22"/>
                          <w:szCs w:val="22"/>
                        </w:rPr>
                        <w:t>g/mL ampicillin for plasmid maintenance.</w:t>
                      </w:r>
                    </w:p>
                  </w:txbxContent>
                </v:textbox>
                <w10:wrap type="topAndBottom"/>
              </v:shape>
            </w:pict>
          </mc:Fallback>
        </mc:AlternateContent>
      </w:r>
      <w:r>
        <w:rPr>
          <w:rFonts w:eastAsia="Calibri"/>
          <w:bCs/>
        </w:rPr>
        <w:br w:type="page"/>
      </w:r>
    </w:p>
    <w:p w14:paraId="65120A4A" w14:textId="5D727ED8" w:rsidR="005234AD" w:rsidRDefault="00F33FC4">
      <w:pPr>
        <w:rPr>
          <w:rFonts w:eastAsia="Calibri"/>
          <w:bCs/>
        </w:rPr>
      </w:pPr>
      <w:r w:rsidRPr="00F33FC4">
        <w:rPr>
          <w:rFonts w:eastAsia="Calibri"/>
          <w:bCs/>
          <w:noProof/>
        </w:rPr>
        <w:lastRenderedPageBreak/>
        <w:drawing>
          <wp:anchor distT="0" distB="0" distL="114300" distR="114300" simplePos="0" relativeHeight="251692032" behindDoc="0" locked="0" layoutInCell="1" allowOverlap="1" wp14:anchorId="379F3D6B" wp14:editId="7303F142">
            <wp:simplePos x="0" y="0"/>
            <wp:positionH relativeFrom="column">
              <wp:posOffset>-101600</wp:posOffset>
            </wp:positionH>
            <wp:positionV relativeFrom="paragraph">
              <wp:posOffset>243191</wp:posOffset>
            </wp:positionV>
            <wp:extent cx="5849620" cy="7071995"/>
            <wp:effectExtent l="0" t="0" r="5080" b="1905"/>
            <wp:wrapTopAndBottom/>
            <wp:docPr id="19" name="Picture 19" descr="Graphical user interface, chart,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Graphical user interface, chart, diagram&#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849620" cy="7071995"/>
                    </a:xfrm>
                    <a:prstGeom prst="rect">
                      <a:avLst/>
                    </a:prstGeom>
                  </pic:spPr>
                </pic:pic>
              </a:graphicData>
            </a:graphic>
            <wp14:sizeRelH relativeFrom="page">
              <wp14:pctWidth>0</wp14:pctWidth>
            </wp14:sizeRelH>
            <wp14:sizeRelV relativeFrom="page">
              <wp14:pctHeight>0</wp14:pctHeight>
            </wp14:sizeRelV>
          </wp:anchor>
        </w:drawing>
      </w:r>
      <w:r w:rsidRPr="00F33FC4">
        <w:rPr>
          <w:rFonts w:eastAsia="Calibri"/>
          <w:bCs/>
        </w:rPr>
        <w:br w:type="page"/>
      </w:r>
    </w:p>
    <w:p w14:paraId="00219BB8" w14:textId="4C14B075" w:rsidR="00F33FC4" w:rsidRPr="00F33FC4" w:rsidRDefault="00F33FC4" w:rsidP="00F33FC4">
      <w:pPr>
        <w:rPr>
          <w:rFonts w:eastAsia="Calibri"/>
          <w:bCs/>
        </w:rPr>
      </w:pPr>
    </w:p>
    <w:p w14:paraId="245F855D" w14:textId="77777777" w:rsidR="00F33FC4" w:rsidRPr="00F33FC4" w:rsidRDefault="00F33FC4" w:rsidP="00F33FC4">
      <w:pPr>
        <w:rPr>
          <w:rFonts w:eastAsia="Calibri"/>
          <w:bCs/>
        </w:rPr>
      </w:pPr>
      <w:r w:rsidRPr="00F33FC4">
        <w:rPr>
          <w:rFonts w:ascii="Calibri" w:eastAsia="Calibri" w:hAnsi="Calibri" w:cs="Mangal"/>
          <w:noProof/>
        </w:rPr>
        <mc:AlternateContent>
          <mc:Choice Requires="wps">
            <w:drawing>
              <wp:anchor distT="0" distB="0" distL="114300" distR="114300" simplePos="0" relativeHeight="251694080" behindDoc="0" locked="0" layoutInCell="1" allowOverlap="1" wp14:anchorId="6131EE86" wp14:editId="539868CA">
                <wp:simplePos x="0" y="0"/>
                <wp:positionH relativeFrom="column">
                  <wp:posOffset>126365</wp:posOffset>
                </wp:positionH>
                <wp:positionV relativeFrom="paragraph">
                  <wp:posOffset>5048250</wp:posOffset>
                </wp:positionV>
                <wp:extent cx="5943600" cy="635"/>
                <wp:effectExtent l="0" t="0" r="0" b="12065"/>
                <wp:wrapTopAndBottom/>
                <wp:docPr id="22" name="Text Box 22"/>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282CF965" w14:textId="01756958" w:rsidR="00F33FC4" w:rsidRPr="00194719" w:rsidRDefault="00F33FC4" w:rsidP="00194719">
                            <w:pPr>
                              <w:spacing w:line="360" w:lineRule="auto"/>
                              <w:rPr>
                                <w:color w:val="000000"/>
                                <w:spacing w:val="-4"/>
                                <w:kern w:val="1"/>
                                <w:sz w:val="22"/>
                                <w:szCs w:val="22"/>
                              </w:rPr>
                            </w:pPr>
                            <w:r w:rsidRPr="00F33FC4">
                              <w:rPr>
                                <w:color w:val="000000"/>
                                <w:sz w:val="22"/>
                                <w:szCs w:val="22"/>
                              </w:rPr>
                              <w:t>Figure 2.11</w:t>
                            </w:r>
                            <w:r w:rsidRPr="00F33FC4">
                              <w:rPr>
                                <w:i/>
                                <w:iCs/>
                                <w:color w:val="000000"/>
                                <w:sz w:val="22"/>
                                <w:szCs w:val="22"/>
                              </w:rPr>
                              <w:t xml:space="preserve">. </w:t>
                            </w:r>
                            <w:r w:rsidRPr="00F33FC4">
                              <w:rPr>
                                <w:color w:val="000000"/>
                                <w:sz w:val="22"/>
                                <w:szCs w:val="22"/>
                              </w:rPr>
                              <w:t xml:space="preserve">The </w:t>
                            </w:r>
                            <w:proofErr w:type="spellStart"/>
                            <w:r w:rsidRPr="00F33FC4">
                              <w:rPr>
                                <w:i/>
                                <w:iCs/>
                                <w:color w:val="000000"/>
                                <w:sz w:val="22"/>
                                <w:szCs w:val="22"/>
                              </w:rPr>
                              <w:t>zor-orz</w:t>
                            </w:r>
                            <w:proofErr w:type="spellEnd"/>
                            <w:r w:rsidRPr="00F33FC4">
                              <w:rPr>
                                <w:color w:val="000000"/>
                                <w:sz w:val="22"/>
                                <w:szCs w:val="22"/>
                              </w:rPr>
                              <w:t xml:space="preserve"> locus does not improve growth against ciprofloxacin or chloramphenicol. </w:t>
                            </w:r>
                            <w:r w:rsidRPr="00952F58">
                              <w:rPr>
                                <w:color w:val="000000"/>
                                <w:spacing w:val="-4"/>
                                <w:kern w:val="1"/>
                                <w:sz w:val="22"/>
                                <w:szCs w:val="22"/>
                              </w:rPr>
                              <w:t xml:space="preserve">Growth curve of </w:t>
                            </w:r>
                            <w:r w:rsidRPr="00952F58">
                              <w:rPr>
                                <w:i/>
                                <w:iCs/>
                                <w:color w:val="000000"/>
                                <w:spacing w:val="-4"/>
                                <w:kern w:val="1"/>
                                <w:sz w:val="22"/>
                                <w:szCs w:val="22"/>
                              </w:rPr>
                              <w:t>E. coli</w:t>
                            </w:r>
                            <w:r w:rsidRPr="00952F58">
                              <w:rPr>
                                <w:color w:val="000000"/>
                                <w:spacing w:val="-4"/>
                                <w:kern w:val="1"/>
                                <w:sz w:val="22"/>
                                <w:szCs w:val="22"/>
                              </w:rPr>
                              <w:t xml:space="preserve"> MG1655 derived cells (UTK007) harboring the indicated plasmids in LB medium with ciprofloxacin (A, B) and chloramphenicol (C, D) antibiotics. </w:t>
                            </w:r>
                            <w:r w:rsidRPr="00952F58">
                              <w:rPr>
                                <w:i/>
                                <w:color w:val="000000"/>
                                <w:spacing w:val="-4"/>
                                <w:kern w:val="1"/>
                                <w:sz w:val="22"/>
                                <w:szCs w:val="22"/>
                              </w:rPr>
                              <w:t>n</w:t>
                            </w:r>
                            <w:r w:rsidRPr="00952F58">
                              <w:rPr>
                                <w:color w:val="000000"/>
                                <w:spacing w:val="-4"/>
                                <w:kern w:val="1"/>
                                <w:sz w:val="22"/>
                                <w:szCs w:val="22"/>
                              </w:rPr>
                              <w:t>=3, shown are mean ± SD.</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131EE86" id="Text Box 22" o:spid="_x0000_s1037" type="#_x0000_t202" style="position:absolute;margin-left:9.95pt;margin-top:397.5pt;width:468pt;height:.05pt;z-index:251694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" stroked="f">
                <v:textbox style="mso-fit-shape-to-text:t" inset="0,0,0,0">
                  <w:txbxContent>
                    <w:p w14:paraId="282CF965" w14:textId="01756958" w:rsidR="00F33FC4" w:rsidRPr="00194719" w:rsidRDefault="00F33FC4" w:rsidP="00194719">
                      <w:pPr>
                        <w:spacing w:line="360" w:lineRule="auto"/>
                        <w:rPr>
                          <w:color w:val="000000"/>
                          <w:spacing w:val="-4"/>
                          <w:kern w:val="1"/>
                          <w:sz w:val="22"/>
                          <w:szCs w:val="22"/>
                        </w:rPr>
                      </w:pPr>
                      <w:r w:rsidRPr="00F33FC4">
                        <w:rPr>
                          <w:color w:val="000000"/>
                          <w:sz w:val="22"/>
                          <w:szCs w:val="22"/>
                        </w:rPr>
                        <w:t>Figure 2.11</w:t>
                      </w:r>
                      <w:r w:rsidRPr="00F33FC4">
                        <w:rPr>
                          <w:i/>
                          <w:iCs/>
                          <w:color w:val="000000"/>
                          <w:sz w:val="22"/>
                          <w:szCs w:val="22"/>
                        </w:rPr>
                        <w:t xml:space="preserve">. </w:t>
                      </w:r>
                      <w:r w:rsidRPr="00F33FC4">
                        <w:rPr>
                          <w:color w:val="000000"/>
                          <w:sz w:val="22"/>
                          <w:szCs w:val="22"/>
                        </w:rPr>
                        <w:t xml:space="preserve">The </w:t>
                      </w:r>
                      <w:proofErr w:type="spellStart"/>
                      <w:r w:rsidRPr="00F33FC4">
                        <w:rPr>
                          <w:i/>
                          <w:iCs/>
                          <w:color w:val="000000"/>
                          <w:sz w:val="22"/>
                          <w:szCs w:val="22"/>
                        </w:rPr>
                        <w:t>zor-orz</w:t>
                      </w:r>
                      <w:proofErr w:type="spellEnd"/>
                      <w:r w:rsidRPr="00F33FC4">
                        <w:rPr>
                          <w:color w:val="000000"/>
                          <w:sz w:val="22"/>
                          <w:szCs w:val="22"/>
                        </w:rPr>
                        <w:t xml:space="preserve"> locus does not improve growth against ciprofloxacin or chloramphenicol. </w:t>
                      </w:r>
                      <w:r w:rsidRPr="00952F58">
                        <w:rPr>
                          <w:color w:val="000000"/>
                          <w:spacing w:val="-4"/>
                          <w:kern w:val="1"/>
                          <w:sz w:val="22"/>
                          <w:szCs w:val="22"/>
                        </w:rPr>
                        <w:t xml:space="preserve">Growth curve of </w:t>
                      </w:r>
                      <w:r w:rsidRPr="00952F58">
                        <w:rPr>
                          <w:i/>
                          <w:iCs/>
                          <w:color w:val="000000"/>
                          <w:spacing w:val="-4"/>
                          <w:kern w:val="1"/>
                          <w:sz w:val="22"/>
                          <w:szCs w:val="22"/>
                        </w:rPr>
                        <w:t>E. coli</w:t>
                      </w:r>
                      <w:r w:rsidRPr="00952F58">
                        <w:rPr>
                          <w:color w:val="000000"/>
                          <w:spacing w:val="-4"/>
                          <w:kern w:val="1"/>
                          <w:sz w:val="22"/>
                          <w:szCs w:val="22"/>
                        </w:rPr>
                        <w:t xml:space="preserve"> MG1655 derived cells (UTK007) harboring the indicated plasmids in LB medium with ciprofloxacin (A, B) and chloramphenicol (C, D) antibiotics. </w:t>
                      </w:r>
                      <w:r w:rsidRPr="00952F58">
                        <w:rPr>
                          <w:i/>
                          <w:color w:val="000000"/>
                          <w:spacing w:val="-4"/>
                          <w:kern w:val="1"/>
                          <w:sz w:val="22"/>
                          <w:szCs w:val="22"/>
                        </w:rPr>
                        <w:t>n</w:t>
                      </w:r>
                      <w:r w:rsidRPr="00952F58">
                        <w:rPr>
                          <w:color w:val="000000"/>
                          <w:spacing w:val="-4"/>
                          <w:kern w:val="1"/>
                          <w:sz w:val="22"/>
                          <w:szCs w:val="22"/>
                        </w:rPr>
                        <w:t>=3, shown are mean ± SD.</w:t>
                      </w:r>
                    </w:p>
                  </w:txbxContent>
                </v:textbox>
                <w10:wrap type="topAndBottom"/>
              </v:shape>
            </w:pict>
          </mc:Fallback>
        </mc:AlternateContent>
      </w:r>
      <w:r w:rsidRPr="00F33FC4">
        <w:rPr>
          <w:rFonts w:eastAsia="Calibri"/>
          <w:bCs/>
          <w:noProof/>
        </w:rPr>
        <w:drawing>
          <wp:anchor distT="0" distB="0" distL="114300" distR="114300" simplePos="0" relativeHeight="251701248" behindDoc="0" locked="0" layoutInCell="1" allowOverlap="1" wp14:anchorId="18F8EC9F" wp14:editId="209A3E12">
            <wp:simplePos x="0" y="0"/>
            <wp:positionH relativeFrom="column">
              <wp:posOffset>0</wp:posOffset>
            </wp:positionH>
            <wp:positionV relativeFrom="paragraph">
              <wp:posOffset>0</wp:posOffset>
            </wp:positionV>
            <wp:extent cx="5943600" cy="4579620"/>
            <wp:effectExtent l="0" t="0" r="0" b="0"/>
            <wp:wrapTopAndBottom/>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5943600" cy="4579620"/>
                    </a:xfrm>
                    <a:prstGeom prst="rect">
                      <a:avLst/>
                    </a:prstGeom>
                  </pic:spPr>
                </pic:pic>
              </a:graphicData>
            </a:graphic>
            <wp14:sizeRelH relativeFrom="page">
              <wp14:pctWidth>0</wp14:pctWidth>
            </wp14:sizeRelH>
            <wp14:sizeRelV relativeFrom="page">
              <wp14:pctHeight>0</wp14:pctHeight>
            </wp14:sizeRelV>
          </wp:anchor>
        </w:drawing>
      </w:r>
      <w:r w:rsidRPr="00F33FC4">
        <w:rPr>
          <w:rFonts w:eastAsia="Calibri"/>
          <w:bCs/>
        </w:rPr>
        <w:br w:type="page"/>
      </w:r>
    </w:p>
    <w:p w14:paraId="26D751A8" w14:textId="7EC445F4" w:rsidR="003E1EFB" w:rsidRDefault="003E1EFB">
      <w:pPr>
        <w:rPr>
          <w:rFonts w:eastAsia="Calibri"/>
          <w:bCs/>
        </w:rPr>
      </w:pPr>
      <w:r w:rsidRPr="00F33FC4">
        <w:rPr>
          <w:rFonts w:ascii="Calibri" w:eastAsia="Calibri" w:hAnsi="Calibri" w:cs="Mangal"/>
          <w:noProof/>
        </w:rPr>
        <w:lastRenderedPageBreak/>
        <mc:AlternateContent>
          <mc:Choice Requires="wps">
            <w:drawing>
              <wp:anchor distT="0" distB="0" distL="114300" distR="114300" simplePos="0" relativeHeight="251771904" behindDoc="0" locked="0" layoutInCell="1" allowOverlap="1" wp14:anchorId="4ABC8CF0" wp14:editId="130E8521">
                <wp:simplePos x="0" y="0"/>
                <wp:positionH relativeFrom="column">
                  <wp:posOffset>0</wp:posOffset>
                </wp:positionH>
                <wp:positionV relativeFrom="paragraph">
                  <wp:posOffset>476885</wp:posOffset>
                </wp:positionV>
                <wp:extent cx="5943600" cy="635"/>
                <wp:effectExtent l="0" t="0" r="0" b="12065"/>
                <wp:wrapTopAndBottom/>
                <wp:docPr id="24" name="Text Box 24"/>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2D646004" w14:textId="77777777" w:rsidR="003E1EFB" w:rsidRPr="000C65A7" w:rsidRDefault="003E1EFB" w:rsidP="003E1EFB">
                            <w:pPr>
                              <w:pStyle w:val="Caption"/>
                              <w:rPr>
                                <w:i/>
                                <w:iCs w:val="0"/>
                                <w:sz w:val="22"/>
                                <w:szCs w:val="22"/>
                              </w:rPr>
                            </w:pPr>
                            <w:r w:rsidRPr="000C65A7">
                              <w:rPr>
                                <w:iCs w:val="0"/>
                                <w:sz w:val="22"/>
                                <w:szCs w:val="22"/>
                              </w:rPr>
                              <w:t xml:space="preserve">Figure 2.12. Multiple copies of the </w:t>
                            </w:r>
                            <w:proofErr w:type="spellStart"/>
                            <w:r w:rsidRPr="00F24DF8">
                              <w:rPr>
                                <w:i/>
                                <w:sz w:val="22"/>
                                <w:szCs w:val="22"/>
                              </w:rPr>
                              <w:t>zor-orz</w:t>
                            </w:r>
                            <w:proofErr w:type="spellEnd"/>
                            <w:r w:rsidRPr="000C65A7">
                              <w:rPr>
                                <w:iCs w:val="0"/>
                                <w:sz w:val="22"/>
                                <w:szCs w:val="22"/>
                              </w:rPr>
                              <w:t xml:space="preserve"> locus allows for growth in the presence of kanamycin in EDL933</w:t>
                            </w:r>
                            <w:r>
                              <w:rPr>
                                <w:iCs w:val="0"/>
                                <w:sz w:val="22"/>
                                <w:szCs w:val="22"/>
                              </w:rPr>
                              <w:t>.</w:t>
                            </w:r>
                            <w:r w:rsidRPr="000C65A7">
                              <w:rPr>
                                <w:iCs w:val="0"/>
                                <w:sz w:val="22"/>
                                <w:szCs w:val="22"/>
                              </w:rPr>
                              <w:t xml:space="preserve"> Growth curve of </w:t>
                            </w:r>
                            <w:r w:rsidRPr="000C65A7">
                              <w:rPr>
                                <w:iCs w:val="0"/>
                                <w:spacing w:val="-4"/>
                                <w:kern w:val="1"/>
                                <w:sz w:val="22"/>
                                <w:szCs w:val="22"/>
                              </w:rPr>
                              <w:t>EDL-</w:t>
                            </w:r>
                            <w:r w:rsidRPr="000C65A7">
                              <w:rPr>
                                <w:iCs w:val="0"/>
                                <w:sz w:val="22"/>
                                <w:szCs w:val="22"/>
                              </w:rPr>
                              <w:sym w:font="Symbol" w:char="F044"/>
                            </w:r>
                            <w:proofErr w:type="spellStart"/>
                            <w:r w:rsidRPr="00F24DF8">
                              <w:rPr>
                                <w:i/>
                                <w:sz w:val="22"/>
                                <w:szCs w:val="22"/>
                              </w:rPr>
                              <w:t>zor-orz</w:t>
                            </w:r>
                            <w:proofErr w:type="spellEnd"/>
                            <w:r w:rsidRPr="000C65A7">
                              <w:rPr>
                                <w:iCs w:val="0"/>
                                <w:sz w:val="22"/>
                                <w:szCs w:val="22"/>
                              </w:rPr>
                              <w:t xml:space="preserve"> harboring pBR322 (black) or </w:t>
                            </w:r>
                            <w:proofErr w:type="spellStart"/>
                            <w:r w:rsidRPr="000C65A7">
                              <w:rPr>
                                <w:iCs w:val="0"/>
                                <w:sz w:val="22"/>
                                <w:szCs w:val="22"/>
                              </w:rPr>
                              <w:t>pBR-</w:t>
                            </w:r>
                            <w:r w:rsidRPr="00F24DF8">
                              <w:rPr>
                                <w:i/>
                                <w:sz w:val="22"/>
                                <w:szCs w:val="22"/>
                              </w:rPr>
                              <w:t>zor-orz</w:t>
                            </w:r>
                            <w:proofErr w:type="spellEnd"/>
                            <w:r w:rsidRPr="000C65A7">
                              <w:rPr>
                                <w:iCs w:val="0"/>
                                <w:sz w:val="22"/>
                                <w:szCs w:val="22"/>
                              </w:rPr>
                              <w:t xml:space="preserve"> (turquoise) in LB (A), LB with 8 </w:t>
                            </w:r>
                            <w:r w:rsidRPr="000C65A7">
                              <w:rPr>
                                <w:iCs w:val="0"/>
                                <w:sz w:val="22"/>
                                <w:szCs w:val="22"/>
                              </w:rPr>
                              <w:sym w:font="Symbol" w:char="F06D"/>
                            </w:r>
                            <w:r w:rsidRPr="000C65A7">
                              <w:rPr>
                                <w:iCs w:val="0"/>
                                <w:sz w:val="22"/>
                                <w:szCs w:val="22"/>
                              </w:rPr>
                              <w:t xml:space="preserve">g/mL kanamycin (B), in M9 minimal media with 0.2% glucose (C), M9 minimal media with 0.2% glucose and 4 </w:t>
                            </w:r>
                            <w:r w:rsidRPr="000C65A7">
                              <w:rPr>
                                <w:iCs w:val="0"/>
                                <w:sz w:val="22"/>
                                <w:szCs w:val="22"/>
                              </w:rPr>
                              <w:sym w:font="Symbol" w:char="F06D"/>
                            </w:r>
                            <w:r w:rsidRPr="000C65A7">
                              <w:rPr>
                                <w:iCs w:val="0"/>
                                <w:sz w:val="22"/>
                                <w:szCs w:val="22"/>
                              </w:rPr>
                              <w:t xml:space="preserve">g/mL kanamycin (D) or M9 minimal media with 0.4% fructose (E), and M9 minimal media with 0.4% fructose and 4 </w:t>
                            </w:r>
                            <w:r w:rsidRPr="000C65A7">
                              <w:rPr>
                                <w:iCs w:val="0"/>
                                <w:sz w:val="22"/>
                                <w:szCs w:val="22"/>
                              </w:rPr>
                              <w:sym w:font="Symbol" w:char="F06D"/>
                            </w:r>
                            <w:r w:rsidRPr="000C65A7">
                              <w:rPr>
                                <w:iCs w:val="0"/>
                                <w:sz w:val="22"/>
                                <w:szCs w:val="22"/>
                              </w:rPr>
                              <w:t xml:space="preserve">g/mL kanamycin (F). All growth conditions contained 100 </w:t>
                            </w:r>
                            <w:r w:rsidRPr="000C65A7">
                              <w:rPr>
                                <w:iCs w:val="0"/>
                                <w:sz w:val="22"/>
                                <w:szCs w:val="22"/>
                              </w:rPr>
                              <w:sym w:font="Symbol" w:char="F06D"/>
                            </w:r>
                            <w:r w:rsidRPr="000C65A7">
                              <w:rPr>
                                <w:iCs w:val="0"/>
                                <w:sz w:val="22"/>
                                <w:szCs w:val="22"/>
                              </w:rPr>
                              <w:t>g/mL ampicillin for plasmid maintenance.</w:t>
                            </w:r>
                            <w:r w:rsidRPr="000C65A7">
                              <w:rPr>
                                <w:iCs w:val="0"/>
                                <w:spacing w:val="-4"/>
                                <w:kern w:val="1"/>
                                <w:sz w:val="22"/>
                                <w:szCs w:val="22"/>
                              </w:rPr>
                              <w:t xml:space="preserve"> n ≥ 3, shown are mean ± SD.</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ABC8CF0" id="Text Box 24" o:spid="_x0000_s1038" type="#_x0000_t202" style="position:absolute;margin-left:0;margin-top:37.55pt;width:468pt;height:.05pt;z-index:251771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" stroked="f">
                <v:textbox style="mso-fit-shape-to-text:t" inset="0,0,0,0">
                  <w:txbxContent>
                    <w:p w14:paraId="2D646004" w14:textId="77777777" w:rsidR="003E1EFB" w:rsidRPr="000C65A7" w:rsidRDefault="003E1EFB" w:rsidP="003E1EFB">
                      <w:pPr>
                        <w:pStyle w:val="Caption"/>
                        <w:rPr>
                          <w:i/>
                          <w:iCs w:val="0"/>
                          <w:sz w:val="22"/>
                          <w:szCs w:val="22"/>
                        </w:rPr>
                      </w:pPr>
                      <w:r w:rsidRPr="000C65A7">
                        <w:rPr>
                          <w:iCs w:val="0"/>
                          <w:sz w:val="22"/>
                          <w:szCs w:val="22"/>
                        </w:rPr>
                        <w:t xml:space="preserve">Figure 2.12. Multiple copies of the </w:t>
                      </w:r>
                      <w:proofErr w:type="spellStart"/>
                      <w:r w:rsidRPr="00F24DF8">
                        <w:rPr>
                          <w:i/>
                          <w:sz w:val="22"/>
                          <w:szCs w:val="22"/>
                        </w:rPr>
                        <w:t>zor-orz</w:t>
                      </w:r>
                      <w:proofErr w:type="spellEnd"/>
                      <w:r w:rsidRPr="000C65A7">
                        <w:rPr>
                          <w:iCs w:val="0"/>
                          <w:sz w:val="22"/>
                          <w:szCs w:val="22"/>
                        </w:rPr>
                        <w:t xml:space="preserve"> locus allows for growth in the presence of kanamycin in EDL933</w:t>
                      </w:r>
                      <w:r>
                        <w:rPr>
                          <w:iCs w:val="0"/>
                          <w:sz w:val="22"/>
                          <w:szCs w:val="22"/>
                        </w:rPr>
                        <w:t>.</w:t>
                      </w:r>
                      <w:r w:rsidRPr="000C65A7">
                        <w:rPr>
                          <w:iCs w:val="0"/>
                          <w:sz w:val="22"/>
                          <w:szCs w:val="22"/>
                        </w:rPr>
                        <w:t xml:space="preserve"> Growth curve of </w:t>
                      </w:r>
                      <w:r w:rsidRPr="000C65A7">
                        <w:rPr>
                          <w:iCs w:val="0"/>
                          <w:spacing w:val="-4"/>
                          <w:kern w:val="1"/>
                          <w:sz w:val="22"/>
                          <w:szCs w:val="22"/>
                        </w:rPr>
                        <w:t>EDL-</w:t>
                      </w:r>
                      <w:r w:rsidRPr="000C65A7">
                        <w:rPr>
                          <w:iCs w:val="0"/>
                          <w:sz w:val="22"/>
                          <w:szCs w:val="22"/>
                        </w:rPr>
                        <w:sym w:font="Symbol" w:char="F044"/>
                      </w:r>
                      <w:proofErr w:type="spellStart"/>
                      <w:r w:rsidRPr="00F24DF8">
                        <w:rPr>
                          <w:i/>
                          <w:sz w:val="22"/>
                          <w:szCs w:val="22"/>
                        </w:rPr>
                        <w:t>zor-orz</w:t>
                      </w:r>
                      <w:proofErr w:type="spellEnd"/>
                      <w:r w:rsidRPr="000C65A7">
                        <w:rPr>
                          <w:iCs w:val="0"/>
                          <w:sz w:val="22"/>
                          <w:szCs w:val="22"/>
                        </w:rPr>
                        <w:t xml:space="preserve"> harboring pBR322 (black) or </w:t>
                      </w:r>
                      <w:proofErr w:type="spellStart"/>
                      <w:r w:rsidRPr="000C65A7">
                        <w:rPr>
                          <w:iCs w:val="0"/>
                          <w:sz w:val="22"/>
                          <w:szCs w:val="22"/>
                        </w:rPr>
                        <w:t>pBR-</w:t>
                      </w:r>
                      <w:r w:rsidRPr="00F24DF8">
                        <w:rPr>
                          <w:i/>
                          <w:sz w:val="22"/>
                          <w:szCs w:val="22"/>
                        </w:rPr>
                        <w:t>zor-orz</w:t>
                      </w:r>
                      <w:proofErr w:type="spellEnd"/>
                      <w:r w:rsidRPr="000C65A7">
                        <w:rPr>
                          <w:iCs w:val="0"/>
                          <w:sz w:val="22"/>
                          <w:szCs w:val="22"/>
                        </w:rPr>
                        <w:t xml:space="preserve"> (turquoise) in LB (A), LB with 8 </w:t>
                      </w:r>
                      <w:r w:rsidRPr="000C65A7">
                        <w:rPr>
                          <w:iCs w:val="0"/>
                          <w:sz w:val="22"/>
                          <w:szCs w:val="22"/>
                        </w:rPr>
                        <w:sym w:font="Symbol" w:char="F06D"/>
                      </w:r>
                      <w:r w:rsidRPr="000C65A7">
                        <w:rPr>
                          <w:iCs w:val="0"/>
                          <w:sz w:val="22"/>
                          <w:szCs w:val="22"/>
                        </w:rPr>
                        <w:t xml:space="preserve">g/mL kanamycin (B), in M9 minimal media with 0.2% glucose (C), M9 minimal media with 0.2% glucose and 4 </w:t>
                      </w:r>
                      <w:r w:rsidRPr="000C65A7">
                        <w:rPr>
                          <w:iCs w:val="0"/>
                          <w:sz w:val="22"/>
                          <w:szCs w:val="22"/>
                        </w:rPr>
                        <w:sym w:font="Symbol" w:char="F06D"/>
                      </w:r>
                      <w:r w:rsidRPr="000C65A7">
                        <w:rPr>
                          <w:iCs w:val="0"/>
                          <w:sz w:val="22"/>
                          <w:szCs w:val="22"/>
                        </w:rPr>
                        <w:t xml:space="preserve">g/mL kanamycin (D) or M9 minimal media with 0.4% fructose (E), and M9 minimal media with 0.4% fructose and 4 </w:t>
                      </w:r>
                      <w:r w:rsidRPr="000C65A7">
                        <w:rPr>
                          <w:iCs w:val="0"/>
                          <w:sz w:val="22"/>
                          <w:szCs w:val="22"/>
                        </w:rPr>
                        <w:sym w:font="Symbol" w:char="F06D"/>
                      </w:r>
                      <w:r w:rsidRPr="000C65A7">
                        <w:rPr>
                          <w:iCs w:val="0"/>
                          <w:sz w:val="22"/>
                          <w:szCs w:val="22"/>
                        </w:rPr>
                        <w:t xml:space="preserve">g/mL kanamycin (F). All growth conditions contained 100 </w:t>
                      </w:r>
                      <w:r w:rsidRPr="000C65A7">
                        <w:rPr>
                          <w:iCs w:val="0"/>
                          <w:sz w:val="22"/>
                          <w:szCs w:val="22"/>
                        </w:rPr>
                        <w:sym w:font="Symbol" w:char="F06D"/>
                      </w:r>
                      <w:r w:rsidRPr="000C65A7">
                        <w:rPr>
                          <w:iCs w:val="0"/>
                          <w:sz w:val="22"/>
                          <w:szCs w:val="22"/>
                        </w:rPr>
                        <w:t>g/mL ampicillin for plasmid maintenance.</w:t>
                      </w:r>
                      <w:r w:rsidRPr="000C65A7">
                        <w:rPr>
                          <w:iCs w:val="0"/>
                          <w:spacing w:val="-4"/>
                          <w:kern w:val="1"/>
                          <w:sz w:val="22"/>
                          <w:szCs w:val="22"/>
                        </w:rPr>
                        <w:t xml:space="preserve"> n ≥ 3, shown are mean ± SD.</w:t>
                      </w:r>
                    </w:p>
                  </w:txbxContent>
                </v:textbox>
                <w10:wrap type="topAndBottom"/>
              </v:shape>
            </w:pict>
          </mc:Fallback>
        </mc:AlternateContent>
      </w:r>
      <w:r>
        <w:rPr>
          <w:rFonts w:eastAsia="Calibri"/>
          <w:bCs/>
        </w:rPr>
        <w:br w:type="page"/>
      </w:r>
    </w:p>
    <w:p w14:paraId="37B647EF" w14:textId="78E201CC" w:rsidR="00F33FC4" w:rsidRPr="00F33FC4" w:rsidRDefault="00F33FC4" w:rsidP="00F33FC4">
      <w:pPr>
        <w:rPr>
          <w:rFonts w:eastAsia="Calibri"/>
          <w:bCs/>
        </w:rPr>
      </w:pPr>
      <w:r w:rsidRPr="00F33FC4">
        <w:rPr>
          <w:rFonts w:eastAsia="Calibri"/>
          <w:bCs/>
          <w:noProof/>
        </w:rPr>
        <w:lastRenderedPageBreak/>
        <w:drawing>
          <wp:anchor distT="0" distB="0" distL="114300" distR="114300" simplePos="0" relativeHeight="251695104" behindDoc="0" locked="0" layoutInCell="1" allowOverlap="1" wp14:anchorId="584BF5C1" wp14:editId="751FD64F">
            <wp:simplePos x="0" y="0"/>
            <wp:positionH relativeFrom="column">
              <wp:posOffset>0</wp:posOffset>
            </wp:positionH>
            <wp:positionV relativeFrom="paragraph">
              <wp:posOffset>359923</wp:posOffset>
            </wp:positionV>
            <wp:extent cx="5943600" cy="6783705"/>
            <wp:effectExtent l="0" t="0" r="0" b="0"/>
            <wp:wrapTopAndBottom/>
            <wp:docPr id="23" name="Picture 2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Diagram&#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43600" cy="6783705"/>
                    </a:xfrm>
                    <a:prstGeom prst="rect">
                      <a:avLst/>
                    </a:prstGeom>
                  </pic:spPr>
                </pic:pic>
              </a:graphicData>
            </a:graphic>
            <wp14:sizeRelH relativeFrom="page">
              <wp14:pctWidth>0</wp14:pctWidth>
            </wp14:sizeRelH>
            <wp14:sizeRelV relativeFrom="page">
              <wp14:pctHeight>0</wp14:pctHeight>
            </wp14:sizeRelV>
          </wp:anchor>
        </w:drawing>
      </w:r>
      <w:r w:rsidRPr="00F33FC4">
        <w:rPr>
          <w:rFonts w:eastAsia="Calibri"/>
          <w:bCs/>
        </w:rPr>
        <w:br w:type="page"/>
      </w:r>
    </w:p>
    <w:p w14:paraId="66F2622E" w14:textId="77777777" w:rsidR="00F33FC4" w:rsidRPr="00F33FC4" w:rsidRDefault="00F33FC4" w:rsidP="003E1EFB">
      <w:pPr>
        <w:spacing w:line="360" w:lineRule="auto"/>
        <w:rPr>
          <w:rFonts w:eastAsia="Calibri"/>
          <w:bCs/>
        </w:rPr>
      </w:pPr>
      <w:r w:rsidRPr="00F33FC4">
        <w:rPr>
          <w:rFonts w:eastAsia="Calibri"/>
          <w:bCs/>
        </w:rPr>
        <w:lastRenderedPageBreak/>
        <w:t>added 4 µg/ml of kanamycin to the other half to better monitor the immediate cellular response to kanamycin. This also eliminated differences in the growth patterns observed above (Fig. 2.12). For our mock-treated cultures, the relative ATP levels were similar regardless if the strain harbored either the empty vector (</w:t>
      </w:r>
      <w:proofErr w:type="spellStart"/>
      <w:r w:rsidRPr="00F33FC4">
        <w:rPr>
          <w:rFonts w:eastAsia="Calibri"/>
          <w:bCs/>
        </w:rPr>
        <w:t>pBR</w:t>
      </w:r>
      <w:proofErr w:type="spellEnd"/>
      <w:r w:rsidRPr="00F33FC4">
        <w:rPr>
          <w:rFonts w:eastAsia="Calibri"/>
          <w:bCs/>
        </w:rPr>
        <w:t xml:space="preserve">) or </w:t>
      </w:r>
      <w:proofErr w:type="spellStart"/>
      <w:r w:rsidRPr="00F33FC4">
        <w:rPr>
          <w:rFonts w:eastAsia="Calibri"/>
          <w:bCs/>
        </w:rPr>
        <w:t>pBR-</w:t>
      </w:r>
      <w:r w:rsidRPr="00F33FC4">
        <w:rPr>
          <w:rFonts w:eastAsia="Calibri"/>
          <w:bCs/>
          <w:i/>
          <w:iCs/>
        </w:rPr>
        <w:t>zor-orz</w:t>
      </w:r>
      <w:proofErr w:type="spellEnd"/>
      <w:r w:rsidRPr="00F33FC4">
        <w:rPr>
          <w:rFonts w:eastAsia="Calibri"/>
          <w:bCs/>
        </w:rPr>
        <w:t xml:space="preserve"> during mid-log growth phase. For those cells treated with kanamycin, we observed no differences in relative ATP levels after 1 hour (</w:t>
      </w:r>
      <w:proofErr w:type="spellStart"/>
      <w:r w:rsidRPr="00F33FC4">
        <w:rPr>
          <w:rFonts w:eastAsia="Calibri"/>
          <w:bCs/>
        </w:rPr>
        <w:t>hr</w:t>
      </w:r>
      <w:proofErr w:type="spellEnd"/>
      <w:r w:rsidRPr="00F33FC4">
        <w:rPr>
          <w:rFonts w:eastAsia="Calibri"/>
          <w:bCs/>
        </w:rPr>
        <w:t xml:space="preserve">) of treatment, but saw a relatively lower ATP levels in cells harboring </w:t>
      </w:r>
      <w:proofErr w:type="spellStart"/>
      <w:r w:rsidRPr="00F33FC4">
        <w:rPr>
          <w:rFonts w:eastAsia="Calibri"/>
          <w:bCs/>
        </w:rPr>
        <w:t>pBR-</w:t>
      </w:r>
      <w:r w:rsidRPr="00F33FC4">
        <w:rPr>
          <w:rFonts w:eastAsia="Calibri"/>
          <w:bCs/>
          <w:i/>
          <w:iCs/>
        </w:rPr>
        <w:t>zor-orz</w:t>
      </w:r>
      <w:proofErr w:type="spellEnd"/>
      <w:r w:rsidRPr="00F33FC4">
        <w:rPr>
          <w:rFonts w:eastAsia="Calibri"/>
          <w:bCs/>
        </w:rPr>
        <w:t xml:space="preserve"> following 4 </w:t>
      </w:r>
      <w:proofErr w:type="spellStart"/>
      <w:r w:rsidRPr="00F33FC4">
        <w:rPr>
          <w:rFonts w:eastAsia="Calibri"/>
          <w:bCs/>
        </w:rPr>
        <w:t>hrs</w:t>
      </w:r>
      <w:proofErr w:type="spellEnd"/>
      <w:r w:rsidRPr="00F33FC4">
        <w:rPr>
          <w:rFonts w:eastAsia="Calibri"/>
          <w:bCs/>
        </w:rPr>
        <w:t xml:space="preserve"> of kanamycin treatment (*, </w:t>
      </w:r>
      <w:r w:rsidRPr="00F33FC4">
        <w:rPr>
          <w:rFonts w:eastAsia="Calibri"/>
          <w:bCs/>
          <w:i/>
        </w:rPr>
        <w:t xml:space="preserve">p </w:t>
      </w:r>
      <w:r w:rsidRPr="00F33FC4">
        <w:rPr>
          <w:rFonts w:eastAsia="Calibri"/>
          <w:bCs/>
        </w:rPr>
        <w:t xml:space="preserve">&lt; 0.05, Fig. 2.13B). We also analyzed the effect on membrane depolarization upon treatment with kanamycin. There was no statistically significant difference in the percentage of cells with a depolarized membrane, but those cells harboring </w:t>
      </w:r>
      <w:proofErr w:type="spellStart"/>
      <w:r w:rsidRPr="00F33FC4">
        <w:rPr>
          <w:rFonts w:eastAsia="Calibri"/>
          <w:bCs/>
        </w:rPr>
        <w:t>pBR-</w:t>
      </w:r>
      <w:r w:rsidRPr="00F33FC4">
        <w:rPr>
          <w:rFonts w:eastAsia="Calibri"/>
          <w:bCs/>
          <w:i/>
          <w:iCs/>
        </w:rPr>
        <w:t>zor-orz</w:t>
      </w:r>
      <w:proofErr w:type="spellEnd"/>
      <w:r w:rsidRPr="00F33FC4">
        <w:rPr>
          <w:rFonts w:eastAsia="Calibri"/>
          <w:bCs/>
        </w:rPr>
        <w:t xml:space="preserve"> did trend lower after 4 </w:t>
      </w:r>
      <w:proofErr w:type="spellStart"/>
      <w:r w:rsidRPr="00F33FC4">
        <w:rPr>
          <w:rFonts w:eastAsia="Calibri"/>
          <w:bCs/>
        </w:rPr>
        <w:t>hrs</w:t>
      </w:r>
      <w:proofErr w:type="spellEnd"/>
      <w:r w:rsidRPr="00F33FC4">
        <w:rPr>
          <w:rFonts w:eastAsia="Calibri"/>
          <w:bCs/>
        </w:rPr>
        <w:t xml:space="preserve"> of kanamycin treatment (Fig. 2.13C). We observed improved growth, however, of cells harboring </w:t>
      </w:r>
      <w:proofErr w:type="spellStart"/>
      <w:r w:rsidRPr="00F33FC4">
        <w:rPr>
          <w:rFonts w:eastAsia="Calibri"/>
          <w:bCs/>
        </w:rPr>
        <w:t>pBR-</w:t>
      </w:r>
      <w:r w:rsidRPr="00F33FC4">
        <w:rPr>
          <w:rFonts w:eastAsia="Calibri"/>
          <w:bCs/>
          <w:i/>
        </w:rPr>
        <w:t>zor-orz</w:t>
      </w:r>
      <w:proofErr w:type="spellEnd"/>
      <w:r w:rsidRPr="00F33FC4">
        <w:rPr>
          <w:rFonts w:eastAsia="Calibri"/>
          <w:bCs/>
        </w:rPr>
        <w:t xml:space="preserve"> compared to those harboring the empty vector only after approximately 5-6 </w:t>
      </w:r>
      <w:proofErr w:type="spellStart"/>
      <w:r w:rsidRPr="00F33FC4">
        <w:rPr>
          <w:rFonts w:eastAsia="Calibri"/>
          <w:bCs/>
        </w:rPr>
        <w:t>hrs</w:t>
      </w:r>
      <w:proofErr w:type="spellEnd"/>
      <w:r w:rsidRPr="00F33FC4">
        <w:rPr>
          <w:rFonts w:eastAsia="Calibri"/>
          <w:bCs/>
        </w:rPr>
        <w:t xml:space="preserve"> after kanamycin addition (Fig. 2.13D).</w:t>
      </w:r>
    </w:p>
    <w:p w14:paraId="7BAD6E0D" w14:textId="77777777" w:rsidR="00F33FC4" w:rsidRPr="00F33FC4" w:rsidRDefault="00F33FC4" w:rsidP="00F33FC4">
      <w:pPr>
        <w:spacing w:line="360" w:lineRule="auto"/>
        <w:ind w:firstLine="720"/>
        <w:rPr>
          <w:rFonts w:eastAsia="Calibri"/>
          <w:bCs/>
        </w:rPr>
      </w:pPr>
      <w:r w:rsidRPr="00F33FC4">
        <w:rPr>
          <w:rFonts w:eastAsia="Calibri"/>
          <w:bCs/>
        </w:rPr>
        <w:t xml:space="preserve">To further test if this improved growth of </w:t>
      </w:r>
      <w:r w:rsidRPr="00F33FC4">
        <w:rPr>
          <w:rFonts w:eastAsia="Calibri"/>
          <w:bCs/>
          <w:i/>
          <w:iCs/>
        </w:rPr>
        <w:t>E. coli</w:t>
      </w:r>
      <w:r w:rsidRPr="00F33FC4">
        <w:rPr>
          <w:rFonts w:eastAsia="Calibri"/>
          <w:bCs/>
        </w:rPr>
        <w:t xml:space="preserve"> cells in the presence of aminoglycoside antibiotics is maintained at a single copy level, </w:t>
      </w:r>
      <w:r w:rsidRPr="00F33FC4">
        <w:rPr>
          <w:rFonts w:eastAsia="Calibri"/>
          <w:bCs/>
          <w:i/>
        </w:rPr>
        <w:t>i.e.,</w:t>
      </w:r>
      <w:r w:rsidRPr="00F33FC4">
        <w:rPr>
          <w:rFonts w:eastAsia="Calibri"/>
          <w:bCs/>
        </w:rPr>
        <w:t xml:space="preserve"> chromosomal level, we generated a derivative of </w:t>
      </w:r>
      <w:r w:rsidRPr="00F33FC4">
        <w:rPr>
          <w:rFonts w:eastAsia="Calibri"/>
          <w:bCs/>
          <w:i/>
          <w:iCs/>
        </w:rPr>
        <w:t>E. coli</w:t>
      </w:r>
      <w:r w:rsidRPr="00F33FC4">
        <w:rPr>
          <w:rFonts w:eastAsia="Calibri"/>
          <w:bCs/>
        </w:rPr>
        <w:t xml:space="preserve"> MG1655 (which naturally lacks the </w:t>
      </w:r>
      <w:proofErr w:type="spellStart"/>
      <w:r w:rsidRPr="00F33FC4">
        <w:rPr>
          <w:rFonts w:eastAsia="Calibri"/>
          <w:bCs/>
          <w:i/>
          <w:iCs/>
        </w:rPr>
        <w:t>zor-orz</w:t>
      </w:r>
      <w:proofErr w:type="spellEnd"/>
      <w:r w:rsidRPr="00F33FC4">
        <w:rPr>
          <w:rFonts w:eastAsia="Calibri"/>
          <w:bCs/>
        </w:rPr>
        <w:t xml:space="preserve"> locus) in which we integrated into the genome a single-copy of </w:t>
      </w:r>
      <w:proofErr w:type="spellStart"/>
      <w:r w:rsidRPr="00F33FC4">
        <w:rPr>
          <w:rFonts w:eastAsia="Calibri"/>
          <w:bCs/>
          <w:i/>
          <w:iCs/>
        </w:rPr>
        <w:t>zorO</w:t>
      </w:r>
      <w:proofErr w:type="spellEnd"/>
      <w:r w:rsidRPr="00F33FC4">
        <w:rPr>
          <w:rFonts w:eastAsia="Calibri"/>
          <w:bCs/>
        </w:rPr>
        <w:t xml:space="preserve"> under control of its processed UTR (</w:t>
      </w:r>
      <w:r w:rsidRPr="00F33FC4">
        <w:rPr>
          <w:rFonts w:eastAsia="Calibri"/>
          <w:bCs/>
        </w:rPr>
        <w:sym w:font="Symbol" w:char="F044"/>
      </w:r>
      <w:r w:rsidRPr="00F33FC4">
        <w:rPr>
          <w:rFonts w:eastAsia="Calibri"/>
          <w:bCs/>
        </w:rPr>
        <w:t xml:space="preserve">28) and native promoter (this strain lacks the </w:t>
      </w:r>
      <w:proofErr w:type="spellStart"/>
      <w:r w:rsidRPr="00F33FC4">
        <w:rPr>
          <w:rFonts w:eastAsia="Calibri"/>
          <w:bCs/>
        </w:rPr>
        <w:t>OrzO</w:t>
      </w:r>
      <w:proofErr w:type="spellEnd"/>
      <w:r w:rsidRPr="00F33FC4">
        <w:rPr>
          <w:rFonts w:eastAsia="Calibri"/>
          <w:bCs/>
        </w:rPr>
        <w:t xml:space="preserve"> antitoxin). Unlike the effects observed with multiple copies of the </w:t>
      </w:r>
      <w:proofErr w:type="spellStart"/>
      <w:r w:rsidRPr="00F33FC4">
        <w:rPr>
          <w:rFonts w:eastAsia="Calibri"/>
          <w:bCs/>
          <w:i/>
          <w:iCs/>
        </w:rPr>
        <w:t>zor-orz</w:t>
      </w:r>
      <w:proofErr w:type="spellEnd"/>
      <w:r w:rsidRPr="00F33FC4">
        <w:rPr>
          <w:rFonts w:eastAsia="Calibri"/>
          <w:bCs/>
        </w:rPr>
        <w:t xml:space="preserve"> locus, the single copy of </w:t>
      </w:r>
      <w:proofErr w:type="spellStart"/>
      <w:r w:rsidRPr="00F33FC4">
        <w:rPr>
          <w:rFonts w:eastAsia="Calibri"/>
          <w:bCs/>
          <w:i/>
          <w:iCs/>
        </w:rPr>
        <w:t>zorO</w:t>
      </w:r>
      <w:proofErr w:type="spellEnd"/>
      <w:r w:rsidRPr="00F33FC4">
        <w:rPr>
          <w:rFonts w:eastAsia="Calibri"/>
          <w:bCs/>
        </w:rPr>
        <w:t xml:space="preserve"> integrated in the </w:t>
      </w:r>
      <w:r w:rsidRPr="00F33FC4">
        <w:rPr>
          <w:rFonts w:eastAsia="Calibri"/>
          <w:bCs/>
          <w:i/>
          <w:iCs/>
        </w:rPr>
        <w:t>E. coli</w:t>
      </w:r>
      <w:r w:rsidRPr="00F33FC4">
        <w:rPr>
          <w:rFonts w:eastAsia="Calibri"/>
          <w:bCs/>
        </w:rPr>
        <w:t xml:space="preserve"> chromosome was not able to improve growth in the presence of kanamycin or gentamycin (Fig. 7B and 7C). We also constructed a similar EDL933 strain (EDL933-</w:t>
      </w:r>
      <w:r w:rsidRPr="00F33FC4">
        <w:rPr>
          <w:rFonts w:eastAsia="Calibri"/>
          <w:bCs/>
        </w:rPr>
        <w:sym w:font="Symbol" w:char="F044"/>
      </w:r>
      <w:r w:rsidRPr="00F33FC4">
        <w:rPr>
          <w:rFonts w:eastAsia="Calibri"/>
          <w:bCs/>
        </w:rPr>
        <w:t>28-</w:t>
      </w:r>
      <w:r w:rsidRPr="00F33FC4">
        <w:rPr>
          <w:rFonts w:eastAsia="Calibri"/>
          <w:bCs/>
          <w:i/>
          <w:iCs/>
        </w:rPr>
        <w:t>zorO</w:t>
      </w:r>
      <w:r w:rsidRPr="00F33FC4">
        <w:rPr>
          <w:rFonts w:eastAsia="Calibri"/>
          <w:bCs/>
        </w:rPr>
        <w:t>) and compared its growth with the WT and the EDL933-</w:t>
      </w:r>
      <w:r w:rsidRPr="00F33FC4">
        <w:rPr>
          <w:rFonts w:eastAsia="Calibri"/>
          <w:bCs/>
        </w:rPr>
        <w:sym w:font="Symbol" w:char="F044"/>
      </w:r>
      <w:proofErr w:type="spellStart"/>
      <w:r w:rsidRPr="00F33FC4">
        <w:rPr>
          <w:rFonts w:eastAsia="Calibri"/>
          <w:bCs/>
          <w:i/>
          <w:iCs/>
        </w:rPr>
        <w:t>zor-orz</w:t>
      </w:r>
      <w:proofErr w:type="spellEnd"/>
      <w:r w:rsidRPr="00F33FC4">
        <w:rPr>
          <w:rFonts w:eastAsia="Calibri"/>
          <w:bCs/>
        </w:rPr>
        <w:t xml:space="preserve">. The growth patterns of the EDL933 strains were similar in LB (Fig. 7D) and M9 minimal media supplemented with glucose or fructose (data not shown). Like the above observations of our derived MG1655 </w:t>
      </w:r>
      <w:r w:rsidRPr="00F33FC4">
        <w:rPr>
          <w:rFonts w:eastAsia="Calibri"/>
          <w:bCs/>
          <w:i/>
          <w:iCs/>
        </w:rPr>
        <w:t>E. coli</w:t>
      </w:r>
      <w:r w:rsidRPr="00F33FC4">
        <w:rPr>
          <w:rFonts w:eastAsia="Calibri"/>
          <w:bCs/>
        </w:rPr>
        <w:t xml:space="preserve"> strains, there was no significant differences in the growth pattern of these three EDL933 strains in the presence of kanamycin (Fig. 7E), gentamicin (Fig. 7F), chloramphenicol, or ciprofloxacin (data not shown). </w:t>
      </w:r>
    </w:p>
    <w:p w14:paraId="4763E5C7" w14:textId="58652BB1" w:rsidR="00F33FC4" w:rsidRDefault="00F33FC4" w:rsidP="00F33FC4">
      <w:pPr>
        <w:spacing w:line="360" w:lineRule="auto"/>
        <w:ind w:firstLine="720"/>
        <w:rPr>
          <w:rFonts w:eastAsia="Calibri"/>
          <w:b/>
        </w:rPr>
      </w:pPr>
    </w:p>
    <w:p w14:paraId="3C49FB52" w14:textId="7D3B4058" w:rsidR="003E1EFB" w:rsidRDefault="003E1EFB" w:rsidP="00F33FC4">
      <w:pPr>
        <w:spacing w:line="360" w:lineRule="auto"/>
        <w:ind w:firstLine="720"/>
        <w:rPr>
          <w:rFonts w:eastAsia="Calibri"/>
          <w:b/>
        </w:rPr>
      </w:pPr>
    </w:p>
    <w:p w14:paraId="65205BB7" w14:textId="77777777" w:rsidR="003E1EFB" w:rsidRPr="00F33FC4" w:rsidRDefault="003E1EFB" w:rsidP="00F33FC4">
      <w:pPr>
        <w:spacing w:line="360" w:lineRule="auto"/>
        <w:ind w:firstLine="720"/>
        <w:rPr>
          <w:rFonts w:eastAsia="Calibri"/>
          <w:b/>
        </w:rPr>
      </w:pPr>
    </w:p>
    <w:p w14:paraId="4432319B" w14:textId="77777777" w:rsidR="00F33FC4" w:rsidRPr="00F33FC4" w:rsidRDefault="00F33FC4" w:rsidP="00F33FC4">
      <w:pPr>
        <w:rPr>
          <w:rFonts w:eastAsia="Calibri"/>
          <w:bCs/>
        </w:rPr>
      </w:pPr>
      <w:r w:rsidRPr="00F33FC4">
        <w:rPr>
          <w:rFonts w:ascii="Calibri" w:eastAsia="Calibri" w:hAnsi="Calibri" w:cs="Mangal"/>
          <w:noProof/>
        </w:rPr>
        <w:lastRenderedPageBreak/>
        <mc:AlternateContent>
          <mc:Choice Requires="wps">
            <w:drawing>
              <wp:anchor distT="0" distB="0" distL="114300" distR="114300" simplePos="0" relativeHeight="251698176" behindDoc="0" locked="0" layoutInCell="1" allowOverlap="1" wp14:anchorId="0275D7CF" wp14:editId="7DE4C86F">
                <wp:simplePos x="0" y="0"/>
                <wp:positionH relativeFrom="column">
                  <wp:posOffset>0</wp:posOffset>
                </wp:positionH>
                <wp:positionV relativeFrom="paragraph">
                  <wp:posOffset>4904105</wp:posOffset>
                </wp:positionV>
                <wp:extent cx="5943600" cy="635"/>
                <wp:effectExtent l="0" t="0" r="0" b="12065"/>
                <wp:wrapTopAndBottom/>
                <wp:docPr id="26" name="Text Box 26"/>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213FE6EF" w14:textId="77777777" w:rsidR="00F33FC4" w:rsidRPr="000C65A7" w:rsidRDefault="00F33FC4" w:rsidP="00F33FC4">
                            <w:pPr>
                              <w:pStyle w:val="Caption"/>
                              <w:rPr>
                                <w:bCs/>
                                <w:szCs w:val="24"/>
                              </w:rPr>
                            </w:pPr>
                            <w:r w:rsidRPr="000C65A7">
                              <w:rPr>
                                <w:iCs w:val="0"/>
                                <w:sz w:val="22"/>
                                <w:szCs w:val="22"/>
                              </w:rPr>
                              <w:t xml:space="preserve">Figure </w:t>
                            </w:r>
                            <w:r>
                              <w:rPr>
                                <w:iCs w:val="0"/>
                                <w:sz w:val="22"/>
                                <w:szCs w:val="22"/>
                              </w:rPr>
                              <w:t>2.13. Impact of kanamycin spike during mid-log growth phase on ATP, membrane depolarization and growth.</w:t>
                            </w:r>
                            <w:r w:rsidRPr="000C65A7">
                              <w:rPr>
                                <w:iCs w:val="0"/>
                                <w:sz w:val="22"/>
                                <w:szCs w:val="22"/>
                              </w:rPr>
                              <w:t xml:space="preserve"> Relative ATP levels during growth of EDL933-</w:t>
                            </w:r>
                            <w:r w:rsidRPr="000C65A7">
                              <w:rPr>
                                <w:color w:val="000000"/>
                                <w:spacing w:val="-4"/>
                                <w:kern w:val="1"/>
                                <w:sz w:val="22"/>
                                <w:szCs w:val="22"/>
                              </w:rPr>
                              <w:t xml:space="preserve"> </w:t>
                            </w:r>
                            <w:proofErr w:type="spellStart"/>
                            <w:r w:rsidRPr="000C65A7">
                              <w:rPr>
                                <w:iCs w:val="0"/>
                                <w:color w:val="000000"/>
                                <w:spacing w:val="-4"/>
                                <w:kern w:val="1"/>
                                <w:sz w:val="22"/>
                                <w:szCs w:val="22"/>
                              </w:rPr>
                              <w:t>Δ</w:t>
                            </w:r>
                            <w:r w:rsidRPr="00F24DF8">
                              <w:rPr>
                                <w:i/>
                                <w:iCs w:val="0"/>
                                <w:color w:val="000000"/>
                                <w:spacing w:val="-4"/>
                                <w:kern w:val="1"/>
                                <w:sz w:val="22"/>
                                <w:szCs w:val="22"/>
                              </w:rPr>
                              <w:t>zor-orz</w:t>
                            </w:r>
                            <w:proofErr w:type="spellEnd"/>
                            <w:r w:rsidRPr="00F24DF8">
                              <w:rPr>
                                <w:i/>
                                <w:iCs w:val="0"/>
                                <w:color w:val="000000"/>
                                <w:spacing w:val="-4"/>
                                <w:kern w:val="1"/>
                                <w:sz w:val="22"/>
                                <w:szCs w:val="22"/>
                              </w:rPr>
                              <w:t xml:space="preserve"> </w:t>
                            </w:r>
                            <w:r w:rsidRPr="000C65A7">
                              <w:rPr>
                                <w:iCs w:val="0"/>
                                <w:color w:val="000000"/>
                                <w:spacing w:val="-4"/>
                                <w:kern w:val="1"/>
                                <w:sz w:val="22"/>
                                <w:szCs w:val="22"/>
                              </w:rPr>
                              <w:t xml:space="preserve">with </w:t>
                            </w:r>
                            <w:proofErr w:type="spellStart"/>
                            <w:r w:rsidRPr="000C65A7">
                              <w:rPr>
                                <w:iCs w:val="0"/>
                                <w:color w:val="000000"/>
                                <w:spacing w:val="-4"/>
                                <w:kern w:val="1"/>
                                <w:sz w:val="22"/>
                                <w:szCs w:val="22"/>
                              </w:rPr>
                              <w:t>pBR</w:t>
                            </w:r>
                            <w:proofErr w:type="spellEnd"/>
                            <w:r w:rsidRPr="000C65A7">
                              <w:rPr>
                                <w:iCs w:val="0"/>
                                <w:color w:val="000000"/>
                                <w:spacing w:val="-4"/>
                                <w:kern w:val="1"/>
                                <w:sz w:val="22"/>
                                <w:szCs w:val="22"/>
                              </w:rPr>
                              <w:t xml:space="preserve"> or </w:t>
                            </w:r>
                            <w:proofErr w:type="spellStart"/>
                            <w:r w:rsidRPr="000C65A7">
                              <w:rPr>
                                <w:iCs w:val="0"/>
                                <w:color w:val="000000"/>
                                <w:spacing w:val="-4"/>
                                <w:kern w:val="1"/>
                                <w:sz w:val="22"/>
                                <w:szCs w:val="22"/>
                              </w:rPr>
                              <w:t>pBR-</w:t>
                            </w:r>
                            <w:r w:rsidRPr="00F24DF8">
                              <w:rPr>
                                <w:i/>
                                <w:iCs w:val="0"/>
                                <w:color w:val="000000"/>
                                <w:spacing w:val="-4"/>
                                <w:kern w:val="1"/>
                                <w:sz w:val="22"/>
                                <w:szCs w:val="22"/>
                              </w:rPr>
                              <w:t>zor-orz</w:t>
                            </w:r>
                            <w:proofErr w:type="spellEnd"/>
                            <w:r w:rsidRPr="000C65A7">
                              <w:rPr>
                                <w:iCs w:val="0"/>
                                <w:color w:val="000000"/>
                                <w:spacing w:val="-4"/>
                                <w:kern w:val="1"/>
                                <w:sz w:val="22"/>
                                <w:szCs w:val="22"/>
                              </w:rPr>
                              <w:t xml:space="preserve"> plasmid in LB medium (A) and in LB after addition of 4 µg/ml kanamycin spike at mid-log phase (B). Membrane depolarization of the cells in LB after addition of 4 µg/ml kanamycin spike during mid-log phase. Growth curve after 8 µg/ml kanamycin spike during mid-log phase in LB medium (D). For all panels </w:t>
                            </w:r>
                            <w:r w:rsidRPr="00D25092">
                              <w:rPr>
                                <w:i/>
                                <w:color w:val="000000"/>
                                <w:spacing w:val="-4"/>
                                <w:kern w:val="1"/>
                                <w:sz w:val="22"/>
                                <w:szCs w:val="22"/>
                              </w:rPr>
                              <w:t>n=3</w:t>
                            </w:r>
                            <w:r w:rsidRPr="000C65A7">
                              <w:rPr>
                                <w:iCs w:val="0"/>
                                <w:color w:val="000000"/>
                                <w:spacing w:val="-4"/>
                                <w:kern w:val="1"/>
                                <w:sz w:val="22"/>
                                <w:szCs w:val="22"/>
                              </w:rPr>
                              <w:t xml:space="preserve">, shown are mean ± SD. The </w:t>
                            </w:r>
                            <w:r w:rsidRPr="000C65A7">
                              <w:rPr>
                                <w:color w:val="000000"/>
                                <w:spacing w:val="-4"/>
                                <w:kern w:val="1"/>
                                <w:sz w:val="22"/>
                                <w:szCs w:val="22"/>
                              </w:rPr>
                              <w:t>p</w:t>
                            </w:r>
                            <w:r w:rsidRPr="000C65A7">
                              <w:rPr>
                                <w:iCs w:val="0"/>
                                <w:color w:val="000000"/>
                                <w:spacing w:val="-4"/>
                                <w:kern w:val="1"/>
                                <w:sz w:val="22"/>
                                <w:szCs w:val="22"/>
                              </w:rPr>
                              <w:t xml:space="preserve"> values were calculated using a multiple unpaired </w:t>
                            </w:r>
                            <w:r w:rsidRPr="000C65A7">
                              <w:rPr>
                                <w:color w:val="000000"/>
                                <w:spacing w:val="-4"/>
                                <w:kern w:val="1"/>
                                <w:sz w:val="22"/>
                                <w:szCs w:val="22"/>
                              </w:rPr>
                              <w:t xml:space="preserve">t </w:t>
                            </w:r>
                            <w:r w:rsidRPr="000C65A7">
                              <w:rPr>
                                <w:iCs w:val="0"/>
                                <w:color w:val="000000"/>
                                <w:spacing w:val="-4"/>
                                <w:kern w:val="1"/>
                                <w:sz w:val="22"/>
                                <w:szCs w:val="22"/>
                              </w:rPr>
                              <w:t>test with Welch correction</w:t>
                            </w:r>
                            <w:r w:rsidRPr="000C65A7">
                              <w:rPr>
                                <w:color w:val="000000"/>
                                <w:spacing w:val="-4"/>
                                <w:kern w:val="1"/>
                                <w:sz w:val="22"/>
                                <w:szCs w:val="22"/>
                              </w:rPr>
                              <w:t xml:space="preserve"> </w:t>
                            </w:r>
                            <w:r w:rsidRPr="000C65A7">
                              <w:rPr>
                                <w:iCs w:val="0"/>
                                <w:color w:val="000000"/>
                                <w:spacing w:val="-4"/>
                                <w:kern w:val="1"/>
                                <w:sz w:val="22"/>
                                <w:szCs w:val="22"/>
                              </w:rPr>
                              <w:t>(ns, not significant</w:t>
                            </w:r>
                            <w:r w:rsidRPr="000C65A7">
                              <w:rPr>
                                <w:color w:val="000000"/>
                                <w:spacing w:val="-4"/>
                                <w:kern w:val="1"/>
                                <w:sz w:val="22"/>
                                <w:szCs w:val="22"/>
                              </w:rPr>
                              <w:t xml:space="preserve">, </w:t>
                            </w:r>
                            <w:r w:rsidRPr="000C65A7">
                              <w:rPr>
                                <w:iCs w:val="0"/>
                                <w:color w:val="000000"/>
                                <w:spacing w:val="-4"/>
                                <w:kern w:val="1"/>
                                <w:sz w:val="22"/>
                                <w:szCs w:val="22"/>
                              </w:rPr>
                              <w:t xml:space="preserve">*, </w:t>
                            </w:r>
                            <w:r w:rsidRPr="00D25092">
                              <w:rPr>
                                <w:i/>
                                <w:iCs w:val="0"/>
                                <w:color w:val="000000"/>
                                <w:spacing w:val="-4"/>
                                <w:kern w:val="1"/>
                                <w:sz w:val="22"/>
                                <w:szCs w:val="22"/>
                              </w:rPr>
                              <w:t>p</w:t>
                            </w:r>
                            <w:r w:rsidRPr="000C65A7">
                              <w:rPr>
                                <w:iCs w:val="0"/>
                                <w:color w:val="000000"/>
                                <w:spacing w:val="-4"/>
                                <w:kern w:val="1"/>
                                <w:sz w:val="22"/>
                                <w:szCs w:val="22"/>
                              </w:rPr>
                              <w:t xml:space="preserve"> &lt; 0.05).</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275D7CF" id="Text Box 26" o:spid="_x0000_s1039" type="#_x0000_t202" style="position:absolute;margin-left:0;margin-top:386.15pt;width:468pt;height:.05pt;z-index:251698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" stroked="f">
                <v:textbox style="mso-fit-shape-to-text:t" inset="0,0,0,0">
                  <w:txbxContent>
                    <w:p w14:paraId="213FE6EF" w14:textId="77777777" w:rsidR="00F33FC4" w:rsidRPr="000C65A7" w:rsidRDefault="00F33FC4" w:rsidP="00F33FC4">
                      <w:pPr>
                        <w:pStyle w:val="Caption"/>
                        <w:rPr>
                          <w:bCs/>
                          <w:szCs w:val="24"/>
                        </w:rPr>
                      </w:pPr>
                      <w:r w:rsidRPr="000C65A7">
                        <w:rPr>
                          <w:iCs w:val="0"/>
                          <w:sz w:val="22"/>
                          <w:szCs w:val="22"/>
                        </w:rPr>
                        <w:t xml:space="preserve">Figure </w:t>
                      </w:r>
                      <w:r>
                        <w:rPr>
                          <w:iCs w:val="0"/>
                          <w:sz w:val="22"/>
                          <w:szCs w:val="22"/>
                        </w:rPr>
                        <w:t>2.13. Impact of kanamycin spike during mid-log growth phase on ATP, membrane depolarization and growth.</w:t>
                      </w:r>
                      <w:r w:rsidRPr="000C65A7">
                        <w:rPr>
                          <w:iCs w:val="0"/>
                          <w:sz w:val="22"/>
                          <w:szCs w:val="22"/>
                        </w:rPr>
                        <w:t xml:space="preserve"> Relative ATP levels during growth of EDL933-</w:t>
                      </w:r>
                      <w:r w:rsidRPr="000C65A7">
                        <w:rPr>
                          <w:color w:val="000000"/>
                          <w:spacing w:val="-4"/>
                          <w:kern w:val="1"/>
                          <w:sz w:val="22"/>
                          <w:szCs w:val="22"/>
                        </w:rPr>
                        <w:t xml:space="preserve"> </w:t>
                      </w:r>
                      <w:proofErr w:type="spellStart"/>
                      <w:r w:rsidRPr="000C65A7">
                        <w:rPr>
                          <w:iCs w:val="0"/>
                          <w:color w:val="000000"/>
                          <w:spacing w:val="-4"/>
                          <w:kern w:val="1"/>
                          <w:sz w:val="22"/>
                          <w:szCs w:val="22"/>
                        </w:rPr>
                        <w:t>Δ</w:t>
                      </w:r>
                      <w:r w:rsidRPr="00F24DF8">
                        <w:rPr>
                          <w:i/>
                          <w:iCs w:val="0"/>
                          <w:color w:val="000000"/>
                          <w:spacing w:val="-4"/>
                          <w:kern w:val="1"/>
                          <w:sz w:val="22"/>
                          <w:szCs w:val="22"/>
                        </w:rPr>
                        <w:t>zor-orz</w:t>
                      </w:r>
                      <w:proofErr w:type="spellEnd"/>
                      <w:r w:rsidRPr="00F24DF8">
                        <w:rPr>
                          <w:i/>
                          <w:iCs w:val="0"/>
                          <w:color w:val="000000"/>
                          <w:spacing w:val="-4"/>
                          <w:kern w:val="1"/>
                          <w:sz w:val="22"/>
                          <w:szCs w:val="22"/>
                        </w:rPr>
                        <w:t xml:space="preserve"> </w:t>
                      </w:r>
                      <w:r w:rsidRPr="000C65A7">
                        <w:rPr>
                          <w:iCs w:val="0"/>
                          <w:color w:val="000000"/>
                          <w:spacing w:val="-4"/>
                          <w:kern w:val="1"/>
                          <w:sz w:val="22"/>
                          <w:szCs w:val="22"/>
                        </w:rPr>
                        <w:t xml:space="preserve">with </w:t>
                      </w:r>
                      <w:proofErr w:type="spellStart"/>
                      <w:r w:rsidRPr="000C65A7">
                        <w:rPr>
                          <w:iCs w:val="0"/>
                          <w:color w:val="000000"/>
                          <w:spacing w:val="-4"/>
                          <w:kern w:val="1"/>
                          <w:sz w:val="22"/>
                          <w:szCs w:val="22"/>
                        </w:rPr>
                        <w:t>pBR</w:t>
                      </w:r>
                      <w:proofErr w:type="spellEnd"/>
                      <w:r w:rsidRPr="000C65A7">
                        <w:rPr>
                          <w:iCs w:val="0"/>
                          <w:color w:val="000000"/>
                          <w:spacing w:val="-4"/>
                          <w:kern w:val="1"/>
                          <w:sz w:val="22"/>
                          <w:szCs w:val="22"/>
                        </w:rPr>
                        <w:t xml:space="preserve"> or </w:t>
                      </w:r>
                      <w:proofErr w:type="spellStart"/>
                      <w:r w:rsidRPr="000C65A7">
                        <w:rPr>
                          <w:iCs w:val="0"/>
                          <w:color w:val="000000"/>
                          <w:spacing w:val="-4"/>
                          <w:kern w:val="1"/>
                          <w:sz w:val="22"/>
                          <w:szCs w:val="22"/>
                        </w:rPr>
                        <w:t>pBR-</w:t>
                      </w:r>
                      <w:r w:rsidRPr="00F24DF8">
                        <w:rPr>
                          <w:i/>
                          <w:iCs w:val="0"/>
                          <w:color w:val="000000"/>
                          <w:spacing w:val="-4"/>
                          <w:kern w:val="1"/>
                          <w:sz w:val="22"/>
                          <w:szCs w:val="22"/>
                        </w:rPr>
                        <w:t>zor-orz</w:t>
                      </w:r>
                      <w:proofErr w:type="spellEnd"/>
                      <w:r w:rsidRPr="000C65A7">
                        <w:rPr>
                          <w:iCs w:val="0"/>
                          <w:color w:val="000000"/>
                          <w:spacing w:val="-4"/>
                          <w:kern w:val="1"/>
                          <w:sz w:val="22"/>
                          <w:szCs w:val="22"/>
                        </w:rPr>
                        <w:t xml:space="preserve"> plasmid in LB medium (A) and in LB after addition of 4 µg/ml kanamycin spike at mid-log phase (B). Membrane depolarization of the cells in LB after addition of 4 µg/ml kanamycin spike during mid-log phase. Growth curve after 8 µg/ml kanamycin spike during mid-log phase in LB medium (D). For all panels </w:t>
                      </w:r>
                      <w:r w:rsidRPr="00D25092">
                        <w:rPr>
                          <w:i/>
                          <w:color w:val="000000"/>
                          <w:spacing w:val="-4"/>
                          <w:kern w:val="1"/>
                          <w:sz w:val="22"/>
                          <w:szCs w:val="22"/>
                        </w:rPr>
                        <w:t>n=3</w:t>
                      </w:r>
                      <w:r w:rsidRPr="000C65A7">
                        <w:rPr>
                          <w:iCs w:val="0"/>
                          <w:color w:val="000000"/>
                          <w:spacing w:val="-4"/>
                          <w:kern w:val="1"/>
                          <w:sz w:val="22"/>
                          <w:szCs w:val="22"/>
                        </w:rPr>
                        <w:t xml:space="preserve">, shown are mean ± SD. The </w:t>
                      </w:r>
                      <w:r w:rsidRPr="000C65A7">
                        <w:rPr>
                          <w:color w:val="000000"/>
                          <w:spacing w:val="-4"/>
                          <w:kern w:val="1"/>
                          <w:sz w:val="22"/>
                          <w:szCs w:val="22"/>
                        </w:rPr>
                        <w:t>p</w:t>
                      </w:r>
                      <w:r w:rsidRPr="000C65A7">
                        <w:rPr>
                          <w:iCs w:val="0"/>
                          <w:color w:val="000000"/>
                          <w:spacing w:val="-4"/>
                          <w:kern w:val="1"/>
                          <w:sz w:val="22"/>
                          <w:szCs w:val="22"/>
                        </w:rPr>
                        <w:t xml:space="preserve"> values were calculated using a multiple unpaired </w:t>
                      </w:r>
                      <w:r w:rsidRPr="000C65A7">
                        <w:rPr>
                          <w:color w:val="000000"/>
                          <w:spacing w:val="-4"/>
                          <w:kern w:val="1"/>
                          <w:sz w:val="22"/>
                          <w:szCs w:val="22"/>
                        </w:rPr>
                        <w:t xml:space="preserve">t </w:t>
                      </w:r>
                      <w:r w:rsidRPr="000C65A7">
                        <w:rPr>
                          <w:iCs w:val="0"/>
                          <w:color w:val="000000"/>
                          <w:spacing w:val="-4"/>
                          <w:kern w:val="1"/>
                          <w:sz w:val="22"/>
                          <w:szCs w:val="22"/>
                        </w:rPr>
                        <w:t>test with Welch correction</w:t>
                      </w:r>
                      <w:r w:rsidRPr="000C65A7">
                        <w:rPr>
                          <w:color w:val="000000"/>
                          <w:spacing w:val="-4"/>
                          <w:kern w:val="1"/>
                          <w:sz w:val="22"/>
                          <w:szCs w:val="22"/>
                        </w:rPr>
                        <w:t xml:space="preserve"> </w:t>
                      </w:r>
                      <w:r w:rsidRPr="000C65A7">
                        <w:rPr>
                          <w:iCs w:val="0"/>
                          <w:color w:val="000000"/>
                          <w:spacing w:val="-4"/>
                          <w:kern w:val="1"/>
                          <w:sz w:val="22"/>
                          <w:szCs w:val="22"/>
                        </w:rPr>
                        <w:t>(ns, not significant</w:t>
                      </w:r>
                      <w:r w:rsidRPr="000C65A7">
                        <w:rPr>
                          <w:color w:val="000000"/>
                          <w:spacing w:val="-4"/>
                          <w:kern w:val="1"/>
                          <w:sz w:val="22"/>
                          <w:szCs w:val="22"/>
                        </w:rPr>
                        <w:t xml:space="preserve">, </w:t>
                      </w:r>
                      <w:r w:rsidRPr="000C65A7">
                        <w:rPr>
                          <w:iCs w:val="0"/>
                          <w:color w:val="000000"/>
                          <w:spacing w:val="-4"/>
                          <w:kern w:val="1"/>
                          <w:sz w:val="22"/>
                          <w:szCs w:val="22"/>
                        </w:rPr>
                        <w:t xml:space="preserve">*, </w:t>
                      </w:r>
                      <w:r w:rsidRPr="00D25092">
                        <w:rPr>
                          <w:i/>
                          <w:iCs w:val="0"/>
                          <w:color w:val="000000"/>
                          <w:spacing w:val="-4"/>
                          <w:kern w:val="1"/>
                          <w:sz w:val="22"/>
                          <w:szCs w:val="22"/>
                        </w:rPr>
                        <w:t>p</w:t>
                      </w:r>
                      <w:r w:rsidRPr="000C65A7">
                        <w:rPr>
                          <w:iCs w:val="0"/>
                          <w:color w:val="000000"/>
                          <w:spacing w:val="-4"/>
                          <w:kern w:val="1"/>
                          <w:sz w:val="22"/>
                          <w:szCs w:val="22"/>
                        </w:rPr>
                        <w:t xml:space="preserve"> &lt; 0.05).</w:t>
                      </w:r>
                    </w:p>
                  </w:txbxContent>
                </v:textbox>
                <w10:wrap type="topAndBottom"/>
              </v:shape>
            </w:pict>
          </mc:Fallback>
        </mc:AlternateContent>
      </w:r>
      <w:r w:rsidRPr="00F33FC4">
        <w:rPr>
          <w:rFonts w:eastAsia="Calibri"/>
          <w:bCs/>
          <w:noProof/>
        </w:rPr>
        <w:drawing>
          <wp:anchor distT="0" distB="0" distL="114300" distR="114300" simplePos="0" relativeHeight="251697152" behindDoc="0" locked="0" layoutInCell="1" allowOverlap="1" wp14:anchorId="4CEA38EC" wp14:editId="5096842F">
            <wp:simplePos x="0" y="0"/>
            <wp:positionH relativeFrom="column">
              <wp:posOffset>0</wp:posOffset>
            </wp:positionH>
            <wp:positionV relativeFrom="paragraph">
              <wp:posOffset>496111</wp:posOffset>
            </wp:positionV>
            <wp:extent cx="5943600" cy="4351020"/>
            <wp:effectExtent l="0" t="0" r="0" b="5080"/>
            <wp:wrapTopAndBottom/>
            <wp:docPr id="25" name="Picture 2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Diagram&#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43600" cy="4351020"/>
                    </a:xfrm>
                    <a:prstGeom prst="rect">
                      <a:avLst/>
                    </a:prstGeom>
                  </pic:spPr>
                </pic:pic>
              </a:graphicData>
            </a:graphic>
            <wp14:sizeRelH relativeFrom="page">
              <wp14:pctWidth>0</wp14:pctWidth>
            </wp14:sizeRelH>
            <wp14:sizeRelV relativeFrom="page">
              <wp14:pctHeight>0</wp14:pctHeight>
            </wp14:sizeRelV>
          </wp:anchor>
        </w:drawing>
      </w:r>
      <w:r w:rsidRPr="00F33FC4">
        <w:rPr>
          <w:rFonts w:eastAsia="Calibri"/>
          <w:bCs/>
        </w:rPr>
        <w:br w:type="page"/>
      </w:r>
    </w:p>
    <w:p w14:paraId="12A7B953" w14:textId="2FA99F8F" w:rsidR="005067D6" w:rsidRDefault="005067D6">
      <w:pPr>
        <w:rPr>
          <w:rFonts w:eastAsia="Calibri"/>
          <w:bCs/>
        </w:rPr>
      </w:pPr>
      <w:r w:rsidRPr="00F33FC4">
        <w:rPr>
          <w:rFonts w:ascii="Calibri" w:eastAsia="Calibri" w:hAnsi="Calibri" w:cs="Mangal"/>
          <w:noProof/>
        </w:rPr>
        <w:lastRenderedPageBreak/>
        <mc:AlternateContent>
          <mc:Choice Requires="wps">
            <w:drawing>
              <wp:anchor distT="0" distB="0" distL="114300" distR="114300" simplePos="0" relativeHeight="251777024" behindDoc="0" locked="0" layoutInCell="1" allowOverlap="1" wp14:anchorId="195AEB52" wp14:editId="1C0C9D35">
                <wp:simplePos x="0" y="0"/>
                <wp:positionH relativeFrom="column">
                  <wp:posOffset>0</wp:posOffset>
                </wp:positionH>
                <wp:positionV relativeFrom="paragraph">
                  <wp:posOffset>171450</wp:posOffset>
                </wp:positionV>
                <wp:extent cx="5558790" cy="635"/>
                <wp:effectExtent l="0" t="0" r="3810" b="0"/>
                <wp:wrapTopAndBottom/>
                <wp:docPr id="28" name="Text Box 28"/>
                <wp:cNvGraphicFramePr/>
                <a:graphic xmlns:a="http://schemas.openxmlformats.org/drawingml/2006/main">
                  <a:graphicData uri="http://schemas.microsoft.com/office/word/2010/wordprocessingShape">
                    <wps:wsp>
                      <wps:cNvSpPr txBox="1"/>
                      <wps:spPr>
                        <a:xfrm>
                          <a:off x="0" y="0"/>
                          <a:ext cx="5558790" cy="635"/>
                        </a:xfrm>
                        <a:prstGeom prst="rect">
                          <a:avLst/>
                        </a:prstGeom>
                        <a:solidFill>
                          <a:prstClr val="white"/>
                        </a:solidFill>
                        <a:ln>
                          <a:noFill/>
                        </a:ln>
                      </wps:spPr>
                      <wps:txbx>
                        <w:txbxContent>
                          <w:p w14:paraId="477D5EC6" w14:textId="77777777" w:rsidR="005067D6" w:rsidRPr="00F33FC4" w:rsidRDefault="005067D6" w:rsidP="00194719">
                            <w:pPr>
                              <w:adjustRightInd w:val="0"/>
                              <w:snapToGrid w:val="0"/>
                              <w:spacing w:line="360" w:lineRule="auto"/>
                              <w:rPr>
                                <w:color w:val="000000"/>
                                <w:spacing w:val="-4"/>
                                <w:kern w:val="1"/>
                                <w:sz w:val="22"/>
                                <w:szCs w:val="22"/>
                              </w:rPr>
                            </w:pPr>
                            <w:r w:rsidRPr="00F33FC4">
                              <w:rPr>
                                <w:color w:val="000000"/>
                                <w:sz w:val="22"/>
                                <w:szCs w:val="22"/>
                              </w:rPr>
                              <w:t>Figure 2.14.</w:t>
                            </w:r>
                            <w:r w:rsidRPr="00F33FC4">
                              <w:rPr>
                                <w:color w:val="000000"/>
                                <w:spacing w:val="-4"/>
                                <w:kern w:val="1"/>
                                <w:sz w:val="22"/>
                                <w:szCs w:val="22"/>
                              </w:rPr>
                              <w:t xml:space="preserve"> A single chromosomal copy of processed 5’UTR-zorO does not improve growth in the presence of aminoglycosides. Growth curve of MG1655 strains carrying </w:t>
                            </w:r>
                            <w:proofErr w:type="spellStart"/>
                            <w:r w:rsidRPr="003E1EFB">
                              <w:rPr>
                                <w:i/>
                                <w:iCs/>
                                <w:color w:val="000000"/>
                                <w:spacing w:val="-4"/>
                                <w:kern w:val="1"/>
                                <w:sz w:val="22"/>
                                <w:szCs w:val="22"/>
                              </w:rPr>
                              <w:t>zorO</w:t>
                            </w:r>
                            <w:proofErr w:type="spellEnd"/>
                            <w:r w:rsidRPr="00F33FC4">
                              <w:rPr>
                                <w:color w:val="000000"/>
                                <w:spacing w:val="-4"/>
                                <w:kern w:val="1"/>
                                <w:sz w:val="22"/>
                                <w:szCs w:val="22"/>
                              </w:rPr>
                              <w:t xml:space="preserve"> with a processed 5’ UTR (turquoise) compared to the wild type MG1655 in LB (A), LB with 4 </w:t>
                            </w:r>
                            <w:proofErr w:type="spellStart"/>
                            <w:r w:rsidRPr="00F33FC4">
                              <w:rPr>
                                <w:color w:val="000000"/>
                                <w:spacing w:val="-4"/>
                                <w:kern w:val="1"/>
                                <w:sz w:val="22"/>
                                <w:szCs w:val="22"/>
                              </w:rPr>
                              <w:t>μg</w:t>
                            </w:r>
                            <w:proofErr w:type="spellEnd"/>
                            <w:r w:rsidRPr="00F33FC4">
                              <w:rPr>
                                <w:color w:val="000000"/>
                                <w:spacing w:val="-4"/>
                                <w:kern w:val="1"/>
                                <w:sz w:val="22"/>
                                <w:szCs w:val="22"/>
                              </w:rPr>
                              <w:t xml:space="preserve">/mL kanamycin (B) and LB with 4 </w:t>
                            </w:r>
                            <w:proofErr w:type="spellStart"/>
                            <w:r w:rsidRPr="00F33FC4">
                              <w:rPr>
                                <w:color w:val="000000"/>
                                <w:spacing w:val="-4"/>
                                <w:kern w:val="1"/>
                                <w:sz w:val="22"/>
                                <w:szCs w:val="22"/>
                              </w:rPr>
                              <w:t>μg</w:t>
                            </w:r>
                            <w:proofErr w:type="spellEnd"/>
                            <w:r w:rsidRPr="00F33FC4">
                              <w:rPr>
                                <w:color w:val="000000"/>
                                <w:spacing w:val="-4"/>
                                <w:kern w:val="1"/>
                                <w:sz w:val="22"/>
                                <w:szCs w:val="22"/>
                              </w:rPr>
                              <w:t>/mL gentamicin (C). Growth curve of WT EDL933 (black) compared to that of the EDL933-</w:t>
                            </w:r>
                            <w:r w:rsidRPr="00F33FC4">
                              <w:rPr>
                                <w:color w:val="000000"/>
                                <w:sz w:val="22"/>
                                <w:szCs w:val="22"/>
                              </w:rPr>
                              <w:sym w:font="Symbol" w:char="F044"/>
                            </w:r>
                            <w:proofErr w:type="spellStart"/>
                            <w:r w:rsidRPr="003E1EFB">
                              <w:rPr>
                                <w:i/>
                                <w:iCs/>
                                <w:color w:val="000000"/>
                                <w:sz w:val="22"/>
                                <w:szCs w:val="22"/>
                              </w:rPr>
                              <w:t>zor-orz</w:t>
                            </w:r>
                            <w:proofErr w:type="spellEnd"/>
                            <w:r w:rsidRPr="00F33FC4">
                              <w:rPr>
                                <w:color w:val="000000"/>
                                <w:sz w:val="22"/>
                                <w:szCs w:val="22"/>
                              </w:rPr>
                              <w:t xml:space="preserve"> (turquoise) and EDL933-</w:t>
                            </w:r>
                            <w:r w:rsidRPr="00F33FC4">
                              <w:rPr>
                                <w:color w:val="000000"/>
                                <w:sz w:val="22"/>
                                <w:szCs w:val="22"/>
                              </w:rPr>
                              <w:sym w:font="Symbol" w:char="F044"/>
                            </w:r>
                            <w:r w:rsidRPr="00F33FC4">
                              <w:rPr>
                                <w:color w:val="000000"/>
                                <w:sz w:val="22"/>
                                <w:szCs w:val="22"/>
                              </w:rPr>
                              <w:t>28-</w:t>
                            </w:r>
                            <w:r w:rsidRPr="003E1EFB">
                              <w:rPr>
                                <w:i/>
                                <w:iCs/>
                                <w:color w:val="000000"/>
                                <w:sz w:val="22"/>
                                <w:szCs w:val="22"/>
                              </w:rPr>
                              <w:t>zorO</w:t>
                            </w:r>
                            <w:r w:rsidRPr="00F33FC4">
                              <w:rPr>
                                <w:color w:val="000000"/>
                                <w:sz w:val="22"/>
                                <w:szCs w:val="22"/>
                              </w:rPr>
                              <w:t xml:space="preserve"> (salmon) in LB (D), LB with 8 </w:t>
                            </w:r>
                            <w:proofErr w:type="spellStart"/>
                            <w:r w:rsidRPr="00F33FC4">
                              <w:rPr>
                                <w:color w:val="000000"/>
                                <w:spacing w:val="-4"/>
                                <w:kern w:val="1"/>
                                <w:sz w:val="22"/>
                                <w:szCs w:val="22"/>
                              </w:rPr>
                              <w:t>μg</w:t>
                            </w:r>
                            <w:proofErr w:type="spellEnd"/>
                            <w:r w:rsidRPr="00F33FC4">
                              <w:rPr>
                                <w:color w:val="000000"/>
                                <w:spacing w:val="-4"/>
                                <w:kern w:val="1"/>
                                <w:sz w:val="22"/>
                                <w:szCs w:val="22"/>
                              </w:rPr>
                              <w:t xml:space="preserve">/mL </w:t>
                            </w:r>
                            <w:r w:rsidRPr="00F33FC4">
                              <w:rPr>
                                <w:color w:val="000000"/>
                                <w:sz w:val="22"/>
                                <w:szCs w:val="22"/>
                              </w:rPr>
                              <w:t>kanamycin (E) and LB with 4</w:t>
                            </w:r>
                            <w:r w:rsidRPr="00F33FC4">
                              <w:rPr>
                                <w:color w:val="000000"/>
                                <w:spacing w:val="-4"/>
                                <w:kern w:val="1"/>
                                <w:sz w:val="22"/>
                                <w:szCs w:val="22"/>
                              </w:rPr>
                              <w:t xml:space="preserve"> </w:t>
                            </w:r>
                            <w:proofErr w:type="spellStart"/>
                            <w:r w:rsidRPr="00F33FC4">
                              <w:rPr>
                                <w:color w:val="000000"/>
                                <w:spacing w:val="-4"/>
                                <w:kern w:val="1"/>
                                <w:sz w:val="22"/>
                                <w:szCs w:val="22"/>
                              </w:rPr>
                              <w:t>μg</w:t>
                            </w:r>
                            <w:proofErr w:type="spellEnd"/>
                            <w:r w:rsidRPr="00F33FC4">
                              <w:rPr>
                                <w:color w:val="000000"/>
                                <w:spacing w:val="-4"/>
                                <w:kern w:val="1"/>
                                <w:sz w:val="22"/>
                                <w:szCs w:val="22"/>
                              </w:rPr>
                              <w:t xml:space="preserve">/mL gentamycin (F). For all panels </w:t>
                            </w:r>
                            <w:r w:rsidRPr="00F33FC4">
                              <w:rPr>
                                <w:i/>
                                <w:iCs/>
                                <w:color w:val="000000"/>
                                <w:spacing w:val="-4"/>
                                <w:kern w:val="1"/>
                                <w:sz w:val="22"/>
                                <w:szCs w:val="22"/>
                              </w:rPr>
                              <w:t>n=3</w:t>
                            </w:r>
                            <w:r w:rsidRPr="00F33FC4">
                              <w:rPr>
                                <w:color w:val="000000"/>
                                <w:spacing w:val="-4"/>
                                <w:kern w:val="1"/>
                                <w:sz w:val="22"/>
                                <w:szCs w:val="22"/>
                              </w:rPr>
                              <w:t>; shown are mean ± SD.</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95AEB52" id="Text Box 28" o:spid="_x0000_s1040" type="#_x0000_t202" style="position:absolute;margin-left:0;margin-top:13.5pt;width:437.7pt;height:.05pt;z-index:2517770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" stroked="f">
                <v:textbox style="mso-fit-shape-to-text:t" inset="0,0,0,0">
                  <w:txbxContent>
                    <w:p w14:paraId="477D5EC6" w14:textId="77777777" w:rsidR="005067D6" w:rsidRPr="00F33FC4" w:rsidRDefault="005067D6" w:rsidP="00194719">
                      <w:pPr>
                        <w:adjustRightInd w:val="0"/>
                        <w:snapToGrid w:val="0"/>
                        <w:spacing w:line="360" w:lineRule="auto"/>
                        <w:rPr>
                          <w:color w:val="000000"/>
                          <w:spacing w:val="-4"/>
                          <w:kern w:val="1"/>
                          <w:sz w:val="22"/>
                          <w:szCs w:val="22"/>
                        </w:rPr>
                      </w:pPr>
                      <w:r w:rsidRPr="00F33FC4">
                        <w:rPr>
                          <w:color w:val="000000"/>
                          <w:sz w:val="22"/>
                          <w:szCs w:val="22"/>
                        </w:rPr>
                        <w:t>Figure 2.14.</w:t>
                      </w:r>
                      <w:r w:rsidRPr="00F33FC4">
                        <w:rPr>
                          <w:color w:val="000000"/>
                          <w:spacing w:val="-4"/>
                          <w:kern w:val="1"/>
                          <w:sz w:val="22"/>
                          <w:szCs w:val="22"/>
                        </w:rPr>
                        <w:t xml:space="preserve"> A single chromosomal copy of processed 5’UTR-zorO does not improve growth in the presence of aminoglycosides. Growth curve of MG1655 strains carrying </w:t>
                      </w:r>
                      <w:proofErr w:type="spellStart"/>
                      <w:r w:rsidRPr="003E1EFB">
                        <w:rPr>
                          <w:i/>
                          <w:iCs/>
                          <w:color w:val="000000"/>
                          <w:spacing w:val="-4"/>
                          <w:kern w:val="1"/>
                          <w:sz w:val="22"/>
                          <w:szCs w:val="22"/>
                        </w:rPr>
                        <w:t>zorO</w:t>
                      </w:r>
                      <w:proofErr w:type="spellEnd"/>
                      <w:r w:rsidRPr="00F33FC4">
                        <w:rPr>
                          <w:color w:val="000000"/>
                          <w:spacing w:val="-4"/>
                          <w:kern w:val="1"/>
                          <w:sz w:val="22"/>
                          <w:szCs w:val="22"/>
                        </w:rPr>
                        <w:t xml:space="preserve"> with a processed 5’ UTR (turquoise) compared to the wild type MG1655 in LB (A), LB with 4 </w:t>
                      </w:r>
                      <w:proofErr w:type="spellStart"/>
                      <w:r w:rsidRPr="00F33FC4">
                        <w:rPr>
                          <w:color w:val="000000"/>
                          <w:spacing w:val="-4"/>
                          <w:kern w:val="1"/>
                          <w:sz w:val="22"/>
                          <w:szCs w:val="22"/>
                        </w:rPr>
                        <w:t>μg</w:t>
                      </w:r>
                      <w:proofErr w:type="spellEnd"/>
                      <w:r w:rsidRPr="00F33FC4">
                        <w:rPr>
                          <w:color w:val="000000"/>
                          <w:spacing w:val="-4"/>
                          <w:kern w:val="1"/>
                          <w:sz w:val="22"/>
                          <w:szCs w:val="22"/>
                        </w:rPr>
                        <w:t xml:space="preserve">/mL kanamycin (B) and LB with 4 </w:t>
                      </w:r>
                      <w:proofErr w:type="spellStart"/>
                      <w:r w:rsidRPr="00F33FC4">
                        <w:rPr>
                          <w:color w:val="000000"/>
                          <w:spacing w:val="-4"/>
                          <w:kern w:val="1"/>
                          <w:sz w:val="22"/>
                          <w:szCs w:val="22"/>
                        </w:rPr>
                        <w:t>μg</w:t>
                      </w:r>
                      <w:proofErr w:type="spellEnd"/>
                      <w:r w:rsidRPr="00F33FC4">
                        <w:rPr>
                          <w:color w:val="000000"/>
                          <w:spacing w:val="-4"/>
                          <w:kern w:val="1"/>
                          <w:sz w:val="22"/>
                          <w:szCs w:val="22"/>
                        </w:rPr>
                        <w:t>/mL gentamicin (C). Growth curve of WT EDL933 (black) compared to that of the EDL933-</w:t>
                      </w:r>
                      <w:r w:rsidRPr="00F33FC4">
                        <w:rPr>
                          <w:color w:val="000000"/>
                          <w:sz w:val="22"/>
                          <w:szCs w:val="22"/>
                        </w:rPr>
                        <w:sym w:font="Symbol" w:char="F044"/>
                      </w:r>
                      <w:proofErr w:type="spellStart"/>
                      <w:r w:rsidRPr="003E1EFB">
                        <w:rPr>
                          <w:i/>
                          <w:iCs/>
                          <w:color w:val="000000"/>
                          <w:sz w:val="22"/>
                          <w:szCs w:val="22"/>
                        </w:rPr>
                        <w:t>zor-orz</w:t>
                      </w:r>
                      <w:proofErr w:type="spellEnd"/>
                      <w:r w:rsidRPr="00F33FC4">
                        <w:rPr>
                          <w:color w:val="000000"/>
                          <w:sz w:val="22"/>
                          <w:szCs w:val="22"/>
                        </w:rPr>
                        <w:t xml:space="preserve"> (turquoise) and EDL933-</w:t>
                      </w:r>
                      <w:r w:rsidRPr="00F33FC4">
                        <w:rPr>
                          <w:color w:val="000000"/>
                          <w:sz w:val="22"/>
                          <w:szCs w:val="22"/>
                        </w:rPr>
                        <w:sym w:font="Symbol" w:char="F044"/>
                      </w:r>
                      <w:r w:rsidRPr="00F33FC4">
                        <w:rPr>
                          <w:color w:val="000000"/>
                          <w:sz w:val="22"/>
                          <w:szCs w:val="22"/>
                        </w:rPr>
                        <w:t>28-</w:t>
                      </w:r>
                      <w:r w:rsidRPr="003E1EFB">
                        <w:rPr>
                          <w:i/>
                          <w:iCs/>
                          <w:color w:val="000000"/>
                          <w:sz w:val="22"/>
                          <w:szCs w:val="22"/>
                        </w:rPr>
                        <w:t>zorO</w:t>
                      </w:r>
                      <w:r w:rsidRPr="00F33FC4">
                        <w:rPr>
                          <w:color w:val="000000"/>
                          <w:sz w:val="22"/>
                          <w:szCs w:val="22"/>
                        </w:rPr>
                        <w:t xml:space="preserve"> (salmon) in LB (D), LB with 8 </w:t>
                      </w:r>
                      <w:proofErr w:type="spellStart"/>
                      <w:r w:rsidRPr="00F33FC4">
                        <w:rPr>
                          <w:color w:val="000000"/>
                          <w:spacing w:val="-4"/>
                          <w:kern w:val="1"/>
                          <w:sz w:val="22"/>
                          <w:szCs w:val="22"/>
                        </w:rPr>
                        <w:t>μg</w:t>
                      </w:r>
                      <w:proofErr w:type="spellEnd"/>
                      <w:r w:rsidRPr="00F33FC4">
                        <w:rPr>
                          <w:color w:val="000000"/>
                          <w:spacing w:val="-4"/>
                          <w:kern w:val="1"/>
                          <w:sz w:val="22"/>
                          <w:szCs w:val="22"/>
                        </w:rPr>
                        <w:t xml:space="preserve">/mL </w:t>
                      </w:r>
                      <w:r w:rsidRPr="00F33FC4">
                        <w:rPr>
                          <w:color w:val="000000"/>
                          <w:sz w:val="22"/>
                          <w:szCs w:val="22"/>
                        </w:rPr>
                        <w:t>kanamycin (E) and LB with 4</w:t>
                      </w:r>
                      <w:r w:rsidRPr="00F33FC4">
                        <w:rPr>
                          <w:color w:val="000000"/>
                          <w:spacing w:val="-4"/>
                          <w:kern w:val="1"/>
                          <w:sz w:val="22"/>
                          <w:szCs w:val="22"/>
                        </w:rPr>
                        <w:t xml:space="preserve"> </w:t>
                      </w:r>
                      <w:proofErr w:type="spellStart"/>
                      <w:r w:rsidRPr="00F33FC4">
                        <w:rPr>
                          <w:color w:val="000000"/>
                          <w:spacing w:val="-4"/>
                          <w:kern w:val="1"/>
                          <w:sz w:val="22"/>
                          <w:szCs w:val="22"/>
                        </w:rPr>
                        <w:t>μg</w:t>
                      </w:r>
                      <w:proofErr w:type="spellEnd"/>
                      <w:r w:rsidRPr="00F33FC4">
                        <w:rPr>
                          <w:color w:val="000000"/>
                          <w:spacing w:val="-4"/>
                          <w:kern w:val="1"/>
                          <w:sz w:val="22"/>
                          <w:szCs w:val="22"/>
                        </w:rPr>
                        <w:t xml:space="preserve">/mL gentamycin (F). For all panels </w:t>
                      </w:r>
                      <w:r w:rsidRPr="00F33FC4">
                        <w:rPr>
                          <w:i/>
                          <w:iCs/>
                          <w:color w:val="000000"/>
                          <w:spacing w:val="-4"/>
                          <w:kern w:val="1"/>
                          <w:sz w:val="22"/>
                          <w:szCs w:val="22"/>
                        </w:rPr>
                        <w:t>n=3</w:t>
                      </w:r>
                      <w:r w:rsidRPr="00F33FC4">
                        <w:rPr>
                          <w:color w:val="000000"/>
                          <w:spacing w:val="-4"/>
                          <w:kern w:val="1"/>
                          <w:sz w:val="22"/>
                          <w:szCs w:val="22"/>
                        </w:rPr>
                        <w:t>; shown are mean ± SD.</w:t>
                      </w:r>
                    </w:p>
                  </w:txbxContent>
                </v:textbox>
                <w10:wrap type="topAndBottom"/>
              </v:shape>
            </w:pict>
          </mc:Fallback>
        </mc:AlternateContent>
      </w:r>
      <w:r>
        <w:rPr>
          <w:rFonts w:eastAsia="Calibri"/>
          <w:bCs/>
        </w:rPr>
        <w:br w:type="page"/>
      </w:r>
    </w:p>
    <w:p w14:paraId="77DB6195" w14:textId="7C085232" w:rsidR="003E1EFB" w:rsidRDefault="005067D6">
      <w:pPr>
        <w:rPr>
          <w:rFonts w:eastAsia="Calibri"/>
          <w:bCs/>
        </w:rPr>
      </w:pPr>
      <w:r w:rsidRPr="005067D6">
        <w:rPr>
          <w:rFonts w:eastAsia="Calibri"/>
          <w:bCs/>
          <w:noProof/>
        </w:rPr>
        <w:lastRenderedPageBreak/>
        <w:drawing>
          <wp:anchor distT="0" distB="0" distL="114300" distR="114300" simplePos="0" relativeHeight="251774976" behindDoc="0" locked="0" layoutInCell="1" allowOverlap="1" wp14:anchorId="1A80A4FA" wp14:editId="3BBF18AB">
            <wp:simplePos x="0" y="0"/>
            <wp:positionH relativeFrom="column">
              <wp:posOffset>253365</wp:posOffset>
            </wp:positionH>
            <wp:positionV relativeFrom="paragraph">
              <wp:posOffset>81280</wp:posOffset>
            </wp:positionV>
            <wp:extent cx="5227320" cy="6020435"/>
            <wp:effectExtent l="0" t="0" r="0" b="0"/>
            <wp:wrapTopAndBottom/>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5227320" cy="6020435"/>
                    </a:xfrm>
                    <a:prstGeom prst="rect">
                      <a:avLst/>
                    </a:prstGeom>
                  </pic:spPr>
                </pic:pic>
              </a:graphicData>
            </a:graphic>
            <wp14:sizeRelH relativeFrom="page">
              <wp14:pctWidth>0</wp14:pctWidth>
            </wp14:sizeRelH>
            <wp14:sizeRelV relativeFrom="page">
              <wp14:pctHeight>0</wp14:pctHeight>
            </wp14:sizeRelV>
          </wp:anchor>
        </w:drawing>
      </w:r>
      <w:r w:rsidR="00F33FC4" w:rsidRPr="00F33FC4">
        <w:rPr>
          <w:rFonts w:eastAsia="Calibri"/>
          <w:bCs/>
        </w:rPr>
        <w:br w:type="page"/>
      </w:r>
    </w:p>
    <w:p w14:paraId="4659D2F6" w14:textId="77777777" w:rsidR="00F33FC4" w:rsidRPr="00F33FC4" w:rsidRDefault="00F33FC4" w:rsidP="00F33FC4">
      <w:pPr>
        <w:rPr>
          <w:rFonts w:eastAsia="Calibri"/>
          <w:bCs/>
        </w:rPr>
      </w:pPr>
    </w:p>
    <w:p w14:paraId="6D848B49" w14:textId="77777777" w:rsidR="003E1EFB" w:rsidRPr="00F33FC4" w:rsidRDefault="003E1EFB" w:rsidP="003E1EFB">
      <w:pPr>
        <w:spacing w:line="360" w:lineRule="auto"/>
        <w:rPr>
          <w:rFonts w:eastAsia="Calibri"/>
          <w:bCs/>
        </w:rPr>
      </w:pPr>
      <w:r w:rsidRPr="00F33FC4">
        <w:rPr>
          <w:rFonts w:eastAsia="Calibri"/>
          <w:b/>
        </w:rPr>
        <w:t>IV. Discussion</w:t>
      </w:r>
    </w:p>
    <w:p w14:paraId="363B7DB3" w14:textId="7E9DB7A4" w:rsidR="00F33FC4" w:rsidRPr="00F33FC4" w:rsidRDefault="003E1EFB" w:rsidP="00F33FC4">
      <w:pPr>
        <w:spacing w:line="360" w:lineRule="auto"/>
        <w:ind w:firstLine="720"/>
        <w:rPr>
          <w:rFonts w:eastAsia="Calibri"/>
          <w:bCs/>
        </w:rPr>
      </w:pPr>
      <w:r w:rsidRPr="00F33FC4">
        <w:rPr>
          <w:rFonts w:eastAsia="Calibri"/>
          <w:bCs/>
        </w:rPr>
        <w:t xml:space="preserve">In this study, we demonstrated that the physiological consequences of </w:t>
      </w:r>
      <w:proofErr w:type="spellStart"/>
      <w:r w:rsidRPr="00F33FC4">
        <w:rPr>
          <w:rFonts w:eastAsia="Calibri"/>
          <w:bCs/>
        </w:rPr>
        <w:t>ZorO</w:t>
      </w:r>
      <w:proofErr w:type="spellEnd"/>
      <w:r w:rsidRPr="00F33FC4">
        <w:rPr>
          <w:rFonts w:eastAsia="Calibri"/>
          <w:bCs/>
        </w:rPr>
        <w:t xml:space="preserve"> production in </w:t>
      </w:r>
      <w:r w:rsidRPr="00F33FC4">
        <w:rPr>
          <w:rFonts w:eastAsia="Calibri"/>
          <w:bCs/>
          <w:i/>
        </w:rPr>
        <w:t>E. coli</w:t>
      </w:r>
      <w:r w:rsidRPr="00F33FC4">
        <w:rPr>
          <w:rFonts w:eastAsia="Calibri"/>
          <w:bCs/>
        </w:rPr>
        <w:t xml:space="preserve"> are directly regulated by the length of its 5’ UTR. Previously, we </w:t>
      </w:r>
      <w:r w:rsidR="00F33FC4" w:rsidRPr="00F33FC4">
        <w:rPr>
          <w:rFonts w:eastAsia="Calibri"/>
          <w:bCs/>
        </w:rPr>
        <w:t xml:space="preserve">characterized two forms of the </w:t>
      </w:r>
      <w:proofErr w:type="spellStart"/>
      <w:r w:rsidR="00F33FC4" w:rsidRPr="00F33FC4">
        <w:rPr>
          <w:rFonts w:eastAsia="Calibri"/>
          <w:bCs/>
          <w:i/>
          <w:iCs/>
        </w:rPr>
        <w:t>zorO</w:t>
      </w:r>
      <w:proofErr w:type="spellEnd"/>
      <w:r w:rsidR="00F33FC4" w:rsidRPr="00F33FC4">
        <w:rPr>
          <w:rFonts w:eastAsia="Calibri"/>
          <w:bCs/>
        </w:rPr>
        <w:t xml:space="preserve"> 5’ UTR: a full-length (174 </w:t>
      </w:r>
      <w:proofErr w:type="spellStart"/>
      <w:r w:rsidR="00F33FC4" w:rsidRPr="00F33FC4">
        <w:rPr>
          <w:rFonts w:eastAsia="Calibri"/>
          <w:bCs/>
        </w:rPr>
        <w:t>nt</w:t>
      </w:r>
      <w:proofErr w:type="spellEnd"/>
      <w:r w:rsidR="00F33FC4" w:rsidRPr="00F33FC4">
        <w:rPr>
          <w:rFonts w:eastAsia="Calibri"/>
          <w:bCs/>
        </w:rPr>
        <w:t xml:space="preserve">) that is prominent and a </w:t>
      </w:r>
      <w:r w:rsidR="00F33FC4" w:rsidRPr="00F33FC4">
        <w:rPr>
          <w:rFonts w:eastAsia="Calibri"/>
        </w:rPr>
        <w:sym w:font="Symbol" w:char="F044"/>
      </w:r>
      <w:r w:rsidR="00F33FC4" w:rsidRPr="00F33FC4">
        <w:rPr>
          <w:rFonts w:eastAsia="Calibri"/>
          <w:bCs/>
        </w:rPr>
        <w:t xml:space="preserve">28 form, that is the result of processing of the 5’ end by an unknown ribonuclease (Fig. S1B and S1C) (22). Herein, we demonstrated that overproduction of </w:t>
      </w:r>
      <w:r w:rsidR="00F33FC4" w:rsidRPr="00F33FC4">
        <w:rPr>
          <w:rFonts w:eastAsia="Calibri"/>
        </w:rPr>
        <w:sym w:font="Symbol" w:char="F044"/>
      </w:r>
      <w:r w:rsidR="00F33FC4" w:rsidRPr="00F33FC4">
        <w:rPr>
          <w:rFonts w:eastAsia="Calibri"/>
        </w:rPr>
        <w:t>28</w:t>
      </w:r>
      <w:r w:rsidR="00F33FC4" w:rsidRPr="00F33FC4">
        <w:rPr>
          <w:rFonts w:eastAsia="Calibri"/>
          <w:bCs/>
        </w:rPr>
        <w:t>-</w:t>
      </w:r>
      <w:r w:rsidR="00F33FC4" w:rsidRPr="00F33FC4">
        <w:rPr>
          <w:rFonts w:eastAsia="Calibri"/>
          <w:bCs/>
          <w:i/>
          <w:iCs/>
        </w:rPr>
        <w:t xml:space="preserve">zorO </w:t>
      </w:r>
      <w:r w:rsidR="00F33FC4" w:rsidRPr="00F33FC4">
        <w:rPr>
          <w:rFonts w:eastAsia="Calibri"/>
          <w:bCs/>
        </w:rPr>
        <w:t>led to greater cell death, faster and more severe membrane depolarization, and ATP depletion.</w:t>
      </w:r>
      <w:r w:rsidR="000725B7">
        <w:rPr>
          <w:rFonts w:eastAsia="Calibri"/>
          <w:bCs/>
        </w:rPr>
        <w:t xml:space="preserve"> </w:t>
      </w:r>
      <w:r w:rsidR="00F33FC4" w:rsidRPr="00F33FC4">
        <w:rPr>
          <w:rFonts w:eastAsia="Calibri"/>
          <w:bCs/>
        </w:rPr>
        <w:t xml:space="preserve">However, analyses of dye and ATP leakage, together with a lack of morphological changes, support that </w:t>
      </w:r>
      <w:proofErr w:type="spellStart"/>
      <w:r w:rsidR="00F33FC4" w:rsidRPr="00F33FC4">
        <w:rPr>
          <w:rFonts w:eastAsia="Calibri"/>
          <w:bCs/>
        </w:rPr>
        <w:t>ZorO</w:t>
      </w:r>
      <w:proofErr w:type="spellEnd"/>
      <w:r w:rsidR="00F33FC4" w:rsidRPr="00F33FC4">
        <w:rPr>
          <w:rFonts w:eastAsia="Calibri"/>
          <w:bCs/>
        </w:rPr>
        <w:t xml:space="preserve"> does not form large membrane pores, but instead, likely causes cellular death by forming small, possibly selective pores, resulting in ion imbalance preventing ATP production. An increase in the copy number of the entire </w:t>
      </w:r>
      <w:proofErr w:type="spellStart"/>
      <w:r w:rsidR="00F33FC4" w:rsidRPr="00F33FC4">
        <w:rPr>
          <w:rFonts w:eastAsia="Calibri"/>
          <w:bCs/>
          <w:i/>
          <w:iCs/>
        </w:rPr>
        <w:t>zor-orz</w:t>
      </w:r>
      <w:proofErr w:type="spellEnd"/>
      <w:r w:rsidR="00F33FC4" w:rsidRPr="00F33FC4">
        <w:rPr>
          <w:rFonts w:eastAsia="Calibri"/>
          <w:bCs/>
        </w:rPr>
        <w:t xml:space="preserve"> locus allowed for improved growth and increased MIC in the presence of aminoglycoside antibiotics without the complicating effects of the natural toxicity of </w:t>
      </w:r>
      <w:proofErr w:type="spellStart"/>
      <w:r w:rsidR="00F33FC4" w:rsidRPr="00F33FC4">
        <w:rPr>
          <w:rFonts w:eastAsia="Calibri"/>
          <w:bCs/>
        </w:rPr>
        <w:t>ZorO</w:t>
      </w:r>
      <w:proofErr w:type="spellEnd"/>
      <w:r w:rsidR="00F33FC4" w:rsidRPr="00F33FC4">
        <w:rPr>
          <w:rFonts w:eastAsia="Calibri"/>
          <w:bCs/>
        </w:rPr>
        <w:t xml:space="preserve"> overproduction. </w:t>
      </w:r>
    </w:p>
    <w:p w14:paraId="23521D83" w14:textId="77777777" w:rsidR="00F33FC4" w:rsidRPr="00F33FC4" w:rsidRDefault="00F33FC4" w:rsidP="00F33FC4">
      <w:pPr>
        <w:spacing w:line="360" w:lineRule="auto"/>
        <w:ind w:firstLine="720"/>
        <w:rPr>
          <w:rFonts w:eastAsia="Calibri"/>
        </w:rPr>
      </w:pPr>
    </w:p>
    <w:p w14:paraId="2042EA22" w14:textId="6B7C63E4" w:rsidR="00F33FC4" w:rsidRPr="00F33FC4" w:rsidRDefault="00F33FC4" w:rsidP="00F33FC4">
      <w:pPr>
        <w:spacing w:line="360" w:lineRule="auto"/>
        <w:rPr>
          <w:rFonts w:eastAsia="Calibri"/>
        </w:rPr>
      </w:pPr>
      <w:r w:rsidRPr="00F33FC4">
        <w:rPr>
          <w:rFonts w:eastAsia="Calibri"/>
          <w:i/>
          <w:iCs/>
        </w:rPr>
        <w:t xml:space="preserve">Role of 5’UTR in subsequent effects of </w:t>
      </w:r>
      <w:proofErr w:type="spellStart"/>
      <w:r w:rsidRPr="00F33FC4">
        <w:rPr>
          <w:rFonts w:eastAsia="Calibri"/>
          <w:i/>
          <w:iCs/>
        </w:rPr>
        <w:t>ZorO</w:t>
      </w:r>
      <w:proofErr w:type="spellEnd"/>
      <w:r w:rsidRPr="00F33FC4">
        <w:rPr>
          <w:rFonts w:eastAsia="Calibri"/>
          <w:i/>
          <w:iCs/>
        </w:rPr>
        <w:t xml:space="preserve"> toxin protein.</w:t>
      </w:r>
      <w:r w:rsidR="000725B7">
        <w:rPr>
          <w:rFonts w:eastAsia="Calibri"/>
          <w:i/>
          <w:iCs/>
        </w:rPr>
        <w:t xml:space="preserve"> </w:t>
      </w:r>
      <w:r w:rsidRPr="00F33FC4">
        <w:rPr>
          <w:rFonts w:eastAsia="Calibri"/>
        </w:rPr>
        <w:t xml:space="preserve">Unlike other TA systems, in which the two genes are transcribed from the same promoter, to date all identified type I TA genes are transcribed from their own promoters (20, 51) making it more challenging to balance the TA ratio. However, for those type I toxins that have been studied in depth, most possess extensive 5’ or 3’ UTRs that often play a role in translational regulation. The 3’ processing of the </w:t>
      </w:r>
      <w:proofErr w:type="spellStart"/>
      <w:r w:rsidRPr="00F33FC4">
        <w:rPr>
          <w:rFonts w:eastAsia="Calibri"/>
          <w:i/>
        </w:rPr>
        <w:t>hokB</w:t>
      </w:r>
      <w:proofErr w:type="spellEnd"/>
      <w:r w:rsidRPr="00F33FC4">
        <w:rPr>
          <w:rFonts w:eastAsia="Calibri"/>
        </w:rPr>
        <w:t xml:space="preserve"> mRNA results in major structural rearrangements in the 5’-end, resulting in translational activation or inactivation via sRNA binding (52). Similarly, the </w:t>
      </w:r>
      <w:r w:rsidRPr="00F33FC4">
        <w:rPr>
          <w:rFonts w:eastAsia="Calibri"/>
          <w:i/>
        </w:rPr>
        <w:t>aapA1</w:t>
      </w:r>
      <w:r w:rsidRPr="00F33FC4">
        <w:rPr>
          <w:rFonts w:eastAsia="Calibri"/>
        </w:rPr>
        <w:t xml:space="preserve"> toxin mRNA in </w:t>
      </w:r>
      <w:r w:rsidRPr="00F33FC4">
        <w:rPr>
          <w:rFonts w:eastAsia="Calibri"/>
          <w:i/>
        </w:rPr>
        <w:t>Helicobacter pylori</w:t>
      </w:r>
      <w:r w:rsidRPr="00F33FC4">
        <w:rPr>
          <w:rFonts w:eastAsia="Calibri"/>
        </w:rPr>
        <w:t xml:space="preserve"> has also been shown to undergo 3’ end processing via the 3’-5’ endonuclease activity of the polynucleotide phosphorylase (53). </w:t>
      </w:r>
    </w:p>
    <w:p w14:paraId="421CCF07" w14:textId="56A308B2" w:rsidR="00F33FC4" w:rsidRPr="00F33FC4" w:rsidRDefault="00F33FC4" w:rsidP="00F33FC4">
      <w:pPr>
        <w:spacing w:line="360" w:lineRule="auto"/>
        <w:ind w:firstLine="720"/>
        <w:rPr>
          <w:rFonts w:eastAsia="Calibri"/>
        </w:rPr>
      </w:pPr>
      <w:r w:rsidRPr="00F33FC4">
        <w:rPr>
          <w:rFonts w:eastAsia="Calibri"/>
        </w:rPr>
        <w:t xml:space="preserve">The control of </w:t>
      </w:r>
      <w:proofErr w:type="spellStart"/>
      <w:r w:rsidRPr="00F33FC4">
        <w:rPr>
          <w:rFonts w:eastAsia="Calibri"/>
        </w:rPr>
        <w:t>ZorO</w:t>
      </w:r>
      <w:proofErr w:type="spellEnd"/>
      <w:r w:rsidRPr="00F33FC4">
        <w:rPr>
          <w:rFonts w:eastAsia="Calibri"/>
        </w:rPr>
        <w:t xml:space="preserve"> translation </w:t>
      </w:r>
      <w:r w:rsidRPr="00F33FC4">
        <w:rPr>
          <w:rFonts w:eastAsia="Calibri"/>
          <w:i/>
          <w:iCs/>
        </w:rPr>
        <w:t>via</w:t>
      </w:r>
      <w:r w:rsidRPr="00F33FC4">
        <w:rPr>
          <w:rFonts w:eastAsia="Calibri"/>
        </w:rPr>
        <w:t xml:space="preserve"> processing is most similar to </w:t>
      </w:r>
      <w:proofErr w:type="spellStart"/>
      <w:r w:rsidRPr="00F33FC4">
        <w:rPr>
          <w:rFonts w:eastAsia="Calibri"/>
          <w:i/>
        </w:rPr>
        <w:t>tisB</w:t>
      </w:r>
      <w:proofErr w:type="spellEnd"/>
      <w:r w:rsidRPr="00F33FC4">
        <w:rPr>
          <w:rFonts w:eastAsia="Calibri"/>
        </w:rPr>
        <w:t>.</w:t>
      </w:r>
      <w:r w:rsidR="000725B7">
        <w:rPr>
          <w:rFonts w:eastAsia="Calibri"/>
        </w:rPr>
        <w:t xml:space="preserve"> </w:t>
      </w:r>
      <w:r w:rsidRPr="00F33FC4">
        <w:rPr>
          <w:rFonts w:eastAsia="Calibri"/>
        </w:rPr>
        <w:t xml:space="preserve">In this case, the full-length </w:t>
      </w:r>
      <w:proofErr w:type="spellStart"/>
      <w:r w:rsidRPr="00F33FC4">
        <w:rPr>
          <w:rFonts w:eastAsia="Calibri"/>
          <w:i/>
        </w:rPr>
        <w:t>tisB</w:t>
      </w:r>
      <w:proofErr w:type="spellEnd"/>
      <w:r w:rsidRPr="00F33FC4">
        <w:rPr>
          <w:rFonts w:eastAsia="Calibri"/>
          <w:i/>
        </w:rPr>
        <w:t xml:space="preserve"> </w:t>
      </w:r>
      <w:r w:rsidRPr="00F33FC4">
        <w:rPr>
          <w:rFonts w:eastAsia="Calibri"/>
        </w:rPr>
        <w:t xml:space="preserve">mRNA was not translated when using an </w:t>
      </w:r>
      <w:r w:rsidRPr="00F33FC4">
        <w:rPr>
          <w:rFonts w:eastAsia="Calibri"/>
          <w:i/>
        </w:rPr>
        <w:t>in vitro</w:t>
      </w:r>
      <w:r w:rsidRPr="00F33FC4">
        <w:rPr>
          <w:rFonts w:eastAsia="Calibri"/>
        </w:rPr>
        <w:t xml:space="preserve"> system, but the processed form, referred to as </w:t>
      </w:r>
      <w:r w:rsidRPr="00F33FC4">
        <w:rPr>
          <w:rFonts w:eastAsia="Calibri"/>
        </w:rPr>
        <w:sym w:font="Symbol" w:char="F044"/>
      </w:r>
      <w:r w:rsidRPr="00F33FC4">
        <w:rPr>
          <w:rFonts w:eastAsia="Calibri"/>
        </w:rPr>
        <w:t>41</w:t>
      </w:r>
      <w:r w:rsidRPr="00F33FC4">
        <w:rPr>
          <w:rFonts w:eastAsia="Calibri"/>
          <w:i/>
        </w:rPr>
        <w:t xml:space="preserve"> </w:t>
      </w:r>
      <w:proofErr w:type="spellStart"/>
      <w:r w:rsidRPr="00F33FC4">
        <w:rPr>
          <w:rFonts w:eastAsia="Calibri"/>
          <w:i/>
        </w:rPr>
        <w:t>tisB</w:t>
      </w:r>
      <w:proofErr w:type="spellEnd"/>
      <w:r w:rsidRPr="00F33FC4">
        <w:rPr>
          <w:rFonts w:eastAsia="Calibri"/>
        </w:rPr>
        <w:t xml:space="preserve">, was translated readily and overproduction of this variant was far more toxic (21, 23, 54). However, unlike </w:t>
      </w:r>
      <w:proofErr w:type="spellStart"/>
      <w:r w:rsidRPr="00F33FC4">
        <w:rPr>
          <w:rFonts w:eastAsia="Calibri"/>
          <w:i/>
        </w:rPr>
        <w:t>tisB</w:t>
      </w:r>
      <w:proofErr w:type="spellEnd"/>
      <w:r w:rsidRPr="00F33FC4">
        <w:rPr>
          <w:rFonts w:eastAsia="Calibri"/>
        </w:rPr>
        <w:t xml:space="preserve">, the </w:t>
      </w:r>
      <w:proofErr w:type="spellStart"/>
      <w:r w:rsidRPr="00F33FC4">
        <w:rPr>
          <w:rFonts w:eastAsia="Calibri"/>
          <w:i/>
        </w:rPr>
        <w:t>zorO</w:t>
      </w:r>
      <w:proofErr w:type="spellEnd"/>
      <w:r w:rsidRPr="00F33FC4">
        <w:rPr>
          <w:rFonts w:eastAsia="Calibri"/>
        </w:rPr>
        <w:t xml:space="preserve"> full-length </w:t>
      </w:r>
      <w:r w:rsidRPr="00F33FC4">
        <w:rPr>
          <w:rFonts w:eastAsia="Calibri"/>
        </w:rPr>
        <w:lastRenderedPageBreak/>
        <w:t xml:space="preserve">mRNA could be translated using an </w:t>
      </w:r>
      <w:r w:rsidRPr="00F33FC4">
        <w:rPr>
          <w:rFonts w:eastAsia="Calibri"/>
          <w:i/>
        </w:rPr>
        <w:t>in vitro</w:t>
      </w:r>
      <w:r w:rsidRPr="00F33FC4">
        <w:rPr>
          <w:rFonts w:eastAsia="Calibri"/>
        </w:rPr>
        <w:t xml:space="preserve"> system, though not nearly as robustly as </w:t>
      </w:r>
      <w:r w:rsidRPr="00F33FC4">
        <w:rPr>
          <w:rFonts w:eastAsia="Calibri"/>
        </w:rPr>
        <w:sym w:font="Symbol" w:char="F044"/>
      </w:r>
      <w:r w:rsidRPr="00F33FC4">
        <w:rPr>
          <w:rFonts w:eastAsia="Calibri"/>
        </w:rPr>
        <w:t>28 (22).</w:t>
      </w:r>
      <w:r w:rsidR="000725B7">
        <w:rPr>
          <w:rFonts w:eastAsia="Calibri"/>
        </w:rPr>
        <w:t xml:space="preserve"> </w:t>
      </w:r>
      <w:r w:rsidRPr="00F33FC4">
        <w:rPr>
          <w:rFonts w:eastAsia="Calibri"/>
        </w:rPr>
        <w:t xml:space="preserve">Whether or not the differences in the ability to translate the two toxins from their respective full-length 5’ UTRs </w:t>
      </w:r>
      <w:r w:rsidRPr="00F33FC4">
        <w:rPr>
          <w:rFonts w:eastAsia="Calibri"/>
          <w:i/>
          <w:iCs/>
        </w:rPr>
        <w:t>in vitro</w:t>
      </w:r>
      <w:r w:rsidRPr="00F33FC4">
        <w:rPr>
          <w:rFonts w:eastAsia="Calibri"/>
        </w:rPr>
        <w:t xml:space="preserve"> mirrors what occurs in an </w:t>
      </w:r>
      <w:r w:rsidRPr="00F33FC4">
        <w:rPr>
          <w:rFonts w:eastAsia="Calibri"/>
          <w:i/>
        </w:rPr>
        <w:t>E. coli</w:t>
      </w:r>
      <w:r w:rsidRPr="00F33FC4">
        <w:rPr>
          <w:rFonts w:eastAsia="Calibri"/>
        </w:rPr>
        <w:t xml:space="preserve"> cell is not clear. The ribosome binding site (RBS) of both </w:t>
      </w:r>
      <w:proofErr w:type="spellStart"/>
      <w:r w:rsidRPr="00F33FC4">
        <w:rPr>
          <w:rFonts w:eastAsia="Calibri"/>
          <w:i/>
        </w:rPr>
        <w:t>tisB</w:t>
      </w:r>
      <w:proofErr w:type="spellEnd"/>
      <w:r w:rsidRPr="00F33FC4">
        <w:rPr>
          <w:rFonts w:eastAsia="Calibri"/>
        </w:rPr>
        <w:t xml:space="preserve"> and </w:t>
      </w:r>
      <w:proofErr w:type="spellStart"/>
      <w:r w:rsidRPr="00F33FC4">
        <w:rPr>
          <w:rFonts w:eastAsia="Calibri"/>
          <w:i/>
        </w:rPr>
        <w:t>zorO</w:t>
      </w:r>
      <w:proofErr w:type="spellEnd"/>
      <w:r w:rsidRPr="00F33FC4">
        <w:rPr>
          <w:rFonts w:eastAsia="Calibri"/>
        </w:rPr>
        <w:t xml:space="preserve"> are occluded in stem structures, preventing ribosomes from interacting. For </w:t>
      </w:r>
      <w:proofErr w:type="spellStart"/>
      <w:r w:rsidRPr="00F33FC4">
        <w:rPr>
          <w:rFonts w:eastAsia="Calibri"/>
          <w:i/>
        </w:rPr>
        <w:t>tisB</w:t>
      </w:r>
      <w:proofErr w:type="spellEnd"/>
      <w:r w:rsidRPr="00F33FC4">
        <w:rPr>
          <w:rFonts w:eastAsia="Calibri"/>
        </w:rPr>
        <w:t>, processing allows for the interaction of ribosomal protein S1 to the standby site (upstream of the true RBS) of the mRNA; this is thought to stimulate structural unwinding, opening of the sequestered RBS, and eventually, binding of the ribosome to the RBS (54).</w:t>
      </w:r>
      <w:r w:rsidR="000725B7">
        <w:rPr>
          <w:rFonts w:eastAsia="Calibri"/>
        </w:rPr>
        <w:t xml:space="preserve"> </w:t>
      </w:r>
      <w:r w:rsidRPr="00F33FC4">
        <w:rPr>
          <w:rFonts w:eastAsia="Calibri"/>
        </w:rPr>
        <w:t xml:space="preserve">While this mechanism has not been demonstrated for </w:t>
      </w:r>
      <w:proofErr w:type="spellStart"/>
      <w:r w:rsidRPr="00F33FC4">
        <w:rPr>
          <w:rFonts w:eastAsia="Calibri"/>
          <w:i/>
        </w:rPr>
        <w:t>zorO</w:t>
      </w:r>
      <w:proofErr w:type="spellEnd"/>
      <w:r w:rsidRPr="00F33FC4">
        <w:rPr>
          <w:rFonts w:eastAsia="Calibri"/>
        </w:rPr>
        <w:t xml:space="preserve">, the similarities in structural requirements for translation suggest that the stand-by site model is likely true (22). Interestingly, </w:t>
      </w:r>
      <w:proofErr w:type="spellStart"/>
      <w:r w:rsidRPr="00F33FC4">
        <w:rPr>
          <w:rFonts w:eastAsia="Calibri"/>
          <w:i/>
          <w:iCs/>
        </w:rPr>
        <w:t>dinQ</w:t>
      </w:r>
      <w:proofErr w:type="spellEnd"/>
      <w:r w:rsidRPr="00F33FC4">
        <w:rPr>
          <w:rFonts w:eastAsia="Calibri"/>
        </w:rPr>
        <w:t xml:space="preserve"> and </w:t>
      </w:r>
      <w:proofErr w:type="spellStart"/>
      <w:r w:rsidRPr="00F33FC4">
        <w:rPr>
          <w:rFonts w:eastAsia="Calibri"/>
          <w:i/>
          <w:iCs/>
        </w:rPr>
        <w:t>shoB</w:t>
      </w:r>
      <w:proofErr w:type="spellEnd"/>
      <w:r w:rsidRPr="00F33FC4">
        <w:rPr>
          <w:rFonts w:eastAsia="Calibri"/>
        </w:rPr>
        <w:t xml:space="preserve"> also undergo a 5’-end processing, and which might be regulated similarly to prevent toxin translation (43, 55).</w:t>
      </w:r>
    </w:p>
    <w:p w14:paraId="663F0D9E" w14:textId="77777777" w:rsidR="00F33FC4" w:rsidRPr="00F33FC4" w:rsidRDefault="00F33FC4" w:rsidP="00F33FC4">
      <w:pPr>
        <w:spacing w:line="360" w:lineRule="auto"/>
        <w:ind w:firstLine="720"/>
        <w:rPr>
          <w:rFonts w:eastAsia="Calibri"/>
          <w:bCs/>
        </w:rPr>
      </w:pPr>
      <w:r w:rsidRPr="00F33FC4">
        <w:rPr>
          <w:rFonts w:eastAsia="Calibri"/>
          <w:bCs/>
        </w:rPr>
        <w:t xml:space="preserve">The combination of our current work and past findings (22) support the significance of the UTR for proper regulation of </w:t>
      </w:r>
      <w:proofErr w:type="spellStart"/>
      <w:r w:rsidRPr="00F33FC4">
        <w:rPr>
          <w:rFonts w:eastAsia="Calibri"/>
          <w:bCs/>
          <w:i/>
        </w:rPr>
        <w:t>zorO</w:t>
      </w:r>
      <w:proofErr w:type="spellEnd"/>
      <w:r w:rsidRPr="00F33FC4">
        <w:rPr>
          <w:rFonts w:eastAsia="Calibri"/>
          <w:bCs/>
        </w:rPr>
        <w:t xml:space="preserve"> given the potential detrimental effects of excess </w:t>
      </w:r>
      <w:proofErr w:type="spellStart"/>
      <w:r w:rsidRPr="00F33FC4">
        <w:rPr>
          <w:rFonts w:eastAsia="Calibri"/>
          <w:bCs/>
          <w:iCs/>
        </w:rPr>
        <w:t>ZorO</w:t>
      </w:r>
      <w:proofErr w:type="spellEnd"/>
      <w:r w:rsidRPr="00F33FC4">
        <w:rPr>
          <w:rFonts w:eastAsia="Calibri"/>
          <w:bCs/>
        </w:rPr>
        <w:t xml:space="preserve"> on cells. Further, previous and current work suggests that only a portion of the total mRNA population is subject to processing (Fig. S1) (22) and this likely leads to uneven production of </w:t>
      </w:r>
      <w:proofErr w:type="spellStart"/>
      <w:r w:rsidRPr="00F33FC4">
        <w:rPr>
          <w:rFonts w:eastAsia="Calibri"/>
          <w:bCs/>
        </w:rPr>
        <w:t>ZorO</w:t>
      </w:r>
      <w:proofErr w:type="spellEnd"/>
      <w:r w:rsidRPr="00F33FC4">
        <w:rPr>
          <w:rFonts w:eastAsia="Calibri"/>
          <w:bCs/>
        </w:rPr>
        <w:t xml:space="preserve"> across the population. Our physiological data support this as well: there is a clear delay in membrane depolarization and ATP depletion for cells overproducing </w:t>
      </w:r>
      <w:proofErr w:type="spellStart"/>
      <w:r w:rsidRPr="00F33FC4">
        <w:rPr>
          <w:rFonts w:eastAsia="Calibri"/>
          <w:bCs/>
        </w:rPr>
        <w:t>ZorO</w:t>
      </w:r>
      <w:proofErr w:type="spellEnd"/>
      <w:r w:rsidRPr="00F33FC4">
        <w:rPr>
          <w:rFonts w:eastAsia="Calibri"/>
          <w:bCs/>
        </w:rPr>
        <w:t xml:space="preserve"> under the full-length 5’ UTR versus the processed form (</w:t>
      </w:r>
      <w:r w:rsidRPr="00F33FC4">
        <w:rPr>
          <w:rFonts w:eastAsia="Calibri"/>
        </w:rPr>
        <w:sym w:font="Symbol" w:char="F044"/>
      </w:r>
      <w:r w:rsidRPr="00F33FC4">
        <w:rPr>
          <w:rFonts w:eastAsia="Calibri"/>
        </w:rPr>
        <w:t>28, Fig. 2.6)</w:t>
      </w:r>
      <w:r w:rsidRPr="00F33FC4">
        <w:rPr>
          <w:rFonts w:eastAsia="Calibri"/>
          <w:bCs/>
        </w:rPr>
        <w:t xml:space="preserve">. This may help in “bet hedging” by having only a portion of the population reduced in growth from </w:t>
      </w:r>
      <w:proofErr w:type="spellStart"/>
      <w:r w:rsidRPr="00F33FC4">
        <w:rPr>
          <w:rFonts w:eastAsia="Calibri"/>
          <w:bCs/>
        </w:rPr>
        <w:t>ZorO</w:t>
      </w:r>
      <w:proofErr w:type="spellEnd"/>
      <w:r w:rsidRPr="00F33FC4">
        <w:rPr>
          <w:rFonts w:eastAsia="Calibri"/>
          <w:bCs/>
        </w:rPr>
        <w:t xml:space="preserve"> overproduction while positioning the population as a whole to deal with a sudden stressor that cells with higher metabolic activity would be more susceptible to. It may also be that cells accumulate full-length </w:t>
      </w:r>
      <w:proofErr w:type="spellStart"/>
      <w:r w:rsidRPr="00F33FC4">
        <w:rPr>
          <w:rFonts w:eastAsia="Calibri"/>
          <w:bCs/>
          <w:i/>
          <w:iCs/>
        </w:rPr>
        <w:t>zorO</w:t>
      </w:r>
      <w:proofErr w:type="spellEnd"/>
      <w:r w:rsidRPr="00F33FC4">
        <w:rPr>
          <w:rFonts w:eastAsia="Calibri"/>
          <w:bCs/>
        </w:rPr>
        <w:t xml:space="preserve"> mRNA that is not processed but then a processing event (note that the enzyme responsible for such processing is unknown) can be triggered by environmental stressors. In this manner as well, each cell may “bet-hedge” by accumulating the toxin mRNA to be poised for changing conditions. </w:t>
      </w:r>
    </w:p>
    <w:p w14:paraId="1BFA4A95" w14:textId="77777777" w:rsidR="00F33FC4" w:rsidRPr="00F33FC4" w:rsidRDefault="00F33FC4" w:rsidP="00F33FC4">
      <w:pPr>
        <w:spacing w:line="360" w:lineRule="auto"/>
        <w:ind w:firstLine="720"/>
        <w:rPr>
          <w:rFonts w:eastAsia="Calibri"/>
          <w:bCs/>
        </w:rPr>
      </w:pPr>
    </w:p>
    <w:p w14:paraId="6C0BE3FC" w14:textId="334025E7" w:rsidR="00F33FC4" w:rsidRPr="00F33FC4" w:rsidRDefault="00F33FC4" w:rsidP="00F33FC4">
      <w:pPr>
        <w:spacing w:line="360" w:lineRule="auto"/>
        <w:rPr>
          <w:rFonts w:eastAsia="Calibri"/>
        </w:rPr>
      </w:pPr>
      <w:proofErr w:type="spellStart"/>
      <w:r w:rsidRPr="00F33FC4">
        <w:rPr>
          <w:rFonts w:eastAsia="Calibri"/>
          <w:i/>
          <w:iCs/>
        </w:rPr>
        <w:t>ZorO</w:t>
      </w:r>
      <w:proofErr w:type="spellEnd"/>
      <w:r w:rsidRPr="00F33FC4">
        <w:rPr>
          <w:rFonts w:eastAsia="Calibri"/>
          <w:i/>
          <w:iCs/>
        </w:rPr>
        <w:t>: a membrane targeting toxin.</w:t>
      </w:r>
      <w:r w:rsidR="000725B7">
        <w:rPr>
          <w:rFonts w:eastAsia="Calibri"/>
          <w:i/>
          <w:iCs/>
        </w:rPr>
        <w:t xml:space="preserve"> </w:t>
      </w:r>
      <w:r w:rsidRPr="00F33FC4">
        <w:rPr>
          <w:rFonts w:eastAsia="Calibri"/>
        </w:rPr>
        <w:t xml:space="preserve">The hydrophobic nature of the </w:t>
      </w:r>
      <w:proofErr w:type="spellStart"/>
      <w:r w:rsidRPr="00F33FC4">
        <w:rPr>
          <w:rFonts w:eastAsia="Calibri"/>
        </w:rPr>
        <w:t>ZorO</w:t>
      </w:r>
      <w:proofErr w:type="spellEnd"/>
      <w:r w:rsidRPr="00F33FC4">
        <w:rPr>
          <w:rFonts w:eastAsia="Calibri"/>
        </w:rPr>
        <w:t xml:space="preserve"> protein suggested it could be a membrane protein which was later confirmed to localize to the </w:t>
      </w:r>
      <w:r w:rsidRPr="00F33FC4">
        <w:rPr>
          <w:rFonts w:eastAsia="Calibri"/>
        </w:rPr>
        <w:lastRenderedPageBreak/>
        <w:t xml:space="preserve">inner membrane (Fig. 2.3B) (19). Reconstitution experiments showed that </w:t>
      </w:r>
      <w:proofErr w:type="spellStart"/>
      <w:r w:rsidRPr="00F33FC4">
        <w:rPr>
          <w:rFonts w:eastAsia="Calibri"/>
        </w:rPr>
        <w:t>ZorO</w:t>
      </w:r>
      <w:proofErr w:type="spellEnd"/>
      <w:r w:rsidRPr="00F33FC4">
        <w:rPr>
          <w:rFonts w:eastAsia="Calibri"/>
        </w:rPr>
        <w:t xml:space="preserve"> does not damage the integrity of the membrane bilayer (Fig. 2.7B). These results agree with the SEM data which did not show membrane damage or large morphological disruptions upon </w:t>
      </w:r>
      <w:proofErr w:type="spellStart"/>
      <w:r w:rsidRPr="00F33FC4">
        <w:rPr>
          <w:rFonts w:eastAsia="Calibri"/>
        </w:rPr>
        <w:t>ZorO</w:t>
      </w:r>
      <w:proofErr w:type="spellEnd"/>
      <w:r w:rsidRPr="00F33FC4">
        <w:rPr>
          <w:rFonts w:eastAsia="Calibri"/>
        </w:rPr>
        <w:t xml:space="preserve"> production (Fig. 2.8). Additional experiments in lipid vesicles showed that </w:t>
      </w:r>
      <w:proofErr w:type="spellStart"/>
      <w:r w:rsidRPr="00F33FC4">
        <w:rPr>
          <w:rFonts w:eastAsia="Calibri"/>
        </w:rPr>
        <w:t>ZorO</w:t>
      </w:r>
      <w:proofErr w:type="spellEnd"/>
      <w:r w:rsidRPr="00F33FC4">
        <w:rPr>
          <w:rFonts w:eastAsia="Calibri"/>
        </w:rPr>
        <w:t xml:space="preserve"> adopts a helical conformation. The magnitude of the helical signal is comparable to other peptides of similar size that adopt a TM topology (36, 56, 57). Finally, OCD experiments established that </w:t>
      </w:r>
      <w:proofErr w:type="spellStart"/>
      <w:r w:rsidRPr="00F33FC4">
        <w:rPr>
          <w:rFonts w:eastAsia="Calibri"/>
        </w:rPr>
        <w:t>ZorO</w:t>
      </w:r>
      <w:proofErr w:type="spellEnd"/>
      <w:r w:rsidRPr="00F33FC4">
        <w:rPr>
          <w:rFonts w:eastAsia="Calibri"/>
        </w:rPr>
        <w:t xml:space="preserve"> inserts into a TM configuration with a helical orientation close to perpendicular to the membrane plane (Fig. 2.4). This result agrees with the lack of gross membrane disruption and if </w:t>
      </w:r>
      <w:proofErr w:type="spellStart"/>
      <w:r w:rsidRPr="00F33FC4">
        <w:rPr>
          <w:rFonts w:eastAsia="Calibri"/>
        </w:rPr>
        <w:t>ZorO</w:t>
      </w:r>
      <w:proofErr w:type="spellEnd"/>
      <w:r w:rsidRPr="00F33FC4">
        <w:rPr>
          <w:rFonts w:eastAsia="Calibri"/>
        </w:rPr>
        <w:t xml:space="preserve"> indeed forms an ion channel, our data would support a closely tightened TM bundle.</w:t>
      </w:r>
    </w:p>
    <w:p w14:paraId="1F361AAF" w14:textId="77777777" w:rsidR="00F33FC4" w:rsidRPr="00F33FC4" w:rsidRDefault="00F33FC4" w:rsidP="00F33FC4">
      <w:pPr>
        <w:spacing w:line="360" w:lineRule="auto"/>
        <w:ind w:firstLine="720"/>
        <w:rPr>
          <w:rFonts w:eastAsia="Calibri"/>
        </w:rPr>
      </w:pPr>
      <w:r w:rsidRPr="00F33FC4">
        <w:rPr>
          <w:rFonts w:eastAsia="Calibri"/>
        </w:rPr>
        <w:t xml:space="preserve">Although many type I toxins are predicted to target and damage the membrane, only a handful of them have been experimentally verified (16–18, 58, 59). Apart from the membrane, some type I toxins target nucleic acid (60, 61) or cell envelope biosynthesis (62). It is currently unclear why some hydrophobic toxins appear to readily target the membrane while others impact different cellular processes. When expressed at endogenous levels, these toxins may interact with specific cellular proteins. This, however, has not been examined to the best of our knowledge. </w:t>
      </w:r>
    </w:p>
    <w:p w14:paraId="79AA60D8" w14:textId="77777777" w:rsidR="00F33FC4" w:rsidRPr="00F33FC4" w:rsidRDefault="00F33FC4" w:rsidP="00F33FC4">
      <w:pPr>
        <w:spacing w:line="360" w:lineRule="auto"/>
        <w:ind w:firstLine="720"/>
        <w:rPr>
          <w:rFonts w:eastAsia="Calibri"/>
        </w:rPr>
      </w:pPr>
    </w:p>
    <w:p w14:paraId="1852444B" w14:textId="5649A8DC" w:rsidR="00F33FC4" w:rsidRPr="00F33FC4" w:rsidRDefault="00F33FC4" w:rsidP="00F33FC4">
      <w:pPr>
        <w:spacing w:line="360" w:lineRule="auto"/>
        <w:rPr>
          <w:rFonts w:eastAsia="Calibri"/>
        </w:rPr>
      </w:pPr>
      <w:r w:rsidRPr="00F33FC4">
        <w:rPr>
          <w:rFonts w:eastAsia="Calibri"/>
          <w:i/>
          <w:iCs/>
        </w:rPr>
        <w:t>Effects of toxin protein on bacterial morphology.</w:t>
      </w:r>
      <w:r w:rsidR="000725B7">
        <w:rPr>
          <w:rFonts w:eastAsia="Calibri"/>
          <w:i/>
          <w:iCs/>
        </w:rPr>
        <w:t xml:space="preserve"> </w:t>
      </w:r>
      <w:r w:rsidRPr="00F33FC4">
        <w:rPr>
          <w:rFonts w:eastAsia="Calibri"/>
        </w:rPr>
        <w:t xml:space="preserve">The AapA1 toxin in </w:t>
      </w:r>
      <w:r w:rsidRPr="00F33FC4">
        <w:rPr>
          <w:rFonts w:eastAsia="Calibri"/>
          <w:i/>
          <w:iCs/>
        </w:rPr>
        <w:t>Helicobacter pylori</w:t>
      </w:r>
      <w:r w:rsidRPr="00F33FC4">
        <w:rPr>
          <w:rFonts w:eastAsia="Calibri"/>
        </w:rPr>
        <w:t xml:space="preserve"> triggers a massive and rapid morphological transformation of this spiral-shaped bacterium into round coccoid cells (59).</w:t>
      </w:r>
      <w:r w:rsidR="000725B7">
        <w:rPr>
          <w:rFonts w:eastAsia="Calibri"/>
        </w:rPr>
        <w:t xml:space="preserve"> </w:t>
      </w:r>
      <w:r w:rsidRPr="00F33FC4">
        <w:rPr>
          <w:rFonts w:eastAsia="Calibri"/>
        </w:rPr>
        <w:t xml:space="preserve">Additionally, </w:t>
      </w:r>
      <w:proofErr w:type="spellStart"/>
      <w:r w:rsidRPr="00F33FC4">
        <w:rPr>
          <w:rFonts w:eastAsia="Calibri"/>
        </w:rPr>
        <w:t>HokB</w:t>
      </w:r>
      <w:proofErr w:type="spellEnd"/>
      <w:r w:rsidRPr="00F33FC4">
        <w:rPr>
          <w:rFonts w:eastAsia="Calibri"/>
        </w:rPr>
        <w:t xml:space="preserve"> has been implicated in ghost cell formation, and </w:t>
      </w:r>
      <w:proofErr w:type="spellStart"/>
      <w:r w:rsidRPr="00F33FC4">
        <w:rPr>
          <w:rFonts w:eastAsia="Calibri"/>
        </w:rPr>
        <w:t>Fst</w:t>
      </w:r>
      <w:proofErr w:type="spellEnd"/>
      <w:r w:rsidRPr="00F33FC4">
        <w:rPr>
          <w:rFonts w:eastAsia="Calibri"/>
        </w:rPr>
        <w:t xml:space="preserve"> results in filamentous cells with multiple invaginations affecting cell division with no obvious pores or loss of intracellular material (60, 63). </w:t>
      </w:r>
      <w:proofErr w:type="spellStart"/>
      <w:r w:rsidRPr="00F33FC4">
        <w:rPr>
          <w:rFonts w:eastAsia="Calibri"/>
        </w:rPr>
        <w:t>ZorO</w:t>
      </w:r>
      <w:proofErr w:type="spellEnd"/>
      <w:r w:rsidRPr="00F33FC4">
        <w:rPr>
          <w:rFonts w:eastAsia="Calibri"/>
        </w:rPr>
        <w:t xml:space="preserve"> overproduction decreases membrane potential and cellular ATP levels, however, it does not cause immediate cell lysis based on microscopy (Fig. 2.8) and absence of cell debris (laboratory observation). A marked reduction in the colony forming units though was seen as soon as 15 minutes after induction (22). These differences in cell morphology caused by the type I toxin proteins may be due to differing overproduction levels. However, it likely also implies differences in the nature of the toxin properties, </w:t>
      </w:r>
      <w:r w:rsidRPr="00F33FC4">
        <w:rPr>
          <w:rFonts w:eastAsia="Calibri"/>
          <w:i/>
          <w:iCs/>
        </w:rPr>
        <w:t>i.e</w:t>
      </w:r>
      <w:r w:rsidRPr="00F33FC4">
        <w:rPr>
          <w:rFonts w:eastAsia="Calibri"/>
        </w:rPr>
        <w:t>., the direct target of the toxin.</w:t>
      </w:r>
      <w:r w:rsidR="000725B7">
        <w:rPr>
          <w:rFonts w:eastAsia="Calibri"/>
        </w:rPr>
        <w:t xml:space="preserve"> </w:t>
      </w:r>
      <w:r w:rsidRPr="00F33FC4">
        <w:rPr>
          <w:rFonts w:eastAsia="Calibri"/>
        </w:rPr>
        <w:t xml:space="preserve">For example, </w:t>
      </w:r>
      <w:proofErr w:type="spellStart"/>
      <w:r w:rsidRPr="00F33FC4">
        <w:rPr>
          <w:rFonts w:eastAsia="Calibri"/>
        </w:rPr>
        <w:t>Fst</w:t>
      </w:r>
      <w:proofErr w:type="spellEnd"/>
      <w:r w:rsidRPr="00F33FC4">
        <w:rPr>
          <w:rFonts w:eastAsia="Calibri"/>
        </w:rPr>
        <w:t xml:space="preserve"> overproduction leads to near </w:t>
      </w:r>
      <w:r w:rsidRPr="00F33FC4">
        <w:rPr>
          <w:rFonts w:eastAsia="Calibri"/>
        </w:rPr>
        <w:lastRenderedPageBreak/>
        <w:t xml:space="preserve">immediate condensation of DNA (64). This would greatly impact DNA replication and cellular division, which would be reflective in the observed morphology (65). If </w:t>
      </w:r>
      <w:proofErr w:type="spellStart"/>
      <w:r w:rsidRPr="00F33FC4">
        <w:rPr>
          <w:rFonts w:eastAsia="Calibri"/>
        </w:rPr>
        <w:t>ZorO</w:t>
      </w:r>
      <w:proofErr w:type="spellEnd"/>
      <w:r w:rsidRPr="00F33FC4">
        <w:rPr>
          <w:rFonts w:eastAsia="Calibri"/>
        </w:rPr>
        <w:t xml:space="preserve"> does self-oligomerize in the membrane, the resultant channel formed would be narrow (see above), likely allowing only ion permeation, and would not leak organic molecules or cause morphological alterations. This in turn would explain both the lack of gross morphological changes and visible cellular debris upon </w:t>
      </w:r>
      <w:proofErr w:type="spellStart"/>
      <w:r w:rsidRPr="00F33FC4">
        <w:rPr>
          <w:rFonts w:eastAsia="Calibri"/>
        </w:rPr>
        <w:t>ZorO</w:t>
      </w:r>
      <w:proofErr w:type="spellEnd"/>
      <w:r w:rsidRPr="00F33FC4">
        <w:rPr>
          <w:rFonts w:eastAsia="Calibri"/>
        </w:rPr>
        <w:t xml:space="preserve"> overproduction.</w:t>
      </w:r>
      <w:r w:rsidR="000725B7">
        <w:rPr>
          <w:rFonts w:eastAsia="Calibri"/>
        </w:rPr>
        <w:t xml:space="preserve"> </w:t>
      </w:r>
    </w:p>
    <w:p w14:paraId="2712B49C" w14:textId="77777777" w:rsidR="00F33FC4" w:rsidRPr="00F33FC4" w:rsidRDefault="00F33FC4" w:rsidP="00F33FC4">
      <w:pPr>
        <w:spacing w:line="360" w:lineRule="auto"/>
        <w:ind w:firstLine="720"/>
        <w:rPr>
          <w:rFonts w:eastAsia="Calibri"/>
          <w:i/>
          <w:iCs/>
        </w:rPr>
      </w:pPr>
    </w:p>
    <w:p w14:paraId="13A78377" w14:textId="42F3A584" w:rsidR="00F33FC4" w:rsidRPr="00F33FC4" w:rsidRDefault="00F33FC4" w:rsidP="00F33FC4">
      <w:pPr>
        <w:spacing w:line="360" w:lineRule="auto"/>
        <w:rPr>
          <w:rFonts w:eastAsia="Calibri"/>
        </w:rPr>
      </w:pPr>
      <w:r w:rsidRPr="00F33FC4">
        <w:rPr>
          <w:rFonts w:eastAsia="Calibri"/>
          <w:i/>
          <w:iCs/>
        </w:rPr>
        <w:t xml:space="preserve">The </w:t>
      </w:r>
      <w:proofErr w:type="spellStart"/>
      <w:r w:rsidRPr="00F33FC4">
        <w:rPr>
          <w:rFonts w:eastAsia="Calibri"/>
          <w:i/>
          <w:iCs/>
        </w:rPr>
        <w:t>zor-orz</w:t>
      </w:r>
      <w:proofErr w:type="spellEnd"/>
      <w:r w:rsidRPr="00F33FC4">
        <w:rPr>
          <w:rFonts w:eastAsia="Calibri"/>
          <w:i/>
          <w:iCs/>
        </w:rPr>
        <w:t xml:space="preserve"> locus: a type I TA system with specificity against aminoglycoside antibiotics. </w:t>
      </w:r>
      <w:r w:rsidRPr="00F33FC4">
        <w:rPr>
          <w:rFonts w:eastAsia="Calibri"/>
        </w:rPr>
        <w:t xml:space="preserve">A role of the type I toxin proteins </w:t>
      </w:r>
      <w:proofErr w:type="spellStart"/>
      <w:r w:rsidRPr="00F33FC4">
        <w:rPr>
          <w:rFonts w:eastAsia="Calibri"/>
        </w:rPr>
        <w:t>TisB</w:t>
      </w:r>
      <w:proofErr w:type="spellEnd"/>
      <w:r w:rsidRPr="00F33FC4">
        <w:rPr>
          <w:rFonts w:eastAsia="Calibri"/>
        </w:rPr>
        <w:t xml:space="preserve"> and </w:t>
      </w:r>
      <w:proofErr w:type="spellStart"/>
      <w:r w:rsidRPr="00F33FC4">
        <w:rPr>
          <w:rFonts w:eastAsia="Calibri"/>
        </w:rPr>
        <w:t>HokB</w:t>
      </w:r>
      <w:proofErr w:type="spellEnd"/>
      <w:r w:rsidRPr="00F33FC4">
        <w:rPr>
          <w:rFonts w:eastAsia="Calibri"/>
        </w:rPr>
        <w:t xml:space="preserve"> has been established in bacterial persistence as a result of membrane depolarization and ATP reduction (1, 17, 23, 49). Persister cells are a subpopulation within a bacterial culture that can survive a high dose of antibiotics but are not genetically resistant (</w:t>
      </w:r>
      <w:r w:rsidRPr="00F33FC4">
        <w:rPr>
          <w:rFonts w:eastAsia="Calibri"/>
          <w:i/>
          <w:iCs/>
        </w:rPr>
        <w:t>i.e.</w:t>
      </w:r>
      <w:r w:rsidRPr="00F33FC4">
        <w:rPr>
          <w:rFonts w:eastAsia="Calibri"/>
        </w:rPr>
        <w:t xml:space="preserve"> they cannot grow in the presence of the tested antibiotic). Increases in the persister population when cells were treated with ofloxacin (targets DNA gyrase) and tobramycin (aminoglycoside, targets ribosome) have been observed with </w:t>
      </w:r>
      <w:proofErr w:type="spellStart"/>
      <w:r w:rsidRPr="00F33FC4">
        <w:rPr>
          <w:rFonts w:eastAsia="Calibri"/>
        </w:rPr>
        <w:t>HokB</w:t>
      </w:r>
      <w:proofErr w:type="spellEnd"/>
      <w:r w:rsidRPr="00F33FC4">
        <w:rPr>
          <w:rFonts w:eastAsia="Calibri"/>
        </w:rPr>
        <w:t xml:space="preserve"> (1). </w:t>
      </w:r>
      <w:proofErr w:type="spellStart"/>
      <w:r w:rsidRPr="00F33FC4">
        <w:rPr>
          <w:rFonts w:eastAsia="Calibri"/>
        </w:rPr>
        <w:t>TisB</w:t>
      </w:r>
      <w:proofErr w:type="spellEnd"/>
      <w:r w:rsidRPr="00F33FC4">
        <w:rPr>
          <w:rFonts w:eastAsia="Calibri"/>
        </w:rPr>
        <w:t xml:space="preserve"> production can also increase the number of persister cells when treated with ciprofloxacin (targets DNA gyrase), ampicillin (targets cell wall), and streptomycin (protein synthesis inhibitor) (1, 23, 49).</w:t>
      </w:r>
      <w:r w:rsidR="000725B7">
        <w:rPr>
          <w:rFonts w:eastAsia="Calibri"/>
        </w:rPr>
        <w:t xml:space="preserve"> </w:t>
      </w:r>
      <w:r w:rsidRPr="00F33FC4">
        <w:rPr>
          <w:rFonts w:eastAsia="Calibri"/>
        </w:rPr>
        <w:t xml:space="preserve">This suggests a broader range of protection from their production. We tested for the level of persister cell in EDL933 </w:t>
      </w:r>
      <w:r w:rsidRPr="00F33FC4">
        <w:rPr>
          <w:rFonts w:eastAsia="Calibri"/>
          <w:i/>
        </w:rPr>
        <w:sym w:font="Symbol" w:char="F044"/>
      </w:r>
      <w:proofErr w:type="spellStart"/>
      <w:r w:rsidRPr="00F33FC4">
        <w:rPr>
          <w:rFonts w:eastAsia="Calibri"/>
          <w:i/>
        </w:rPr>
        <w:t>zor-orz</w:t>
      </w:r>
      <w:proofErr w:type="spellEnd"/>
      <w:r w:rsidRPr="00F33FC4">
        <w:rPr>
          <w:rFonts w:eastAsia="Calibri"/>
        </w:rPr>
        <w:t xml:space="preserve"> locus against ciprofloxacin and ampicillin and did not see significant difference comparted to the parental strain (data not shown). However, as shown in this study, increasing the copy number of the </w:t>
      </w:r>
      <w:proofErr w:type="spellStart"/>
      <w:r w:rsidRPr="00F33FC4">
        <w:rPr>
          <w:rFonts w:eastAsia="Calibri"/>
          <w:i/>
          <w:iCs/>
        </w:rPr>
        <w:t>zor-orz</w:t>
      </w:r>
      <w:proofErr w:type="spellEnd"/>
      <w:r w:rsidRPr="00F33FC4">
        <w:rPr>
          <w:rFonts w:eastAsia="Calibri"/>
        </w:rPr>
        <w:t xml:space="preserve"> locus (while avoiding its toxicity) improved growth in presence of aminoglycosides but </w:t>
      </w:r>
      <w:proofErr w:type="spellStart"/>
      <w:r w:rsidRPr="00F33FC4">
        <w:rPr>
          <w:rFonts w:eastAsia="Calibri"/>
        </w:rPr>
        <w:t>not</w:t>
      </w:r>
      <w:proofErr w:type="spellEnd"/>
      <w:r w:rsidRPr="00F33FC4">
        <w:rPr>
          <w:rFonts w:eastAsia="Calibri"/>
        </w:rPr>
        <w:t xml:space="preserve"> other antibiotics examined. We also observed an increase in MIC against kanamycin and gentamycin (Table 2.3). Overproduction of some </w:t>
      </w:r>
      <w:r w:rsidRPr="00F33FC4">
        <w:rPr>
          <w:rFonts w:eastAsia="Calibri"/>
          <w:i/>
          <w:iCs/>
        </w:rPr>
        <w:t>de novo</w:t>
      </w:r>
      <w:r w:rsidRPr="00F33FC4">
        <w:rPr>
          <w:rFonts w:eastAsia="Calibri"/>
        </w:rPr>
        <w:t xml:space="preserve"> synthesized small membrane proteins has been shown to increase MIC against aminoglycosides (66); however, to our knowledge this is the first report of a type I TA system conferring an increase in MIC. </w:t>
      </w:r>
    </w:p>
    <w:p w14:paraId="1C6B27F3" w14:textId="28584ABA" w:rsidR="00F33FC4" w:rsidRPr="00F33FC4" w:rsidRDefault="00F33FC4" w:rsidP="00F33FC4">
      <w:pPr>
        <w:spacing w:line="360" w:lineRule="auto"/>
        <w:ind w:firstLine="720"/>
        <w:rPr>
          <w:rFonts w:eastAsia="Calibri"/>
        </w:rPr>
      </w:pPr>
      <w:r w:rsidRPr="00F33FC4">
        <w:rPr>
          <w:rFonts w:eastAsia="Calibri"/>
        </w:rPr>
        <w:t>Why is there such specificity for aminoglycosides?</w:t>
      </w:r>
      <w:r w:rsidR="000725B7">
        <w:rPr>
          <w:rFonts w:eastAsia="Calibri"/>
        </w:rPr>
        <w:t xml:space="preserve"> </w:t>
      </w:r>
      <w:r w:rsidRPr="00F33FC4">
        <w:rPr>
          <w:rFonts w:eastAsia="Calibri"/>
        </w:rPr>
        <w:t xml:space="preserve">A model for </w:t>
      </w:r>
      <w:proofErr w:type="spellStart"/>
      <w:r w:rsidRPr="00F33FC4">
        <w:rPr>
          <w:rFonts w:eastAsia="Calibri"/>
        </w:rPr>
        <w:t>ZorO</w:t>
      </w:r>
      <w:proofErr w:type="spellEnd"/>
      <w:r w:rsidRPr="00F33FC4">
        <w:rPr>
          <w:rFonts w:eastAsia="Calibri"/>
        </w:rPr>
        <w:t xml:space="preserve"> function, as noted earlier, is the possible formation of small oligomers (either dimers or multiple dimers) that lead to ion flux. Similar to that of </w:t>
      </w:r>
      <w:proofErr w:type="spellStart"/>
      <w:r w:rsidRPr="00F33FC4">
        <w:rPr>
          <w:rFonts w:eastAsia="Calibri"/>
        </w:rPr>
        <w:t>TisB</w:t>
      </w:r>
      <w:proofErr w:type="spellEnd"/>
      <w:r w:rsidRPr="00F33FC4">
        <w:rPr>
          <w:rFonts w:eastAsia="Calibri"/>
        </w:rPr>
        <w:t xml:space="preserve"> (67), </w:t>
      </w:r>
      <w:proofErr w:type="spellStart"/>
      <w:r w:rsidRPr="00F33FC4">
        <w:rPr>
          <w:rFonts w:eastAsia="Calibri"/>
        </w:rPr>
        <w:t>ZorO</w:t>
      </w:r>
      <w:proofErr w:type="spellEnd"/>
      <w:r w:rsidRPr="00F33FC4">
        <w:rPr>
          <w:rFonts w:eastAsia="Calibri"/>
        </w:rPr>
        <w:t xml:space="preserve"> is hypothesized to form an </w:t>
      </w:r>
      <w:r w:rsidRPr="00F33FC4">
        <w:rPr>
          <w:rFonts w:eastAsia="Calibri"/>
        </w:rPr>
        <w:lastRenderedPageBreak/>
        <w:t xml:space="preserve">antiparallel dimer within the membrane. The “non-specific” metabolic effect of </w:t>
      </w:r>
      <w:proofErr w:type="spellStart"/>
      <w:r w:rsidRPr="00F33FC4">
        <w:rPr>
          <w:rFonts w:eastAsia="Calibri"/>
        </w:rPr>
        <w:t>ZorO</w:t>
      </w:r>
      <w:proofErr w:type="spellEnd"/>
      <w:r w:rsidRPr="00F33FC4">
        <w:rPr>
          <w:rFonts w:eastAsia="Calibri"/>
        </w:rPr>
        <w:t xml:space="preserve"> does not broadly protect from antibiotic classes other than aminoglycosides while both </w:t>
      </w:r>
      <w:proofErr w:type="spellStart"/>
      <w:r w:rsidRPr="00F33FC4">
        <w:rPr>
          <w:rFonts w:eastAsia="Calibri"/>
        </w:rPr>
        <w:t>TisB</w:t>
      </w:r>
      <w:proofErr w:type="spellEnd"/>
      <w:r w:rsidRPr="00F33FC4">
        <w:rPr>
          <w:rFonts w:eastAsia="Calibri"/>
        </w:rPr>
        <w:t xml:space="preserve"> and </w:t>
      </w:r>
      <w:proofErr w:type="spellStart"/>
      <w:r w:rsidRPr="00F33FC4">
        <w:rPr>
          <w:rFonts w:eastAsia="Calibri"/>
        </w:rPr>
        <w:t>ZorO</w:t>
      </w:r>
      <w:proofErr w:type="spellEnd"/>
      <w:r w:rsidRPr="00F33FC4">
        <w:rPr>
          <w:rFonts w:eastAsia="Calibri"/>
        </w:rPr>
        <w:t xml:space="preserve"> lead to membrane depolarization and ATP depletion (Fig. 2.6) (16, 19). Aminoglycoside uptake occurs in three stages where the latter two are dependent on membrane potential and ATP (68). Therefore, membrane depolarization and decreased ATP levels can reduce the uptake of aminoglycosides. However, our data demonstrated no discernible differences in relative ATP levels for cells harboring empty plasmid versus </w:t>
      </w:r>
      <w:proofErr w:type="spellStart"/>
      <w:r w:rsidRPr="00F33FC4">
        <w:rPr>
          <w:rFonts w:eastAsia="Calibri"/>
        </w:rPr>
        <w:t>pBR-</w:t>
      </w:r>
      <w:r w:rsidRPr="00F33FC4">
        <w:rPr>
          <w:rFonts w:eastAsia="Calibri"/>
          <w:i/>
        </w:rPr>
        <w:t>zor-orz</w:t>
      </w:r>
      <w:proofErr w:type="spellEnd"/>
      <w:r w:rsidRPr="00F33FC4">
        <w:rPr>
          <w:rFonts w:eastAsia="Calibri"/>
        </w:rPr>
        <w:t xml:space="preserve"> when grown in LB (Fig. 2.13A). Even upon treatment with kanamycin, there were no differences in ATP levels within the first hour of treatment (Fig. 2.13B). This suggests that </w:t>
      </w:r>
      <w:proofErr w:type="spellStart"/>
      <w:r w:rsidRPr="00F33FC4">
        <w:rPr>
          <w:rFonts w:eastAsia="Calibri"/>
          <w:i/>
        </w:rPr>
        <w:t>zor-orz</w:t>
      </w:r>
      <w:proofErr w:type="spellEnd"/>
      <w:r w:rsidRPr="00F33FC4">
        <w:rPr>
          <w:rFonts w:eastAsia="Calibri"/>
        </w:rPr>
        <w:t xml:space="preserve"> has an alternative mechanism in allowing growth in kanamycin. Similarly, additional studies have shown that while small alpha helical peptides that reduce membrane potential can be protective against aminoglycosides, not just any transmembrane helix can, including other type I toxin proteins (66). These data indicate that not all type I toxins behave similarly and that there is likely specificity in their targets and effects on cellular physiology.</w:t>
      </w:r>
      <w:r w:rsidR="000725B7">
        <w:rPr>
          <w:rFonts w:eastAsia="Calibri"/>
        </w:rPr>
        <w:t xml:space="preserve"> </w:t>
      </w:r>
    </w:p>
    <w:p w14:paraId="55E86633" w14:textId="1651DCD2" w:rsidR="00F33FC4" w:rsidRPr="00F33FC4" w:rsidRDefault="00F33FC4" w:rsidP="00F33FC4">
      <w:pPr>
        <w:spacing w:line="360" w:lineRule="auto"/>
        <w:ind w:firstLine="720"/>
        <w:rPr>
          <w:rFonts w:eastAsia="Calibri"/>
        </w:rPr>
      </w:pPr>
      <w:r w:rsidRPr="00F33FC4">
        <w:rPr>
          <w:rFonts w:eastAsia="Calibri"/>
        </w:rPr>
        <w:t xml:space="preserve">The chromosomal copy of </w:t>
      </w:r>
      <w:proofErr w:type="spellStart"/>
      <w:r w:rsidRPr="00F33FC4">
        <w:rPr>
          <w:rFonts w:eastAsia="Calibri"/>
          <w:i/>
          <w:iCs/>
        </w:rPr>
        <w:t>zorO</w:t>
      </w:r>
      <w:proofErr w:type="spellEnd"/>
      <w:r w:rsidRPr="00F33FC4">
        <w:rPr>
          <w:rFonts w:eastAsia="Calibri"/>
        </w:rPr>
        <w:t xml:space="preserve"> without its two known translational repressive elements </w:t>
      </w:r>
      <w:r w:rsidRPr="00F33FC4">
        <w:rPr>
          <w:rFonts w:eastAsia="Calibri"/>
          <w:i/>
          <w:iCs/>
        </w:rPr>
        <w:t>i.e.</w:t>
      </w:r>
      <w:r w:rsidRPr="00F33FC4">
        <w:rPr>
          <w:rFonts w:eastAsia="Calibri"/>
        </w:rPr>
        <w:t xml:space="preserve"> full-length UTR and the </w:t>
      </w:r>
      <w:proofErr w:type="spellStart"/>
      <w:r w:rsidRPr="00F33FC4">
        <w:rPr>
          <w:rFonts w:eastAsia="Calibri"/>
        </w:rPr>
        <w:t>OrzO</w:t>
      </w:r>
      <w:proofErr w:type="spellEnd"/>
      <w:r w:rsidRPr="00F33FC4">
        <w:rPr>
          <w:rFonts w:eastAsia="Calibri"/>
        </w:rPr>
        <w:t xml:space="preserve"> sRNA, however, did not show a difference in growth in LB, LB with kanamycin, or LB with gentamicin as compared to the wild type MG1655 </w:t>
      </w:r>
      <w:r w:rsidRPr="00F33FC4">
        <w:rPr>
          <w:rFonts w:eastAsia="Calibri"/>
          <w:i/>
          <w:iCs/>
        </w:rPr>
        <w:t>E. coli</w:t>
      </w:r>
      <w:r w:rsidRPr="00F33FC4">
        <w:rPr>
          <w:rFonts w:eastAsia="Calibri"/>
        </w:rPr>
        <w:t xml:space="preserve"> strain in the presence of kanamycin and gentamycin (Fig. 7A, 7B, and 7C). This result was consistent with the EDL933 strains tested (Fig. 7D, 7E and 7F). A similar strain of </w:t>
      </w:r>
      <w:r w:rsidRPr="00F33FC4">
        <w:rPr>
          <w:rFonts w:eastAsia="Calibri"/>
          <w:i/>
        </w:rPr>
        <w:t>E. coli</w:t>
      </w:r>
      <w:r w:rsidRPr="00F33FC4">
        <w:rPr>
          <w:rFonts w:eastAsia="Calibri"/>
        </w:rPr>
        <w:t xml:space="preserve"> in which the two translational repressive elements of the toxin </w:t>
      </w:r>
      <w:proofErr w:type="spellStart"/>
      <w:r w:rsidRPr="00F33FC4">
        <w:rPr>
          <w:rFonts w:eastAsia="Calibri"/>
          <w:i/>
        </w:rPr>
        <w:t>tisB</w:t>
      </w:r>
      <w:proofErr w:type="spellEnd"/>
      <w:r w:rsidRPr="00F33FC4">
        <w:rPr>
          <w:rFonts w:eastAsia="Calibri"/>
        </w:rPr>
        <w:t xml:space="preserve"> were removed did result in an increase in the number of persistent cells that survived lethal doses of ampicillin and ciprofloxacin respectively (23). So, why is there a lack of phenotype for </w:t>
      </w:r>
      <w:proofErr w:type="spellStart"/>
      <w:r w:rsidRPr="00F33FC4">
        <w:rPr>
          <w:rFonts w:eastAsia="Calibri"/>
        </w:rPr>
        <w:t>ZorO</w:t>
      </w:r>
      <w:proofErr w:type="spellEnd"/>
      <w:r w:rsidRPr="00F33FC4">
        <w:rPr>
          <w:rFonts w:eastAsia="Calibri"/>
        </w:rPr>
        <w:t xml:space="preserve"> production from the chromosome in absence of the regulation by antitoxin </w:t>
      </w:r>
      <w:proofErr w:type="spellStart"/>
      <w:r w:rsidRPr="00F33FC4">
        <w:rPr>
          <w:rFonts w:eastAsia="Calibri"/>
        </w:rPr>
        <w:t>OrzO</w:t>
      </w:r>
      <w:proofErr w:type="spellEnd"/>
      <w:r w:rsidRPr="00F33FC4">
        <w:rPr>
          <w:rFonts w:eastAsia="Calibri"/>
        </w:rPr>
        <w:t xml:space="preserve"> and 5’UTR? It is possible there may be other yet to be identified regulatory elements that prevents </w:t>
      </w:r>
      <w:proofErr w:type="spellStart"/>
      <w:r w:rsidRPr="00F33FC4">
        <w:rPr>
          <w:rFonts w:eastAsia="Calibri"/>
        </w:rPr>
        <w:t>ZorO</w:t>
      </w:r>
      <w:proofErr w:type="spellEnd"/>
      <w:r w:rsidRPr="00F33FC4">
        <w:rPr>
          <w:rFonts w:eastAsia="Calibri"/>
        </w:rPr>
        <w:t xml:space="preserve"> induced effects and function at chromosomal level under the conditions used in this study. Further, it is possible that under endogenous production, </w:t>
      </w:r>
      <w:proofErr w:type="spellStart"/>
      <w:r w:rsidRPr="00F33FC4">
        <w:rPr>
          <w:rFonts w:eastAsia="Calibri"/>
        </w:rPr>
        <w:t>ZorO</w:t>
      </w:r>
      <w:proofErr w:type="spellEnd"/>
      <w:r w:rsidRPr="00F33FC4">
        <w:rPr>
          <w:rFonts w:eastAsia="Calibri"/>
        </w:rPr>
        <w:t xml:space="preserve"> (and other type I toxins) may interact with specific protein partner(s) to modulate activity and a lack of observable phenotype may be </w:t>
      </w:r>
      <w:r w:rsidRPr="00F33FC4">
        <w:rPr>
          <w:rFonts w:eastAsia="Calibri"/>
        </w:rPr>
        <w:lastRenderedPageBreak/>
        <w:t xml:space="preserve">because levels of </w:t>
      </w:r>
      <w:proofErr w:type="spellStart"/>
      <w:r w:rsidRPr="00F33FC4">
        <w:rPr>
          <w:rFonts w:eastAsia="Calibri"/>
        </w:rPr>
        <w:t>ZorO</w:t>
      </w:r>
      <w:proofErr w:type="spellEnd"/>
      <w:r w:rsidRPr="00F33FC4">
        <w:rPr>
          <w:rFonts w:eastAsia="Calibri"/>
        </w:rPr>
        <w:t xml:space="preserve"> are not high enough under the conditions examined to observe differences across the population of cells.</w:t>
      </w:r>
      <w:r w:rsidR="000725B7">
        <w:rPr>
          <w:rFonts w:eastAsia="Calibri"/>
        </w:rPr>
        <w:t xml:space="preserve"> </w:t>
      </w:r>
    </w:p>
    <w:p w14:paraId="4FA592F6" w14:textId="77777777" w:rsidR="00F33FC4" w:rsidRPr="00F33FC4" w:rsidRDefault="00F33FC4" w:rsidP="00F33FC4">
      <w:pPr>
        <w:spacing w:line="360" w:lineRule="auto"/>
        <w:ind w:firstLine="720"/>
        <w:rPr>
          <w:rFonts w:eastAsia="Calibri"/>
        </w:rPr>
      </w:pPr>
    </w:p>
    <w:p w14:paraId="1E03B871" w14:textId="77777777" w:rsidR="00F33FC4" w:rsidRPr="00F33FC4" w:rsidRDefault="00F33FC4" w:rsidP="00F33FC4">
      <w:pPr>
        <w:spacing w:line="360" w:lineRule="auto"/>
        <w:rPr>
          <w:rFonts w:eastAsia="Calibri"/>
        </w:rPr>
      </w:pPr>
      <w:r w:rsidRPr="00F33FC4">
        <w:rPr>
          <w:rFonts w:eastAsia="Calibri"/>
          <w:i/>
          <w:iCs/>
        </w:rPr>
        <w:t xml:space="preserve">Is </w:t>
      </w:r>
      <w:proofErr w:type="spellStart"/>
      <w:r w:rsidRPr="00F33FC4">
        <w:rPr>
          <w:rFonts w:eastAsia="Calibri"/>
          <w:i/>
          <w:iCs/>
        </w:rPr>
        <w:t>ZorO</w:t>
      </w:r>
      <w:proofErr w:type="spellEnd"/>
      <w:r w:rsidRPr="00F33FC4">
        <w:rPr>
          <w:rFonts w:eastAsia="Calibri"/>
          <w:i/>
          <w:iCs/>
        </w:rPr>
        <w:t xml:space="preserve"> really a toxin?</w:t>
      </w:r>
      <w:r w:rsidRPr="00F33FC4">
        <w:rPr>
          <w:rFonts w:eastAsia="Calibri"/>
        </w:rPr>
        <w:t xml:space="preserve"> While ectopic overproduction of </w:t>
      </w:r>
      <w:proofErr w:type="spellStart"/>
      <w:r w:rsidRPr="00F33FC4">
        <w:rPr>
          <w:rFonts w:eastAsia="Calibri"/>
        </w:rPr>
        <w:t>ZorO</w:t>
      </w:r>
      <w:proofErr w:type="spellEnd"/>
      <w:r w:rsidRPr="00F33FC4">
        <w:rPr>
          <w:rFonts w:eastAsia="Calibri"/>
        </w:rPr>
        <w:t xml:space="preserve"> results in a quick cell growth stasis, multiple copies of the </w:t>
      </w:r>
      <w:proofErr w:type="spellStart"/>
      <w:r w:rsidRPr="00F33FC4">
        <w:rPr>
          <w:rFonts w:eastAsia="Calibri"/>
          <w:i/>
          <w:iCs/>
        </w:rPr>
        <w:t>zor-orz</w:t>
      </w:r>
      <w:proofErr w:type="spellEnd"/>
      <w:r w:rsidRPr="00F33FC4">
        <w:rPr>
          <w:rFonts w:eastAsia="Calibri"/>
        </w:rPr>
        <w:t xml:space="preserve"> locus with its native regulatory elements do not impact growth of cells in LB or minimal media supplemented with glucose or fructose (Fig. 2.10). Similarly, a single copy of </w:t>
      </w:r>
      <w:proofErr w:type="spellStart"/>
      <w:r w:rsidRPr="00F33FC4">
        <w:rPr>
          <w:rFonts w:eastAsia="Calibri"/>
          <w:i/>
        </w:rPr>
        <w:t>zorO</w:t>
      </w:r>
      <w:proofErr w:type="spellEnd"/>
      <w:r w:rsidRPr="00F33FC4">
        <w:rPr>
          <w:rFonts w:eastAsia="Calibri"/>
        </w:rPr>
        <w:t xml:space="preserve"> (with a processed 5’UTR) on the chromosome of either MG1655 or EDL933 also showed no impact on growth in LB (Fig. 7) or minimal media (data not shown). Reports for other type I toxins </w:t>
      </w:r>
      <w:proofErr w:type="spellStart"/>
      <w:r w:rsidRPr="00F33FC4">
        <w:rPr>
          <w:rFonts w:eastAsia="Calibri"/>
        </w:rPr>
        <w:t>TisB</w:t>
      </w:r>
      <w:proofErr w:type="spellEnd"/>
      <w:r w:rsidRPr="00F33FC4">
        <w:rPr>
          <w:rFonts w:eastAsia="Calibri"/>
        </w:rPr>
        <w:t xml:space="preserve"> (23) and </w:t>
      </w:r>
      <w:proofErr w:type="spellStart"/>
      <w:r w:rsidRPr="00F33FC4">
        <w:rPr>
          <w:rFonts w:eastAsia="Calibri"/>
        </w:rPr>
        <w:t>TimP</w:t>
      </w:r>
      <w:proofErr w:type="spellEnd"/>
      <w:r w:rsidRPr="00F33FC4">
        <w:rPr>
          <w:rFonts w:eastAsia="Calibri"/>
        </w:rPr>
        <w:t xml:space="preserve"> (12) also demonstrated a lack of growth effects in enriched medium such as LB when expressed from the chromosome. Questions thus remain as to when these chromosomally encoded toxins are active and if they truly can induce cell stasis or death when expressed at the endogenous level.</w:t>
      </w:r>
    </w:p>
    <w:p w14:paraId="0FC78F0F" w14:textId="77777777" w:rsidR="00F33FC4" w:rsidRPr="00F33FC4" w:rsidRDefault="00F33FC4" w:rsidP="00F33FC4">
      <w:pPr>
        <w:spacing w:line="360" w:lineRule="auto"/>
        <w:ind w:firstLine="720"/>
        <w:rPr>
          <w:rFonts w:eastAsia="Calibri"/>
        </w:rPr>
      </w:pPr>
      <w:r w:rsidRPr="00F33FC4">
        <w:rPr>
          <w:rFonts w:eastAsia="Calibri"/>
        </w:rPr>
        <w:t xml:space="preserve">Overall, our data indicate that the 5’UTR of </w:t>
      </w:r>
      <w:proofErr w:type="spellStart"/>
      <w:r w:rsidRPr="00F33FC4">
        <w:rPr>
          <w:rFonts w:eastAsia="Calibri"/>
          <w:i/>
          <w:iCs/>
        </w:rPr>
        <w:t>zorO</w:t>
      </w:r>
      <w:proofErr w:type="spellEnd"/>
      <w:r w:rsidRPr="00F33FC4">
        <w:rPr>
          <w:rFonts w:eastAsia="Calibri"/>
        </w:rPr>
        <w:t xml:space="preserve"> plays a vital role in regulating the translation and subsequent cellular impact of the small toxin protein </w:t>
      </w:r>
      <w:proofErr w:type="spellStart"/>
      <w:r w:rsidRPr="00F33FC4">
        <w:rPr>
          <w:rFonts w:eastAsia="Calibri"/>
        </w:rPr>
        <w:t>ZorO</w:t>
      </w:r>
      <w:proofErr w:type="spellEnd"/>
      <w:r w:rsidRPr="00F33FC4">
        <w:rPr>
          <w:rFonts w:eastAsia="Calibri"/>
        </w:rPr>
        <w:t xml:space="preserve">. Overexpression from the processed 5’UTR significantly impacts membrane depolarization and ATP depletion in the cells without causing a major change in bacterial morphology. Cells harboring multiple copies of the </w:t>
      </w:r>
      <w:proofErr w:type="spellStart"/>
      <w:r w:rsidRPr="00F33FC4">
        <w:rPr>
          <w:rFonts w:eastAsia="Calibri"/>
          <w:i/>
          <w:iCs/>
        </w:rPr>
        <w:t>zor-orz</w:t>
      </w:r>
      <w:proofErr w:type="spellEnd"/>
      <w:r w:rsidRPr="00F33FC4">
        <w:rPr>
          <w:rFonts w:eastAsia="Calibri"/>
        </w:rPr>
        <w:t xml:space="preserve"> locus, under control of its native regulatory elements, are not broadly protected against stress but do have increased resistance to aminoglycosides. These results, combined with data from other type I toxins, suggest that type I toxin proteins have unique effects on bacterial cells. </w:t>
      </w:r>
    </w:p>
    <w:p w14:paraId="75C7FB47" w14:textId="77777777" w:rsidR="00F33FC4" w:rsidRPr="00F33FC4" w:rsidRDefault="00F33FC4" w:rsidP="00F33FC4">
      <w:pPr>
        <w:rPr>
          <w:rFonts w:eastAsia="Calibri"/>
          <w:b/>
          <w:bCs/>
        </w:rPr>
      </w:pPr>
      <w:r w:rsidRPr="00F33FC4">
        <w:rPr>
          <w:rFonts w:eastAsia="Calibri"/>
          <w:b/>
          <w:bCs/>
        </w:rPr>
        <w:br w:type="page"/>
      </w:r>
    </w:p>
    <w:p w14:paraId="13FFC1EA" w14:textId="77777777" w:rsidR="00F33FC4" w:rsidRPr="00F33FC4" w:rsidRDefault="00F33FC4" w:rsidP="00F33FC4">
      <w:pPr>
        <w:widowControl w:val="0"/>
        <w:autoSpaceDE w:val="0"/>
        <w:autoSpaceDN w:val="0"/>
        <w:adjustRightInd w:val="0"/>
        <w:spacing w:line="360" w:lineRule="auto"/>
        <w:rPr>
          <w:rFonts w:eastAsia="Calibri"/>
          <w:b/>
          <w:bCs/>
        </w:rPr>
      </w:pPr>
      <w:r w:rsidRPr="00F33FC4">
        <w:rPr>
          <w:rFonts w:eastAsia="Calibri"/>
          <w:b/>
          <w:bCs/>
        </w:rPr>
        <w:lastRenderedPageBreak/>
        <w:t>References</w:t>
      </w:r>
    </w:p>
    <w:p w14:paraId="55BEEFDE" w14:textId="77777777" w:rsidR="00F33FC4" w:rsidRPr="00F33FC4" w:rsidRDefault="00F33FC4" w:rsidP="00F33FC4">
      <w:pPr>
        <w:widowControl w:val="0"/>
        <w:autoSpaceDE w:val="0"/>
        <w:autoSpaceDN w:val="0"/>
        <w:adjustRightInd w:val="0"/>
        <w:spacing w:line="360" w:lineRule="auto"/>
        <w:rPr>
          <w:rFonts w:eastAsia="Calibri"/>
          <w:noProof/>
        </w:rPr>
      </w:pPr>
    </w:p>
    <w:p w14:paraId="19050AE4"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1. </w:t>
      </w:r>
      <w:r w:rsidRPr="00F33FC4">
        <w:rPr>
          <w:rFonts w:eastAsia="Calibri"/>
          <w:noProof/>
        </w:rPr>
        <w:tab/>
        <w:t>Verstraeten N, Knapen WJ, Kint CI, Liebens V, Van den Bergh B, Dewachter L, Michiels JE, Fu Q, David CC, Fierro AC, Marchal K, Beirlant J, Versées W, Hofkens J, Jansen M, Fauvart M, Michiels J. 2015. Obg and membrane depolarization are part of a microbial bet-hedging strategy that leads to antibiotic tolerance. Mol Cell 59:9–21.</w:t>
      </w:r>
    </w:p>
    <w:p w14:paraId="717F8E3D"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2. </w:t>
      </w:r>
      <w:r w:rsidRPr="00F33FC4">
        <w:rPr>
          <w:rFonts w:eastAsia="Calibri"/>
          <w:noProof/>
        </w:rPr>
        <w:tab/>
        <w:t>Hall AM, Gollan B, Helaine S. 2017. Toxin-antitoxin systems: reversible toxicity. Curr Opin Microbiol 36:102–110.</w:t>
      </w:r>
    </w:p>
    <w:p w14:paraId="4580A9F4"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3. </w:t>
      </w:r>
      <w:r w:rsidRPr="00F33FC4">
        <w:rPr>
          <w:rFonts w:eastAsia="Calibri"/>
          <w:noProof/>
        </w:rPr>
        <w:tab/>
        <w:t>Aakre CD, Phung TN, Huang D, Laub MT. 2013. A bacterial toxin inhibits DNA replication elongation through a direct interaction with the β sliding clamp. Mol Cell 52:617–628.</w:t>
      </w:r>
    </w:p>
    <w:p w14:paraId="7404CFC7"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4. </w:t>
      </w:r>
      <w:r w:rsidRPr="00F33FC4">
        <w:rPr>
          <w:rFonts w:eastAsia="Calibri"/>
          <w:noProof/>
        </w:rPr>
        <w:tab/>
        <w:t>Page R, Peti W. 2016. Toxin-antitoxin systems in bacterial growth arrest and persistence. Nat Chem Biol 12:208–214.</w:t>
      </w:r>
    </w:p>
    <w:p w14:paraId="77A3F2D6"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5. </w:t>
      </w:r>
      <w:r w:rsidRPr="00F33FC4">
        <w:rPr>
          <w:rFonts w:eastAsia="Calibri"/>
          <w:noProof/>
        </w:rPr>
        <w:tab/>
        <w:t>Van Melderen L, Saavedra De Bast M. 2009. Bacterial toxin-antitoxin systems: more than selfish entities? PLoS Genet 5:e1000437.</w:t>
      </w:r>
    </w:p>
    <w:p w14:paraId="67A7EB29"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6. </w:t>
      </w:r>
      <w:r w:rsidRPr="00F33FC4">
        <w:rPr>
          <w:rFonts w:eastAsia="Calibri"/>
          <w:noProof/>
        </w:rPr>
        <w:tab/>
        <w:t>Wang X, Yao J, Sun Y-C, Wood TK. 2021. Type VII toxin/antitoxin classification system for antitoxins that enzymatically neutralize toxins. Trends Microbiol 29:388–393.</w:t>
      </w:r>
    </w:p>
    <w:p w14:paraId="2FF561A2"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7. </w:t>
      </w:r>
      <w:r w:rsidRPr="00F33FC4">
        <w:rPr>
          <w:rFonts w:eastAsia="Calibri"/>
          <w:noProof/>
        </w:rPr>
        <w:tab/>
        <w:t>Li M, Gong L, Cheng F, Yu H, Zhao D, Wang R, Wang T, Zhang S, Zhou J, Shmakov SA, Koonin EV, Xiang H. 2021. Toxin-antitoxin RNA pairs safeguard CRISPR-Cas systems. Science 372.</w:t>
      </w:r>
    </w:p>
    <w:p w14:paraId="73AF403E"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8. </w:t>
      </w:r>
      <w:r w:rsidRPr="00F33FC4">
        <w:rPr>
          <w:rFonts w:eastAsia="Calibri"/>
          <w:noProof/>
        </w:rPr>
        <w:tab/>
        <w:t>Ogura T, Hiraga S. 1983. Mini-F plasmid genes that couple host cell division to plasmid proliferation. Proc Natl Acad Sci USA 80:4784–4788.</w:t>
      </w:r>
    </w:p>
    <w:p w14:paraId="254073CD"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9. </w:t>
      </w:r>
      <w:r w:rsidRPr="00F33FC4">
        <w:rPr>
          <w:rFonts w:eastAsia="Calibri"/>
          <w:noProof/>
        </w:rPr>
        <w:tab/>
        <w:t>Brantl S. 2012. Bacterial type I toxin-antitoxin systems. RNA Biol 9:1488–1490.</w:t>
      </w:r>
    </w:p>
    <w:p w14:paraId="34A73AE4"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10. </w:t>
      </w:r>
      <w:r w:rsidRPr="00F33FC4">
        <w:rPr>
          <w:rFonts w:eastAsia="Calibri"/>
          <w:noProof/>
        </w:rPr>
        <w:tab/>
        <w:t>Wen J, Fozo EM. 2014. sRNA antitoxins: more than one way to repress a toxin. Toxins (Basel) 6:2310–2335.</w:t>
      </w:r>
    </w:p>
    <w:p w14:paraId="0E8B183E"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11. </w:t>
      </w:r>
      <w:r w:rsidRPr="00F33FC4">
        <w:rPr>
          <w:rFonts w:eastAsia="Calibri"/>
          <w:noProof/>
        </w:rPr>
        <w:tab/>
        <w:t xml:space="preserve">Goormaghtigh F, Fraikin N, Putrinš M, Hallaert T, Hauryliuk V, Garcia-Pino A, Sjödin A, Kasvandik S, Udekwu K, Tenson T, Kaldalu N, Van Melderen L. 2018. Reassessing the Role of Type II Toxin-antitoxin systems in formation of </w:t>
      </w:r>
      <w:r w:rsidRPr="00F33FC4">
        <w:rPr>
          <w:rFonts w:eastAsia="Calibri"/>
          <w:i/>
          <w:iCs/>
          <w:noProof/>
        </w:rPr>
        <w:lastRenderedPageBreak/>
        <w:t>Escherichia coli</w:t>
      </w:r>
      <w:r w:rsidRPr="00F33FC4">
        <w:rPr>
          <w:rFonts w:eastAsia="Calibri"/>
          <w:noProof/>
        </w:rPr>
        <w:t xml:space="preserve"> type ii persister cells. MBio 9.</w:t>
      </w:r>
    </w:p>
    <w:p w14:paraId="092DCD15"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12. </w:t>
      </w:r>
      <w:r w:rsidRPr="00F33FC4">
        <w:rPr>
          <w:rFonts w:eastAsia="Calibri"/>
          <w:noProof/>
        </w:rPr>
        <w:tab/>
        <w:t xml:space="preserve">Andresen L, Martínez-Burgo Y, Nilsson Zangelin J, Rizvanovic A, Holmqvist E. 2020. The small toxic </w:t>
      </w:r>
      <w:r w:rsidRPr="00F33FC4">
        <w:rPr>
          <w:rFonts w:eastAsia="Calibri"/>
          <w:i/>
          <w:iCs/>
          <w:noProof/>
        </w:rPr>
        <w:t>Salmonella</w:t>
      </w:r>
      <w:r w:rsidRPr="00F33FC4">
        <w:rPr>
          <w:rFonts w:eastAsia="Calibri"/>
          <w:noProof/>
        </w:rPr>
        <w:t xml:space="preserve"> protein TimP targets the cytoplasmic membrane and is repressed by the small RNA TimR. MBio 11.</w:t>
      </w:r>
    </w:p>
    <w:p w14:paraId="3D2147D7"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13. </w:t>
      </w:r>
      <w:r w:rsidRPr="00F33FC4">
        <w:rPr>
          <w:rFonts w:eastAsia="Calibri"/>
          <w:noProof/>
        </w:rPr>
        <w:tab/>
        <w:t xml:space="preserve">Tsilibaris V, Maenhaut-Michel G, Mine N, Van Melderen L. 2007. What is the benefit to </w:t>
      </w:r>
      <w:r w:rsidRPr="00F33FC4">
        <w:rPr>
          <w:rFonts w:eastAsia="Calibri"/>
          <w:i/>
          <w:iCs/>
          <w:noProof/>
        </w:rPr>
        <w:t>Escherichia coli</w:t>
      </w:r>
      <w:r w:rsidRPr="00F33FC4">
        <w:rPr>
          <w:rFonts w:eastAsia="Calibri"/>
          <w:noProof/>
        </w:rPr>
        <w:t xml:space="preserve"> of having multiple toxin-antitoxin systems in its genome? J Bacteriol 189:6101–6108.</w:t>
      </w:r>
    </w:p>
    <w:p w14:paraId="40CDD933"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14. </w:t>
      </w:r>
      <w:r w:rsidRPr="00F33FC4">
        <w:rPr>
          <w:rFonts w:eastAsia="Calibri"/>
          <w:noProof/>
        </w:rPr>
        <w:tab/>
        <w:t>Fozo EM, Makarova KS, Shabalina SA, Yutin N, Koonin EV, Storz G. 2010. Abundance of type I toxin-antitoxin systems in bacteria: searches for new candidates and discovery of novel families. Nucleic Acids Res 38:3743–3759.</w:t>
      </w:r>
    </w:p>
    <w:p w14:paraId="3412480E"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15. </w:t>
      </w:r>
      <w:r w:rsidRPr="00F33FC4">
        <w:rPr>
          <w:rFonts w:eastAsia="Calibri"/>
          <w:noProof/>
        </w:rPr>
        <w:tab/>
        <w:t>Wen J, Won D, Fozo EM. 2014. The ZorO-OrzO type I toxin-antitoxin locus: repression by the OrzO antitoxin. Nucleic Acids Res 42:1930–1946.</w:t>
      </w:r>
    </w:p>
    <w:p w14:paraId="3C630259"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16. </w:t>
      </w:r>
      <w:r w:rsidRPr="00F33FC4">
        <w:rPr>
          <w:rFonts w:eastAsia="Calibri"/>
          <w:noProof/>
        </w:rPr>
        <w:tab/>
        <w:t xml:space="preserve">Unoson C, Wagner EGH. 2008. A small SOS-induced toxin is targeted against the inner membrane in </w:t>
      </w:r>
      <w:r w:rsidRPr="00F33FC4">
        <w:rPr>
          <w:rFonts w:eastAsia="Calibri"/>
          <w:i/>
          <w:iCs/>
          <w:noProof/>
        </w:rPr>
        <w:t>Escherichia coli</w:t>
      </w:r>
      <w:r w:rsidRPr="00F33FC4">
        <w:rPr>
          <w:rFonts w:eastAsia="Calibri"/>
          <w:noProof/>
        </w:rPr>
        <w:t>. Mol Microbiol 70:258–270.</w:t>
      </w:r>
    </w:p>
    <w:p w14:paraId="3D5DF230"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17. </w:t>
      </w:r>
      <w:r w:rsidRPr="00F33FC4">
        <w:rPr>
          <w:rFonts w:eastAsia="Calibri"/>
          <w:noProof/>
        </w:rPr>
        <w:tab/>
        <w:t>Wilmaerts D, Bayoumi M, Dewachter L, Knapen W, Mika JT, Hofkens J, Dedecker P, Maglia G, Verstraeten N, Michiels J. 2018. The persistence-inducing toxin HokB forms dynamic pores that cause ATP leakage. MBio 9.</w:t>
      </w:r>
    </w:p>
    <w:p w14:paraId="5820FDD1"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18. </w:t>
      </w:r>
      <w:r w:rsidRPr="00F33FC4">
        <w:rPr>
          <w:rFonts w:eastAsia="Calibri"/>
          <w:noProof/>
        </w:rPr>
        <w:tab/>
        <w:t xml:space="preserve">Korkut DN, Alves ID, Vogel A, Chabas S, Sharma CM, Martinez D, Loquet A, Salgado GF, Darfeuille F. 2020. Structural insights into the AapA1 toxin of </w:t>
      </w:r>
      <w:r w:rsidRPr="00F33FC4">
        <w:rPr>
          <w:rFonts w:eastAsia="Calibri"/>
          <w:i/>
          <w:iCs/>
          <w:noProof/>
        </w:rPr>
        <w:t>Helicobacter pylori</w:t>
      </w:r>
      <w:r w:rsidRPr="00F33FC4">
        <w:rPr>
          <w:rFonts w:eastAsia="Calibri"/>
          <w:noProof/>
        </w:rPr>
        <w:t>. Biochim Biophys Acta Gen Subj 1864:129423.</w:t>
      </w:r>
    </w:p>
    <w:p w14:paraId="04B627BA"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19. </w:t>
      </w:r>
      <w:r w:rsidRPr="00F33FC4">
        <w:rPr>
          <w:rFonts w:eastAsia="Calibri"/>
          <w:noProof/>
        </w:rPr>
        <w:tab/>
        <w:t>Otsuka Y, Ishikawa T, Takahashi C, Masuda M. 2019. A Short Peptide Derived from the ZorO Toxin functions as an effective antimicrobial. Toxins (Basel) 11.</w:t>
      </w:r>
    </w:p>
    <w:p w14:paraId="5B1EB427"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20. </w:t>
      </w:r>
      <w:r w:rsidRPr="00F33FC4">
        <w:rPr>
          <w:rFonts w:eastAsia="Calibri"/>
          <w:noProof/>
        </w:rPr>
        <w:tab/>
        <w:t>Masachis S, Darfeuille F. 2018. Type I toxin-antitoxin systems: regulating toxin expression via shine-dalgarno sequence sequestration and small RNA binding. Microbiol Spectr 6.</w:t>
      </w:r>
    </w:p>
    <w:p w14:paraId="43F2351A"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21. </w:t>
      </w:r>
      <w:r w:rsidRPr="00F33FC4">
        <w:rPr>
          <w:rFonts w:eastAsia="Calibri"/>
          <w:noProof/>
        </w:rPr>
        <w:tab/>
        <w:t>Darfeuille F, Unoson C, Vogel J, Wagner EGH. 2007. An antisense RNA inhibits translation by competing with standby ribosomes. Mol Cell 26:381–392.</w:t>
      </w:r>
    </w:p>
    <w:p w14:paraId="3DEC06BB"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22. </w:t>
      </w:r>
      <w:r w:rsidRPr="00F33FC4">
        <w:rPr>
          <w:rFonts w:eastAsia="Calibri"/>
          <w:noProof/>
        </w:rPr>
        <w:tab/>
        <w:t>Wen J, Harp JR, Fozo EM. 2017. The 5΄ UTR of the type I toxin ZorO can both inhibit and enhance translation. Nucleic Acids Res 45:4006–4020.</w:t>
      </w:r>
    </w:p>
    <w:p w14:paraId="22CAF712"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23. </w:t>
      </w:r>
      <w:r w:rsidRPr="00F33FC4">
        <w:rPr>
          <w:rFonts w:eastAsia="Calibri"/>
          <w:noProof/>
        </w:rPr>
        <w:tab/>
        <w:t xml:space="preserve">Berghoff BA, Hoekzema M, Aulbach L, Wagner EGH. 2017. Two regulatory RNA </w:t>
      </w:r>
      <w:r w:rsidRPr="00F33FC4">
        <w:rPr>
          <w:rFonts w:eastAsia="Calibri"/>
          <w:noProof/>
        </w:rPr>
        <w:lastRenderedPageBreak/>
        <w:t>elements affect TisB-dependent depolarization and persister formation. Mol Microbiol 103:1020–1033.</w:t>
      </w:r>
    </w:p>
    <w:p w14:paraId="5F753DC9"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24. </w:t>
      </w:r>
      <w:r w:rsidRPr="00F33FC4">
        <w:rPr>
          <w:rFonts w:eastAsia="Calibri"/>
          <w:noProof/>
        </w:rPr>
        <w:tab/>
        <w:t>Bolivar F, Rodriguez RL, Greene PJ, Betlach MC, Heyneker HL, Boyer HW, Crosa JH, Falkow S. 1977. Construction and characterization of new cloning vehicles. II. A multipurpose cloning system. Gene 2:95–113.</w:t>
      </w:r>
    </w:p>
    <w:p w14:paraId="2FD03677"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25. </w:t>
      </w:r>
      <w:r w:rsidRPr="00F33FC4">
        <w:rPr>
          <w:rFonts w:eastAsia="Calibri"/>
          <w:noProof/>
        </w:rPr>
        <w:tab/>
        <w:t>Fozo EM, Kawano M, Fontaine F, Kaya Y, Mendieta KS, Jones KL, Ocampo A, Rudd KE, Storz G. 2008. Repression of small toxic protein synthesis by the Sib and OhsC small RNAs. Mol Microbiol 70:1076–1093.</w:t>
      </w:r>
    </w:p>
    <w:p w14:paraId="61C64307"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26. </w:t>
      </w:r>
      <w:r w:rsidRPr="00F33FC4">
        <w:rPr>
          <w:rFonts w:eastAsia="Calibri"/>
          <w:noProof/>
        </w:rPr>
        <w:tab/>
        <w:t xml:space="preserve">Fontaine F, Fuchs RT, Storz G. 2011. Membrane localization of small proteins in </w:t>
      </w:r>
      <w:r w:rsidRPr="00F33FC4">
        <w:rPr>
          <w:rFonts w:eastAsia="Calibri"/>
          <w:i/>
          <w:iCs/>
          <w:noProof/>
        </w:rPr>
        <w:t>Escherichia coli</w:t>
      </w:r>
      <w:r w:rsidRPr="00F33FC4">
        <w:rPr>
          <w:rFonts w:eastAsia="Calibri"/>
          <w:noProof/>
        </w:rPr>
        <w:t>. J Biol Chem 286:32464–32474.</w:t>
      </w:r>
    </w:p>
    <w:p w14:paraId="0E064E8B"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27. </w:t>
      </w:r>
      <w:r w:rsidRPr="00F33FC4">
        <w:rPr>
          <w:rFonts w:eastAsia="Calibri"/>
          <w:noProof/>
        </w:rPr>
        <w:tab/>
        <w:t xml:space="preserve">Cherepanov PP, Wackernagel W. 1995. Gene disruption in </w:t>
      </w:r>
      <w:r w:rsidRPr="00F33FC4">
        <w:rPr>
          <w:rFonts w:eastAsia="Calibri"/>
          <w:i/>
          <w:iCs/>
          <w:noProof/>
        </w:rPr>
        <w:t>Escherichia coli</w:t>
      </w:r>
      <w:r w:rsidRPr="00F33FC4">
        <w:rPr>
          <w:rFonts w:eastAsia="Calibri"/>
          <w:noProof/>
        </w:rPr>
        <w:t>: Tc</w:t>
      </w:r>
      <w:r w:rsidRPr="00F33FC4">
        <w:rPr>
          <w:rFonts w:eastAsia="Calibri"/>
          <w:noProof/>
          <w:vertAlign w:val="superscript"/>
        </w:rPr>
        <w:t>R</w:t>
      </w:r>
      <w:r w:rsidRPr="00F33FC4">
        <w:rPr>
          <w:rFonts w:eastAsia="Calibri"/>
          <w:noProof/>
        </w:rPr>
        <w:t xml:space="preserve"> and Km</w:t>
      </w:r>
      <w:r w:rsidRPr="00F33FC4">
        <w:rPr>
          <w:rFonts w:eastAsia="Calibri"/>
          <w:noProof/>
          <w:vertAlign w:val="superscript"/>
        </w:rPr>
        <w:t>R</w:t>
      </w:r>
      <w:r w:rsidRPr="00F33FC4">
        <w:rPr>
          <w:rFonts w:eastAsia="Calibri"/>
          <w:noProof/>
        </w:rPr>
        <w:t xml:space="preserve"> cassettes with the option of Flp-catalyzed excision of the antibiotic-resistance determinant. Gene 158:9–14.</w:t>
      </w:r>
    </w:p>
    <w:p w14:paraId="22FFECA9"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28. </w:t>
      </w:r>
      <w:r w:rsidRPr="00F33FC4">
        <w:rPr>
          <w:rFonts w:eastAsia="Calibri"/>
          <w:noProof/>
        </w:rPr>
        <w:tab/>
        <w:t xml:space="preserve">Murphy KC, Campellone KG. 2003. Lambda Red-mediated recombinogenic engineering of enterohemorrhagic and enteropathogenic </w:t>
      </w:r>
      <w:r w:rsidRPr="00F33FC4">
        <w:rPr>
          <w:rFonts w:eastAsia="Calibri"/>
          <w:i/>
          <w:iCs/>
          <w:noProof/>
        </w:rPr>
        <w:t>E. coli</w:t>
      </w:r>
      <w:r w:rsidRPr="00F33FC4">
        <w:rPr>
          <w:rFonts w:eastAsia="Calibri"/>
          <w:noProof/>
        </w:rPr>
        <w:t>. BMC Mol Biol 4:11.</w:t>
      </w:r>
    </w:p>
    <w:p w14:paraId="4F26D1C8"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29. </w:t>
      </w:r>
      <w:r w:rsidRPr="00F33FC4">
        <w:rPr>
          <w:rFonts w:eastAsia="Calibri"/>
          <w:noProof/>
        </w:rPr>
        <w:tab/>
        <w:t xml:space="preserve">Datsenko KA, Wanner BL. 2000. One-step inactivation of chromosomal genes in </w:t>
      </w:r>
      <w:r w:rsidRPr="00F33FC4">
        <w:rPr>
          <w:rFonts w:eastAsia="Calibri"/>
          <w:i/>
          <w:iCs/>
          <w:noProof/>
        </w:rPr>
        <w:t>Escherichia coli</w:t>
      </w:r>
      <w:r w:rsidRPr="00F33FC4">
        <w:rPr>
          <w:rFonts w:eastAsia="Calibri"/>
          <w:noProof/>
        </w:rPr>
        <w:t xml:space="preserve"> K-12 using PCR products. Proc Natl Acad Sci USA 97:6640–6645.</w:t>
      </w:r>
    </w:p>
    <w:p w14:paraId="1F4ABCF3"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30. </w:t>
      </w:r>
      <w:r w:rsidRPr="00F33FC4">
        <w:rPr>
          <w:rFonts w:eastAsia="Calibri"/>
          <w:noProof/>
        </w:rPr>
        <w:tab/>
        <w:t>Doublet B, Douard G, Targant H, Meunier D, Madec J-Y, Cloeckaert A. 2008. Antibiotic marker modifications of lambda Red and FLP helper plasmids, pKD46 and pCP20, for inactivation of chromosomal genes using PCR products in multidrug-resistant strains. J Microbiol Methods 75:359–361.</w:t>
      </w:r>
    </w:p>
    <w:p w14:paraId="113F8135"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31. </w:t>
      </w:r>
      <w:r w:rsidRPr="00F33FC4">
        <w:rPr>
          <w:rFonts w:eastAsia="Calibri"/>
          <w:noProof/>
        </w:rPr>
        <w:tab/>
        <w:t xml:space="preserve">Massé E, Escorcia FE, Gottesman S. 2003. Coupled degradation of a small regulatory RNA and its mRNA targets in </w:t>
      </w:r>
      <w:r w:rsidRPr="00F33FC4">
        <w:rPr>
          <w:rFonts w:eastAsia="Calibri"/>
          <w:i/>
          <w:iCs/>
          <w:noProof/>
        </w:rPr>
        <w:t>Escherichia coli</w:t>
      </w:r>
      <w:r w:rsidRPr="00F33FC4">
        <w:rPr>
          <w:rFonts w:eastAsia="Calibri"/>
          <w:noProof/>
        </w:rPr>
        <w:t>. Genes Dev 17:2374–2383.</w:t>
      </w:r>
    </w:p>
    <w:p w14:paraId="4C4C9A4E"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32. </w:t>
      </w:r>
      <w:r w:rsidRPr="00F33FC4">
        <w:rPr>
          <w:rFonts w:eastAsia="Calibri"/>
          <w:noProof/>
        </w:rPr>
        <w:tab/>
        <w:t xml:space="preserve">Opdyke JA, Kang J-G, Storz G. 2004. GadY, a small-RNA regulator of acid response genes in </w:t>
      </w:r>
      <w:r w:rsidRPr="00F33FC4">
        <w:rPr>
          <w:rFonts w:eastAsia="Calibri"/>
          <w:i/>
          <w:iCs/>
          <w:noProof/>
        </w:rPr>
        <w:t>Escherichia coli</w:t>
      </w:r>
      <w:r w:rsidRPr="00F33FC4">
        <w:rPr>
          <w:rFonts w:eastAsia="Calibri"/>
          <w:noProof/>
        </w:rPr>
        <w:t>. J Bacteriol 186:6698–6705.</w:t>
      </w:r>
    </w:p>
    <w:p w14:paraId="31C88A30"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33. </w:t>
      </w:r>
      <w:r w:rsidRPr="00F33FC4">
        <w:rPr>
          <w:rFonts w:eastAsia="Calibri"/>
          <w:noProof/>
        </w:rPr>
        <w:tab/>
        <w:t xml:space="preserve">Hemm MR, Paul BJ, Miranda-Ríos J, Zhang A, Soltanzad N, Storz G. 2010. Small stress response proteins in </w:t>
      </w:r>
      <w:r w:rsidRPr="00F33FC4">
        <w:rPr>
          <w:rFonts w:eastAsia="Calibri"/>
          <w:i/>
          <w:iCs/>
          <w:noProof/>
        </w:rPr>
        <w:t>Escherichia coli</w:t>
      </w:r>
      <w:r w:rsidRPr="00F33FC4">
        <w:rPr>
          <w:rFonts w:eastAsia="Calibri"/>
          <w:noProof/>
        </w:rPr>
        <w:t xml:space="preserve">: proteins missed by classical </w:t>
      </w:r>
      <w:r w:rsidRPr="00F33FC4">
        <w:rPr>
          <w:rFonts w:eastAsia="Calibri"/>
          <w:noProof/>
        </w:rPr>
        <w:lastRenderedPageBreak/>
        <w:t>proteomic studies. J Bacteriol 192:46–58.</w:t>
      </w:r>
    </w:p>
    <w:p w14:paraId="756A23D5"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34. </w:t>
      </w:r>
      <w:r w:rsidRPr="00F33FC4">
        <w:rPr>
          <w:rFonts w:eastAsia="Calibri"/>
          <w:noProof/>
        </w:rPr>
        <w:tab/>
        <w:t>Usery RD, Enoki TA, Wickramasinghe SP, Nguyen VP, Ackerman DG, Greathouse DV, Koeppe RE, Barrera FN, Feigenson GW. 2018. Membrane bending moduli of coexisting liquid phases containing transmembrane peptide. Biophys J 114:2152–2164.</w:t>
      </w:r>
    </w:p>
    <w:p w14:paraId="03ED9EC4"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35. </w:t>
      </w:r>
      <w:r w:rsidRPr="00F33FC4">
        <w:rPr>
          <w:rFonts w:eastAsia="Calibri"/>
          <w:noProof/>
        </w:rPr>
        <w:tab/>
        <w:t>Alves DS, Westerfield JM, Shi X, Nguyen VP, Stefanski KM, Booth KR, Kim S, Morrell-Falvey J, Wang B-C, Abel SM, Smith AW, Barrera FN. 2018. A novel pH-dependent membrane peptide that binds to EphA2 and inhibits cell migration. Elife 7.</w:t>
      </w:r>
    </w:p>
    <w:p w14:paraId="4DF06665"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36. </w:t>
      </w:r>
      <w:r w:rsidRPr="00F33FC4">
        <w:rPr>
          <w:rFonts w:eastAsia="Calibri"/>
          <w:noProof/>
        </w:rPr>
        <w:tab/>
        <w:t>Scott HL, Nguyen VP, Alves DS, Davis FL, Booth KR, Bryner J, Barrera FN. 2015. The negative charge of the membrane has opposite effects on the membrane entry and exit of pH-low insertion peptide. Biochemistry 54:1709–1712.</w:t>
      </w:r>
    </w:p>
    <w:p w14:paraId="1A951C71"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37. </w:t>
      </w:r>
      <w:r w:rsidRPr="00F33FC4">
        <w:rPr>
          <w:rFonts w:eastAsia="Calibri"/>
          <w:noProof/>
        </w:rPr>
        <w:tab/>
        <w:t>Schneider CA, Rasband WS, Eliceiri KW. 2012. NIH Image to ImageJ: 25 years of image analysis. Nat Methods 9:671–675.</w:t>
      </w:r>
    </w:p>
    <w:p w14:paraId="6570D62B"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38. </w:t>
      </w:r>
      <w:r w:rsidRPr="00F33FC4">
        <w:rPr>
          <w:rFonts w:eastAsia="Calibri"/>
          <w:noProof/>
        </w:rPr>
        <w:tab/>
        <w:t xml:space="preserve"> 2003. Determination of minimum inhibitory concentrations (MICs) of antibacterial agents by broth dilution. Clin Microbiol Infect 9:ix–xv.</w:t>
      </w:r>
    </w:p>
    <w:p w14:paraId="34D51586"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39. </w:t>
      </w:r>
      <w:r w:rsidRPr="00F33FC4">
        <w:rPr>
          <w:rFonts w:eastAsia="Calibri"/>
          <w:noProof/>
        </w:rPr>
        <w:tab/>
        <w:t>Hemm MR, Paul BJ, Schneider TD, Storz G, Rudd KE. 2008. Small membrane proteins found by comparative genomics and ribosome binding site models. Mol Microbiol 70:1487–1501.</w:t>
      </w:r>
    </w:p>
    <w:p w14:paraId="6DA790B7"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40. </w:t>
      </w:r>
      <w:r w:rsidRPr="00F33FC4">
        <w:rPr>
          <w:rFonts w:eastAsia="Calibri"/>
          <w:noProof/>
        </w:rPr>
        <w:tab/>
        <w:t xml:space="preserve">Woody RW. 1995. [4] Circular dichroism, p. 34–71. </w:t>
      </w:r>
      <w:r w:rsidRPr="00F33FC4">
        <w:rPr>
          <w:rFonts w:eastAsia="Calibri"/>
          <w:i/>
          <w:iCs/>
          <w:noProof/>
        </w:rPr>
        <w:t>In</w:t>
      </w:r>
      <w:r w:rsidRPr="00F33FC4">
        <w:rPr>
          <w:rFonts w:eastAsia="Calibri"/>
          <w:noProof/>
        </w:rPr>
        <w:t xml:space="preserve"> Biochemical Spectroscopy. Elsevier.</w:t>
      </w:r>
    </w:p>
    <w:p w14:paraId="5067B0EB"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41. </w:t>
      </w:r>
      <w:r w:rsidRPr="00F33FC4">
        <w:rPr>
          <w:rFonts w:eastAsia="Calibri"/>
          <w:noProof/>
        </w:rPr>
        <w:tab/>
        <w:t>Bürck J, Wadhwani P, Fanghänel S, Ulrich AS. 2016. Oriented Circular Dichroism: A Method to Characterize Membrane-Active Peptides in Oriented Lipid Bilayers. Acc Chem Res 49:184–192.</w:t>
      </w:r>
    </w:p>
    <w:p w14:paraId="34FB0BB3"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42. </w:t>
      </w:r>
      <w:r w:rsidRPr="00F33FC4">
        <w:rPr>
          <w:rFonts w:eastAsia="Calibri"/>
          <w:noProof/>
        </w:rPr>
        <w:tab/>
        <w:t>Gurnev PA, Ortenberg R, Dörr T, Lewis K, Bezrukov SM. 2012. Persister-promoting bacterial toxin TisB produces anion-selective pores in planar lipid bilayers. FEBS Lett 586:2529–2534.</w:t>
      </w:r>
    </w:p>
    <w:p w14:paraId="1DFCB430"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43. </w:t>
      </w:r>
      <w:r w:rsidRPr="00F33FC4">
        <w:rPr>
          <w:rFonts w:eastAsia="Calibri"/>
          <w:noProof/>
        </w:rPr>
        <w:tab/>
        <w:t>Weel-Sneve R, Kristiansen KI, Odsbu I, Dalhus B, Booth J, Rognes T, Skarstad K, Bjørås M. 2013. Single transmembrane peptide DinQ modulates membrane-dependent activities. PLoS Genet 9:e1003260.</w:t>
      </w:r>
    </w:p>
    <w:p w14:paraId="029946F8"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lastRenderedPageBreak/>
        <w:t xml:space="preserve">44. </w:t>
      </w:r>
      <w:r w:rsidRPr="00F33FC4">
        <w:rPr>
          <w:rFonts w:eastAsia="Calibri"/>
          <w:noProof/>
        </w:rPr>
        <w:tab/>
        <w:t xml:space="preserve">Wickens HJ, Pinney RJ, Mason DJ, Gant VA. 2000. Flow cytometric investigation of filamentation, membrane patency, and membrane potential in </w:t>
      </w:r>
      <w:r w:rsidRPr="00F33FC4">
        <w:rPr>
          <w:rFonts w:eastAsia="Calibri"/>
          <w:i/>
          <w:iCs/>
          <w:noProof/>
        </w:rPr>
        <w:t>Escherichia coli</w:t>
      </w:r>
      <w:r w:rsidRPr="00F33FC4">
        <w:rPr>
          <w:rFonts w:eastAsia="Calibri"/>
          <w:noProof/>
        </w:rPr>
        <w:t xml:space="preserve"> following ciprofloxacin exposure. Antimicrob Agents Chemother 44:682–687.</w:t>
      </w:r>
    </w:p>
    <w:p w14:paraId="4D444E0B"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45. </w:t>
      </w:r>
      <w:r w:rsidRPr="00F33FC4">
        <w:rPr>
          <w:rFonts w:eastAsia="Calibri"/>
          <w:noProof/>
        </w:rPr>
        <w:tab/>
        <w:t>Wilmaerts D, Dewachter L, De Loose P-J, Bollen C, Verstraeten N, Michiels J. 2019. Hokb monomerization and membrane repolarization control persister awakening. Mol Cell 75:1031–1042.e4.</w:t>
      </w:r>
    </w:p>
    <w:p w14:paraId="5072CD72"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46. </w:t>
      </w:r>
      <w:r w:rsidRPr="00F33FC4">
        <w:rPr>
          <w:rFonts w:eastAsia="Calibri"/>
          <w:noProof/>
        </w:rPr>
        <w:tab/>
        <w:t xml:space="preserve">Shan Y, Brown Gandt A, Rowe SE, Deisinger JP, Conlon BP, Lewis K. 2017. ATP-Dependent Persister Formation in </w:t>
      </w:r>
      <w:r w:rsidRPr="00F33FC4">
        <w:rPr>
          <w:rFonts w:eastAsia="Calibri"/>
          <w:i/>
          <w:iCs/>
          <w:noProof/>
        </w:rPr>
        <w:t>Escherichia coli</w:t>
      </w:r>
      <w:r w:rsidRPr="00F33FC4">
        <w:rPr>
          <w:rFonts w:eastAsia="Calibri"/>
          <w:noProof/>
        </w:rPr>
        <w:t>. MBio 8.</w:t>
      </w:r>
    </w:p>
    <w:p w14:paraId="5F4069E6"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47. </w:t>
      </w:r>
      <w:r w:rsidRPr="00F33FC4">
        <w:rPr>
          <w:rFonts w:eastAsia="Calibri"/>
          <w:noProof/>
        </w:rPr>
        <w:tab/>
        <w:t xml:space="preserve">Conlon BP, Rowe SE, Gandt AB, Nuxoll AS, Donegan NP, Zalis EA, Clair G, Adkins JN, Cheung AL, Lewis K. 2016. Persister formation in </w:t>
      </w:r>
      <w:r w:rsidRPr="00F33FC4">
        <w:rPr>
          <w:rFonts w:eastAsia="Calibri"/>
          <w:i/>
          <w:iCs/>
          <w:noProof/>
        </w:rPr>
        <w:t>Staphylococcus aureus</w:t>
      </w:r>
      <w:r w:rsidRPr="00F33FC4">
        <w:rPr>
          <w:rFonts w:eastAsia="Calibri"/>
          <w:noProof/>
        </w:rPr>
        <w:t xml:space="preserve"> is associated with ATP depletion. Nat Microbiol 1:16051.</w:t>
      </w:r>
    </w:p>
    <w:p w14:paraId="452B9471"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48. </w:t>
      </w:r>
      <w:r w:rsidRPr="00F33FC4">
        <w:rPr>
          <w:rFonts w:eastAsia="Calibri"/>
          <w:noProof/>
        </w:rPr>
        <w:tab/>
        <w:t xml:space="preserve">Dörr T, Lewis K, Vulić M. 2009. SOS response induces persistence to fluoroquinolones in </w:t>
      </w:r>
      <w:r w:rsidRPr="00F33FC4">
        <w:rPr>
          <w:rFonts w:eastAsia="Calibri"/>
          <w:i/>
          <w:iCs/>
          <w:noProof/>
        </w:rPr>
        <w:t>Escherichia coli</w:t>
      </w:r>
      <w:r w:rsidRPr="00F33FC4">
        <w:rPr>
          <w:rFonts w:eastAsia="Calibri"/>
          <w:noProof/>
        </w:rPr>
        <w:t>. PLoS Genet 5:e1000760.</w:t>
      </w:r>
    </w:p>
    <w:p w14:paraId="33EA7E81"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49. </w:t>
      </w:r>
      <w:r w:rsidRPr="00F33FC4">
        <w:rPr>
          <w:rFonts w:eastAsia="Calibri"/>
          <w:noProof/>
        </w:rPr>
        <w:tab/>
        <w:t>Dörr T, Vulić M, Lewis K. 2010. Ciprofloxacin causes persister formation by inducing the TisB toxin in Escherichia coli. PLoS Biol 8:e1000317.</w:t>
      </w:r>
    </w:p>
    <w:p w14:paraId="4603F155"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50. </w:t>
      </w:r>
      <w:r w:rsidRPr="00F33FC4">
        <w:rPr>
          <w:rFonts w:eastAsia="Calibri"/>
          <w:noProof/>
        </w:rPr>
        <w:tab/>
        <w:t>Schwarz S, Loeffler A, Kadlec K. 2017. Bacterial resistance to antimicrobial agents and its impact on veterinary and human medicine. Vet Dermatol 28:82-e19.</w:t>
      </w:r>
    </w:p>
    <w:p w14:paraId="204E14E2"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51. </w:t>
      </w:r>
      <w:r w:rsidRPr="00F33FC4">
        <w:rPr>
          <w:rFonts w:eastAsia="Calibri"/>
          <w:noProof/>
        </w:rPr>
        <w:tab/>
        <w:t>Harms A, Brodersen DE, Mitarai N, Gerdes K. 2018. Toxins, Targets, and Triggers: An Overview of toxin-antitoxin biology. Mol Cell 70:768–784.</w:t>
      </w:r>
    </w:p>
    <w:p w14:paraId="6E83F51F"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52. </w:t>
      </w:r>
      <w:r w:rsidRPr="00F33FC4">
        <w:rPr>
          <w:rFonts w:eastAsia="Calibri"/>
          <w:noProof/>
        </w:rPr>
        <w:tab/>
        <w:t>Franch T, Gultyaev AP, Gerdes K. 1997. Programmed cell death by hok/sok of plasmid R1: processing at the hok mRNA 3’-end triggers structural rearrangements that allow translation and antisense RNA binding. J Mol Biol 273:38–51.</w:t>
      </w:r>
    </w:p>
    <w:p w14:paraId="575F89FD"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53. </w:t>
      </w:r>
      <w:r w:rsidRPr="00F33FC4">
        <w:rPr>
          <w:rFonts w:eastAsia="Calibri"/>
          <w:noProof/>
        </w:rPr>
        <w:tab/>
        <w:t xml:space="preserve">Arnion H, Korkut DN, Masachis Gelo S, Chabas S, Reignier J, Iost I, Darfeuille F. 2017. Mechanistic insights into type I toxin antitoxin systems in </w:t>
      </w:r>
      <w:r w:rsidRPr="00F33FC4">
        <w:rPr>
          <w:rFonts w:eastAsia="Calibri"/>
          <w:i/>
          <w:iCs/>
          <w:noProof/>
        </w:rPr>
        <w:t>Helicobacter pylori</w:t>
      </w:r>
      <w:r w:rsidRPr="00F33FC4">
        <w:rPr>
          <w:rFonts w:eastAsia="Calibri"/>
          <w:noProof/>
        </w:rPr>
        <w:t>: the importance of mRNA folding in controlling toxin expression. Nucleic Acids Res 45:4782–4795.</w:t>
      </w:r>
    </w:p>
    <w:p w14:paraId="073DA620"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54. </w:t>
      </w:r>
      <w:r w:rsidRPr="00F33FC4">
        <w:rPr>
          <w:rFonts w:eastAsia="Calibri"/>
          <w:noProof/>
        </w:rPr>
        <w:tab/>
        <w:t>Romilly C, Deindl S, Wagner EGH. 2019. The ribosomal protein S1-dependent standby site in tisB mRNA consists of a single-stranded region and a 5’ structure element. Proc Natl Acad Sci USA 116:15901–15906.</w:t>
      </w:r>
    </w:p>
    <w:p w14:paraId="631ACCB9"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lastRenderedPageBreak/>
        <w:t xml:space="preserve">55. </w:t>
      </w:r>
      <w:r w:rsidRPr="00F33FC4">
        <w:rPr>
          <w:rFonts w:eastAsia="Calibri"/>
          <w:noProof/>
        </w:rPr>
        <w:tab/>
        <w:t xml:space="preserve">Kawano M, Reynolds AA, Miranda-Rios J, Storz G. 2005. Detection of 5’- and 3’-UTR-derived small RNAs and cis-encoded antisense RNAs in </w:t>
      </w:r>
      <w:r w:rsidRPr="00F33FC4">
        <w:rPr>
          <w:rFonts w:eastAsia="Calibri"/>
          <w:i/>
          <w:iCs/>
          <w:noProof/>
        </w:rPr>
        <w:t>Escherichia coli</w:t>
      </w:r>
      <w:r w:rsidRPr="00F33FC4">
        <w:rPr>
          <w:rFonts w:eastAsia="Calibri"/>
          <w:noProof/>
        </w:rPr>
        <w:t>. Nucleic Acids Res 33:1040–1050.</w:t>
      </w:r>
    </w:p>
    <w:p w14:paraId="162CD0C4"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56. </w:t>
      </w:r>
      <w:r w:rsidRPr="00F33FC4">
        <w:rPr>
          <w:rFonts w:eastAsia="Calibri"/>
          <w:noProof/>
        </w:rPr>
        <w:tab/>
        <w:t>Nguyen VP, Dixson AC, Barrera FN. 2019. The effect of phosphatidylserine on a pH-responsive peptide is defined by its noninserting End. Biophys J 117:659–667.</w:t>
      </w:r>
    </w:p>
    <w:p w14:paraId="5051B6D5"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57. </w:t>
      </w:r>
      <w:r w:rsidRPr="00F33FC4">
        <w:rPr>
          <w:rFonts w:eastAsia="Calibri"/>
          <w:noProof/>
        </w:rPr>
        <w:tab/>
        <w:t>Nguyen VP, Alves DS, Scott HL, Davis FL, Barrera FN. 2015. A Novel Soluble Peptide with pH-responsive membrane insertion. Biochemistry 54:6567–6575.</w:t>
      </w:r>
    </w:p>
    <w:p w14:paraId="69DFFC18"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58. </w:t>
      </w:r>
      <w:r w:rsidRPr="00F33FC4">
        <w:rPr>
          <w:rFonts w:eastAsia="Calibri"/>
          <w:noProof/>
        </w:rPr>
        <w:tab/>
        <w:t xml:space="preserve">Sayed N, Nonin-Lecomte S, Réty S, Felden B. 2012. Functional and structural insights of a </w:t>
      </w:r>
      <w:r w:rsidRPr="00F33FC4">
        <w:rPr>
          <w:rFonts w:eastAsia="Calibri"/>
          <w:i/>
          <w:iCs/>
          <w:noProof/>
        </w:rPr>
        <w:t>Staphylococcus aureus</w:t>
      </w:r>
      <w:r w:rsidRPr="00F33FC4">
        <w:rPr>
          <w:rFonts w:eastAsia="Calibri"/>
          <w:noProof/>
        </w:rPr>
        <w:t xml:space="preserve"> apoptotic-like membrane peptide from a toxin-antitoxin module. J Biol Chem 287:43454–43463.</w:t>
      </w:r>
    </w:p>
    <w:p w14:paraId="50D70214"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59. </w:t>
      </w:r>
      <w:r w:rsidRPr="00F33FC4">
        <w:rPr>
          <w:rFonts w:eastAsia="Calibri"/>
          <w:noProof/>
        </w:rPr>
        <w:tab/>
        <w:t xml:space="preserve">El Mortaji L, Tejada-Arranz A, Rifflet A, Boneca IG, Pehau-Arnaudet G, Radicella JP, Marsin S, De Reuse H. 2020. A peptide of a type I toxin-antitoxin system induces </w:t>
      </w:r>
      <w:r w:rsidRPr="00F33FC4">
        <w:rPr>
          <w:rFonts w:eastAsia="Calibri"/>
          <w:i/>
          <w:iCs/>
          <w:noProof/>
        </w:rPr>
        <w:t>Helicobacter pylori</w:t>
      </w:r>
      <w:r w:rsidRPr="00F33FC4">
        <w:rPr>
          <w:rFonts w:eastAsia="Calibri"/>
          <w:noProof/>
        </w:rPr>
        <w:t xml:space="preserve"> morphological transformation from spiral shape to coccoids. Proc Natl Acad Sci USA 117:31398–31409.</w:t>
      </w:r>
    </w:p>
    <w:p w14:paraId="63779F8A"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60. </w:t>
      </w:r>
      <w:r w:rsidRPr="00F33FC4">
        <w:rPr>
          <w:rFonts w:eastAsia="Calibri"/>
          <w:noProof/>
        </w:rPr>
        <w:tab/>
        <w:t xml:space="preserve">Weaver KE, Weaver DM, Wells CL, Waters CM, Gardner ME, Ehli EA. 2003. </w:t>
      </w:r>
      <w:r w:rsidRPr="00F33FC4">
        <w:rPr>
          <w:rFonts w:eastAsia="Calibri"/>
          <w:i/>
          <w:iCs/>
          <w:noProof/>
        </w:rPr>
        <w:t>Enterococcus faecalis</w:t>
      </w:r>
      <w:r w:rsidRPr="00F33FC4">
        <w:rPr>
          <w:rFonts w:eastAsia="Calibri"/>
          <w:noProof/>
        </w:rPr>
        <w:t xml:space="preserve"> plasmid pAD1-encoded Fst toxin affects membrane permeability and alters cellular responses to lantibiotics. J Bacteriol 185:2169–2177.</w:t>
      </w:r>
    </w:p>
    <w:p w14:paraId="7F306F02"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61. </w:t>
      </w:r>
      <w:r w:rsidRPr="00F33FC4">
        <w:rPr>
          <w:rFonts w:eastAsia="Calibri"/>
          <w:noProof/>
        </w:rPr>
        <w:tab/>
        <w:t xml:space="preserve">Kawano M, Oshima T, Kasai H, Mori H. 2002. Molecular characterization of long direct repeat (LDR) sequences expressing a stable mRNA encoding for a 35-amino-acid cell-killing peptide and a cis-encoded small antisense RNA in </w:t>
      </w:r>
      <w:r w:rsidRPr="00F33FC4">
        <w:rPr>
          <w:rFonts w:eastAsia="Calibri"/>
          <w:i/>
          <w:iCs/>
          <w:noProof/>
        </w:rPr>
        <w:t>Escherichia coli</w:t>
      </w:r>
      <w:r w:rsidRPr="00F33FC4">
        <w:rPr>
          <w:rFonts w:eastAsia="Calibri"/>
          <w:noProof/>
        </w:rPr>
        <w:t>. Mol Microbiol 45:333–349.</w:t>
      </w:r>
    </w:p>
    <w:p w14:paraId="001FA5ED"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62. </w:t>
      </w:r>
      <w:r w:rsidRPr="00F33FC4">
        <w:rPr>
          <w:rFonts w:eastAsia="Calibri"/>
          <w:noProof/>
        </w:rPr>
        <w:tab/>
        <w:t xml:space="preserve">Jahn N, Brantl S, Strahl H. 2015. Against the mainstream: the membrane-associated type I toxin BsrG from </w:t>
      </w:r>
      <w:r w:rsidRPr="00F33FC4">
        <w:rPr>
          <w:rFonts w:eastAsia="Calibri"/>
          <w:i/>
          <w:iCs/>
          <w:noProof/>
        </w:rPr>
        <w:t>Bacillus subtilis</w:t>
      </w:r>
      <w:r w:rsidRPr="00F33FC4">
        <w:rPr>
          <w:rFonts w:eastAsia="Calibri"/>
          <w:noProof/>
        </w:rPr>
        <w:t xml:space="preserve"> interferes with cell envelope biosynthesis without increasing membrane permeability. Mol Microbiol 98:651–666.</w:t>
      </w:r>
    </w:p>
    <w:p w14:paraId="592D34DC"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63. </w:t>
      </w:r>
      <w:r w:rsidRPr="00F33FC4">
        <w:rPr>
          <w:rFonts w:eastAsia="Calibri"/>
          <w:noProof/>
        </w:rPr>
        <w:tab/>
        <w:t>Gerdes K, Rasmussen PB, Molin S. 1986. Unique type of plasmid maintenance function: postsegregational killing of plasmid-free cells. Proc Natl Acad Sci USA 83:3116–3120.</w:t>
      </w:r>
    </w:p>
    <w:p w14:paraId="3651CBDE"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64. </w:t>
      </w:r>
      <w:r w:rsidRPr="00F33FC4">
        <w:rPr>
          <w:rFonts w:eastAsia="Calibri"/>
          <w:noProof/>
        </w:rPr>
        <w:tab/>
        <w:t xml:space="preserve">Patel S, Weaver KE. 2006. Addiction toxin Fst has unique effects on chromosome </w:t>
      </w:r>
      <w:r w:rsidRPr="00F33FC4">
        <w:rPr>
          <w:rFonts w:eastAsia="Calibri"/>
          <w:noProof/>
        </w:rPr>
        <w:lastRenderedPageBreak/>
        <w:t xml:space="preserve">segregation and cell division in </w:t>
      </w:r>
      <w:r w:rsidRPr="00F33FC4">
        <w:rPr>
          <w:rFonts w:eastAsia="Calibri"/>
          <w:i/>
          <w:iCs/>
          <w:noProof/>
        </w:rPr>
        <w:t>Enterococcus faecalis</w:t>
      </w:r>
      <w:r w:rsidRPr="00F33FC4">
        <w:rPr>
          <w:rFonts w:eastAsia="Calibri"/>
          <w:noProof/>
        </w:rPr>
        <w:t xml:space="preserve"> and </w:t>
      </w:r>
      <w:r w:rsidRPr="00F33FC4">
        <w:rPr>
          <w:rFonts w:eastAsia="Calibri"/>
          <w:i/>
          <w:iCs/>
          <w:noProof/>
        </w:rPr>
        <w:t>Bacillus subtilis</w:t>
      </w:r>
      <w:r w:rsidRPr="00F33FC4">
        <w:rPr>
          <w:rFonts w:eastAsia="Calibri"/>
          <w:noProof/>
        </w:rPr>
        <w:t>. J Bacteriol 188:5374–5384.</w:t>
      </w:r>
    </w:p>
    <w:p w14:paraId="7B06D3BE"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65. </w:t>
      </w:r>
      <w:r w:rsidRPr="00F33FC4">
        <w:rPr>
          <w:rFonts w:eastAsia="Calibri"/>
          <w:noProof/>
        </w:rPr>
        <w:tab/>
        <w:t xml:space="preserve">Weaver KE, Reddy SG, Brinkman CL, Patel S, Bayles KW, Endres JL. 2009. Identification and characterization of a family of toxin-antitoxin systems related to the </w:t>
      </w:r>
      <w:r w:rsidRPr="00F33FC4">
        <w:rPr>
          <w:rFonts w:eastAsia="Calibri"/>
          <w:i/>
          <w:iCs/>
          <w:noProof/>
        </w:rPr>
        <w:t>Enterococcus faecalis</w:t>
      </w:r>
      <w:r w:rsidRPr="00F33FC4">
        <w:rPr>
          <w:rFonts w:eastAsia="Calibri"/>
          <w:noProof/>
        </w:rPr>
        <w:t xml:space="preserve"> plasmid pAD1 par addiction module. Microbiology (Reading, Engl) 155:2930–2940.</w:t>
      </w:r>
    </w:p>
    <w:p w14:paraId="4FF626E5"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66. </w:t>
      </w:r>
      <w:r w:rsidRPr="00F33FC4">
        <w:rPr>
          <w:rFonts w:eastAsia="Calibri"/>
          <w:noProof/>
        </w:rPr>
        <w:tab/>
        <w:t>Knopp M, Gudmundsdottir JS, Nilsson T, König F, Warsi O, Rajer F, Ädelroth P, Andersson DI. 2019. De novo emergence of peptides that confer antibiotic resistance. MBio 10.</w:t>
      </w:r>
    </w:p>
    <w:p w14:paraId="313EF73C"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67. </w:t>
      </w:r>
      <w:r w:rsidRPr="00F33FC4">
        <w:rPr>
          <w:rFonts w:eastAsia="Calibri"/>
          <w:noProof/>
        </w:rPr>
        <w:tab/>
        <w:t>Schneider V, Wadhwani P, Reichert J, Bürck J, Elstner M, Ulrich AS, Kubař T. 2019. Tetrameric Charge-Zipper Assembly of the TisB Peptide in Membranes-Computer Simulation and Experiment. J Phys Chem B 123:1770–1779.</w:t>
      </w:r>
    </w:p>
    <w:p w14:paraId="579F7CAE"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68. </w:t>
      </w:r>
      <w:r w:rsidRPr="00F33FC4">
        <w:rPr>
          <w:rFonts w:eastAsia="Calibri"/>
          <w:noProof/>
        </w:rPr>
        <w:tab/>
        <w:t xml:space="preserve"> 2019. Bacterial resistance to antibiotics – from molecules to man. Wiley.</w:t>
      </w:r>
    </w:p>
    <w:p w14:paraId="1C7F0EC8" w14:textId="77777777" w:rsidR="00F33FC4" w:rsidRPr="00F33FC4" w:rsidRDefault="00F33FC4" w:rsidP="00F33FC4">
      <w:pPr>
        <w:widowControl w:val="0"/>
        <w:autoSpaceDE w:val="0"/>
        <w:autoSpaceDN w:val="0"/>
        <w:adjustRightInd w:val="0"/>
        <w:spacing w:line="360" w:lineRule="auto"/>
        <w:rPr>
          <w:rFonts w:eastAsia="Calibri"/>
          <w:b/>
          <w:bCs/>
        </w:rPr>
      </w:pPr>
    </w:p>
    <w:p w14:paraId="5166D3E4" w14:textId="77777777" w:rsidR="00F33FC4" w:rsidRPr="00F33FC4" w:rsidRDefault="00F33FC4" w:rsidP="00F33FC4">
      <w:pPr>
        <w:spacing w:line="360" w:lineRule="auto"/>
        <w:ind w:left="284" w:firstLine="720"/>
        <w:rPr>
          <w:rFonts w:eastAsia="Calibri"/>
          <w:szCs w:val="21"/>
          <w:lang w:val="en-NP" w:bidi="ne-NP"/>
        </w:rPr>
      </w:pPr>
    </w:p>
    <w:p w14:paraId="45914D20" w14:textId="310D94F3" w:rsidR="00F33FC4" w:rsidRDefault="00F33FC4" w:rsidP="005067D6">
      <w:pPr>
        <w:spacing w:line="360" w:lineRule="auto"/>
        <w:jc w:val="center"/>
        <w:rPr>
          <w:rFonts w:eastAsia="Calibri"/>
          <w:b/>
          <w:bCs/>
        </w:rPr>
      </w:pPr>
      <w:r>
        <w:rPr>
          <w:b/>
          <w:caps/>
          <w:color w:val="000000" w:themeColor="text1"/>
          <w:sz w:val="28"/>
          <w:szCs w:val="28"/>
        </w:rPr>
        <w:br w:type="page"/>
      </w:r>
      <w:r w:rsidRPr="00F33FC4">
        <w:rPr>
          <w:rFonts w:eastAsia="Calibri"/>
          <w:b/>
          <w:bCs/>
        </w:rPr>
        <w:lastRenderedPageBreak/>
        <w:t>CHAPTER III</w:t>
      </w:r>
    </w:p>
    <w:p w14:paraId="7117F77B" w14:textId="77777777" w:rsidR="005067D6" w:rsidRPr="005067D6" w:rsidRDefault="005067D6" w:rsidP="005067D6">
      <w:pPr>
        <w:spacing w:line="360" w:lineRule="auto"/>
        <w:jc w:val="center"/>
        <w:rPr>
          <w:b/>
          <w:caps/>
          <w:color w:val="000000" w:themeColor="text1"/>
          <w:sz w:val="28"/>
          <w:szCs w:val="28"/>
        </w:rPr>
      </w:pPr>
    </w:p>
    <w:p w14:paraId="6F4308E4" w14:textId="3F7E1548" w:rsidR="00F33FC4" w:rsidRPr="00F33FC4" w:rsidRDefault="00F33FC4" w:rsidP="00F33FC4">
      <w:pPr>
        <w:spacing w:line="360" w:lineRule="auto"/>
        <w:ind w:left="284" w:firstLine="720"/>
        <w:jc w:val="center"/>
        <w:rPr>
          <w:rFonts w:eastAsia="Calibri"/>
          <w:b/>
          <w:bCs/>
        </w:rPr>
      </w:pPr>
      <w:r w:rsidRPr="00F33FC4">
        <w:rPr>
          <w:rFonts w:eastAsia="Calibri"/>
          <w:b/>
          <w:bCs/>
        </w:rPr>
        <w:t xml:space="preserve">Global impacts of </w:t>
      </w:r>
      <w:proofErr w:type="spellStart"/>
      <w:r w:rsidRPr="00F33FC4">
        <w:rPr>
          <w:rFonts w:eastAsia="Calibri"/>
          <w:b/>
          <w:bCs/>
          <w:i/>
          <w:iCs/>
        </w:rPr>
        <w:t>zor-orz</w:t>
      </w:r>
      <w:proofErr w:type="spellEnd"/>
      <w:r w:rsidRPr="00F33FC4">
        <w:rPr>
          <w:rFonts w:eastAsia="Calibri"/>
          <w:b/>
          <w:bCs/>
        </w:rPr>
        <w:t xml:space="preserve"> locus in a medium copy plasmid in response to kanamycin in EHEC</w:t>
      </w:r>
    </w:p>
    <w:p w14:paraId="79B8FC79" w14:textId="77777777" w:rsidR="00F33FC4" w:rsidRPr="00F33FC4" w:rsidRDefault="00F33FC4" w:rsidP="00F33FC4">
      <w:pPr>
        <w:spacing w:line="360" w:lineRule="auto"/>
        <w:rPr>
          <w:rFonts w:eastAsia="Calibri"/>
          <w:b/>
          <w:bCs/>
        </w:rPr>
      </w:pPr>
      <w:r w:rsidRPr="00F33FC4">
        <w:rPr>
          <w:rFonts w:eastAsia="Calibri"/>
          <w:b/>
          <w:bCs/>
        </w:rPr>
        <w:br w:type="page"/>
      </w:r>
    </w:p>
    <w:p w14:paraId="48BAB2A8" w14:textId="77777777" w:rsidR="00F33FC4" w:rsidRPr="00F33FC4" w:rsidRDefault="00F33FC4" w:rsidP="00F33FC4">
      <w:pPr>
        <w:spacing w:line="360" w:lineRule="auto"/>
        <w:rPr>
          <w:rFonts w:eastAsia="Calibri"/>
          <w:b/>
          <w:bCs/>
        </w:rPr>
      </w:pPr>
      <w:r w:rsidRPr="00F33FC4">
        <w:rPr>
          <w:rFonts w:eastAsia="Calibri"/>
          <w:b/>
          <w:bCs/>
        </w:rPr>
        <w:lastRenderedPageBreak/>
        <w:t>Publication note</w:t>
      </w:r>
    </w:p>
    <w:p w14:paraId="3D64A4E2" w14:textId="77777777" w:rsidR="00F33FC4" w:rsidRPr="00F33FC4" w:rsidRDefault="00F33FC4" w:rsidP="00F33FC4">
      <w:pPr>
        <w:spacing w:line="360" w:lineRule="auto"/>
        <w:rPr>
          <w:rFonts w:eastAsia="Calibri"/>
        </w:rPr>
      </w:pPr>
      <w:r w:rsidRPr="00F33FC4">
        <w:rPr>
          <w:rFonts w:eastAsia="Calibri"/>
        </w:rPr>
        <w:t xml:space="preserve">This chapter is currently not under review, however, it will be submitted in the future. </w:t>
      </w:r>
    </w:p>
    <w:p w14:paraId="59164160" w14:textId="77777777" w:rsidR="00F33FC4" w:rsidRPr="00F33FC4" w:rsidRDefault="00F33FC4" w:rsidP="00F33FC4">
      <w:pPr>
        <w:spacing w:line="360" w:lineRule="auto"/>
        <w:rPr>
          <w:rFonts w:eastAsia="Calibri"/>
        </w:rPr>
      </w:pPr>
    </w:p>
    <w:p w14:paraId="45D6E075" w14:textId="77777777" w:rsidR="00F33FC4" w:rsidRPr="00F33FC4" w:rsidRDefault="00F33FC4" w:rsidP="00F33FC4">
      <w:pPr>
        <w:spacing w:line="360" w:lineRule="auto"/>
        <w:rPr>
          <w:rFonts w:eastAsia="Calibri"/>
        </w:rPr>
      </w:pPr>
      <w:r w:rsidRPr="00F33FC4">
        <w:rPr>
          <w:rFonts w:eastAsia="Calibri"/>
        </w:rPr>
        <w:t xml:space="preserve">Bikash Bogati prepared cells and performed RNA extraction. Sequencing was performed at University of Tennessee Genomics Core facility. Data analysis was done by Bikash Bogati with help from Will Brewer and Sanjeev </w:t>
      </w:r>
      <w:proofErr w:type="spellStart"/>
      <w:r w:rsidRPr="00F33FC4">
        <w:rPr>
          <w:rFonts w:eastAsia="Calibri"/>
        </w:rPr>
        <w:t>Dahal</w:t>
      </w:r>
      <w:proofErr w:type="spellEnd"/>
      <w:r w:rsidRPr="00F33FC4">
        <w:rPr>
          <w:rFonts w:eastAsia="Calibri"/>
        </w:rPr>
        <w:t xml:space="preserve">. Bikash Bogati and Elizabeth M. </w:t>
      </w:r>
      <w:proofErr w:type="spellStart"/>
      <w:r w:rsidRPr="00F33FC4">
        <w:rPr>
          <w:rFonts w:eastAsia="Calibri"/>
        </w:rPr>
        <w:t>Fozo</w:t>
      </w:r>
      <w:proofErr w:type="spellEnd"/>
      <w:r w:rsidRPr="00F33FC4">
        <w:rPr>
          <w:rFonts w:eastAsia="Calibri"/>
        </w:rPr>
        <w:t xml:space="preserve"> wrote the manuscript</w:t>
      </w:r>
    </w:p>
    <w:p w14:paraId="5F6DC783" w14:textId="77777777" w:rsidR="00F33FC4" w:rsidRPr="00F33FC4" w:rsidRDefault="00F33FC4" w:rsidP="00F33FC4">
      <w:pPr>
        <w:spacing w:line="360" w:lineRule="auto"/>
        <w:ind w:left="284" w:firstLine="720"/>
        <w:rPr>
          <w:rFonts w:eastAsia="Calibri"/>
          <w:b/>
          <w:bCs/>
        </w:rPr>
      </w:pPr>
      <w:r w:rsidRPr="00F33FC4">
        <w:rPr>
          <w:rFonts w:eastAsia="Calibri"/>
          <w:b/>
          <w:bCs/>
        </w:rPr>
        <w:br w:type="page"/>
      </w:r>
    </w:p>
    <w:p w14:paraId="118BD2B8" w14:textId="77777777" w:rsidR="00F33FC4" w:rsidRPr="00F33FC4" w:rsidRDefault="00F33FC4" w:rsidP="00F33FC4">
      <w:pPr>
        <w:spacing w:line="360" w:lineRule="auto"/>
        <w:jc w:val="center"/>
        <w:rPr>
          <w:rFonts w:eastAsia="Calibri"/>
          <w:b/>
          <w:bCs/>
        </w:rPr>
      </w:pPr>
      <w:r w:rsidRPr="00F33FC4">
        <w:rPr>
          <w:rFonts w:eastAsia="Calibri"/>
          <w:b/>
          <w:bCs/>
        </w:rPr>
        <w:lastRenderedPageBreak/>
        <w:t>Abstract</w:t>
      </w:r>
    </w:p>
    <w:p w14:paraId="3C1FA66D" w14:textId="77777777" w:rsidR="00F33FC4" w:rsidRPr="00F33FC4" w:rsidRDefault="00F33FC4" w:rsidP="00C3607D">
      <w:pPr>
        <w:spacing w:line="360" w:lineRule="auto"/>
        <w:ind w:firstLine="567"/>
        <w:rPr>
          <w:rFonts w:eastAsia="Calibri"/>
        </w:rPr>
      </w:pPr>
      <w:r w:rsidRPr="00F33FC4">
        <w:rPr>
          <w:rFonts w:eastAsia="Calibri"/>
        </w:rPr>
        <w:t xml:space="preserve">Toxin-antitoxin systems are gene pairs in which the transcript, translated protein, or the effect of the translated protein from the toxin gene is neutralized by the product of its cognate antitoxin gene. Of the six types of toxin-antitoxin systems, type I systems encode a small RNA antitoxin that complementary base pairs with the toxin encoding mRNA and prevents the translation of the toxin and/or stimulates degradation of the toxin mRNA. The role of chromosomally encoded type I toxin-antitoxin systems has been debated especially as most studies rely on overexpression of the toxin. The </w:t>
      </w:r>
      <w:proofErr w:type="spellStart"/>
      <w:r w:rsidRPr="00F33FC4">
        <w:rPr>
          <w:rFonts w:eastAsia="Calibri"/>
          <w:i/>
          <w:iCs/>
        </w:rPr>
        <w:t>zor-orz</w:t>
      </w:r>
      <w:proofErr w:type="spellEnd"/>
      <w:r w:rsidRPr="00F33FC4">
        <w:rPr>
          <w:rFonts w:eastAsia="Calibri"/>
        </w:rPr>
        <w:t xml:space="preserve"> locus identified in </w:t>
      </w:r>
      <w:r w:rsidRPr="00F33FC4">
        <w:rPr>
          <w:rFonts w:eastAsia="Calibri"/>
          <w:i/>
          <w:iCs/>
        </w:rPr>
        <w:t>Escherichia coli</w:t>
      </w:r>
      <w:r w:rsidRPr="00F33FC4">
        <w:rPr>
          <w:rFonts w:eastAsia="Calibri"/>
        </w:rPr>
        <w:t xml:space="preserve"> O157:H7 EDL933 is a type I toxin-antitoxin system that consist of tandem duplicated gene pairs- </w:t>
      </w:r>
      <w:proofErr w:type="spellStart"/>
      <w:r w:rsidRPr="00F33FC4">
        <w:rPr>
          <w:rFonts w:eastAsia="Calibri"/>
          <w:i/>
          <w:iCs/>
        </w:rPr>
        <w:t>zorO-orzO</w:t>
      </w:r>
      <w:proofErr w:type="spellEnd"/>
      <w:r w:rsidRPr="00F33FC4">
        <w:rPr>
          <w:rFonts w:eastAsia="Calibri"/>
          <w:i/>
          <w:iCs/>
        </w:rPr>
        <w:t xml:space="preserve"> </w:t>
      </w:r>
      <w:r w:rsidRPr="00F33FC4">
        <w:rPr>
          <w:rFonts w:eastAsia="Calibri"/>
        </w:rPr>
        <w:t xml:space="preserve">and </w:t>
      </w:r>
      <w:proofErr w:type="spellStart"/>
      <w:r w:rsidRPr="00F33FC4">
        <w:rPr>
          <w:rFonts w:eastAsia="Calibri"/>
          <w:i/>
          <w:iCs/>
        </w:rPr>
        <w:t>zorP-orzP</w:t>
      </w:r>
      <w:proofErr w:type="spellEnd"/>
      <w:r w:rsidRPr="00F33FC4">
        <w:rPr>
          <w:rFonts w:eastAsia="Calibri"/>
        </w:rPr>
        <w:t xml:space="preserve">. The deletion of </w:t>
      </w:r>
      <w:proofErr w:type="spellStart"/>
      <w:r w:rsidRPr="00F33FC4">
        <w:rPr>
          <w:rFonts w:eastAsia="Calibri"/>
          <w:i/>
          <w:iCs/>
        </w:rPr>
        <w:t>zor-orz</w:t>
      </w:r>
      <w:proofErr w:type="spellEnd"/>
      <w:r w:rsidRPr="00F33FC4">
        <w:rPr>
          <w:rFonts w:eastAsia="Calibri"/>
        </w:rPr>
        <w:t xml:space="preserve"> locus in EDL933 does not result in discernable phenotype; however, amplification of this locus by cloning it onto a medium-copy plasmid (</w:t>
      </w:r>
      <w:proofErr w:type="spellStart"/>
      <w:r w:rsidRPr="00F33FC4">
        <w:rPr>
          <w:rFonts w:eastAsia="Calibri"/>
        </w:rPr>
        <w:t>pBR-</w:t>
      </w:r>
      <w:r w:rsidRPr="00F33FC4">
        <w:rPr>
          <w:rFonts w:eastAsia="Calibri"/>
          <w:i/>
          <w:iCs/>
        </w:rPr>
        <w:t>zor-orz</w:t>
      </w:r>
      <w:proofErr w:type="spellEnd"/>
      <w:r w:rsidRPr="00F33FC4">
        <w:rPr>
          <w:rFonts w:eastAsia="Calibri"/>
        </w:rPr>
        <w:t xml:space="preserve">) significantly improved cell growth in presence of aminoglycoside antibiotics. No such benefit was observed with other classes of antibiotics tested. This raises the question as to why there is specificity of </w:t>
      </w:r>
      <w:proofErr w:type="spellStart"/>
      <w:r w:rsidRPr="00F33FC4">
        <w:rPr>
          <w:rFonts w:eastAsia="Calibri"/>
          <w:i/>
          <w:iCs/>
        </w:rPr>
        <w:t>zor-orz</w:t>
      </w:r>
      <w:proofErr w:type="spellEnd"/>
      <w:r w:rsidRPr="00F33FC4">
        <w:rPr>
          <w:rFonts w:eastAsia="Calibri"/>
        </w:rPr>
        <w:t xml:space="preserve"> locus in resistance against aminoglycoside antibiotics and what is the mechanism behind this improved growth. Herein, we investigated the differences in the global transcriptome of EHEC harboring </w:t>
      </w:r>
      <w:proofErr w:type="spellStart"/>
      <w:r w:rsidRPr="00F33FC4">
        <w:rPr>
          <w:rFonts w:eastAsia="Calibri"/>
        </w:rPr>
        <w:t>pBR-</w:t>
      </w:r>
      <w:r w:rsidRPr="00F33FC4">
        <w:rPr>
          <w:rFonts w:eastAsia="Calibri"/>
          <w:i/>
          <w:iCs/>
        </w:rPr>
        <w:t>zor-orz</w:t>
      </w:r>
      <w:proofErr w:type="spellEnd"/>
      <w:r w:rsidRPr="00F33FC4">
        <w:rPr>
          <w:rFonts w:eastAsia="Calibri"/>
        </w:rPr>
        <w:t xml:space="preserve"> versus empty plasmid after 15 minutes treatment with kanamycin. Multiple copies of the </w:t>
      </w:r>
      <w:proofErr w:type="spellStart"/>
      <w:r w:rsidRPr="00F33FC4">
        <w:rPr>
          <w:rFonts w:eastAsia="Calibri"/>
          <w:i/>
          <w:iCs/>
        </w:rPr>
        <w:t>zor-orz</w:t>
      </w:r>
      <w:proofErr w:type="spellEnd"/>
      <w:r w:rsidRPr="00F33FC4">
        <w:rPr>
          <w:rFonts w:eastAsia="Calibri"/>
        </w:rPr>
        <w:t xml:space="preserve"> locus resulted in a reduction in transcripts for flagellar associated genes whereas genes associated with anaerobic respiration, nitrate reduction, oxidative stress, and sugar transporters were upregulated. These results are useful to further dissect the mechanism of the resistance conferred by the </w:t>
      </w:r>
      <w:proofErr w:type="spellStart"/>
      <w:r w:rsidRPr="00F33FC4">
        <w:rPr>
          <w:rFonts w:eastAsia="Calibri"/>
          <w:i/>
          <w:iCs/>
        </w:rPr>
        <w:t>zor-orz</w:t>
      </w:r>
      <w:proofErr w:type="spellEnd"/>
      <w:r w:rsidRPr="00F33FC4">
        <w:rPr>
          <w:rFonts w:eastAsia="Calibri"/>
        </w:rPr>
        <w:t xml:space="preserve"> locus against aminoglycoside antibiotics. </w:t>
      </w:r>
    </w:p>
    <w:p w14:paraId="25406550" w14:textId="77777777" w:rsidR="00F33FC4" w:rsidRPr="00F33FC4" w:rsidRDefault="00F33FC4" w:rsidP="00F33FC4">
      <w:pPr>
        <w:spacing w:line="360" w:lineRule="auto"/>
        <w:rPr>
          <w:rFonts w:eastAsia="Calibri"/>
          <w:b/>
          <w:bCs/>
        </w:rPr>
      </w:pPr>
      <w:r w:rsidRPr="00F33FC4">
        <w:rPr>
          <w:rFonts w:eastAsia="Calibri"/>
        </w:rPr>
        <w:t xml:space="preserve"> </w:t>
      </w:r>
      <w:r w:rsidRPr="00F33FC4">
        <w:rPr>
          <w:rFonts w:eastAsia="Calibri"/>
          <w:b/>
          <w:bCs/>
        </w:rPr>
        <w:br w:type="page"/>
      </w:r>
    </w:p>
    <w:p w14:paraId="327B6D01" w14:textId="77777777" w:rsidR="00F33FC4" w:rsidRPr="00F33FC4" w:rsidRDefault="00F33FC4" w:rsidP="00C3607D">
      <w:pPr>
        <w:numPr>
          <w:ilvl w:val="0"/>
          <w:numId w:val="26"/>
        </w:numPr>
        <w:spacing w:line="360" w:lineRule="auto"/>
        <w:ind w:left="284" w:hanging="284"/>
        <w:contextualSpacing/>
        <w:rPr>
          <w:rFonts w:eastAsia="Calibri"/>
        </w:rPr>
      </w:pPr>
      <w:r w:rsidRPr="00F33FC4">
        <w:rPr>
          <w:rFonts w:eastAsia="Calibri"/>
          <w:b/>
          <w:bCs/>
        </w:rPr>
        <w:lastRenderedPageBreak/>
        <w:t>Introduction</w:t>
      </w:r>
    </w:p>
    <w:p w14:paraId="0FC245E8" w14:textId="77777777" w:rsidR="00C3607D" w:rsidRDefault="00F33FC4" w:rsidP="00C3607D">
      <w:pPr>
        <w:spacing w:line="360" w:lineRule="auto"/>
        <w:ind w:firstLine="720"/>
        <w:contextualSpacing/>
        <w:rPr>
          <w:rFonts w:eastAsia="Calibri"/>
          <w:szCs w:val="21"/>
          <w:lang w:bidi="ne-NP"/>
        </w:rPr>
      </w:pPr>
      <w:r w:rsidRPr="00F33FC4">
        <w:rPr>
          <w:rFonts w:eastAsia="Calibri"/>
        </w:rPr>
        <w:t xml:space="preserve">A toxin-antitoxin (TA) system is a gene pair in which one gene encodes a potentially toxic protein and the other encodes a small RNA (sRNA) or a protein that neutralizes the toxin encoding mRNA, the translated toxin protein or the effects of the toxin </w:t>
      </w:r>
      <w:r w:rsidRPr="00F33FC4">
        <w:rPr>
          <w:rFonts w:eastAsia="Calibri"/>
          <w:noProof/>
        </w:rPr>
        <w:t>(1,2)</w:t>
      </w:r>
      <w:r w:rsidRPr="00F33FC4">
        <w:rPr>
          <w:rFonts w:eastAsia="Calibri"/>
        </w:rPr>
        <w:t xml:space="preserve">. These gene pairs are distributed throughout plasmids, phages and bacterial and archaeal genomes </w:t>
      </w:r>
      <w:r w:rsidRPr="00F33FC4">
        <w:rPr>
          <w:rFonts w:eastAsia="Calibri"/>
          <w:noProof/>
        </w:rPr>
        <w:t>(3)</w:t>
      </w:r>
      <w:r w:rsidRPr="00F33FC4">
        <w:rPr>
          <w:rFonts w:eastAsia="Calibri"/>
        </w:rPr>
        <w:t xml:space="preserve">. </w:t>
      </w:r>
      <w:r w:rsidRPr="00F33FC4">
        <w:rPr>
          <w:rFonts w:eastAsia="Calibri"/>
          <w:szCs w:val="21"/>
          <w:lang w:bidi="ne-NP"/>
        </w:rPr>
        <w:t xml:space="preserve">Based on the nature of the antitoxin </w:t>
      </w:r>
      <w:r w:rsidRPr="00F33FC4">
        <w:rPr>
          <w:rFonts w:eastAsia="Calibri"/>
          <w:i/>
          <w:iCs/>
          <w:szCs w:val="21"/>
          <w:lang w:bidi="ne-NP"/>
        </w:rPr>
        <w:t>i.e</w:t>
      </w:r>
      <w:r w:rsidRPr="00F33FC4">
        <w:rPr>
          <w:rFonts w:eastAsia="Calibri"/>
          <w:szCs w:val="21"/>
          <w:lang w:bidi="ne-NP"/>
        </w:rPr>
        <w:t xml:space="preserve">., either a sRNA or a protein, and the mechanism it utilizes to counteract the toxin, TA systems can be classified into six major types (type I – type VI; </w:t>
      </w:r>
      <w:r w:rsidRPr="00F33FC4">
        <w:rPr>
          <w:rFonts w:eastAsia="Calibri"/>
          <w:noProof/>
          <w:szCs w:val="21"/>
          <w:lang w:bidi="ne-NP"/>
        </w:rPr>
        <w:t>(4)</w:t>
      </w:r>
      <w:r w:rsidRPr="00F33FC4">
        <w:rPr>
          <w:rFonts w:eastAsia="Calibri"/>
          <w:szCs w:val="21"/>
          <w:lang w:bidi="ne-NP"/>
        </w:rPr>
        <w:t xml:space="preserve">). In a type I system, the antitoxin sRNA complementary base pairs with the toxin encoding mRNA and prevents the translation of the toxin protein </w:t>
      </w:r>
      <w:r w:rsidRPr="00F33FC4">
        <w:rPr>
          <w:rFonts w:eastAsia="Calibri"/>
          <w:noProof/>
          <w:szCs w:val="21"/>
          <w:lang w:bidi="ne-NP"/>
        </w:rPr>
        <w:t>(5,6)</w:t>
      </w:r>
      <w:r w:rsidRPr="00F33FC4">
        <w:rPr>
          <w:rFonts w:eastAsia="Calibri"/>
          <w:szCs w:val="21"/>
          <w:lang w:bidi="ne-NP"/>
        </w:rPr>
        <w:t xml:space="preserve">. </w:t>
      </w:r>
    </w:p>
    <w:p w14:paraId="0C33ED0A" w14:textId="77777777" w:rsidR="00C3607D" w:rsidRDefault="00F33FC4" w:rsidP="00C3607D">
      <w:pPr>
        <w:spacing w:line="360" w:lineRule="auto"/>
        <w:ind w:firstLine="720"/>
        <w:contextualSpacing/>
        <w:rPr>
          <w:rFonts w:eastAsia="Calibri"/>
          <w:szCs w:val="21"/>
          <w:lang w:bidi="ne-NP"/>
        </w:rPr>
      </w:pPr>
      <w:r w:rsidRPr="00F33FC4">
        <w:rPr>
          <w:rFonts w:eastAsia="Calibri"/>
          <w:szCs w:val="21"/>
          <w:lang w:bidi="ne-NP"/>
        </w:rPr>
        <w:t xml:space="preserve">Several type I TA systems have been identified in the chromosomes of both Gram-positive and Gram-negative bacteria and are hypothesized to function during specific stress responses </w:t>
      </w:r>
      <w:r w:rsidRPr="00F33FC4">
        <w:rPr>
          <w:rFonts w:eastAsia="Calibri"/>
          <w:noProof/>
          <w:szCs w:val="21"/>
          <w:lang w:bidi="ne-NP"/>
        </w:rPr>
        <w:t>(7–9)</w:t>
      </w:r>
      <w:r w:rsidRPr="00F33FC4">
        <w:rPr>
          <w:rFonts w:eastAsia="Calibri"/>
          <w:szCs w:val="21"/>
          <w:lang w:bidi="ne-NP"/>
        </w:rPr>
        <w:t xml:space="preserve">. The deletion of the toxin gene, simultaneous deletion of the toxin and antitoxin genes, or deletion solely of the antitoxin gene does not always produce a measurable phenotype in laboratory conditions, making their study challenging </w:t>
      </w:r>
      <w:r w:rsidRPr="00F33FC4">
        <w:rPr>
          <w:rFonts w:eastAsia="Calibri"/>
          <w:noProof/>
          <w:szCs w:val="21"/>
          <w:lang w:bidi="ne-NP"/>
        </w:rPr>
        <w:t>(10–12)</w:t>
      </w:r>
      <w:r w:rsidRPr="00F33FC4">
        <w:rPr>
          <w:rFonts w:eastAsia="Calibri"/>
          <w:szCs w:val="21"/>
          <w:lang w:bidi="ne-NP"/>
        </w:rPr>
        <w:t xml:space="preserve">. Most of the TA system studies, therefore, utilize an ectopic overexpression system in which the toxin gene is under control of an inducible promoter. However, at the chromosomal level, bacterial cells rely on native regulatory elements, both transcriptional and posttranscriptional, to ensure expression of the toxin gene under the specific, desired condition. Therefore, overexpression systems using inducible promoters on plasmids may not always correspond to the true expression, and hence, function of a TA system in a bacterial cell. </w:t>
      </w:r>
    </w:p>
    <w:p w14:paraId="53318307" w14:textId="77777777" w:rsidR="00C3607D" w:rsidRDefault="00F33FC4" w:rsidP="00C3607D">
      <w:pPr>
        <w:spacing w:line="360" w:lineRule="auto"/>
        <w:ind w:firstLine="720"/>
        <w:contextualSpacing/>
        <w:rPr>
          <w:rFonts w:eastAsia="Calibri"/>
          <w:szCs w:val="21"/>
          <w:lang w:bidi="ne-NP"/>
        </w:rPr>
      </w:pPr>
      <w:r w:rsidRPr="00F33FC4">
        <w:rPr>
          <w:rFonts w:eastAsia="Calibri"/>
          <w:szCs w:val="21"/>
          <w:lang w:bidi="ne-NP"/>
        </w:rPr>
        <w:t xml:space="preserve">A few studies have addressed the global impacts of type I toxins on cellular processes. The </w:t>
      </w:r>
      <w:proofErr w:type="spellStart"/>
      <w:r w:rsidRPr="00F33FC4">
        <w:rPr>
          <w:rFonts w:eastAsia="Calibri"/>
          <w:szCs w:val="21"/>
          <w:lang w:bidi="ne-NP"/>
        </w:rPr>
        <w:t>Ldr</w:t>
      </w:r>
      <w:proofErr w:type="spellEnd"/>
      <w:r w:rsidRPr="00F33FC4">
        <w:rPr>
          <w:rFonts w:eastAsia="Calibri"/>
          <w:szCs w:val="21"/>
          <w:lang w:bidi="ne-NP"/>
        </w:rPr>
        <w:t xml:space="preserve"> (long direct repeat) toxin has four homologs (A-D) in the chromosome of </w:t>
      </w:r>
      <w:r w:rsidRPr="00F33FC4">
        <w:rPr>
          <w:rFonts w:eastAsia="Calibri"/>
          <w:i/>
          <w:iCs/>
          <w:szCs w:val="21"/>
          <w:lang w:bidi="ne-NP"/>
        </w:rPr>
        <w:t>Escherichia coli</w:t>
      </w:r>
      <w:r w:rsidRPr="00F33FC4">
        <w:rPr>
          <w:rFonts w:eastAsia="Calibri"/>
          <w:szCs w:val="21"/>
          <w:lang w:bidi="ne-NP"/>
        </w:rPr>
        <w:t xml:space="preserve"> MG1655 </w:t>
      </w:r>
      <w:r w:rsidRPr="00F33FC4">
        <w:rPr>
          <w:rFonts w:eastAsia="Calibri"/>
          <w:noProof/>
          <w:szCs w:val="21"/>
          <w:lang w:bidi="ne-NP"/>
        </w:rPr>
        <w:t>(13)</w:t>
      </w:r>
      <w:r w:rsidRPr="00F33FC4">
        <w:rPr>
          <w:rFonts w:eastAsia="Calibri"/>
          <w:szCs w:val="21"/>
          <w:lang w:bidi="ne-NP"/>
        </w:rPr>
        <w:t xml:space="preserve">. The overproduction of </w:t>
      </w:r>
      <w:proofErr w:type="spellStart"/>
      <w:r w:rsidRPr="00F33FC4">
        <w:rPr>
          <w:rFonts w:eastAsia="Calibri"/>
          <w:szCs w:val="21"/>
          <w:lang w:bidi="ne-NP"/>
        </w:rPr>
        <w:t>LdrD</w:t>
      </w:r>
      <w:proofErr w:type="spellEnd"/>
      <w:r w:rsidRPr="00F33FC4">
        <w:rPr>
          <w:rFonts w:eastAsia="Calibri"/>
          <w:szCs w:val="21"/>
          <w:lang w:bidi="ne-NP"/>
        </w:rPr>
        <w:t xml:space="preserve"> affects cell growth, results in loss of cell viability and causes nucleoid condensation </w:t>
      </w:r>
      <w:r w:rsidRPr="00F33FC4">
        <w:rPr>
          <w:rFonts w:eastAsia="Calibri"/>
          <w:noProof/>
          <w:szCs w:val="21"/>
          <w:lang w:bidi="ne-NP"/>
        </w:rPr>
        <w:t>(13)</w:t>
      </w:r>
      <w:r w:rsidRPr="00F33FC4">
        <w:rPr>
          <w:rFonts w:eastAsia="Calibri"/>
          <w:szCs w:val="21"/>
          <w:lang w:bidi="ne-NP"/>
        </w:rPr>
        <w:t xml:space="preserve">. Within two minutes of </w:t>
      </w:r>
      <w:proofErr w:type="spellStart"/>
      <w:r w:rsidRPr="00F33FC4">
        <w:rPr>
          <w:rFonts w:eastAsia="Calibri"/>
          <w:i/>
          <w:iCs/>
          <w:szCs w:val="21"/>
          <w:lang w:bidi="ne-NP"/>
        </w:rPr>
        <w:t>ldrD</w:t>
      </w:r>
      <w:proofErr w:type="spellEnd"/>
      <w:r w:rsidRPr="00F33FC4">
        <w:rPr>
          <w:rFonts w:eastAsia="Calibri"/>
          <w:szCs w:val="21"/>
          <w:lang w:bidi="ne-NP"/>
        </w:rPr>
        <w:t xml:space="preserve"> overexpression, microarray analysis revealed an upregulation of the genes involved in purine metabolism </w:t>
      </w:r>
      <w:r w:rsidRPr="00F33FC4">
        <w:rPr>
          <w:rFonts w:eastAsia="Calibri"/>
          <w:noProof/>
          <w:szCs w:val="21"/>
          <w:lang w:bidi="ne-NP"/>
        </w:rPr>
        <w:t>(13)</w:t>
      </w:r>
      <w:r w:rsidRPr="00F33FC4">
        <w:rPr>
          <w:rFonts w:eastAsia="Calibri"/>
          <w:szCs w:val="21"/>
          <w:lang w:bidi="ne-NP"/>
        </w:rPr>
        <w:t xml:space="preserve">. A separate comparative study was performed following overexpression of </w:t>
      </w:r>
      <w:proofErr w:type="spellStart"/>
      <w:r w:rsidRPr="00F33FC4">
        <w:rPr>
          <w:rFonts w:eastAsia="Calibri"/>
          <w:i/>
          <w:iCs/>
          <w:szCs w:val="21"/>
          <w:lang w:bidi="ne-NP"/>
        </w:rPr>
        <w:t>tisB</w:t>
      </w:r>
      <w:proofErr w:type="spellEnd"/>
      <w:r w:rsidRPr="00F33FC4">
        <w:rPr>
          <w:rFonts w:eastAsia="Calibri"/>
          <w:szCs w:val="21"/>
          <w:lang w:bidi="ne-NP"/>
        </w:rPr>
        <w:t xml:space="preserve">, </w:t>
      </w:r>
      <w:proofErr w:type="spellStart"/>
      <w:r w:rsidRPr="00F33FC4">
        <w:rPr>
          <w:rFonts w:eastAsia="Calibri"/>
          <w:i/>
          <w:iCs/>
          <w:szCs w:val="21"/>
          <w:lang w:bidi="ne-NP"/>
        </w:rPr>
        <w:t>shoB</w:t>
      </w:r>
      <w:proofErr w:type="spellEnd"/>
      <w:r w:rsidRPr="00F33FC4">
        <w:rPr>
          <w:rFonts w:eastAsia="Calibri"/>
          <w:szCs w:val="21"/>
          <w:lang w:bidi="ne-NP"/>
        </w:rPr>
        <w:t xml:space="preserve">, </w:t>
      </w:r>
      <w:proofErr w:type="spellStart"/>
      <w:r w:rsidRPr="00F33FC4">
        <w:rPr>
          <w:rFonts w:eastAsia="Calibri"/>
          <w:i/>
          <w:iCs/>
          <w:szCs w:val="21"/>
          <w:lang w:bidi="ne-NP"/>
        </w:rPr>
        <w:t>ibsC</w:t>
      </w:r>
      <w:proofErr w:type="spellEnd"/>
      <w:r w:rsidRPr="00F33FC4">
        <w:rPr>
          <w:rFonts w:eastAsia="Calibri"/>
          <w:szCs w:val="21"/>
          <w:lang w:bidi="ne-NP"/>
        </w:rPr>
        <w:t xml:space="preserve"> and </w:t>
      </w:r>
      <w:proofErr w:type="spellStart"/>
      <w:r w:rsidRPr="00F33FC4">
        <w:rPr>
          <w:rFonts w:eastAsia="Calibri"/>
          <w:i/>
          <w:iCs/>
          <w:szCs w:val="21"/>
          <w:lang w:bidi="ne-NP"/>
        </w:rPr>
        <w:t>ldrD</w:t>
      </w:r>
      <w:proofErr w:type="spellEnd"/>
      <w:r w:rsidRPr="00F33FC4">
        <w:rPr>
          <w:rFonts w:eastAsia="Calibri"/>
          <w:szCs w:val="21"/>
          <w:lang w:bidi="ne-NP"/>
        </w:rPr>
        <w:t xml:space="preserve"> for 20 minutes in </w:t>
      </w:r>
      <w:r w:rsidRPr="00F33FC4">
        <w:rPr>
          <w:rFonts w:eastAsia="Calibri"/>
          <w:i/>
          <w:iCs/>
          <w:szCs w:val="21"/>
          <w:lang w:bidi="ne-NP"/>
        </w:rPr>
        <w:t xml:space="preserve">E. coli </w:t>
      </w:r>
      <w:r w:rsidRPr="00F33FC4">
        <w:rPr>
          <w:rFonts w:eastAsia="Calibri"/>
          <w:noProof/>
          <w:szCs w:val="21"/>
          <w:lang w:bidi="ne-NP"/>
        </w:rPr>
        <w:t>(14)</w:t>
      </w:r>
      <w:r w:rsidRPr="00F33FC4">
        <w:rPr>
          <w:rFonts w:eastAsia="Calibri"/>
          <w:szCs w:val="21"/>
          <w:lang w:bidi="ne-NP"/>
        </w:rPr>
        <w:t xml:space="preserve">. This analysis identified a common set of genes that were upregulated upon overexpression </w:t>
      </w:r>
      <w:r w:rsidRPr="00F33FC4">
        <w:rPr>
          <w:rFonts w:eastAsia="Calibri"/>
          <w:szCs w:val="21"/>
          <w:lang w:bidi="ne-NP"/>
        </w:rPr>
        <w:lastRenderedPageBreak/>
        <w:t xml:space="preserve">of all toxins: these included several stress response genes, including </w:t>
      </w:r>
      <w:proofErr w:type="spellStart"/>
      <w:r w:rsidRPr="00F33FC4">
        <w:rPr>
          <w:rFonts w:eastAsia="Calibri"/>
          <w:i/>
          <w:iCs/>
          <w:szCs w:val="21"/>
          <w:lang w:bidi="ne-NP"/>
        </w:rPr>
        <w:t>soxS</w:t>
      </w:r>
      <w:proofErr w:type="spellEnd"/>
      <w:r w:rsidRPr="00F33FC4">
        <w:rPr>
          <w:rFonts w:eastAsia="Calibri"/>
          <w:i/>
          <w:iCs/>
          <w:szCs w:val="21"/>
          <w:lang w:bidi="ne-NP"/>
        </w:rPr>
        <w:t>,</w:t>
      </w:r>
      <w:r w:rsidRPr="00F33FC4">
        <w:rPr>
          <w:rFonts w:eastAsia="Calibri"/>
          <w:szCs w:val="21"/>
          <w:lang w:bidi="ne-NP"/>
        </w:rPr>
        <w:t xml:space="preserve"> which is involved in oxidative stress, and several membrane protein-encoding genes such as those involved in maltose transport. The study also revealed that both </w:t>
      </w:r>
      <w:proofErr w:type="spellStart"/>
      <w:r w:rsidRPr="00F33FC4">
        <w:rPr>
          <w:rFonts w:eastAsia="Calibri"/>
          <w:szCs w:val="21"/>
          <w:lang w:bidi="ne-NP"/>
        </w:rPr>
        <w:t>TisB</w:t>
      </w:r>
      <w:proofErr w:type="spellEnd"/>
      <w:r w:rsidRPr="00F33FC4">
        <w:rPr>
          <w:rFonts w:eastAsia="Calibri"/>
          <w:szCs w:val="21"/>
          <w:lang w:bidi="ne-NP"/>
        </w:rPr>
        <w:t xml:space="preserve"> and </w:t>
      </w:r>
      <w:proofErr w:type="spellStart"/>
      <w:r w:rsidRPr="00F33FC4">
        <w:rPr>
          <w:rFonts w:eastAsia="Calibri"/>
          <w:szCs w:val="21"/>
          <w:lang w:bidi="ne-NP"/>
        </w:rPr>
        <w:t>IbsC</w:t>
      </w:r>
      <w:proofErr w:type="spellEnd"/>
      <w:r w:rsidRPr="00F33FC4">
        <w:rPr>
          <w:rFonts w:eastAsia="Calibri"/>
          <w:szCs w:val="21"/>
          <w:lang w:bidi="ne-NP"/>
        </w:rPr>
        <w:t xml:space="preserve"> induced the cell envelope stress response genes </w:t>
      </w:r>
      <w:proofErr w:type="spellStart"/>
      <w:r w:rsidRPr="00F33FC4">
        <w:rPr>
          <w:rFonts w:eastAsia="Calibri"/>
          <w:i/>
          <w:iCs/>
          <w:szCs w:val="21"/>
          <w:lang w:bidi="ne-NP"/>
        </w:rPr>
        <w:t>degP</w:t>
      </w:r>
      <w:proofErr w:type="spellEnd"/>
      <w:r w:rsidRPr="00F33FC4">
        <w:rPr>
          <w:rFonts w:eastAsia="Calibri"/>
          <w:i/>
          <w:iCs/>
          <w:szCs w:val="21"/>
          <w:lang w:bidi="ne-NP"/>
        </w:rPr>
        <w:t xml:space="preserve"> </w:t>
      </w:r>
      <w:r w:rsidRPr="00F33FC4">
        <w:rPr>
          <w:rFonts w:eastAsia="Calibri"/>
          <w:szCs w:val="21"/>
          <w:lang w:bidi="ne-NP"/>
        </w:rPr>
        <w:t>and</w:t>
      </w:r>
      <w:r w:rsidRPr="00F33FC4">
        <w:rPr>
          <w:rFonts w:eastAsia="Calibri"/>
          <w:i/>
          <w:iCs/>
          <w:szCs w:val="21"/>
          <w:lang w:bidi="ne-NP"/>
        </w:rPr>
        <w:t xml:space="preserve"> spy</w:t>
      </w:r>
      <w:r w:rsidRPr="00F33FC4">
        <w:rPr>
          <w:rFonts w:eastAsia="Calibri"/>
          <w:szCs w:val="21"/>
          <w:lang w:bidi="ne-NP"/>
        </w:rPr>
        <w:t>, whereas the phage shock genes (</w:t>
      </w:r>
      <w:proofErr w:type="spellStart"/>
      <w:r w:rsidRPr="00F33FC4">
        <w:rPr>
          <w:rFonts w:eastAsia="Calibri"/>
          <w:i/>
          <w:iCs/>
          <w:szCs w:val="21"/>
          <w:lang w:bidi="ne-NP"/>
        </w:rPr>
        <w:t>pspABCDE</w:t>
      </w:r>
      <w:proofErr w:type="spellEnd"/>
      <w:r w:rsidRPr="00F33FC4">
        <w:rPr>
          <w:rFonts w:eastAsia="Calibri"/>
          <w:szCs w:val="21"/>
          <w:lang w:bidi="ne-NP"/>
        </w:rPr>
        <w:t xml:space="preserve"> operon and </w:t>
      </w:r>
      <w:proofErr w:type="spellStart"/>
      <w:r w:rsidRPr="00F33FC4">
        <w:rPr>
          <w:rFonts w:eastAsia="Calibri"/>
          <w:i/>
          <w:iCs/>
          <w:szCs w:val="21"/>
          <w:lang w:bidi="ne-NP"/>
        </w:rPr>
        <w:t>pspG</w:t>
      </w:r>
      <w:proofErr w:type="spellEnd"/>
      <w:r w:rsidRPr="00F33FC4">
        <w:rPr>
          <w:rFonts w:eastAsia="Calibri"/>
          <w:szCs w:val="21"/>
          <w:lang w:bidi="ne-NP"/>
        </w:rPr>
        <w:t xml:space="preserve">) were significantly induced only by </w:t>
      </w:r>
      <w:proofErr w:type="spellStart"/>
      <w:r w:rsidRPr="00F33FC4">
        <w:rPr>
          <w:rFonts w:eastAsia="Calibri"/>
          <w:szCs w:val="21"/>
          <w:lang w:bidi="ne-NP"/>
        </w:rPr>
        <w:t>IbsC</w:t>
      </w:r>
      <w:proofErr w:type="spellEnd"/>
      <w:r w:rsidRPr="00F33FC4">
        <w:rPr>
          <w:rFonts w:eastAsia="Calibri"/>
          <w:szCs w:val="21"/>
          <w:lang w:bidi="ne-NP"/>
        </w:rPr>
        <w:t xml:space="preserve"> overexpression </w:t>
      </w:r>
      <w:r w:rsidRPr="00F33FC4">
        <w:rPr>
          <w:rFonts w:eastAsia="Calibri"/>
          <w:noProof/>
          <w:szCs w:val="21"/>
          <w:lang w:bidi="ne-NP"/>
        </w:rPr>
        <w:t>(14)</w:t>
      </w:r>
      <w:r w:rsidRPr="00F33FC4">
        <w:rPr>
          <w:rFonts w:eastAsia="Calibri"/>
          <w:szCs w:val="21"/>
          <w:lang w:bidi="ne-NP"/>
        </w:rPr>
        <w:t xml:space="preserve">. The upregulation of the ribose transport and mannose permease genes was unique to </w:t>
      </w:r>
      <w:proofErr w:type="spellStart"/>
      <w:r w:rsidRPr="00F33FC4">
        <w:rPr>
          <w:rFonts w:eastAsia="Calibri"/>
          <w:i/>
          <w:iCs/>
          <w:szCs w:val="21"/>
          <w:lang w:bidi="ne-NP"/>
        </w:rPr>
        <w:t>shoB</w:t>
      </w:r>
      <w:proofErr w:type="spellEnd"/>
      <w:r w:rsidRPr="00F33FC4">
        <w:rPr>
          <w:rFonts w:eastAsia="Calibri"/>
          <w:i/>
          <w:iCs/>
          <w:szCs w:val="21"/>
          <w:lang w:bidi="ne-NP"/>
        </w:rPr>
        <w:t xml:space="preserve"> </w:t>
      </w:r>
      <w:r w:rsidRPr="00F33FC4">
        <w:rPr>
          <w:rFonts w:eastAsia="Calibri"/>
          <w:szCs w:val="21"/>
          <w:lang w:bidi="ne-NP"/>
        </w:rPr>
        <w:t xml:space="preserve">overexpression. A subtoxic overexpression (that did not affect cellular growth) of the type I toxin </w:t>
      </w:r>
      <w:proofErr w:type="spellStart"/>
      <w:r w:rsidRPr="00F33FC4">
        <w:rPr>
          <w:rFonts w:eastAsia="Calibri"/>
          <w:i/>
          <w:iCs/>
          <w:szCs w:val="21"/>
          <w:lang w:bidi="ne-NP"/>
        </w:rPr>
        <w:t>hokB</w:t>
      </w:r>
      <w:proofErr w:type="spellEnd"/>
      <w:r w:rsidRPr="00F33FC4">
        <w:rPr>
          <w:rFonts w:eastAsia="Calibri"/>
          <w:szCs w:val="21"/>
          <w:lang w:bidi="ne-NP"/>
        </w:rPr>
        <w:t xml:space="preserve"> in </w:t>
      </w:r>
      <w:r w:rsidRPr="00F33FC4">
        <w:rPr>
          <w:rFonts w:eastAsia="Calibri"/>
          <w:i/>
          <w:iCs/>
          <w:szCs w:val="21"/>
          <w:lang w:bidi="ne-NP"/>
        </w:rPr>
        <w:t xml:space="preserve">Erwinia </w:t>
      </w:r>
      <w:proofErr w:type="spellStart"/>
      <w:r w:rsidRPr="00F33FC4">
        <w:rPr>
          <w:rFonts w:eastAsia="Calibri"/>
          <w:i/>
          <w:iCs/>
          <w:szCs w:val="21"/>
          <w:lang w:bidi="ne-NP"/>
        </w:rPr>
        <w:t>amylovora</w:t>
      </w:r>
      <w:proofErr w:type="spellEnd"/>
      <w:r w:rsidRPr="00F33FC4">
        <w:rPr>
          <w:rFonts w:eastAsia="Calibri"/>
          <w:szCs w:val="21"/>
          <w:lang w:bidi="ne-NP"/>
        </w:rPr>
        <w:t xml:space="preserve"> induced genes associated with ATP synthase, phage shock protein A (</w:t>
      </w:r>
      <w:proofErr w:type="spellStart"/>
      <w:r w:rsidRPr="00F33FC4">
        <w:rPr>
          <w:rFonts w:eastAsia="Calibri"/>
          <w:i/>
          <w:iCs/>
          <w:szCs w:val="21"/>
          <w:lang w:bidi="ne-NP"/>
        </w:rPr>
        <w:t>pspA</w:t>
      </w:r>
      <w:proofErr w:type="spellEnd"/>
      <w:r w:rsidRPr="00F33FC4">
        <w:rPr>
          <w:rFonts w:eastAsia="Calibri"/>
          <w:szCs w:val="21"/>
          <w:lang w:bidi="ne-NP"/>
        </w:rPr>
        <w:t xml:space="preserve">) and other stress response associated genes </w:t>
      </w:r>
      <w:r w:rsidRPr="00F33FC4">
        <w:rPr>
          <w:rFonts w:eastAsia="Calibri"/>
          <w:noProof/>
          <w:szCs w:val="21"/>
          <w:lang w:bidi="ne-NP"/>
        </w:rPr>
        <w:t>(15)</w:t>
      </w:r>
      <w:r w:rsidRPr="00F33FC4">
        <w:rPr>
          <w:rFonts w:eastAsia="Calibri"/>
          <w:szCs w:val="21"/>
          <w:lang w:bidi="ne-NP"/>
        </w:rPr>
        <w:t>.</w:t>
      </w:r>
    </w:p>
    <w:p w14:paraId="658DACA0" w14:textId="77777777" w:rsidR="00C3607D" w:rsidRDefault="00F33FC4" w:rsidP="00C3607D">
      <w:pPr>
        <w:spacing w:line="360" w:lineRule="auto"/>
        <w:ind w:firstLine="720"/>
        <w:contextualSpacing/>
        <w:rPr>
          <w:rFonts w:eastAsia="Calibri"/>
          <w:szCs w:val="21"/>
          <w:lang w:bidi="ne-NP"/>
        </w:rPr>
      </w:pPr>
      <w:r w:rsidRPr="00F33FC4">
        <w:rPr>
          <w:rFonts w:eastAsia="Calibri"/>
          <w:szCs w:val="21"/>
          <w:lang w:bidi="ne-NP"/>
        </w:rPr>
        <w:t xml:space="preserve">While overexpression analyses have been critical for understanding the toxicity of type I toxins, studies examining their impacts when produced under their normal, chromosomal regulatory systems is critical for elucidating biological function. Since it is challenging to determine the exact conditions in which the toxin overcomes sRNA neutralization and/or is translated, mutation of the antitoxin promoter or deletion of antitoxin gene is therefore used to study the impacts of the toxin gene. The deletion of </w:t>
      </w:r>
      <w:proofErr w:type="spellStart"/>
      <w:r w:rsidRPr="00F33FC4">
        <w:rPr>
          <w:rFonts w:eastAsia="Calibri"/>
          <w:i/>
          <w:iCs/>
          <w:szCs w:val="21"/>
          <w:lang w:bidi="ne-NP"/>
        </w:rPr>
        <w:t>timR</w:t>
      </w:r>
      <w:proofErr w:type="spellEnd"/>
      <w:r w:rsidRPr="00F33FC4">
        <w:rPr>
          <w:rFonts w:eastAsia="Calibri"/>
          <w:szCs w:val="21"/>
          <w:lang w:bidi="ne-NP"/>
        </w:rPr>
        <w:t xml:space="preserve"> antitoxin gene in </w:t>
      </w:r>
      <w:r w:rsidRPr="00F33FC4">
        <w:rPr>
          <w:rFonts w:eastAsia="Calibri"/>
          <w:i/>
          <w:iCs/>
          <w:szCs w:val="21"/>
          <w:lang w:bidi="ne-NP"/>
        </w:rPr>
        <w:t>Salmonella</w:t>
      </w:r>
      <w:r w:rsidRPr="00F33FC4">
        <w:rPr>
          <w:rFonts w:eastAsia="Calibri"/>
          <w:szCs w:val="21"/>
          <w:lang w:bidi="ne-NP"/>
        </w:rPr>
        <w:t xml:space="preserve"> Typhimurium allowed for detection of the translated toxin protein </w:t>
      </w:r>
      <w:proofErr w:type="spellStart"/>
      <w:r w:rsidRPr="00F33FC4">
        <w:rPr>
          <w:rFonts w:eastAsia="Calibri"/>
          <w:szCs w:val="21"/>
          <w:lang w:bidi="ne-NP"/>
        </w:rPr>
        <w:t>TimP</w:t>
      </w:r>
      <w:proofErr w:type="spellEnd"/>
      <w:r w:rsidRPr="00F33FC4">
        <w:rPr>
          <w:rFonts w:eastAsia="Calibri"/>
          <w:szCs w:val="21"/>
          <w:lang w:bidi="ne-NP"/>
        </w:rPr>
        <w:t xml:space="preserve"> from the chromosome, however, there was no significant differences in the growth pattern of this strain </w:t>
      </w:r>
      <w:r w:rsidRPr="00F33FC4">
        <w:rPr>
          <w:rFonts w:eastAsia="Calibri"/>
          <w:noProof/>
          <w:szCs w:val="21"/>
          <w:lang w:bidi="ne-NP"/>
        </w:rPr>
        <w:t>(12)</w:t>
      </w:r>
      <w:r w:rsidRPr="00F33FC4">
        <w:rPr>
          <w:rFonts w:eastAsia="Calibri"/>
          <w:szCs w:val="21"/>
          <w:lang w:bidi="ne-NP"/>
        </w:rPr>
        <w:t xml:space="preserve">. Upon further examination, although small, a significant increase in activation of the membrane stress gene </w:t>
      </w:r>
      <w:proofErr w:type="spellStart"/>
      <w:r w:rsidRPr="00F33FC4">
        <w:rPr>
          <w:rFonts w:eastAsia="Calibri"/>
          <w:i/>
          <w:iCs/>
          <w:szCs w:val="21"/>
          <w:lang w:bidi="ne-NP"/>
        </w:rPr>
        <w:t>cpxP</w:t>
      </w:r>
      <w:proofErr w:type="spellEnd"/>
      <w:r w:rsidRPr="00F33FC4">
        <w:rPr>
          <w:rFonts w:eastAsia="Calibri"/>
          <w:szCs w:val="21"/>
          <w:lang w:bidi="ne-NP"/>
        </w:rPr>
        <w:t xml:space="preserve"> was observed using a </w:t>
      </w:r>
      <w:proofErr w:type="spellStart"/>
      <w:r w:rsidRPr="00F33FC4">
        <w:rPr>
          <w:rFonts w:eastAsia="Calibri"/>
          <w:szCs w:val="21"/>
          <w:lang w:bidi="ne-NP"/>
        </w:rPr>
        <w:t>P</w:t>
      </w:r>
      <w:r w:rsidRPr="00F33FC4">
        <w:rPr>
          <w:rFonts w:eastAsia="Calibri"/>
          <w:i/>
          <w:iCs/>
          <w:szCs w:val="21"/>
          <w:vertAlign w:val="subscript"/>
          <w:lang w:bidi="ne-NP"/>
        </w:rPr>
        <w:t>cpxP</w:t>
      </w:r>
      <w:r w:rsidRPr="00F33FC4">
        <w:rPr>
          <w:rFonts w:eastAsia="Calibri"/>
          <w:i/>
          <w:iCs/>
          <w:szCs w:val="21"/>
          <w:lang w:bidi="ne-NP"/>
        </w:rPr>
        <w:t>-gfp</w:t>
      </w:r>
      <w:proofErr w:type="spellEnd"/>
      <w:r w:rsidRPr="00F33FC4">
        <w:rPr>
          <w:rFonts w:eastAsia="Calibri"/>
          <w:i/>
          <w:iCs/>
          <w:szCs w:val="21"/>
          <w:lang w:bidi="ne-NP"/>
        </w:rPr>
        <w:t xml:space="preserve"> </w:t>
      </w:r>
      <w:r w:rsidRPr="00F33FC4">
        <w:rPr>
          <w:rFonts w:eastAsia="Calibri"/>
          <w:szCs w:val="21"/>
          <w:lang w:bidi="ne-NP"/>
        </w:rPr>
        <w:t xml:space="preserve">transcriptional fusion </w:t>
      </w:r>
      <w:r w:rsidRPr="00F33FC4">
        <w:rPr>
          <w:rFonts w:eastAsia="Calibri"/>
          <w:noProof/>
          <w:szCs w:val="21"/>
          <w:lang w:bidi="ne-NP"/>
        </w:rPr>
        <w:t>(12)</w:t>
      </w:r>
      <w:r w:rsidRPr="00F33FC4">
        <w:rPr>
          <w:rFonts w:eastAsia="Calibri"/>
          <w:szCs w:val="21"/>
          <w:lang w:bidi="ne-NP"/>
        </w:rPr>
        <w:t xml:space="preserve">. After analyzing the global effects of </w:t>
      </w:r>
      <w:proofErr w:type="spellStart"/>
      <w:r w:rsidRPr="00F33FC4">
        <w:rPr>
          <w:rFonts w:eastAsia="Calibri"/>
          <w:szCs w:val="21"/>
          <w:lang w:bidi="ne-NP"/>
        </w:rPr>
        <w:t>IbsC</w:t>
      </w:r>
      <w:proofErr w:type="spellEnd"/>
      <w:r w:rsidRPr="00F33FC4">
        <w:rPr>
          <w:rFonts w:eastAsia="Calibri"/>
          <w:szCs w:val="21"/>
          <w:lang w:bidi="ne-NP"/>
        </w:rPr>
        <w:t xml:space="preserve"> overexpression, </w:t>
      </w:r>
      <w:proofErr w:type="spellStart"/>
      <w:r w:rsidRPr="00F33FC4">
        <w:rPr>
          <w:rFonts w:eastAsia="Calibri"/>
          <w:szCs w:val="21"/>
          <w:lang w:bidi="ne-NP"/>
        </w:rPr>
        <w:t>Fozo</w:t>
      </w:r>
      <w:proofErr w:type="spellEnd"/>
      <w:r w:rsidRPr="00F33FC4">
        <w:rPr>
          <w:rFonts w:eastAsia="Calibri"/>
          <w:szCs w:val="21"/>
          <w:lang w:bidi="ne-NP"/>
        </w:rPr>
        <w:t xml:space="preserve"> et al. confirmed the induction of </w:t>
      </w:r>
      <w:proofErr w:type="spellStart"/>
      <w:r w:rsidRPr="00F33FC4">
        <w:rPr>
          <w:rFonts w:eastAsia="Calibri"/>
          <w:i/>
          <w:iCs/>
          <w:szCs w:val="21"/>
          <w:lang w:bidi="ne-NP"/>
        </w:rPr>
        <w:t>pspABCDE</w:t>
      </w:r>
      <w:proofErr w:type="spellEnd"/>
      <w:r w:rsidRPr="00F33FC4">
        <w:rPr>
          <w:rFonts w:eastAsia="Calibri"/>
          <w:szCs w:val="21"/>
          <w:lang w:bidi="ne-NP"/>
        </w:rPr>
        <w:t xml:space="preserve"> transcripts an </w:t>
      </w:r>
      <w:r w:rsidRPr="00F33FC4">
        <w:rPr>
          <w:rFonts w:eastAsia="Calibri"/>
          <w:i/>
          <w:iCs/>
          <w:szCs w:val="21"/>
          <w:lang w:bidi="ne-NP"/>
        </w:rPr>
        <w:t>E. coli</w:t>
      </w:r>
      <w:r w:rsidRPr="00F33FC4">
        <w:rPr>
          <w:rFonts w:eastAsia="Calibri"/>
          <w:szCs w:val="21"/>
          <w:lang w:bidi="ne-NP"/>
        </w:rPr>
        <w:t xml:space="preserve"> strain in which the promoter region of antitoxin (</w:t>
      </w:r>
      <w:proofErr w:type="spellStart"/>
      <w:r w:rsidRPr="00F33FC4">
        <w:rPr>
          <w:rFonts w:eastAsia="Calibri"/>
          <w:szCs w:val="21"/>
          <w:lang w:bidi="ne-NP"/>
        </w:rPr>
        <w:t>SibC</w:t>
      </w:r>
      <w:proofErr w:type="spellEnd"/>
      <w:r w:rsidRPr="00F33FC4">
        <w:rPr>
          <w:rFonts w:eastAsia="Calibri"/>
          <w:szCs w:val="21"/>
          <w:lang w:bidi="ne-NP"/>
        </w:rPr>
        <w:t xml:space="preserve">) was deleted, resulting in increased expression of its cognate toxin </w:t>
      </w:r>
      <w:proofErr w:type="spellStart"/>
      <w:r w:rsidRPr="00F33FC4">
        <w:rPr>
          <w:rFonts w:eastAsia="Calibri"/>
          <w:i/>
          <w:iCs/>
          <w:szCs w:val="21"/>
          <w:lang w:bidi="ne-NP"/>
        </w:rPr>
        <w:t>ibsC</w:t>
      </w:r>
      <w:proofErr w:type="spellEnd"/>
      <w:r w:rsidRPr="00F33FC4">
        <w:rPr>
          <w:rFonts w:eastAsia="Calibri"/>
          <w:szCs w:val="21"/>
          <w:lang w:bidi="ne-NP"/>
        </w:rPr>
        <w:t xml:space="preserve"> </w:t>
      </w:r>
      <w:r w:rsidRPr="00F33FC4">
        <w:rPr>
          <w:rFonts w:eastAsia="Calibri"/>
          <w:noProof/>
          <w:szCs w:val="21"/>
          <w:lang w:bidi="ne-NP"/>
        </w:rPr>
        <w:t>(14)</w:t>
      </w:r>
      <w:r w:rsidRPr="00F33FC4">
        <w:rPr>
          <w:rFonts w:eastAsia="Calibri"/>
          <w:szCs w:val="21"/>
          <w:lang w:bidi="ne-NP"/>
        </w:rPr>
        <w:t xml:space="preserve">. Thus, in some cases, bacteria may respond similarly to “mild” overexpression of a toxin gene from the chromosome without observed effects on growth. The homolog of </w:t>
      </w:r>
      <w:proofErr w:type="spellStart"/>
      <w:r w:rsidRPr="00F33FC4">
        <w:rPr>
          <w:rFonts w:eastAsia="Calibri"/>
          <w:i/>
          <w:iCs/>
          <w:szCs w:val="21"/>
          <w:lang w:bidi="ne-NP"/>
        </w:rPr>
        <w:t>txpA</w:t>
      </w:r>
      <w:proofErr w:type="spellEnd"/>
      <w:r w:rsidRPr="00F33FC4">
        <w:rPr>
          <w:rFonts w:eastAsia="Calibri"/>
          <w:i/>
          <w:iCs/>
          <w:szCs w:val="21"/>
          <w:lang w:bidi="ne-NP"/>
        </w:rPr>
        <w:t>/</w:t>
      </w:r>
      <w:proofErr w:type="spellStart"/>
      <w:r w:rsidRPr="00F33FC4">
        <w:rPr>
          <w:rFonts w:eastAsia="Calibri"/>
          <w:i/>
          <w:iCs/>
          <w:szCs w:val="21"/>
          <w:lang w:bidi="ne-NP"/>
        </w:rPr>
        <w:t>ratA</w:t>
      </w:r>
      <w:proofErr w:type="spellEnd"/>
      <w:r w:rsidRPr="00F33FC4">
        <w:rPr>
          <w:rFonts w:eastAsia="Calibri"/>
          <w:szCs w:val="21"/>
          <w:lang w:bidi="ne-NP"/>
        </w:rPr>
        <w:t xml:space="preserve"> type I toxin, </w:t>
      </w:r>
      <w:r w:rsidRPr="00F33FC4">
        <w:rPr>
          <w:rFonts w:eastAsia="Calibri"/>
          <w:i/>
          <w:iCs/>
          <w:szCs w:val="21"/>
          <w:lang w:bidi="ne-NP"/>
        </w:rPr>
        <w:t>sprG1/sprF1</w:t>
      </w:r>
      <w:r w:rsidRPr="00F33FC4">
        <w:rPr>
          <w:rFonts w:eastAsia="Calibri"/>
          <w:szCs w:val="21"/>
          <w:lang w:bidi="ne-NP"/>
        </w:rPr>
        <w:t xml:space="preserve"> has been studied for the differences in proteome after deletion of this TA system (</w:t>
      </w:r>
      <w:r w:rsidRPr="00F33FC4">
        <w:rPr>
          <w:rFonts w:eastAsia="Calibri"/>
        </w:rPr>
        <w:sym w:font="Symbol" w:char="F044"/>
      </w:r>
      <w:r w:rsidRPr="00F33FC4">
        <w:rPr>
          <w:rFonts w:eastAsia="Calibri"/>
          <w:i/>
          <w:iCs/>
          <w:szCs w:val="21"/>
          <w:lang w:bidi="ne-NP"/>
        </w:rPr>
        <w:t>sprG1/sprF1)</w:t>
      </w:r>
      <w:r w:rsidRPr="00F33FC4">
        <w:rPr>
          <w:rFonts w:eastAsia="Calibri"/>
          <w:szCs w:val="21"/>
          <w:lang w:bidi="ne-NP"/>
        </w:rPr>
        <w:t xml:space="preserve"> and after complementation solely with the antitoxin gene. The </w:t>
      </w:r>
      <w:r w:rsidRPr="00F33FC4">
        <w:rPr>
          <w:rFonts w:eastAsia="Calibri"/>
        </w:rPr>
        <w:sym w:font="Symbol" w:char="F044"/>
      </w:r>
      <w:r w:rsidRPr="00F33FC4">
        <w:rPr>
          <w:rFonts w:eastAsia="Calibri"/>
          <w:i/>
          <w:iCs/>
          <w:szCs w:val="21"/>
          <w:lang w:bidi="ne-NP"/>
        </w:rPr>
        <w:t xml:space="preserve">sprG1/sprF1 </w:t>
      </w:r>
      <w:r w:rsidRPr="00F33FC4">
        <w:rPr>
          <w:rFonts w:eastAsia="Calibri"/>
          <w:szCs w:val="21"/>
          <w:lang w:bidi="ne-NP"/>
        </w:rPr>
        <w:t xml:space="preserve">strain had one protein </w:t>
      </w:r>
      <w:proofErr w:type="spellStart"/>
      <w:r w:rsidRPr="00F33FC4">
        <w:rPr>
          <w:rFonts w:eastAsia="Calibri"/>
          <w:szCs w:val="21"/>
          <w:lang w:bidi="ne-NP"/>
        </w:rPr>
        <w:t>dowregulated</w:t>
      </w:r>
      <w:proofErr w:type="spellEnd"/>
      <w:r w:rsidRPr="00F33FC4">
        <w:rPr>
          <w:rFonts w:eastAsia="Calibri"/>
          <w:szCs w:val="21"/>
          <w:lang w:bidi="ne-NP"/>
        </w:rPr>
        <w:t xml:space="preserve"> and one upregulated (</w:t>
      </w:r>
      <w:proofErr w:type="spellStart"/>
      <w:r w:rsidRPr="00F33FC4">
        <w:rPr>
          <w:rFonts w:eastAsia="Calibri"/>
          <w:szCs w:val="21"/>
          <w:lang w:bidi="ne-NP"/>
        </w:rPr>
        <w:t>Cdr</w:t>
      </w:r>
      <w:proofErr w:type="spellEnd"/>
      <w:r w:rsidRPr="00F33FC4">
        <w:rPr>
          <w:rFonts w:eastAsia="Calibri"/>
          <w:szCs w:val="21"/>
          <w:lang w:bidi="ne-NP"/>
        </w:rPr>
        <w:t xml:space="preserve"> downregulated and </w:t>
      </w:r>
      <w:proofErr w:type="spellStart"/>
      <w:r w:rsidRPr="00F33FC4">
        <w:rPr>
          <w:rFonts w:eastAsia="Calibri"/>
          <w:szCs w:val="21"/>
          <w:lang w:bidi="ne-NP"/>
        </w:rPr>
        <w:t>Sbi</w:t>
      </w:r>
      <w:proofErr w:type="spellEnd"/>
      <w:r w:rsidRPr="00F33FC4">
        <w:rPr>
          <w:rFonts w:eastAsia="Calibri"/>
          <w:szCs w:val="21"/>
          <w:lang w:bidi="ne-NP"/>
        </w:rPr>
        <w:t xml:space="preserve"> upregulated) compared to the wild type </w:t>
      </w:r>
      <w:r w:rsidRPr="00F33FC4">
        <w:rPr>
          <w:rFonts w:eastAsia="Calibri"/>
          <w:i/>
          <w:iCs/>
          <w:szCs w:val="21"/>
          <w:lang w:bidi="ne-NP"/>
        </w:rPr>
        <w:t>S. aureus</w:t>
      </w:r>
      <w:r w:rsidRPr="00F33FC4">
        <w:rPr>
          <w:rFonts w:eastAsia="Calibri"/>
          <w:szCs w:val="21"/>
          <w:lang w:bidi="ne-NP"/>
        </w:rPr>
        <w:t xml:space="preserve"> N315 during </w:t>
      </w:r>
      <w:r w:rsidRPr="00F33FC4">
        <w:rPr>
          <w:rFonts w:eastAsia="Calibri"/>
          <w:szCs w:val="21"/>
          <w:lang w:bidi="ne-NP"/>
        </w:rPr>
        <w:lastRenderedPageBreak/>
        <w:t xml:space="preserve">log phase growth </w:t>
      </w:r>
      <w:r w:rsidRPr="00F33FC4">
        <w:rPr>
          <w:rFonts w:eastAsia="Calibri"/>
          <w:noProof/>
          <w:szCs w:val="21"/>
          <w:lang w:bidi="ne-NP"/>
        </w:rPr>
        <w:t>(16)</w:t>
      </w:r>
      <w:r w:rsidRPr="00F33FC4">
        <w:rPr>
          <w:rFonts w:eastAsia="Calibri"/>
          <w:szCs w:val="21"/>
          <w:lang w:bidi="ne-NP"/>
        </w:rPr>
        <w:t xml:space="preserve">. Six differentially expressed proteins were identified during stationary growth phase </w:t>
      </w:r>
      <w:r w:rsidRPr="00F33FC4">
        <w:rPr>
          <w:rFonts w:eastAsia="Calibri"/>
          <w:noProof/>
          <w:szCs w:val="21"/>
          <w:lang w:bidi="ne-NP"/>
        </w:rPr>
        <w:t>(16)</w:t>
      </w:r>
      <w:r w:rsidRPr="00F33FC4">
        <w:rPr>
          <w:rFonts w:eastAsia="Calibri"/>
          <w:szCs w:val="21"/>
          <w:lang w:bidi="ne-NP"/>
        </w:rPr>
        <w:t xml:space="preserve">. In the </w:t>
      </w:r>
      <w:r w:rsidRPr="00F33FC4">
        <w:rPr>
          <w:rFonts w:eastAsia="Calibri"/>
        </w:rPr>
        <w:sym w:font="Symbol" w:char="F044"/>
      </w:r>
      <w:r w:rsidRPr="00F33FC4">
        <w:rPr>
          <w:rFonts w:eastAsia="Calibri"/>
          <w:i/>
          <w:iCs/>
          <w:szCs w:val="21"/>
          <w:lang w:bidi="ne-NP"/>
        </w:rPr>
        <w:t xml:space="preserve">sprG1/sprF1 </w:t>
      </w:r>
      <w:r w:rsidRPr="00F33FC4">
        <w:rPr>
          <w:rFonts w:eastAsia="Calibri"/>
          <w:szCs w:val="21"/>
          <w:lang w:bidi="ne-NP"/>
        </w:rPr>
        <w:t xml:space="preserve">deletion strain, a decrease in proteins in extracellular space was observed as compared to the wild type strain with intact </w:t>
      </w:r>
      <w:r w:rsidRPr="00F33FC4">
        <w:rPr>
          <w:rFonts w:eastAsia="Calibri"/>
          <w:i/>
          <w:iCs/>
          <w:szCs w:val="21"/>
          <w:lang w:bidi="ne-NP"/>
        </w:rPr>
        <w:t>sprG1/sprF1</w:t>
      </w:r>
      <w:r w:rsidRPr="00F33FC4">
        <w:rPr>
          <w:rFonts w:eastAsia="Calibri"/>
          <w:szCs w:val="21"/>
          <w:lang w:bidi="ne-NP"/>
        </w:rPr>
        <w:t xml:space="preserve"> </w:t>
      </w:r>
      <w:r w:rsidRPr="00F33FC4">
        <w:rPr>
          <w:rFonts w:eastAsia="Calibri"/>
          <w:noProof/>
          <w:szCs w:val="21"/>
          <w:lang w:bidi="ne-NP"/>
        </w:rPr>
        <w:t>(16)</w:t>
      </w:r>
      <w:r w:rsidRPr="00F33FC4">
        <w:rPr>
          <w:rFonts w:eastAsia="Calibri"/>
          <w:szCs w:val="21"/>
          <w:lang w:bidi="ne-NP"/>
        </w:rPr>
        <w:t>.</w:t>
      </w:r>
    </w:p>
    <w:p w14:paraId="50237651" w14:textId="5E4F8FFA" w:rsidR="00F33FC4" w:rsidRDefault="00F33FC4" w:rsidP="00C3607D">
      <w:pPr>
        <w:spacing w:line="360" w:lineRule="auto"/>
        <w:ind w:firstLine="720"/>
        <w:contextualSpacing/>
        <w:rPr>
          <w:rFonts w:eastAsia="Calibri"/>
          <w:szCs w:val="21"/>
          <w:lang w:bidi="ne-NP"/>
        </w:rPr>
      </w:pPr>
      <w:r w:rsidRPr="00F33FC4">
        <w:rPr>
          <w:rFonts w:eastAsia="Calibri"/>
          <w:szCs w:val="21"/>
          <w:lang w:bidi="ne-NP"/>
        </w:rPr>
        <w:t xml:space="preserve">The </w:t>
      </w:r>
      <w:proofErr w:type="spellStart"/>
      <w:r w:rsidRPr="00F33FC4">
        <w:rPr>
          <w:rFonts w:eastAsia="Calibri"/>
          <w:i/>
          <w:iCs/>
          <w:szCs w:val="21"/>
          <w:lang w:bidi="ne-NP"/>
        </w:rPr>
        <w:t>zor-orz</w:t>
      </w:r>
      <w:proofErr w:type="spellEnd"/>
      <w:r w:rsidRPr="00F33FC4">
        <w:rPr>
          <w:rFonts w:eastAsia="Calibri"/>
          <w:szCs w:val="21"/>
          <w:lang w:bidi="ne-NP"/>
        </w:rPr>
        <w:t xml:space="preserve"> locus is a type I TA system identified in the chromosome of</w:t>
      </w:r>
      <w:r w:rsidRPr="00F33FC4">
        <w:rPr>
          <w:rFonts w:eastAsia="Calibri"/>
          <w:i/>
          <w:iCs/>
          <w:szCs w:val="21"/>
          <w:lang w:bidi="ne-NP"/>
        </w:rPr>
        <w:t xml:space="preserve"> </w:t>
      </w:r>
      <w:r w:rsidRPr="00F33FC4">
        <w:rPr>
          <w:rFonts w:eastAsia="Calibri"/>
          <w:szCs w:val="21"/>
          <w:lang w:bidi="ne-NP"/>
        </w:rPr>
        <w:t>Enterohemorrhagic</w:t>
      </w:r>
      <w:r w:rsidRPr="00F33FC4">
        <w:rPr>
          <w:rFonts w:eastAsia="Calibri"/>
          <w:i/>
          <w:iCs/>
          <w:szCs w:val="21"/>
          <w:lang w:bidi="ne-NP"/>
        </w:rPr>
        <w:t xml:space="preserve"> </w:t>
      </w:r>
      <w:r w:rsidRPr="00F33FC4">
        <w:rPr>
          <w:rFonts w:eastAsia="Calibri"/>
          <w:i/>
          <w:iCs/>
          <w:lang w:bidi="ne-NP"/>
        </w:rPr>
        <w:t>E. coli</w:t>
      </w:r>
      <w:r w:rsidRPr="00F33FC4">
        <w:rPr>
          <w:rFonts w:eastAsia="Calibri"/>
          <w:lang w:bidi="ne-NP"/>
        </w:rPr>
        <w:t xml:space="preserve"> O157:H7 </w:t>
      </w:r>
      <w:r w:rsidRPr="00F33FC4">
        <w:rPr>
          <w:rFonts w:eastAsia="Calibri"/>
          <w:color w:val="000000"/>
        </w:rPr>
        <w:t xml:space="preserve">EDL933 strain (EDL933 herein) that consists of two homologous gene pairs, </w:t>
      </w:r>
      <w:proofErr w:type="spellStart"/>
      <w:r w:rsidRPr="00F33FC4">
        <w:rPr>
          <w:rFonts w:eastAsia="Calibri"/>
          <w:i/>
          <w:iCs/>
          <w:color w:val="000000"/>
        </w:rPr>
        <w:t>zorO-orzO</w:t>
      </w:r>
      <w:proofErr w:type="spellEnd"/>
      <w:r w:rsidRPr="00F33FC4">
        <w:rPr>
          <w:rFonts w:eastAsia="Calibri"/>
          <w:color w:val="000000"/>
        </w:rPr>
        <w:t xml:space="preserve"> and </w:t>
      </w:r>
      <w:proofErr w:type="spellStart"/>
      <w:r w:rsidRPr="00F33FC4">
        <w:rPr>
          <w:rFonts w:eastAsia="Calibri"/>
          <w:i/>
          <w:iCs/>
          <w:color w:val="000000"/>
        </w:rPr>
        <w:t>zorP-orzP</w:t>
      </w:r>
      <w:proofErr w:type="spellEnd"/>
      <w:r w:rsidRPr="00F33FC4">
        <w:rPr>
          <w:rFonts w:eastAsia="Calibri"/>
          <w:color w:val="000000"/>
        </w:rPr>
        <w:t xml:space="preserve"> </w:t>
      </w:r>
      <w:r w:rsidRPr="00F33FC4">
        <w:rPr>
          <w:rFonts w:eastAsia="Calibri"/>
          <w:noProof/>
          <w:color w:val="000000"/>
        </w:rPr>
        <w:t>(17)</w:t>
      </w:r>
      <w:r w:rsidRPr="00F33FC4">
        <w:rPr>
          <w:rFonts w:eastAsia="Calibri"/>
          <w:color w:val="000000"/>
        </w:rPr>
        <w:t xml:space="preserve">. While deletion of these genes in EDL933 does not produce a significant phenotype (in tested laboratory conditions), a plasmid containing the entire </w:t>
      </w:r>
      <w:proofErr w:type="spellStart"/>
      <w:r w:rsidRPr="00F33FC4">
        <w:rPr>
          <w:rFonts w:eastAsia="Calibri"/>
          <w:i/>
          <w:iCs/>
          <w:color w:val="000000"/>
        </w:rPr>
        <w:t>zor-orz</w:t>
      </w:r>
      <w:proofErr w:type="spellEnd"/>
      <w:r w:rsidRPr="00F33FC4">
        <w:rPr>
          <w:rFonts w:eastAsia="Calibri"/>
          <w:color w:val="000000"/>
        </w:rPr>
        <w:t xml:space="preserve"> locus was able to significantly improve the growth of </w:t>
      </w:r>
      <w:r w:rsidRPr="00F33FC4">
        <w:rPr>
          <w:rFonts w:eastAsia="Calibri"/>
          <w:i/>
          <w:iCs/>
          <w:color w:val="000000"/>
        </w:rPr>
        <w:t>E coli</w:t>
      </w:r>
      <w:r w:rsidRPr="00F33FC4">
        <w:rPr>
          <w:rFonts w:eastAsia="Calibri"/>
          <w:color w:val="000000"/>
        </w:rPr>
        <w:t xml:space="preserve"> in the presence of several aminoglycoside antibiotics </w:t>
      </w:r>
      <w:r w:rsidRPr="00F33FC4">
        <w:rPr>
          <w:rFonts w:eastAsia="Calibri"/>
          <w:noProof/>
          <w:color w:val="000000"/>
        </w:rPr>
        <w:t>(18)</w:t>
      </w:r>
      <w:r w:rsidRPr="00F33FC4">
        <w:rPr>
          <w:rFonts w:eastAsia="Calibri"/>
          <w:color w:val="000000"/>
        </w:rPr>
        <w:t xml:space="preserve">. </w:t>
      </w:r>
      <w:r w:rsidRPr="00F33FC4">
        <w:rPr>
          <w:rFonts w:eastAsia="Calibri"/>
          <w:szCs w:val="21"/>
          <w:lang w:bidi="ne-NP"/>
        </w:rPr>
        <w:t xml:space="preserve">This was the first known report of a type I TA system increasing minimum inhibitory concentration against specific antibiotics. To further determine what cellular processes are affected during this resistance to kanamycin by the multiple copies of the </w:t>
      </w:r>
      <w:proofErr w:type="spellStart"/>
      <w:r w:rsidRPr="00F33FC4">
        <w:rPr>
          <w:rFonts w:eastAsia="Calibri"/>
          <w:i/>
          <w:iCs/>
          <w:szCs w:val="21"/>
          <w:lang w:bidi="ne-NP"/>
        </w:rPr>
        <w:t>zor-orz</w:t>
      </w:r>
      <w:proofErr w:type="spellEnd"/>
      <w:r w:rsidRPr="00F33FC4">
        <w:rPr>
          <w:rFonts w:eastAsia="Calibri"/>
          <w:szCs w:val="21"/>
          <w:lang w:bidi="ne-NP"/>
        </w:rPr>
        <w:t xml:space="preserve"> locus, we compared the transcriptomes of </w:t>
      </w:r>
      <w:r w:rsidRPr="00F33FC4">
        <w:rPr>
          <w:rFonts w:eastAsia="Calibri"/>
          <w:lang w:bidi="ne-NP"/>
        </w:rPr>
        <w:t xml:space="preserve">the </w:t>
      </w:r>
      <w:r w:rsidRPr="00F33FC4">
        <w:rPr>
          <w:rFonts w:eastAsia="Calibri"/>
          <w:color w:val="000000"/>
        </w:rPr>
        <w:t>EDL933-</w:t>
      </w:r>
      <w:r w:rsidRPr="00F33FC4">
        <w:rPr>
          <w:rFonts w:eastAsia="Calibri"/>
          <w:i/>
          <w:iCs/>
          <w:color w:val="000000"/>
        </w:rPr>
        <w:sym w:font="Symbol" w:char="F044"/>
      </w:r>
      <w:proofErr w:type="spellStart"/>
      <w:r w:rsidRPr="00F33FC4">
        <w:rPr>
          <w:rFonts w:eastAsia="Calibri"/>
          <w:i/>
          <w:iCs/>
          <w:color w:val="000000"/>
        </w:rPr>
        <w:t>zor-orz</w:t>
      </w:r>
      <w:proofErr w:type="spellEnd"/>
      <w:r w:rsidRPr="00F33FC4">
        <w:rPr>
          <w:rFonts w:eastAsia="Calibri"/>
          <w:color w:val="000000"/>
        </w:rPr>
        <w:t xml:space="preserve"> cells harboring either pBR322 (vector control) or </w:t>
      </w:r>
      <w:proofErr w:type="spellStart"/>
      <w:r w:rsidRPr="00F33FC4">
        <w:rPr>
          <w:rFonts w:eastAsia="Calibri"/>
          <w:color w:val="000000"/>
        </w:rPr>
        <w:t>pBR-</w:t>
      </w:r>
      <w:r w:rsidRPr="00F33FC4">
        <w:rPr>
          <w:rFonts w:eastAsia="Calibri"/>
          <w:i/>
          <w:iCs/>
          <w:color w:val="000000"/>
        </w:rPr>
        <w:t>zor-orz</w:t>
      </w:r>
      <w:proofErr w:type="spellEnd"/>
      <w:r w:rsidRPr="00F33FC4">
        <w:rPr>
          <w:rFonts w:eastAsia="Calibri"/>
          <w:color w:val="000000"/>
        </w:rPr>
        <w:t xml:space="preserve"> following</w:t>
      </w:r>
      <w:r w:rsidRPr="00F33FC4">
        <w:rPr>
          <w:rFonts w:eastAsia="Calibri"/>
          <w:i/>
          <w:iCs/>
          <w:color w:val="000000"/>
        </w:rPr>
        <w:t xml:space="preserve"> </w:t>
      </w:r>
      <w:r w:rsidRPr="00F33FC4">
        <w:rPr>
          <w:rFonts w:eastAsia="Calibri"/>
          <w:color w:val="000000"/>
        </w:rPr>
        <w:t>kanamycin treatment during exponential growth phase</w:t>
      </w:r>
      <w:r w:rsidRPr="00F33FC4">
        <w:rPr>
          <w:rFonts w:eastAsia="Calibri"/>
          <w:lang w:bidi="ne-NP"/>
        </w:rPr>
        <w:t>.</w:t>
      </w:r>
      <w:r w:rsidRPr="00F33FC4">
        <w:rPr>
          <w:rFonts w:eastAsia="Calibri"/>
          <w:szCs w:val="21"/>
          <w:lang w:bidi="ne-NP"/>
        </w:rPr>
        <w:t xml:space="preserve"> We observed that in cells with </w:t>
      </w:r>
      <w:proofErr w:type="spellStart"/>
      <w:r w:rsidRPr="00F33FC4">
        <w:rPr>
          <w:rFonts w:eastAsia="Calibri"/>
          <w:szCs w:val="21"/>
          <w:lang w:bidi="ne-NP"/>
        </w:rPr>
        <w:t>pBR-</w:t>
      </w:r>
      <w:r w:rsidRPr="00F33FC4">
        <w:rPr>
          <w:rFonts w:eastAsia="Calibri"/>
          <w:i/>
          <w:iCs/>
          <w:szCs w:val="21"/>
          <w:lang w:bidi="ne-NP"/>
        </w:rPr>
        <w:t>zor-orz</w:t>
      </w:r>
      <w:proofErr w:type="spellEnd"/>
      <w:r w:rsidRPr="00F33FC4">
        <w:rPr>
          <w:rFonts w:eastAsia="Calibri"/>
          <w:szCs w:val="21"/>
          <w:lang w:bidi="ne-NP"/>
        </w:rPr>
        <w:t>, multiple genes associated with flagellar motility were down-regulated whereas the biofilm formation regulator (</w:t>
      </w:r>
      <w:proofErr w:type="spellStart"/>
      <w:r w:rsidRPr="00F33FC4">
        <w:rPr>
          <w:rFonts w:eastAsia="Calibri"/>
          <w:i/>
          <w:iCs/>
          <w:szCs w:val="21"/>
          <w:lang w:bidi="ne-NP"/>
        </w:rPr>
        <w:t>bssR</w:t>
      </w:r>
      <w:proofErr w:type="spellEnd"/>
      <w:r w:rsidRPr="00F33FC4">
        <w:rPr>
          <w:rFonts w:eastAsia="Calibri"/>
          <w:szCs w:val="21"/>
          <w:lang w:bidi="ne-NP"/>
        </w:rPr>
        <w:t xml:space="preserve">) was up-regulated. Significant up-regulation of the genes associated with fumarate respiration and nitrogen metabolism was observed. Overall, bacteria harboring </w:t>
      </w:r>
      <w:proofErr w:type="spellStart"/>
      <w:r w:rsidRPr="00F33FC4">
        <w:rPr>
          <w:rFonts w:eastAsia="Calibri"/>
          <w:szCs w:val="21"/>
          <w:lang w:bidi="ne-NP"/>
        </w:rPr>
        <w:t>pBR-</w:t>
      </w:r>
      <w:r w:rsidRPr="00F33FC4">
        <w:rPr>
          <w:rFonts w:eastAsia="Calibri"/>
          <w:i/>
          <w:iCs/>
          <w:szCs w:val="21"/>
          <w:lang w:bidi="ne-NP"/>
        </w:rPr>
        <w:t>zor-orz</w:t>
      </w:r>
      <w:proofErr w:type="spellEnd"/>
      <w:r w:rsidRPr="00F33FC4">
        <w:rPr>
          <w:rFonts w:eastAsia="Calibri"/>
          <w:szCs w:val="21"/>
          <w:lang w:bidi="ne-NP"/>
        </w:rPr>
        <w:t xml:space="preserve"> are limiting their energy consuming processes such as motility and utilizing alternative paths of respiration.</w:t>
      </w:r>
    </w:p>
    <w:p w14:paraId="2D534AA1" w14:textId="77777777" w:rsidR="00C3607D" w:rsidRDefault="00C3607D" w:rsidP="00C3607D">
      <w:pPr>
        <w:spacing w:line="360" w:lineRule="auto"/>
        <w:ind w:firstLine="720"/>
        <w:contextualSpacing/>
        <w:rPr>
          <w:rFonts w:eastAsia="Calibri"/>
          <w:szCs w:val="21"/>
          <w:lang w:bidi="ne-NP"/>
        </w:rPr>
      </w:pPr>
    </w:p>
    <w:p w14:paraId="29898193" w14:textId="77777777" w:rsidR="00C3607D" w:rsidRPr="00F33FC4" w:rsidRDefault="00C3607D" w:rsidP="00C3607D">
      <w:pPr>
        <w:numPr>
          <w:ilvl w:val="0"/>
          <w:numId w:val="26"/>
        </w:numPr>
        <w:spacing w:line="360" w:lineRule="auto"/>
        <w:ind w:left="284" w:hanging="284"/>
        <w:contextualSpacing/>
        <w:rPr>
          <w:rFonts w:eastAsia="Calibri"/>
          <w:b/>
          <w:bCs/>
        </w:rPr>
      </w:pPr>
      <w:r w:rsidRPr="00F33FC4">
        <w:rPr>
          <w:rFonts w:eastAsia="Calibri"/>
          <w:b/>
          <w:bCs/>
        </w:rPr>
        <w:t>Materials and Methods</w:t>
      </w:r>
    </w:p>
    <w:p w14:paraId="1B3CA19F" w14:textId="77777777" w:rsidR="00C3607D" w:rsidRPr="00F33FC4" w:rsidRDefault="00C3607D" w:rsidP="00C3607D">
      <w:pPr>
        <w:spacing w:line="360" w:lineRule="auto"/>
        <w:rPr>
          <w:rFonts w:eastAsia="Calibri"/>
          <w:b/>
          <w:bCs/>
        </w:rPr>
      </w:pPr>
      <w:r w:rsidRPr="00F33FC4">
        <w:rPr>
          <w:rFonts w:eastAsia="Calibri"/>
          <w:b/>
          <w:bCs/>
        </w:rPr>
        <w:t>Strains, plasmids, and culture conditions</w:t>
      </w:r>
    </w:p>
    <w:p w14:paraId="5F7E1C71" w14:textId="22384CA7" w:rsidR="00F33FC4" w:rsidRPr="00F33FC4" w:rsidRDefault="00C3607D" w:rsidP="00C3607D">
      <w:pPr>
        <w:spacing w:line="360" w:lineRule="auto"/>
        <w:ind w:firstLine="720"/>
        <w:contextualSpacing/>
        <w:rPr>
          <w:rFonts w:eastAsia="Calibri"/>
          <w:szCs w:val="21"/>
          <w:lang w:bidi="ne-NP"/>
        </w:rPr>
      </w:pPr>
      <w:r w:rsidRPr="00F33FC4">
        <w:rPr>
          <w:rFonts w:eastAsia="Calibri"/>
        </w:rPr>
        <w:t xml:space="preserve">The strains and plasmids used in this study were constructed previously </w:t>
      </w:r>
      <w:r w:rsidRPr="00F33FC4">
        <w:rPr>
          <w:rFonts w:eastAsia="Calibri"/>
          <w:noProof/>
        </w:rPr>
        <w:t>(18)</w:t>
      </w:r>
      <w:r w:rsidRPr="00F33FC4">
        <w:rPr>
          <w:rFonts w:eastAsia="Calibri"/>
        </w:rPr>
        <w:t xml:space="preserve">. </w:t>
      </w:r>
      <w:r w:rsidRPr="00F33FC4">
        <w:rPr>
          <w:rFonts w:eastAsia="Calibri"/>
          <w:i/>
          <w:iCs/>
        </w:rPr>
        <w:t>E. coli</w:t>
      </w:r>
      <w:r w:rsidRPr="00F33FC4">
        <w:rPr>
          <w:rFonts w:eastAsia="Calibri"/>
        </w:rPr>
        <w:t xml:space="preserve"> O157:H7 EDL933 deleted for the </w:t>
      </w:r>
      <w:proofErr w:type="spellStart"/>
      <w:r w:rsidRPr="00F33FC4">
        <w:rPr>
          <w:rFonts w:eastAsia="Calibri"/>
          <w:i/>
        </w:rPr>
        <w:t>zor-orz</w:t>
      </w:r>
      <w:proofErr w:type="spellEnd"/>
      <w:r w:rsidRPr="00F33FC4">
        <w:rPr>
          <w:rFonts w:eastAsia="Calibri"/>
        </w:rPr>
        <w:t xml:space="preserve"> locus (EDL933</w:t>
      </w:r>
      <w:r w:rsidRPr="00F33FC4">
        <w:rPr>
          <w:rFonts w:eastAsia="Calibri"/>
          <w:i/>
          <w:iCs/>
        </w:rPr>
        <w:t>-</w:t>
      </w:r>
      <w:r w:rsidRPr="00F33FC4">
        <w:rPr>
          <w:rFonts w:eastAsia="Calibri"/>
          <w:i/>
          <w:iCs/>
        </w:rPr>
        <w:sym w:font="Symbol" w:char="F044"/>
      </w:r>
      <w:proofErr w:type="spellStart"/>
      <w:r w:rsidRPr="00F33FC4">
        <w:rPr>
          <w:rFonts w:eastAsia="Calibri"/>
          <w:i/>
          <w:iCs/>
        </w:rPr>
        <w:t>zor-orz</w:t>
      </w:r>
      <w:proofErr w:type="spellEnd"/>
      <w:r w:rsidRPr="00F33FC4">
        <w:rPr>
          <w:rFonts w:eastAsia="Calibri"/>
        </w:rPr>
        <w:t xml:space="preserve">) was transformed with either pBR322 or </w:t>
      </w:r>
      <w:proofErr w:type="spellStart"/>
      <w:r w:rsidRPr="00F33FC4">
        <w:rPr>
          <w:rFonts w:eastAsia="Calibri"/>
        </w:rPr>
        <w:t>pBR-</w:t>
      </w:r>
      <w:r w:rsidRPr="00F33FC4">
        <w:rPr>
          <w:rFonts w:eastAsia="Calibri"/>
          <w:i/>
          <w:iCs/>
        </w:rPr>
        <w:t>zor-orz</w:t>
      </w:r>
      <w:proofErr w:type="spellEnd"/>
      <w:r w:rsidRPr="00F33FC4">
        <w:rPr>
          <w:rFonts w:eastAsia="Calibri"/>
        </w:rPr>
        <w:t xml:space="preserve">. Ampicillin (100 </w:t>
      </w:r>
      <w:r w:rsidRPr="00F33FC4">
        <w:rPr>
          <w:rFonts w:eastAsia="Calibri"/>
        </w:rPr>
        <w:sym w:font="Symbol" w:char="F06D"/>
      </w:r>
      <w:r w:rsidRPr="00F33FC4">
        <w:rPr>
          <w:rFonts w:eastAsia="Calibri"/>
        </w:rPr>
        <w:t>g/ml ) was used in all conditions for plasmid maintenance. Overnight cultures were diluted to an OD</w:t>
      </w:r>
      <w:r w:rsidRPr="00F33FC4">
        <w:rPr>
          <w:rFonts w:eastAsia="Calibri"/>
          <w:vertAlign w:val="subscript"/>
        </w:rPr>
        <w:t>600</w:t>
      </w:r>
      <w:r w:rsidRPr="00F33FC4">
        <w:rPr>
          <w:rFonts w:eastAsia="Calibri"/>
        </w:rPr>
        <w:t xml:space="preserve"> of 0.01 in LB and grown at 37</w:t>
      </w:r>
      <w:r w:rsidRPr="00F33FC4">
        <w:rPr>
          <w:rFonts w:eastAsia="Calibri"/>
          <w:vertAlign w:val="superscript"/>
        </w:rPr>
        <w:t>0</w:t>
      </w:r>
      <w:r w:rsidRPr="00F33FC4">
        <w:rPr>
          <w:rFonts w:eastAsia="Calibri"/>
        </w:rPr>
        <w:t>C with shaking (250 rpm).</w:t>
      </w:r>
      <w:r w:rsidRPr="00C3607D">
        <w:rPr>
          <w:rFonts w:eastAsia="Calibri"/>
        </w:rPr>
        <w:t xml:space="preserve"> </w:t>
      </w:r>
      <w:r w:rsidRPr="00F33FC4">
        <w:rPr>
          <w:rFonts w:eastAsia="Calibri"/>
        </w:rPr>
        <w:t>At mid-log growth phase (OD</w:t>
      </w:r>
      <w:r w:rsidRPr="00F33FC4">
        <w:rPr>
          <w:rFonts w:eastAsia="Calibri"/>
          <w:vertAlign w:val="subscript"/>
        </w:rPr>
        <w:t>600</w:t>
      </w:r>
      <w:r w:rsidRPr="00F33FC4">
        <w:rPr>
          <w:rFonts w:eastAsia="Calibri"/>
        </w:rPr>
        <w:t xml:space="preserve"> ~0.3), the cells were exposed to a final concentration of 10 </w:t>
      </w:r>
      <w:r w:rsidRPr="00F33FC4">
        <w:rPr>
          <w:rFonts w:eastAsia="Calibri"/>
        </w:rPr>
        <w:sym w:font="Symbol" w:char="F06D"/>
      </w:r>
      <w:r w:rsidRPr="00F33FC4">
        <w:rPr>
          <w:rFonts w:eastAsia="Calibri"/>
        </w:rPr>
        <w:t>g/ml kanamycin.</w:t>
      </w:r>
      <w:r w:rsidRPr="00C3607D">
        <w:rPr>
          <w:rFonts w:eastAsia="Calibri"/>
        </w:rPr>
        <w:t xml:space="preserve"> </w:t>
      </w:r>
      <w:r w:rsidRPr="00F33FC4">
        <w:rPr>
          <w:rFonts w:eastAsia="Calibri"/>
        </w:rPr>
        <w:t>After 15 minutes of</w:t>
      </w:r>
      <w:r>
        <w:rPr>
          <w:rFonts w:eastAsia="Calibri"/>
          <w:szCs w:val="21"/>
          <w:lang w:bidi="ne-NP"/>
        </w:rPr>
        <w:t xml:space="preserve"> </w:t>
      </w:r>
      <w:r>
        <w:rPr>
          <w:rFonts w:eastAsia="Calibri"/>
        </w:rPr>
        <w:lastRenderedPageBreak/>
        <w:t>kanamycin</w:t>
      </w:r>
      <w:r w:rsidR="00F33FC4" w:rsidRPr="00F33FC4">
        <w:rPr>
          <w:rFonts w:eastAsia="Calibri"/>
        </w:rPr>
        <w:t xml:space="preserve"> treatment, 15 ml aliquots were transferred to 50 ml conical tubes with ice blocks and centrifuged at 3500xg for 10 minutes at 4</w:t>
      </w:r>
      <w:r w:rsidR="00F33FC4" w:rsidRPr="00F33FC4">
        <w:rPr>
          <w:rFonts w:eastAsia="Calibri"/>
          <w:vertAlign w:val="superscript"/>
        </w:rPr>
        <w:t>0</w:t>
      </w:r>
      <w:r w:rsidR="00F33FC4" w:rsidRPr="00F33FC4">
        <w:rPr>
          <w:rFonts w:eastAsia="Calibri"/>
        </w:rPr>
        <w:t>C.</w:t>
      </w:r>
      <w:r w:rsidR="000725B7">
        <w:rPr>
          <w:rFonts w:eastAsia="Calibri"/>
        </w:rPr>
        <w:t xml:space="preserve"> </w:t>
      </w:r>
      <w:r w:rsidR="00F33FC4" w:rsidRPr="00F33FC4">
        <w:rPr>
          <w:rFonts w:eastAsia="Calibri"/>
        </w:rPr>
        <w:t>Cell pellets were stored at -80</w:t>
      </w:r>
      <w:r w:rsidR="00F33FC4" w:rsidRPr="00F33FC4">
        <w:rPr>
          <w:rFonts w:eastAsia="Calibri"/>
          <w:vertAlign w:val="superscript"/>
        </w:rPr>
        <w:t>0</w:t>
      </w:r>
      <w:r w:rsidR="00F33FC4" w:rsidRPr="00F33FC4">
        <w:rPr>
          <w:rFonts w:eastAsia="Calibri"/>
        </w:rPr>
        <w:t>C.</w:t>
      </w:r>
    </w:p>
    <w:p w14:paraId="04161078" w14:textId="77777777" w:rsidR="00F33FC4" w:rsidRPr="00F33FC4" w:rsidRDefault="00F33FC4" w:rsidP="00F33FC4">
      <w:pPr>
        <w:spacing w:line="360" w:lineRule="auto"/>
        <w:rPr>
          <w:rFonts w:eastAsia="Calibri"/>
        </w:rPr>
      </w:pPr>
    </w:p>
    <w:p w14:paraId="5D8270E8" w14:textId="77777777" w:rsidR="00F33FC4" w:rsidRPr="00F33FC4" w:rsidRDefault="00F33FC4" w:rsidP="00C3607D">
      <w:pPr>
        <w:spacing w:line="360" w:lineRule="auto"/>
        <w:rPr>
          <w:rFonts w:eastAsia="Calibri"/>
          <w:b/>
          <w:bCs/>
        </w:rPr>
      </w:pPr>
      <w:r w:rsidRPr="00F33FC4">
        <w:rPr>
          <w:rFonts w:eastAsia="Calibri"/>
          <w:b/>
          <w:bCs/>
        </w:rPr>
        <w:t>RNA Isolation and sequencing</w:t>
      </w:r>
    </w:p>
    <w:p w14:paraId="70325FA7" w14:textId="50CE8EF2" w:rsidR="00F33FC4" w:rsidRPr="00F33FC4" w:rsidRDefault="00F33FC4" w:rsidP="00C3607D">
      <w:pPr>
        <w:spacing w:line="360" w:lineRule="auto"/>
        <w:ind w:firstLine="720"/>
        <w:rPr>
          <w:rFonts w:eastAsia="Calibri"/>
          <w:lang w:val="en-NP"/>
        </w:rPr>
      </w:pPr>
      <w:r w:rsidRPr="00F33FC4">
        <w:rPr>
          <w:rFonts w:eastAsia="Calibri"/>
        </w:rPr>
        <w:t xml:space="preserve">RNA isolation was performed as previously described </w:t>
      </w:r>
      <w:r w:rsidRPr="00F33FC4">
        <w:rPr>
          <w:rFonts w:eastAsia="Calibri"/>
          <w:noProof/>
        </w:rPr>
        <w:t>(17)</w:t>
      </w:r>
      <w:r w:rsidRPr="00F33FC4">
        <w:rPr>
          <w:rFonts w:eastAsia="Calibri"/>
        </w:rPr>
        <w:t xml:space="preserve">. Briefly, cell pellets were resuspended in 500 </w:t>
      </w:r>
      <w:r w:rsidRPr="00F33FC4">
        <w:rPr>
          <w:rFonts w:eastAsia="Calibri"/>
        </w:rPr>
        <w:sym w:font="Symbol" w:char="F06D"/>
      </w:r>
      <w:r w:rsidRPr="00F33FC4">
        <w:rPr>
          <w:rFonts w:eastAsia="Calibri"/>
        </w:rPr>
        <w:t xml:space="preserve">l of solution A (10 mM EDTA, 20 mM sodium acetate, 0.5% SDS, pH 5.5) and then transferred to a 1.5 ml microfuge tube containing 500 </w:t>
      </w:r>
      <w:r w:rsidRPr="00F33FC4">
        <w:rPr>
          <w:rFonts w:eastAsia="Calibri"/>
        </w:rPr>
        <w:sym w:font="Symbol" w:char="F06D"/>
      </w:r>
      <w:r w:rsidRPr="00F33FC4">
        <w:rPr>
          <w:rFonts w:eastAsia="Calibri"/>
        </w:rPr>
        <w:t xml:space="preserve">l of acid </w:t>
      </w:r>
      <w:proofErr w:type="spellStart"/>
      <w:r w:rsidRPr="00F33FC4">
        <w:rPr>
          <w:rFonts w:eastAsia="Calibri"/>
        </w:rPr>
        <w:t>phenol:chloroform</w:t>
      </w:r>
      <w:proofErr w:type="spellEnd"/>
      <w:r w:rsidRPr="00F33FC4">
        <w:rPr>
          <w:rFonts w:eastAsia="Calibri"/>
        </w:rPr>
        <w:t xml:space="preserve"> pre-warmed to 65</w:t>
      </w:r>
      <w:r w:rsidRPr="00F33FC4">
        <w:rPr>
          <w:rFonts w:eastAsia="Calibri"/>
          <w:vertAlign w:val="superscript"/>
        </w:rPr>
        <w:t>0</w:t>
      </w:r>
      <w:r w:rsidRPr="00F33FC4">
        <w:rPr>
          <w:rFonts w:eastAsia="Calibri"/>
        </w:rPr>
        <w:t>C. The mixture was gently vortexed and incubated at 65</w:t>
      </w:r>
      <w:r w:rsidRPr="00F33FC4">
        <w:rPr>
          <w:rFonts w:eastAsia="Calibri"/>
          <w:vertAlign w:val="superscript"/>
        </w:rPr>
        <w:t>0</w:t>
      </w:r>
      <w:r w:rsidRPr="00F33FC4">
        <w:rPr>
          <w:rFonts w:eastAsia="Calibri"/>
        </w:rPr>
        <w:t xml:space="preserve">C for 10 minutes, centrifuged at 13000xg for 10 minutes. The supernatant was transferred to a tube containing 500 </w:t>
      </w:r>
      <w:r w:rsidRPr="00F33FC4">
        <w:rPr>
          <w:rFonts w:eastAsia="Calibri"/>
        </w:rPr>
        <w:sym w:font="Symbol" w:char="F06D"/>
      </w:r>
      <w:r w:rsidRPr="00F33FC4">
        <w:rPr>
          <w:rFonts w:eastAsia="Calibri"/>
        </w:rPr>
        <w:t xml:space="preserve">l acid </w:t>
      </w:r>
      <w:proofErr w:type="spellStart"/>
      <w:r w:rsidRPr="00F33FC4">
        <w:rPr>
          <w:rFonts w:eastAsia="Calibri"/>
        </w:rPr>
        <w:t>phenol:chloroform</w:t>
      </w:r>
      <w:proofErr w:type="spellEnd"/>
      <w:r w:rsidRPr="00F33FC4">
        <w:rPr>
          <w:rFonts w:eastAsia="Calibri"/>
        </w:rPr>
        <w:t>, pre-heated to 65</w:t>
      </w:r>
      <w:r w:rsidRPr="00F33FC4">
        <w:rPr>
          <w:rFonts w:eastAsia="Calibri"/>
          <w:vertAlign w:val="superscript"/>
        </w:rPr>
        <w:t>0</w:t>
      </w:r>
      <w:r w:rsidRPr="00F33FC4">
        <w:rPr>
          <w:rFonts w:eastAsia="Calibri"/>
        </w:rPr>
        <w:t xml:space="preserve">C followed by centrifugation. The supernatant was then transferred to a clean microfuge tube and extracted twice with an equal volume </w:t>
      </w:r>
      <w:proofErr w:type="spellStart"/>
      <w:r w:rsidRPr="00F33FC4">
        <w:rPr>
          <w:rFonts w:eastAsia="Calibri"/>
        </w:rPr>
        <w:t>phenol:chloroform</w:t>
      </w:r>
      <w:proofErr w:type="spellEnd"/>
      <w:r w:rsidRPr="00F33FC4">
        <w:rPr>
          <w:rFonts w:eastAsia="Calibri"/>
        </w:rPr>
        <w:t>.</w:t>
      </w:r>
      <w:r w:rsidR="000725B7">
        <w:rPr>
          <w:rFonts w:eastAsia="Calibri"/>
        </w:rPr>
        <w:t xml:space="preserve"> </w:t>
      </w:r>
      <w:r w:rsidRPr="00F33FC4">
        <w:rPr>
          <w:rFonts w:eastAsia="Calibri"/>
        </w:rPr>
        <w:t>This was followed by a chloroform extraction and RNA was precipitated via ethanol precipitation.</w:t>
      </w:r>
      <w:r w:rsidR="000725B7">
        <w:rPr>
          <w:rFonts w:eastAsia="Calibri"/>
        </w:rPr>
        <w:t xml:space="preserve"> </w:t>
      </w:r>
      <w:r w:rsidRPr="00F33FC4">
        <w:rPr>
          <w:rFonts w:eastAsia="Calibri"/>
        </w:rPr>
        <w:t xml:space="preserve">Pellets were allowed to air dry and resuspended in </w:t>
      </w:r>
      <w:proofErr w:type="spellStart"/>
      <w:r w:rsidRPr="00F33FC4">
        <w:rPr>
          <w:rFonts w:eastAsia="Calibri"/>
        </w:rPr>
        <w:t>RNAse</w:t>
      </w:r>
      <w:proofErr w:type="spellEnd"/>
      <w:r w:rsidRPr="00F33FC4">
        <w:rPr>
          <w:rFonts w:eastAsia="Calibri"/>
        </w:rPr>
        <w:t>-free water. The integrity of the extracted RNA was examined via agarose gel electrophoresis and by determining Absorbance 260/280 ratio. Samples were treated with Turbo DNase (</w:t>
      </w:r>
      <w:proofErr w:type="spellStart"/>
      <w:r w:rsidRPr="00F33FC4">
        <w:rPr>
          <w:rFonts w:eastAsia="Calibri"/>
        </w:rPr>
        <w:t>Ambion</w:t>
      </w:r>
      <w:proofErr w:type="spellEnd"/>
      <w:r w:rsidRPr="00F33FC4">
        <w:rPr>
          <w:rFonts w:eastAsia="Calibri"/>
        </w:rPr>
        <w:t>) following manufacturer’s instructions.</w:t>
      </w:r>
      <w:r w:rsidR="000725B7">
        <w:rPr>
          <w:rFonts w:eastAsia="Calibri"/>
        </w:rPr>
        <w:t xml:space="preserve"> </w:t>
      </w:r>
      <w:r w:rsidRPr="00F33FC4">
        <w:rPr>
          <w:rFonts w:eastAsia="Calibri"/>
          <w:lang w:val="en-NP"/>
        </w:rPr>
        <w:t>The final concentration and RNA quality was analyzed in a 2100 Bioanalyzer (Agilent). RNA samples were sent to the UT Genomics Core where ribosomal RNA was depleted using Ribominus transcriptome Isolation Kit for yeast and Bacteria (Invitrogen). The depleted product was then processed with the TruSeq stranded mRNA sample kit (Illumina) at the fragment, prime, and finish step. The final product was again checked for quality and quantity on the Bioanalzyer, and then loaded at 4 pM with 2% PhiX spike on a v3, 150 flow cell, reading 75 bases paired-end on an Illumina MiSeq at the UT Genomics Core. </w:t>
      </w:r>
    </w:p>
    <w:p w14:paraId="578C6EAC" w14:textId="77777777" w:rsidR="00F33FC4" w:rsidRPr="00F33FC4" w:rsidRDefault="00F33FC4" w:rsidP="00F33FC4">
      <w:pPr>
        <w:spacing w:line="360" w:lineRule="auto"/>
        <w:ind w:left="284" w:firstLine="720"/>
        <w:rPr>
          <w:rFonts w:eastAsia="Calibri"/>
        </w:rPr>
      </w:pPr>
    </w:p>
    <w:p w14:paraId="417E90A1" w14:textId="77777777" w:rsidR="00F33FC4" w:rsidRPr="00F33FC4" w:rsidRDefault="00F33FC4" w:rsidP="00C3607D">
      <w:pPr>
        <w:spacing w:line="360" w:lineRule="auto"/>
        <w:rPr>
          <w:rFonts w:eastAsia="Calibri"/>
          <w:b/>
          <w:bCs/>
        </w:rPr>
      </w:pPr>
      <w:r w:rsidRPr="00F33FC4">
        <w:rPr>
          <w:rFonts w:eastAsia="Calibri"/>
          <w:b/>
          <w:bCs/>
        </w:rPr>
        <w:t>Bioinformatic analyses</w:t>
      </w:r>
    </w:p>
    <w:p w14:paraId="1717E512" w14:textId="29588487" w:rsidR="00C3607D" w:rsidRDefault="00F33FC4" w:rsidP="00C3607D">
      <w:pPr>
        <w:spacing w:line="360" w:lineRule="auto"/>
        <w:ind w:firstLine="720"/>
        <w:rPr>
          <w:rFonts w:eastAsia="Calibri"/>
        </w:rPr>
      </w:pPr>
      <w:r w:rsidRPr="00F33FC4">
        <w:rPr>
          <w:rFonts w:eastAsia="Calibri"/>
        </w:rPr>
        <w:t xml:space="preserve">A general workflow of the bioinformatic analysis is shown in the schematic figure (Fig. 3.1). </w:t>
      </w:r>
      <w:proofErr w:type="spellStart"/>
      <w:r w:rsidRPr="00F33FC4">
        <w:rPr>
          <w:rFonts w:eastAsia="Calibri"/>
        </w:rPr>
        <w:t>FastQC</w:t>
      </w:r>
      <w:proofErr w:type="spellEnd"/>
      <w:r w:rsidRPr="00F33FC4">
        <w:rPr>
          <w:rFonts w:eastAsia="Calibri"/>
        </w:rPr>
        <w:t xml:space="preserve"> was used to check the quality of the raw sequence reads. Sequences shorter than 55 bp were eliminated. Based on the quality score and the per base </w:t>
      </w:r>
      <w:r w:rsidRPr="00F33FC4">
        <w:rPr>
          <w:rFonts w:eastAsia="Calibri"/>
        </w:rPr>
        <w:lastRenderedPageBreak/>
        <w:t>sequence content (distribution of A,C,G,T in the sequence reads on each bases), we trimmed 5 bp from the beginning</w:t>
      </w:r>
      <w:r w:rsidR="000725B7">
        <w:rPr>
          <w:rFonts w:eastAsia="Calibri"/>
        </w:rPr>
        <w:t xml:space="preserve"> </w:t>
      </w:r>
      <w:r w:rsidRPr="00F33FC4">
        <w:rPr>
          <w:rFonts w:eastAsia="Calibri"/>
        </w:rPr>
        <w:t xml:space="preserve">and 3 bp from the end of each read. The trimmed reads were then run through a final quality check with </w:t>
      </w:r>
      <w:proofErr w:type="spellStart"/>
      <w:r w:rsidRPr="00F33FC4">
        <w:rPr>
          <w:rFonts w:eastAsia="Calibri"/>
        </w:rPr>
        <w:t>FastQC</w:t>
      </w:r>
      <w:proofErr w:type="spellEnd"/>
      <w:r w:rsidRPr="00F33FC4">
        <w:rPr>
          <w:rFonts w:eastAsia="Calibri"/>
        </w:rPr>
        <w:t xml:space="preserve">. </w:t>
      </w:r>
    </w:p>
    <w:p w14:paraId="7E89C45A" w14:textId="29D126C7" w:rsidR="00C3607D" w:rsidRDefault="00F33FC4" w:rsidP="00C3607D">
      <w:pPr>
        <w:spacing w:line="360" w:lineRule="auto"/>
        <w:ind w:firstLine="720"/>
        <w:rPr>
          <w:rFonts w:eastAsia="Calibri"/>
        </w:rPr>
      </w:pPr>
      <w:r w:rsidRPr="00F33FC4">
        <w:rPr>
          <w:rFonts w:eastAsia="Calibri"/>
        </w:rPr>
        <w:t xml:space="preserve">The reads were then aligned to the reference genome </w:t>
      </w:r>
      <w:r w:rsidRPr="00F33FC4">
        <w:rPr>
          <w:rFonts w:eastAsia="Calibri"/>
          <w:i/>
          <w:iCs/>
        </w:rPr>
        <w:t>E. coli</w:t>
      </w:r>
      <w:r w:rsidRPr="00F33FC4">
        <w:rPr>
          <w:rFonts w:eastAsia="Calibri"/>
        </w:rPr>
        <w:t xml:space="preserve"> O157:H7 str. EDL933 (assembly</w:t>
      </w:r>
      <w:r w:rsidR="000725B7">
        <w:rPr>
          <w:rFonts w:eastAsia="Calibri"/>
        </w:rPr>
        <w:t xml:space="preserve"> </w:t>
      </w:r>
      <w:hyperlink r:id="rId26" w:tgtFrame="_blank" w:tooltip="Link to Assembly" w:history="1">
        <w:r w:rsidRPr="00F33FC4">
          <w:rPr>
            <w:rFonts w:eastAsia="Calibri"/>
            <w:color w:val="000000"/>
            <w:u w:val="single"/>
          </w:rPr>
          <w:t>GCA_000732965.1</w:t>
        </w:r>
      </w:hyperlink>
      <w:r w:rsidRPr="00F33FC4">
        <w:rPr>
          <w:rFonts w:eastAsia="Calibri"/>
          <w:color w:val="000000"/>
        </w:rPr>
        <w:t>) using Spliced Transcripts Alignment to a Reference (STAR). This aligning method uses strategy to account for spliced alignments and therefore, addresses many of the RNA-seq data mapping challenges.</w:t>
      </w:r>
      <w:r w:rsidR="00C3607D">
        <w:rPr>
          <w:rFonts w:eastAsia="Calibri"/>
        </w:rPr>
        <w:t xml:space="preserve"> </w:t>
      </w:r>
      <w:r w:rsidRPr="00F33FC4">
        <w:rPr>
          <w:rFonts w:eastAsia="Calibri"/>
        </w:rPr>
        <w:t xml:space="preserve">After the alignment, gene expression was assembled from the aligned reads by using </w:t>
      </w:r>
      <w:proofErr w:type="spellStart"/>
      <w:r w:rsidRPr="00F33FC4">
        <w:rPr>
          <w:rFonts w:eastAsia="Calibri"/>
        </w:rPr>
        <w:t>HTSeq</w:t>
      </w:r>
      <w:proofErr w:type="spellEnd"/>
      <w:r w:rsidRPr="00F33FC4">
        <w:rPr>
          <w:rFonts w:eastAsia="Calibri"/>
        </w:rPr>
        <w:t xml:space="preserve"> after sorting the alignment file (BAM file) to quantify the number of sequence reads mapped to each gene. </w:t>
      </w:r>
    </w:p>
    <w:p w14:paraId="4B487D6A" w14:textId="5802CD45" w:rsidR="00F33FC4" w:rsidRPr="00F33FC4" w:rsidRDefault="00F33FC4" w:rsidP="00C3607D">
      <w:pPr>
        <w:spacing w:line="360" w:lineRule="auto"/>
        <w:ind w:firstLine="720"/>
        <w:rPr>
          <w:rFonts w:eastAsia="Calibri"/>
        </w:rPr>
      </w:pPr>
      <w:r w:rsidRPr="00F33FC4">
        <w:rPr>
          <w:rFonts w:eastAsia="Calibri"/>
        </w:rPr>
        <w:t xml:space="preserve">Using the number of mapped reads from assembled reads, differential expression analysis was performed using the library “DESeq2” in RStudio version 1.2.5033. Genes with low counts (&lt;10) were filtered out as they are analogous to the genes which are not expressed. The </w:t>
      </w:r>
      <w:proofErr w:type="spellStart"/>
      <w:r w:rsidRPr="00F33FC4">
        <w:rPr>
          <w:rFonts w:eastAsia="Calibri"/>
        </w:rPr>
        <w:t>DESeq</w:t>
      </w:r>
      <w:proofErr w:type="spellEnd"/>
      <w:r w:rsidRPr="00F33FC4">
        <w:rPr>
          <w:rFonts w:eastAsia="Calibri"/>
        </w:rPr>
        <w:t xml:space="preserve"> function was used for estimating the size factors and dispersions, fitting the negative binomial generalized linear model, and performing Wald tests for differential gene analysis </w:t>
      </w:r>
      <w:r w:rsidRPr="00F33FC4">
        <w:rPr>
          <w:rFonts w:eastAsia="Calibri"/>
          <w:noProof/>
        </w:rPr>
        <w:t>(19)</w:t>
      </w:r>
      <w:r w:rsidRPr="00F33FC4">
        <w:rPr>
          <w:rFonts w:eastAsia="Calibri"/>
        </w:rPr>
        <w:t xml:space="preserve">. Principle component analysis was used to observe if the samples clustered based on the condition. Differentially expressed genes that were statistically significant were used to generate the plots. Differential expression gene network analysis was done by using </w:t>
      </w:r>
      <w:proofErr w:type="spellStart"/>
      <w:r w:rsidRPr="00F33FC4">
        <w:rPr>
          <w:rFonts w:eastAsia="Calibri"/>
        </w:rPr>
        <w:t>Cytoscape</w:t>
      </w:r>
      <w:proofErr w:type="spellEnd"/>
      <w:r w:rsidRPr="00F33FC4">
        <w:rPr>
          <w:rFonts w:eastAsia="Calibri"/>
        </w:rPr>
        <w:t xml:space="preserve"> (v.3.8.2).</w:t>
      </w:r>
    </w:p>
    <w:p w14:paraId="651D7276" w14:textId="77777777" w:rsidR="00C3607D" w:rsidRDefault="00C3607D" w:rsidP="00C3607D">
      <w:pPr>
        <w:spacing w:line="360" w:lineRule="auto"/>
        <w:ind w:left="284"/>
        <w:rPr>
          <w:rFonts w:eastAsia="Calibri"/>
        </w:rPr>
      </w:pPr>
    </w:p>
    <w:p w14:paraId="554C2F49" w14:textId="2591CACA" w:rsidR="00F33FC4" w:rsidRPr="00F33FC4" w:rsidRDefault="00F33FC4" w:rsidP="00C3607D">
      <w:pPr>
        <w:spacing w:line="360" w:lineRule="auto"/>
        <w:rPr>
          <w:rFonts w:eastAsia="Calibri"/>
          <w:color w:val="FF0000"/>
        </w:rPr>
      </w:pPr>
      <w:r w:rsidRPr="00F33FC4">
        <w:rPr>
          <w:rFonts w:eastAsia="Calibri"/>
          <w:b/>
          <w:bCs/>
        </w:rPr>
        <w:t>Network analyses of Differentially Expressed Genes</w:t>
      </w:r>
    </w:p>
    <w:p w14:paraId="2CBD9B2B" w14:textId="77777777" w:rsidR="00C3607D" w:rsidRDefault="00F33FC4" w:rsidP="00C3607D">
      <w:pPr>
        <w:spacing w:line="360" w:lineRule="auto"/>
        <w:ind w:firstLine="720"/>
        <w:rPr>
          <w:rFonts w:eastAsia="Calibri"/>
        </w:rPr>
      </w:pPr>
      <w:proofErr w:type="spellStart"/>
      <w:r w:rsidRPr="00F33FC4">
        <w:rPr>
          <w:rFonts w:eastAsia="Calibri"/>
        </w:rPr>
        <w:t>Cytoscape</w:t>
      </w:r>
      <w:proofErr w:type="spellEnd"/>
      <w:r w:rsidRPr="00F33FC4">
        <w:rPr>
          <w:rFonts w:eastAsia="Calibri"/>
        </w:rPr>
        <w:t xml:space="preserve"> (v. 3.8.2) was utilized for network analysis of the differentially expressed genes (DEGs) following the protocol described (https://cytoscape.org/cytoscape-tutorials/protocols/differentially-expressed-genes/#/ex1-down-string). The DEGs were applied to the entire STRING (v. 1.7.0) network of </w:t>
      </w:r>
      <w:r w:rsidRPr="00F33FC4">
        <w:rPr>
          <w:rFonts w:eastAsia="Calibri"/>
          <w:i/>
          <w:iCs/>
        </w:rPr>
        <w:t>E.</w:t>
      </w:r>
      <w:r w:rsidRPr="00F33FC4">
        <w:rPr>
          <w:rFonts w:eastAsia="Calibri"/>
        </w:rPr>
        <w:t xml:space="preserve"> </w:t>
      </w:r>
      <w:r w:rsidRPr="00F33FC4">
        <w:rPr>
          <w:rFonts w:eastAsia="Calibri"/>
          <w:i/>
          <w:iCs/>
        </w:rPr>
        <w:t>coli</w:t>
      </w:r>
      <w:r w:rsidRPr="00F33FC4">
        <w:rPr>
          <w:rFonts w:eastAsia="Calibri"/>
        </w:rPr>
        <w:t xml:space="preserve"> O157:H7 str. EDL933 using default settings except </w:t>
      </w:r>
      <w:r w:rsidRPr="00F33FC4">
        <w:rPr>
          <w:rFonts w:eastAsia="Calibri"/>
          <w:i/>
          <w:iCs/>
        </w:rPr>
        <w:t>Maximum Additional Interactions</w:t>
      </w:r>
      <w:r w:rsidRPr="00F33FC4">
        <w:rPr>
          <w:rFonts w:eastAsia="Calibri"/>
        </w:rPr>
        <w:t xml:space="preserve"> (MAI) being changed to 5 for upregulated and 10 for downregulated genes, after numerous trials using other MAI options. The largest subnetwork was then integrated with the processed gene expression data such that the nodes were filled with colors by continuous mapping using log</w:t>
      </w:r>
      <w:r w:rsidRPr="00F33FC4">
        <w:rPr>
          <w:rFonts w:eastAsia="Calibri"/>
          <w:vertAlign w:val="subscript"/>
        </w:rPr>
        <w:t>2</w:t>
      </w:r>
      <w:r w:rsidRPr="00F33FC4">
        <w:rPr>
          <w:rFonts w:eastAsia="Calibri"/>
        </w:rPr>
        <w:t xml:space="preserve">fold change </w:t>
      </w:r>
    </w:p>
    <w:p w14:paraId="0E43018B" w14:textId="5C5823E2" w:rsidR="00C3607D" w:rsidRDefault="00C3607D">
      <w:pPr>
        <w:rPr>
          <w:rFonts w:eastAsia="Calibri"/>
        </w:rPr>
      </w:pPr>
      <w:r>
        <w:rPr>
          <w:rFonts w:eastAsia="Calibri"/>
        </w:rPr>
        <w:lastRenderedPageBreak/>
        <w:br w:type="page"/>
      </w:r>
      <w:r w:rsidRPr="00F33FC4">
        <w:rPr>
          <w:rFonts w:eastAsia="Calibri"/>
          <w:noProof/>
        </w:rPr>
        <w:drawing>
          <wp:anchor distT="0" distB="0" distL="114300" distR="114300" simplePos="0" relativeHeight="251779072" behindDoc="0" locked="0" layoutInCell="1" allowOverlap="1" wp14:anchorId="3C658858" wp14:editId="1E2C5962">
            <wp:simplePos x="0" y="0"/>
            <wp:positionH relativeFrom="column">
              <wp:posOffset>321310</wp:posOffset>
            </wp:positionH>
            <wp:positionV relativeFrom="paragraph">
              <wp:posOffset>172085</wp:posOffset>
            </wp:positionV>
            <wp:extent cx="4724400" cy="3505200"/>
            <wp:effectExtent l="0" t="0" r="0" b="0"/>
            <wp:wrapTopAndBottom/>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28A0092B-C50C-407E-A947-70E740481C1C}">
                          <a14:useLocalDpi xmlns:a14="http://schemas.microsoft.com/office/drawing/2010/main" val="0"/>
                        </a:ext>
                      </a:extLst>
                    </a:blip>
                    <a:stretch>
                      <a:fillRect/>
                    </a:stretch>
                  </pic:blipFill>
                  <pic:spPr>
                    <a:xfrm>
                      <a:off x="0" y="0"/>
                      <a:ext cx="4724400" cy="3505200"/>
                    </a:xfrm>
                    <a:prstGeom prst="rect">
                      <a:avLst/>
                    </a:prstGeom>
                  </pic:spPr>
                </pic:pic>
              </a:graphicData>
            </a:graphic>
            <wp14:sizeRelH relativeFrom="page">
              <wp14:pctWidth>0</wp14:pctWidth>
            </wp14:sizeRelH>
            <wp14:sizeRelV relativeFrom="page">
              <wp14:pctHeight>0</wp14:pctHeight>
            </wp14:sizeRelV>
          </wp:anchor>
        </w:drawing>
      </w:r>
      <w:r w:rsidRPr="00F33FC4">
        <w:rPr>
          <w:rFonts w:ascii="Calibri" w:eastAsia="Calibri" w:hAnsi="Calibri" w:cs="Mangal"/>
          <w:noProof/>
        </w:rPr>
        <mc:AlternateContent>
          <mc:Choice Requires="wps">
            <w:drawing>
              <wp:anchor distT="0" distB="0" distL="114300" distR="114300" simplePos="0" relativeHeight="251780096" behindDoc="0" locked="0" layoutInCell="1" allowOverlap="1" wp14:anchorId="266DCE08" wp14:editId="5D85E30B">
                <wp:simplePos x="0" y="0"/>
                <wp:positionH relativeFrom="column">
                  <wp:posOffset>0</wp:posOffset>
                </wp:positionH>
                <wp:positionV relativeFrom="paragraph">
                  <wp:posOffset>3914775</wp:posOffset>
                </wp:positionV>
                <wp:extent cx="5918835" cy="635"/>
                <wp:effectExtent l="0" t="0" r="0" b="5715"/>
                <wp:wrapTopAndBottom/>
                <wp:docPr id="73" name="Text Box 73"/>
                <wp:cNvGraphicFramePr/>
                <a:graphic xmlns:a="http://schemas.openxmlformats.org/drawingml/2006/main">
                  <a:graphicData uri="http://schemas.microsoft.com/office/word/2010/wordprocessingShape">
                    <wps:wsp>
                      <wps:cNvSpPr txBox="1"/>
                      <wps:spPr>
                        <a:xfrm>
                          <a:off x="0" y="0"/>
                          <a:ext cx="5918835" cy="635"/>
                        </a:xfrm>
                        <a:prstGeom prst="rect">
                          <a:avLst/>
                        </a:prstGeom>
                        <a:solidFill>
                          <a:prstClr val="white"/>
                        </a:solidFill>
                        <a:ln>
                          <a:noFill/>
                        </a:ln>
                      </wps:spPr>
                      <wps:txbx>
                        <w:txbxContent>
                          <w:p w14:paraId="3B9EF635" w14:textId="77777777" w:rsidR="00C3607D" w:rsidRPr="00F12873" w:rsidRDefault="00C3607D" w:rsidP="00C3607D">
                            <w:pPr>
                              <w:pStyle w:val="Caption"/>
                              <w:rPr>
                                <w:i/>
                                <w:iCs w:val="0"/>
                                <w:sz w:val="22"/>
                                <w:szCs w:val="22"/>
                              </w:rPr>
                            </w:pPr>
                            <w:r w:rsidRPr="00F12873">
                              <w:rPr>
                                <w:iCs w:val="0"/>
                                <w:sz w:val="22"/>
                                <w:szCs w:val="22"/>
                              </w:rPr>
                              <w:t xml:space="preserve">Figure </w:t>
                            </w:r>
                            <w:r>
                              <w:rPr>
                                <w:iCs w:val="0"/>
                                <w:sz w:val="22"/>
                                <w:szCs w:val="22"/>
                              </w:rPr>
                              <w:t>3.1.</w:t>
                            </w:r>
                            <w:r w:rsidRPr="00155ED3">
                              <w:rPr>
                                <w:iCs w:val="0"/>
                                <w:sz w:val="22"/>
                                <w:szCs w:val="22"/>
                              </w:rPr>
                              <w:t xml:space="preserve"> </w:t>
                            </w:r>
                            <w:r>
                              <w:rPr>
                                <w:iCs w:val="0"/>
                                <w:sz w:val="22"/>
                                <w:szCs w:val="22"/>
                              </w:rPr>
                              <w:t xml:space="preserve">Schematic of the workflow for the RNA sequence read alignment and analysis.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266DCE08" id="Text Box 73" o:spid="_x0000_s1041" type="#_x0000_t202" style="position:absolute;margin-left:0;margin-top:308.25pt;width:466.05pt;height:.05pt;z-index:2517800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" stroked="f">
                <v:textbox style="mso-fit-shape-to-text:t" inset="0,0,0,0">
                  <w:txbxContent>
                    <w:p w14:paraId="3B9EF635" w14:textId="77777777" w:rsidR="00C3607D" w:rsidRPr="00F12873" w:rsidRDefault="00C3607D" w:rsidP="00C3607D">
                      <w:pPr>
                        <w:pStyle w:val="Caption"/>
                        <w:rPr>
                          <w:i/>
                          <w:iCs w:val="0"/>
                          <w:sz w:val="22"/>
                          <w:szCs w:val="22"/>
                        </w:rPr>
                      </w:pPr>
                      <w:r w:rsidRPr="00F12873">
                        <w:rPr>
                          <w:iCs w:val="0"/>
                          <w:sz w:val="22"/>
                          <w:szCs w:val="22"/>
                        </w:rPr>
                        <w:t xml:space="preserve">Figure </w:t>
                      </w:r>
                      <w:r>
                        <w:rPr>
                          <w:iCs w:val="0"/>
                          <w:sz w:val="22"/>
                          <w:szCs w:val="22"/>
                        </w:rPr>
                        <w:t>3.1.</w:t>
                      </w:r>
                      <w:r w:rsidRPr="00155ED3">
                        <w:rPr>
                          <w:iCs w:val="0"/>
                          <w:sz w:val="22"/>
                          <w:szCs w:val="22"/>
                        </w:rPr>
                        <w:t xml:space="preserve"> </w:t>
                      </w:r>
                      <w:r>
                        <w:rPr>
                          <w:iCs w:val="0"/>
                          <w:sz w:val="22"/>
                          <w:szCs w:val="22"/>
                        </w:rPr>
                        <w:t xml:space="preserve">Schematic of the workflow for the RNA sequence read alignment and analysis. </w:t>
                      </w:r>
                    </w:p>
                  </w:txbxContent>
                </v:textbox>
                <w10:wrap type="topAndBottom"/>
              </v:shape>
            </w:pict>
          </mc:Fallback>
        </mc:AlternateContent>
      </w:r>
    </w:p>
    <w:p w14:paraId="66BEE320" w14:textId="00F691C6" w:rsidR="00F33FC4" w:rsidRPr="00F33FC4" w:rsidRDefault="00F33FC4" w:rsidP="00C3607D">
      <w:pPr>
        <w:spacing w:line="360" w:lineRule="auto"/>
        <w:rPr>
          <w:rFonts w:eastAsia="Calibri"/>
          <w:b/>
          <w:bCs/>
        </w:rPr>
      </w:pPr>
      <w:r w:rsidRPr="00F33FC4">
        <w:rPr>
          <w:rFonts w:eastAsia="Calibri"/>
        </w:rPr>
        <w:lastRenderedPageBreak/>
        <w:t xml:space="preserve">information. Following this, the </w:t>
      </w:r>
      <w:r w:rsidRPr="00F33FC4">
        <w:rPr>
          <w:rFonts w:eastAsia="Calibri"/>
          <w:i/>
          <w:iCs/>
        </w:rPr>
        <w:t>Functional Annotation Enrichment</w:t>
      </w:r>
      <w:r w:rsidRPr="00F33FC4">
        <w:rPr>
          <w:rFonts w:eastAsia="Calibri"/>
        </w:rPr>
        <w:t xml:space="preserve"> tool was used to identify the enriched pathways. Only KEGG, GO and </w:t>
      </w:r>
      <w:proofErr w:type="spellStart"/>
      <w:r w:rsidRPr="00F33FC4">
        <w:rPr>
          <w:rFonts w:eastAsia="Calibri"/>
        </w:rPr>
        <w:t>InterPro</w:t>
      </w:r>
      <w:proofErr w:type="spellEnd"/>
      <w:r w:rsidRPr="00F33FC4">
        <w:rPr>
          <w:rFonts w:eastAsia="Calibri"/>
        </w:rPr>
        <w:t xml:space="preserve"> pathways were chosen, and </w:t>
      </w:r>
      <w:r w:rsidRPr="00F33FC4">
        <w:rPr>
          <w:rFonts w:eastAsia="Calibri"/>
          <w:i/>
          <w:iCs/>
        </w:rPr>
        <w:t>Remove Redundant Pathway</w:t>
      </w:r>
      <w:r w:rsidRPr="00F33FC4">
        <w:rPr>
          <w:rFonts w:eastAsia="Calibri"/>
        </w:rPr>
        <w:t xml:space="preserve"> option was checked for visualization purpose. </w:t>
      </w:r>
    </w:p>
    <w:p w14:paraId="441C3A23" w14:textId="77777777" w:rsidR="00F33FC4" w:rsidRPr="00F33FC4" w:rsidRDefault="00F33FC4" w:rsidP="00F33FC4">
      <w:pPr>
        <w:spacing w:line="360" w:lineRule="auto"/>
        <w:ind w:left="284" w:firstLine="720"/>
        <w:rPr>
          <w:rFonts w:eastAsia="Calibri"/>
          <w:b/>
          <w:bCs/>
        </w:rPr>
      </w:pPr>
    </w:p>
    <w:p w14:paraId="09EF1FB1" w14:textId="77777777" w:rsidR="00F33FC4" w:rsidRPr="00F33FC4" w:rsidRDefault="00F33FC4" w:rsidP="00C3607D">
      <w:pPr>
        <w:spacing w:line="360" w:lineRule="auto"/>
        <w:rPr>
          <w:rFonts w:eastAsia="Calibri"/>
          <w:b/>
          <w:bCs/>
        </w:rPr>
      </w:pPr>
      <w:r w:rsidRPr="00F33FC4">
        <w:rPr>
          <w:rFonts w:eastAsia="Calibri"/>
          <w:b/>
          <w:bCs/>
        </w:rPr>
        <w:t>Motility assay</w:t>
      </w:r>
    </w:p>
    <w:p w14:paraId="359F8E03" w14:textId="77777777" w:rsidR="00F33FC4" w:rsidRPr="00F33FC4" w:rsidRDefault="00F33FC4" w:rsidP="00C3607D">
      <w:pPr>
        <w:spacing w:line="360" w:lineRule="auto"/>
        <w:ind w:firstLine="720"/>
        <w:rPr>
          <w:rFonts w:eastAsia="Calibri"/>
        </w:rPr>
      </w:pPr>
      <w:r w:rsidRPr="00F33FC4">
        <w:rPr>
          <w:rFonts w:eastAsia="Calibri"/>
          <w:i/>
          <w:iCs/>
        </w:rPr>
        <w:t>E. coli</w:t>
      </w:r>
      <w:r w:rsidRPr="00F33FC4">
        <w:rPr>
          <w:rFonts w:eastAsia="Calibri"/>
        </w:rPr>
        <w:t xml:space="preserve"> MG1655 (motile strain) transformed with the indicated plasmids was grown in 5 ml LB with 100 µg/ml ampicillin, 3 µl of the overnight culture was placed at the center of LB plates (0.3% agar with 100 µg/ml ampicillin) and zone of migration was measured at indicated time points. </w:t>
      </w:r>
    </w:p>
    <w:p w14:paraId="4517D238" w14:textId="77777777" w:rsidR="00F33FC4" w:rsidRPr="00F33FC4" w:rsidRDefault="00F33FC4" w:rsidP="00F33FC4">
      <w:pPr>
        <w:spacing w:line="360" w:lineRule="auto"/>
        <w:ind w:left="284" w:firstLine="720"/>
        <w:rPr>
          <w:rFonts w:eastAsia="Calibri"/>
          <w:b/>
          <w:bCs/>
          <w:highlight w:val="lightGray"/>
        </w:rPr>
      </w:pPr>
    </w:p>
    <w:p w14:paraId="3DE892F9" w14:textId="77777777" w:rsidR="00F33FC4" w:rsidRPr="00F33FC4" w:rsidRDefault="00F33FC4" w:rsidP="00C3607D">
      <w:pPr>
        <w:numPr>
          <w:ilvl w:val="0"/>
          <w:numId w:val="26"/>
        </w:numPr>
        <w:spacing w:line="360" w:lineRule="auto"/>
        <w:ind w:left="284" w:hanging="284"/>
        <w:contextualSpacing/>
        <w:rPr>
          <w:rFonts w:eastAsia="Calibri"/>
          <w:b/>
          <w:bCs/>
        </w:rPr>
      </w:pPr>
      <w:r w:rsidRPr="00F33FC4">
        <w:rPr>
          <w:rFonts w:eastAsia="Calibri"/>
          <w:b/>
          <w:bCs/>
        </w:rPr>
        <w:t xml:space="preserve"> Results </w:t>
      </w:r>
    </w:p>
    <w:p w14:paraId="1E5B3220" w14:textId="77777777" w:rsidR="00F33FC4" w:rsidRPr="00F33FC4" w:rsidRDefault="00F33FC4" w:rsidP="00C3607D">
      <w:pPr>
        <w:spacing w:line="360" w:lineRule="auto"/>
        <w:rPr>
          <w:rFonts w:eastAsia="Calibri"/>
        </w:rPr>
      </w:pPr>
      <w:r w:rsidRPr="00F33FC4">
        <w:rPr>
          <w:rFonts w:eastAsia="Calibri"/>
          <w:b/>
          <w:bCs/>
        </w:rPr>
        <w:t xml:space="preserve">The deletion of </w:t>
      </w:r>
      <w:proofErr w:type="spellStart"/>
      <w:r w:rsidRPr="00F33FC4">
        <w:rPr>
          <w:rFonts w:eastAsia="Calibri"/>
          <w:b/>
          <w:bCs/>
          <w:i/>
          <w:iCs/>
        </w:rPr>
        <w:t>zor-orz</w:t>
      </w:r>
      <w:proofErr w:type="spellEnd"/>
      <w:r w:rsidRPr="00F33FC4">
        <w:rPr>
          <w:rFonts w:eastAsia="Calibri"/>
          <w:b/>
          <w:bCs/>
        </w:rPr>
        <w:t xml:space="preserve"> locus does not significantly impact growth</w:t>
      </w:r>
      <w:r w:rsidRPr="00F33FC4">
        <w:rPr>
          <w:rFonts w:eastAsia="Calibri"/>
        </w:rPr>
        <w:t>.</w:t>
      </w:r>
    </w:p>
    <w:p w14:paraId="1022334E" w14:textId="147CD516" w:rsidR="00C3607D" w:rsidRDefault="00F33FC4" w:rsidP="00C3607D">
      <w:pPr>
        <w:spacing w:line="360" w:lineRule="auto"/>
        <w:ind w:firstLine="720"/>
        <w:rPr>
          <w:rFonts w:eastAsia="Calibri"/>
        </w:rPr>
      </w:pPr>
      <w:r w:rsidRPr="00F33FC4">
        <w:rPr>
          <w:rFonts w:eastAsia="Calibri"/>
        </w:rPr>
        <w:t xml:space="preserve">Our previous findings demonstrated that increasing the copy number of the </w:t>
      </w:r>
      <w:proofErr w:type="spellStart"/>
      <w:r w:rsidRPr="00F33FC4">
        <w:rPr>
          <w:rFonts w:eastAsia="Calibri"/>
          <w:i/>
          <w:iCs/>
        </w:rPr>
        <w:t>zor-orz</w:t>
      </w:r>
      <w:proofErr w:type="spellEnd"/>
      <w:r w:rsidRPr="00F33FC4">
        <w:rPr>
          <w:rFonts w:eastAsia="Calibri"/>
        </w:rPr>
        <w:t xml:space="preserve"> locus, by cloning the entire region onto the multicopy plasmid pBR322, allowed for improved growth in media containing the aminoglycoside kanamycin.</w:t>
      </w:r>
      <w:r w:rsidR="000725B7">
        <w:rPr>
          <w:rFonts w:eastAsia="Calibri"/>
        </w:rPr>
        <w:t xml:space="preserve"> </w:t>
      </w:r>
      <w:r w:rsidRPr="00F33FC4">
        <w:rPr>
          <w:rFonts w:eastAsia="Calibri"/>
        </w:rPr>
        <w:t xml:space="preserve">However, we wanted to better determine if loss of the locus would impact normal cellular growth, regardless of the presence of antibiotics. Under normal laboratory conditions, both the parental strain and </w:t>
      </w:r>
      <w:r w:rsidRPr="00F33FC4">
        <w:rPr>
          <w:rFonts w:eastAsia="Calibri"/>
          <w:i/>
          <w:iCs/>
        </w:rPr>
        <w:sym w:font="Symbol" w:char="F044"/>
      </w:r>
      <w:proofErr w:type="spellStart"/>
      <w:r w:rsidRPr="00F33FC4">
        <w:rPr>
          <w:rFonts w:eastAsia="Calibri"/>
          <w:i/>
          <w:iCs/>
        </w:rPr>
        <w:t>zor-orz</w:t>
      </w:r>
      <w:proofErr w:type="spellEnd"/>
      <w:r w:rsidRPr="00F33FC4">
        <w:rPr>
          <w:rFonts w:eastAsia="Calibri"/>
          <w:i/>
          <w:iCs/>
        </w:rPr>
        <w:t xml:space="preserve"> </w:t>
      </w:r>
      <w:r w:rsidRPr="00F33FC4">
        <w:rPr>
          <w:rFonts w:eastAsia="Calibri"/>
          <w:iCs/>
        </w:rPr>
        <w:t>strain grew similarly in rich media (LB; Fig. 3.2A)) or in minimal media with glucose as a sole carbon source (Fig. 3.2B).</w:t>
      </w:r>
      <w:r w:rsidRPr="00F33FC4">
        <w:rPr>
          <w:rFonts w:eastAsia="Calibri"/>
          <w:i/>
          <w:iCs/>
        </w:rPr>
        <w:t xml:space="preserve"> </w:t>
      </w:r>
      <w:r w:rsidRPr="00F33FC4">
        <w:rPr>
          <w:rFonts w:eastAsia="Calibri"/>
          <w:bCs/>
        </w:rPr>
        <w:t xml:space="preserve">As </w:t>
      </w:r>
      <w:proofErr w:type="spellStart"/>
      <w:r w:rsidRPr="00F33FC4">
        <w:rPr>
          <w:rFonts w:eastAsia="Calibri"/>
          <w:bCs/>
        </w:rPr>
        <w:t>ZorO</w:t>
      </w:r>
      <w:proofErr w:type="spellEnd"/>
      <w:r w:rsidRPr="00F33FC4">
        <w:rPr>
          <w:rFonts w:eastAsia="Calibri"/>
          <w:bCs/>
        </w:rPr>
        <w:t xml:space="preserve"> translation is repressed not only by the antitoxin </w:t>
      </w:r>
      <w:proofErr w:type="spellStart"/>
      <w:r w:rsidRPr="00F33FC4">
        <w:rPr>
          <w:rFonts w:eastAsia="Calibri"/>
          <w:bCs/>
        </w:rPr>
        <w:t>OrzO</w:t>
      </w:r>
      <w:proofErr w:type="spellEnd"/>
      <w:r w:rsidRPr="00F33FC4">
        <w:rPr>
          <w:rFonts w:eastAsia="Calibri"/>
          <w:bCs/>
        </w:rPr>
        <w:t xml:space="preserve"> but also by its own 5’ UTR, we examined growth of a strain </w:t>
      </w:r>
      <w:r w:rsidRPr="00F33FC4">
        <w:rPr>
          <w:rFonts w:eastAsia="Calibri"/>
          <w:iCs/>
        </w:rPr>
        <w:t>deleted for both repressive elements (</w:t>
      </w:r>
      <w:r w:rsidRPr="00F33FC4">
        <w:rPr>
          <w:rFonts w:eastAsia="Calibri"/>
        </w:rPr>
        <w:sym w:font="Symbol" w:char="F044"/>
      </w:r>
      <w:r w:rsidRPr="00F33FC4">
        <w:rPr>
          <w:rFonts w:eastAsia="Calibri"/>
        </w:rPr>
        <w:t>28</w:t>
      </w:r>
      <w:r w:rsidRPr="00F33FC4">
        <w:rPr>
          <w:rFonts w:eastAsia="Calibri"/>
          <w:i/>
          <w:iCs/>
        </w:rPr>
        <w:t>-zorO</w:t>
      </w:r>
      <w:r w:rsidRPr="00F33FC4">
        <w:rPr>
          <w:rFonts w:eastAsia="Calibri"/>
        </w:rPr>
        <w:t>)</w:t>
      </w:r>
      <w:r w:rsidRPr="00F33FC4">
        <w:rPr>
          <w:rFonts w:eastAsia="Calibri"/>
          <w:iCs/>
        </w:rPr>
        <w:t>. Again, we noted no significant differences in growth in either rich media</w:t>
      </w:r>
      <w:r w:rsidRPr="00F33FC4">
        <w:rPr>
          <w:rFonts w:eastAsia="Calibri"/>
          <w:bCs/>
        </w:rPr>
        <w:t xml:space="preserve"> </w:t>
      </w:r>
      <w:r w:rsidRPr="00F33FC4">
        <w:rPr>
          <w:rFonts w:eastAsia="Calibri"/>
        </w:rPr>
        <w:t>(Fig. 3.2A) or in minimal media supplemented with a 0.2% glucose as a carbon source (Fig. 3.2B).</w:t>
      </w:r>
      <w:r w:rsidR="000725B7">
        <w:rPr>
          <w:rFonts w:eastAsia="Calibri"/>
        </w:rPr>
        <w:t xml:space="preserve"> </w:t>
      </w:r>
    </w:p>
    <w:p w14:paraId="03C6B9B8" w14:textId="7D094ADD" w:rsidR="00F33FC4" w:rsidRPr="00F33FC4" w:rsidRDefault="00F33FC4" w:rsidP="00C3607D">
      <w:pPr>
        <w:spacing w:line="360" w:lineRule="auto"/>
        <w:ind w:firstLine="720"/>
        <w:rPr>
          <w:rFonts w:eastAsia="Calibri"/>
        </w:rPr>
      </w:pPr>
      <w:r w:rsidRPr="00F33FC4">
        <w:rPr>
          <w:rFonts w:eastAsia="Calibri"/>
          <w:i/>
          <w:iCs/>
        </w:rPr>
        <w:t>In silico</w:t>
      </w:r>
      <w:r w:rsidRPr="00F33FC4">
        <w:rPr>
          <w:rFonts w:eastAsia="Calibri"/>
        </w:rPr>
        <w:t xml:space="preserve"> analysis of the </w:t>
      </w:r>
      <w:proofErr w:type="spellStart"/>
      <w:r w:rsidRPr="00F33FC4">
        <w:rPr>
          <w:rFonts w:eastAsia="Calibri"/>
          <w:i/>
          <w:iCs/>
        </w:rPr>
        <w:t>zorO</w:t>
      </w:r>
      <w:proofErr w:type="spellEnd"/>
      <w:r w:rsidRPr="00F33FC4">
        <w:rPr>
          <w:rFonts w:eastAsia="Calibri"/>
        </w:rPr>
        <w:t xml:space="preserve"> promoter and flanking region indicates a potential cAMP receptor protein (CRP) binding site that is located upstream (67 </w:t>
      </w:r>
      <w:proofErr w:type="spellStart"/>
      <w:r w:rsidRPr="00F33FC4">
        <w:rPr>
          <w:rFonts w:eastAsia="Calibri"/>
        </w:rPr>
        <w:t>nts</w:t>
      </w:r>
      <w:proofErr w:type="spellEnd"/>
      <w:r w:rsidRPr="00F33FC4">
        <w:rPr>
          <w:rFonts w:eastAsia="Calibri"/>
        </w:rPr>
        <w:t xml:space="preserve">) of </w:t>
      </w:r>
      <w:proofErr w:type="spellStart"/>
      <w:r w:rsidRPr="00F33FC4">
        <w:rPr>
          <w:rFonts w:eastAsia="Calibri"/>
          <w:i/>
          <w:iCs/>
        </w:rPr>
        <w:t>zorO</w:t>
      </w:r>
      <w:proofErr w:type="spellEnd"/>
      <w:r w:rsidRPr="00F33FC4">
        <w:rPr>
          <w:rFonts w:eastAsia="Calibri"/>
          <w:i/>
          <w:iCs/>
        </w:rPr>
        <w:t xml:space="preserve"> </w:t>
      </w:r>
      <w:r w:rsidRPr="00F33FC4">
        <w:rPr>
          <w:rFonts w:eastAsia="Calibri"/>
        </w:rPr>
        <w:t>transcription site (data not shown).</w:t>
      </w:r>
      <w:r w:rsidR="000725B7">
        <w:rPr>
          <w:rFonts w:eastAsia="Calibri"/>
        </w:rPr>
        <w:t xml:space="preserve"> </w:t>
      </w:r>
      <w:r w:rsidRPr="00F33FC4">
        <w:rPr>
          <w:rFonts w:eastAsia="Calibri"/>
        </w:rPr>
        <w:t xml:space="preserve">Expression of </w:t>
      </w:r>
      <w:proofErr w:type="spellStart"/>
      <w:r w:rsidRPr="00F33FC4">
        <w:rPr>
          <w:rFonts w:eastAsia="Calibri"/>
          <w:i/>
          <w:iCs/>
        </w:rPr>
        <w:t>zorO</w:t>
      </w:r>
      <w:proofErr w:type="spellEnd"/>
      <w:r w:rsidRPr="00F33FC4">
        <w:rPr>
          <w:rFonts w:eastAsia="Calibri"/>
        </w:rPr>
        <w:t xml:space="preserve"> was decreased in </w:t>
      </w:r>
      <w:r w:rsidRPr="00F33FC4">
        <w:rPr>
          <w:rFonts w:eastAsia="Calibri"/>
          <w:i/>
          <w:iCs/>
        </w:rPr>
        <w:sym w:font="Symbol" w:char="F044"/>
      </w:r>
      <w:proofErr w:type="spellStart"/>
      <w:r w:rsidRPr="00F33FC4">
        <w:rPr>
          <w:rFonts w:eastAsia="Calibri"/>
          <w:i/>
          <w:iCs/>
        </w:rPr>
        <w:t>crp</w:t>
      </w:r>
      <w:proofErr w:type="spellEnd"/>
      <w:r w:rsidRPr="00F33FC4">
        <w:rPr>
          <w:rFonts w:eastAsia="Calibri"/>
          <w:i/>
          <w:iCs/>
        </w:rPr>
        <w:t xml:space="preserve"> </w:t>
      </w:r>
      <w:r w:rsidRPr="00F33FC4">
        <w:rPr>
          <w:rFonts w:eastAsia="Calibri"/>
        </w:rPr>
        <w:t xml:space="preserve">EDL933 as compared to the wild-type strain (unpublished data). Given that CRP is critical for transitioning carbon sources and role of nutrient shifts in increasing the number of tolerant cells </w:t>
      </w:r>
      <w:r w:rsidRPr="00F33FC4">
        <w:rPr>
          <w:rFonts w:eastAsia="Calibri"/>
          <w:noProof/>
        </w:rPr>
        <w:t>(20,21)</w:t>
      </w:r>
      <w:r w:rsidRPr="00F33FC4">
        <w:rPr>
          <w:rFonts w:eastAsia="Calibri"/>
        </w:rPr>
        <w:t xml:space="preserve">, we examined growth in M9 minimal media with 0.5mM glucose and 6 mM fumarate. During growth in this medium, glucose should be preferentially </w:t>
      </w:r>
    </w:p>
    <w:p w14:paraId="79CF8B33" w14:textId="77777777" w:rsidR="00F33FC4" w:rsidRPr="00F33FC4" w:rsidRDefault="00F33FC4" w:rsidP="00F33FC4">
      <w:pPr>
        <w:spacing w:line="360" w:lineRule="auto"/>
        <w:ind w:left="284"/>
        <w:rPr>
          <w:rFonts w:eastAsia="Calibri"/>
        </w:rPr>
      </w:pPr>
    </w:p>
    <w:p w14:paraId="2A1C2F0C" w14:textId="77777777" w:rsidR="00F33FC4" w:rsidRPr="00F33FC4" w:rsidRDefault="00F33FC4" w:rsidP="00F33FC4">
      <w:pPr>
        <w:spacing w:line="360" w:lineRule="auto"/>
        <w:ind w:left="284" w:firstLine="720"/>
        <w:rPr>
          <w:rFonts w:eastAsia="Calibri"/>
          <w:b/>
          <w:bCs/>
        </w:rPr>
      </w:pPr>
      <w:r w:rsidRPr="00F33FC4">
        <w:rPr>
          <w:rFonts w:ascii="Calibri" w:eastAsia="Calibri" w:hAnsi="Calibri" w:cs="Mangal"/>
          <w:noProof/>
        </w:rPr>
        <mc:AlternateContent>
          <mc:Choice Requires="wps">
            <w:drawing>
              <wp:anchor distT="0" distB="0" distL="114300" distR="114300" simplePos="0" relativeHeight="251704320" behindDoc="0" locked="0" layoutInCell="1" allowOverlap="1" wp14:anchorId="1817D70E" wp14:editId="65A1FA24">
                <wp:simplePos x="0" y="0"/>
                <wp:positionH relativeFrom="column">
                  <wp:posOffset>-93980</wp:posOffset>
                </wp:positionH>
                <wp:positionV relativeFrom="paragraph">
                  <wp:posOffset>4724189</wp:posOffset>
                </wp:positionV>
                <wp:extent cx="5918835" cy="635"/>
                <wp:effectExtent l="0" t="0" r="0" b="5715"/>
                <wp:wrapTopAndBottom/>
                <wp:docPr id="74" name="Text Box 74"/>
                <wp:cNvGraphicFramePr/>
                <a:graphic xmlns:a="http://schemas.openxmlformats.org/drawingml/2006/main">
                  <a:graphicData uri="http://schemas.microsoft.com/office/word/2010/wordprocessingShape">
                    <wps:wsp>
                      <wps:cNvSpPr txBox="1"/>
                      <wps:spPr>
                        <a:xfrm>
                          <a:off x="0" y="0"/>
                          <a:ext cx="5918835" cy="635"/>
                        </a:xfrm>
                        <a:prstGeom prst="rect">
                          <a:avLst/>
                        </a:prstGeom>
                        <a:solidFill>
                          <a:prstClr val="white"/>
                        </a:solidFill>
                        <a:ln>
                          <a:noFill/>
                        </a:ln>
                      </wps:spPr>
                      <wps:txbx>
                        <w:txbxContent>
                          <w:p w14:paraId="0CCCE9EA" w14:textId="77777777" w:rsidR="00F33FC4" w:rsidRPr="00F12873" w:rsidRDefault="00F33FC4" w:rsidP="00194719">
                            <w:pPr>
                              <w:pStyle w:val="Caption"/>
                              <w:rPr>
                                <w:i/>
                                <w:iCs w:val="0"/>
                                <w:sz w:val="22"/>
                                <w:szCs w:val="22"/>
                              </w:rPr>
                            </w:pPr>
                            <w:r w:rsidRPr="00F12873">
                              <w:rPr>
                                <w:iCs w:val="0"/>
                                <w:sz w:val="22"/>
                                <w:szCs w:val="22"/>
                              </w:rPr>
                              <w:t xml:space="preserve">Figure </w:t>
                            </w:r>
                            <w:r>
                              <w:rPr>
                                <w:iCs w:val="0"/>
                                <w:sz w:val="22"/>
                                <w:szCs w:val="22"/>
                              </w:rPr>
                              <w:t>3.2</w:t>
                            </w:r>
                            <w:r w:rsidRPr="00155ED3">
                              <w:rPr>
                                <w:iCs w:val="0"/>
                                <w:sz w:val="22"/>
                                <w:szCs w:val="22"/>
                              </w:rPr>
                              <w:t>. Growth curve of the EDL933 strains in LB (A), in M9 minimal media supplemented with 0.2% glucose (B), in M9 minimal media supplemented with 0.5 mM glucose and 6 mM fum</w:t>
                            </w:r>
                            <w:r>
                              <w:rPr>
                                <w:iCs w:val="0"/>
                                <w:sz w:val="22"/>
                                <w:szCs w:val="22"/>
                              </w:rPr>
                              <w:t>a</w:t>
                            </w:r>
                            <w:r w:rsidRPr="00155ED3">
                              <w:rPr>
                                <w:iCs w:val="0"/>
                                <w:sz w:val="22"/>
                                <w:szCs w:val="22"/>
                              </w:rPr>
                              <w:t>rate (C), and in LB with addition of 8</w:t>
                            </w:r>
                            <w:r>
                              <w:rPr>
                                <w:iCs w:val="0"/>
                                <w:sz w:val="22"/>
                                <w:szCs w:val="22"/>
                              </w:rPr>
                              <w:t xml:space="preserve"> </w:t>
                            </w:r>
                            <w:r w:rsidRPr="00155ED3">
                              <w:rPr>
                                <w:iCs w:val="0"/>
                                <w:sz w:val="22"/>
                                <w:szCs w:val="22"/>
                              </w:rPr>
                              <w:t>µg/ml kanamycin during mid-log growth phase (D).</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817D70E" id="Text Box 74" o:spid="_x0000_s1042" type="#_x0000_t202" style="position:absolute;left:0;text-align:left;margin-left:-7.4pt;margin-top:372pt;width:466.05pt;height:.05pt;z-index:251704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" stroked="f">
                <v:textbox style="mso-fit-shape-to-text:t" inset="0,0,0,0">
                  <w:txbxContent>
                    <w:p w14:paraId="0CCCE9EA" w14:textId="77777777" w:rsidR="00F33FC4" w:rsidRPr="00F12873" w:rsidRDefault="00F33FC4" w:rsidP="00194719">
                      <w:pPr>
                        <w:pStyle w:val="Caption"/>
                        <w:rPr>
                          <w:i/>
                          <w:iCs w:val="0"/>
                          <w:sz w:val="22"/>
                          <w:szCs w:val="22"/>
                        </w:rPr>
                      </w:pPr>
                      <w:r w:rsidRPr="00F12873">
                        <w:rPr>
                          <w:iCs w:val="0"/>
                          <w:sz w:val="22"/>
                          <w:szCs w:val="22"/>
                        </w:rPr>
                        <w:t xml:space="preserve">Figure </w:t>
                      </w:r>
                      <w:r>
                        <w:rPr>
                          <w:iCs w:val="0"/>
                          <w:sz w:val="22"/>
                          <w:szCs w:val="22"/>
                        </w:rPr>
                        <w:t>3.2</w:t>
                      </w:r>
                      <w:r w:rsidRPr="00155ED3">
                        <w:rPr>
                          <w:iCs w:val="0"/>
                          <w:sz w:val="22"/>
                          <w:szCs w:val="22"/>
                        </w:rPr>
                        <w:t>. Growth curve of the EDL933 strains in LB (A), in M9 minimal media supplemented with 0.2% glucose (B), in M9 minimal media supplemented with 0.5 mM glucose and 6 mM fum</w:t>
                      </w:r>
                      <w:r>
                        <w:rPr>
                          <w:iCs w:val="0"/>
                          <w:sz w:val="22"/>
                          <w:szCs w:val="22"/>
                        </w:rPr>
                        <w:t>a</w:t>
                      </w:r>
                      <w:r w:rsidRPr="00155ED3">
                        <w:rPr>
                          <w:iCs w:val="0"/>
                          <w:sz w:val="22"/>
                          <w:szCs w:val="22"/>
                        </w:rPr>
                        <w:t>rate (C), and in LB with addition of 8</w:t>
                      </w:r>
                      <w:r>
                        <w:rPr>
                          <w:iCs w:val="0"/>
                          <w:sz w:val="22"/>
                          <w:szCs w:val="22"/>
                        </w:rPr>
                        <w:t xml:space="preserve"> </w:t>
                      </w:r>
                      <w:r w:rsidRPr="00155ED3">
                        <w:rPr>
                          <w:iCs w:val="0"/>
                          <w:sz w:val="22"/>
                          <w:szCs w:val="22"/>
                        </w:rPr>
                        <w:t>µg/ml kanamycin during mid-log growth phase (D).</w:t>
                      </w:r>
                    </w:p>
                  </w:txbxContent>
                </v:textbox>
                <w10:wrap type="topAndBottom"/>
              </v:shape>
            </w:pict>
          </mc:Fallback>
        </mc:AlternateContent>
      </w:r>
      <w:r w:rsidRPr="00F33FC4">
        <w:rPr>
          <w:rFonts w:eastAsia="Calibri"/>
          <w:b/>
          <w:bCs/>
          <w:noProof/>
        </w:rPr>
        <w:drawing>
          <wp:anchor distT="0" distB="0" distL="114300" distR="114300" simplePos="0" relativeHeight="251703296" behindDoc="0" locked="0" layoutInCell="1" allowOverlap="1" wp14:anchorId="120630EA" wp14:editId="128F41D3">
            <wp:simplePos x="0" y="0"/>
            <wp:positionH relativeFrom="column">
              <wp:posOffset>-121285</wp:posOffset>
            </wp:positionH>
            <wp:positionV relativeFrom="paragraph">
              <wp:posOffset>571500</wp:posOffset>
            </wp:positionV>
            <wp:extent cx="5943600" cy="4001770"/>
            <wp:effectExtent l="0" t="0" r="0" b="0"/>
            <wp:wrapTopAndBottom/>
            <wp:docPr id="82" name="Picture 82"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line chart&#10;&#10;Description automatically generated"/>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943600" cy="4001770"/>
                    </a:xfrm>
                    <a:prstGeom prst="rect">
                      <a:avLst/>
                    </a:prstGeom>
                  </pic:spPr>
                </pic:pic>
              </a:graphicData>
            </a:graphic>
            <wp14:sizeRelH relativeFrom="page">
              <wp14:pctWidth>0</wp14:pctWidth>
            </wp14:sizeRelH>
            <wp14:sizeRelV relativeFrom="page">
              <wp14:pctHeight>0</wp14:pctHeight>
            </wp14:sizeRelV>
          </wp:anchor>
        </w:drawing>
      </w:r>
      <w:r w:rsidRPr="00F33FC4">
        <w:rPr>
          <w:rFonts w:eastAsia="Calibri"/>
          <w:b/>
          <w:bCs/>
        </w:rPr>
        <w:br w:type="page"/>
      </w:r>
    </w:p>
    <w:p w14:paraId="0FB165A3" w14:textId="77777777" w:rsidR="00C3607D" w:rsidRDefault="00C3607D" w:rsidP="00C3607D">
      <w:pPr>
        <w:spacing w:line="360" w:lineRule="auto"/>
        <w:rPr>
          <w:rFonts w:eastAsia="Calibri"/>
        </w:rPr>
      </w:pPr>
      <w:r w:rsidRPr="00F33FC4">
        <w:rPr>
          <w:rFonts w:eastAsia="Calibri"/>
        </w:rPr>
        <w:lastRenderedPageBreak/>
        <w:t>used first, and then cells should transition to fumarate as a carbon source. However, while there was a brief stasis at OD</w:t>
      </w:r>
      <w:r w:rsidRPr="00F33FC4">
        <w:rPr>
          <w:rFonts w:eastAsia="Calibri"/>
          <w:vertAlign w:val="subscript"/>
        </w:rPr>
        <w:t>600</w:t>
      </w:r>
      <w:r w:rsidRPr="00F33FC4">
        <w:rPr>
          <w:rFonts w:eastAsia="Calibri"/>
        </w:rPr>
        <w:t xml:space="preserve"> approximately 0.03 signifying possible shift in carbon source utilization, there was no growth difference between the wild type and the </w:t>
      </w:r>
      <w:r w:rsidRPr="00F33FC4">
        <w:rPr>
          <w:rFonts w:eastAsia="Calibri"/>
          <w:i/>
          <w:iCs/>
        </w:rPr>
        <w:sym w:font="Symbol" w:char="F044"/>
      </w:r>
      <w:proofErr w:type="spellStart"/>
      <w:r w:rsidRPr="00F33FC4">
        <w:rPr>
          <w:rFonts w:eastAsia="Calibri"/>
          <w:i/>
          <w:iCs/>
        </w:rPr>
        <w:t>zor-orz</w:t>
      </w:r>
      <w:proofErr w:type="spellEnd"/>
      <w:r w:rsidRPr="00F33FC4">
        <w:rPr>
          <w:rFonts w:eastAsia="Calibri"/>
          <w:i/>
          <w:iCs/>
        </w:rPr>
        <w:t xml:space="preserve"> </w:t>
      </w:r>
      <w:r w:rsidRPr="00F33FC4">
        <w:rPr>
          <w:rFonts w:eastAsia="Calibri"/>
        </w:rPr>
        <w:t xml:space="preserve">strain (Fig. 3.2C). </w:t>
      </w:r>
    </w:p>
    <w:p w14:paraId="16459B3B" w14:textId="0DE333F5" w:rsidR="00F33FC4" w:rsidRPr="00F33FC4" w:rsidRDefault="00F33FC4" w:rsidP="00C3607D">
      <w:pPr>
        <w:spacing w:line="360" w:lineRule="auto"/>
        <w:ind w:firstLine="720"/>
        <w:rPr>
          <w:rFonts w:eastAsia="Calibri"/>
        </w:rPr>
      </w:pPr>
      <w:r w:rsidRPr="00F33FC4">
        <w:rPr>
          <w:rFonts w:eastAsia="Calibri"/>
        </w:rPr>
        <w:t xml:space="preserve">Our previous study indicated that multiple copies of </w:t>
      </w:r>
      <w:proofErr w:type="spellStart"/>
      <w:r w:rsidRPr="00F33FC4">
        <w:rPr>
          <w:rFonts w:eastAsia="Calibri"/>
          <w:i/>
          <w:iCs/>
        </w:rPr>
        <w:t>zor-orz</w:t>
      </w:r>
      <w:proofErr w:type="spellEnd"/>
      <w:r w:rsidRPr="00F33FC4">
        <w:rPr>
          <w:rFonts w:eastAsia="Calibri"/>
        </w:rPr>
        <w:t xml:space="preserve"> allowed for better growth in the presence of kanamycin. Consequently, we tested whether the </w:t>
      </w:r>
      <w:r w:rsidRPr="00F33FC4">
        <w:rPr>
          <w:rFonts w:eastAsia="Calibri"/>
          <w:i/>
          <w:iCs/>
        </w:rPr>
        <w:sym w:font="Symbol" w:char="F044"/>
      </w:r>
      <w:proofErr w:type="spellStart"/>
      <w:r w:rsidRPr="00F33FC4">
        <w:rPr>
          <w:rFonts w:eastAsia="Calibri"/>
          <w:i/>
          <w:iCs/>
        </w:rPr>
        <w:t>zor-orz</w:t>
      </w:r>
      <w:proofErr w:type="spellEnd"/>
      <w:r w:rsidRPr="00F33FC4">
        <w:rPr>
          <w:rFonts w:eastAsia="Calibri"/>
          <w:i/>
          <w:iCs/>
        </w:rPr>
        <w:t xml:space="preserve"> </w:t>
      </w:r>
      <w:r w:rsidRPr="00F33FC4">
        <w:rPr>
          <w:rFonts w:eastAsia="Calibri"/>
          <w:iCs/>
        </w:rPr>
        <w:t>strain</w:t>
      </w:r>
      <w:r w:rsidRPr="00F33FC4">
        <w:rPr>
          <w:rFonts w:eastAsia="Calibri"/>
        </w:rPr>
        <w:t xml:space="preserve"> was more sensitive to kanamycin than the parental.</w:t>
      </w:r>
      <w:r w:rsidR="000725B7">
        <w:rPr>
          <w:rFonts w:eastAsia="Calibri"/>
        </w:rPr>
        <w:t xml:space="preserve"> </w:t>
      </w:r>
      <w:r w:rsidRPr="00F33FC4">
        <w:rPr>
          <w:rFonts w:eastAsia="Calibri"/>
        </w:rPr>
        <w:t xml:space="preserve">However, addition of kanamycin 8 µg/ml during mid-log growth phase in LB medium did not show a significant difference between the growth of the parental strain and </w:t>
      </w:r>
      <w:r w:rsidRPr="00F33FC4">
        <w:rPr>
          <w:rFonts w:eastAsia="Calibri"/>
          <w:i/>
          <w:iCs/>
        </w:rPr>
        <w:sym w:font="Symbol" w:char="F044"/>
      </w:r>
      <w:proofErr w:type="spellStart"/>
      <w:r w:rsidRPr="00F33FC4">
        <w:rPr>
          <w:rFonts w:eastAsia="Calibri"/>
          <w:i/>
          <w:iCs/>
        </w:rPr>
        <w:t>zor-orz</w:t>
      </w:r>
      <w:proofErr w:type="spellEnd"/>
      <w:r w:rsidRPr="00F33FC4">
        <w:rPr>
          <w:rFonts w:eastAsia="Calibri"/>
          <w:i/>
          <w:iCs/>
        </w:rPr>
        <w:t xml:space="preserve"> </w:t>
      </w:r>
      <w:r w:rsidRPr="00F33FC4">
        <w:rPr>
          <w:rFonts w:eastAsia="Calibri"/>
        </w:rPr>
        <w:t xml:space="preserve">strain (Fig. 3.2D). These results indicate that the deletion of the </w:t>
      </w:r>
      <w:proofErr w:type="spellStart"/>
      <w:r w:rsidRPr="00F33FC4">
        <w:rPr>
          <w:rFonts w:eastAsia="Calibri"/>
          <w:i/>
          <w:iCs/>
        </w:rPr>
        <w:t>zor-orz</w:t>
      </w:r>
      <w:proofErr w:type="spellEnd"/>
      <w:r w:rsidRPr="00F33FC4">
        <w:rPr>
          <w:rFonts w:eastAsia="Calibri"/>
        </w:rPr>
        <w:t xml:space="preserve"> locus or the regulatory elements preventing </w:t>
      </w:r>
      <w:proofErr w:type="spellStart"/>
      <w:r w:rsidRPr="00F33FC4">
        <w:rPr>
          <w:rFonts w:eastAsia="Calibri"/>
        </w:rPr>
        <w:t>ZorO</w:t>
      </w:r>
      <w:proofErr w:type="spellEnd"/>
      <w:r w:rsidRPr="00F33FC4">
        <w:rPr>
          <w:rFonts w:eastAsia="Calibri"/>
        </w:rPr>
        <w:t xml:space="preserve"> translation (</w:t>
      </w:r>
      <w:proofErr w:type="spellStart"/>
      <w:r w:rsidRPr="00F33FC4">
        <w:rPr>
          <w:rFonts w:eastAsia="Calibri"/>
        </w:rPr>
        <w:t>OrzO</w:t>
      </w:r>
      <w:proofErr w:type="spellEnd"/>
      <w:r w:rsidRPr="00F33FC4">
        <w:rPr>
          <w:rFonts w:eastAsia="Calibri"/>
        </w:rPr>
        <w:t xml:space="preserve"> and 5’ UTR) in EDL933 is not sufficient to impart the differences in the growth as measured by optical density. </w:t>
      </w:r>
    </w:p>
    <w:p w14:paraId="0760DEEF" w14:textId="77777777" w:rsidR="00F33FC4" w:rsidRPr="00F33FC4" w:rsidRDefault="00F33FC4" w:rsidP="00F33FC4">
      <w:pPr>
        <w:spacing w:line="360" w:lineRule="auto"/>
        <w:ind w:left="284"/>
        <w:rPr>
          <w:rFonts w:eastAsia="Calibri"/>
          <w:b/>
          <w:bCs/>
        </w:rPr>
      </w:pPr>
    </w:p>
    <w:p w14:paraId="2A5528A7" w14:textId="77777777" w:rsidR="00F33FC4" w:rsidRPr="00F33FC4" w:rsidRDefault="00F33FC4" w:rsidP="00C3607D">
      <w:pPr>
        <w:spacing w:line="360" w:lineRule="auto"/>
        <w:rPr>
          <w:rFonts w:eastAsia="Calibri"/>
          <w:b/>
          <w:bCs/>
        </w:rPr>
      </w:pPr>
      <w:r w:rsidRPr="00F33FC4">
        <w:rPr>
          <w:rFonts w:eastAsia="Calibri"/>
          <w:b/>
          <w:bCs/>
        </w:rPr>
        <w:t xml:space="preserve">Multiple copies of </w:t>
      </w:r>
      <w:proofErr w:type="spellStart"/>
      <w:r w:rsidRPr="00F33FC4">
        <w:rPr>
          <w:rFonts w:eastAsia="Calibri"/>
          <w:b/>
          <w:bCs/>
          <w:i/>
          <w:iCs/>
        </w:rPr>
        <w:t>zor-orz</w:t>
      </w:r>
      <w:proofErr w:type="spellEnd"/>
      <w:r w:rsidRPr="00F33FC4">
        <w:rPr>
          <w:rFonts w:eastAsia="Calibri"/>
          <w:b/>
          <w:bCs/>
        </w:rPr>
        <w:t xml:space="preserve"> locus: role in growth after kanamycin challenge</w:t>
      </w:r>
    </w:p>
    <w:p w14:paraId="2005607E" w14:textId="77777777" w:rsidR="00F33FC4" w:rsidRPr="00F33FC4" w:rsidRDefault="00F33FC4" w:rsidP="00C3607D">
      <w:pPr>
        <w:spacing w:line="360" w:lineRule="auto"/>
        <w:ind w:firstLine="720"/>
        <w:rPr>
          <w:rFonts w:eastAsia="Calibri"/>
        </w:rPr>
      </w:pPr>
      <w:r w:rsidRPr="00F33FC4">
        <w:rPr>
          <w:rFonts w:eastAsia="Calibri"/>
        </w:rPr>
        <w:t xml:space="preserve">Previously, we noted that </w:t>
      </w:r>
      <w:r w:rsidRPr="00F33FC4">
        <w:rPr>
          <w:rFonts w:eastAsia="Calibri"/>
          <w:i/>
          <w:iCs/>
        </w:rPr>
        <w:sym w:font="Symbol" w:char="F044"/>
      </w:r>
      <w:proofErr w:type="spellStart"/>
      <w:r w:rsidRPr="00F33FC4">
        <w:rPr>
          <w:rFonts w:eastAsia="Calibri"/>
          <w:i/>
          <w:iCs/>
        </w:rPr>
        <w:t>zor-orz</w:t>
      </w:r>
      <w:proofErr w:type="spellEnd"/>
      <w:r w:rsidRPr="00F33FC4">
        <w:rPr>
          <w:rFonts w:eastAsia="Calibri"/>
          <w:i/>
          <w:iCs/>
        </w:rPr>
        <w:t xml:space="preserve"> </w:t>
      </w:r>
      <w:r w:rsidRPr="00F33FC4">
        <w:rPr>
          <w:rFonts w:eastAsia="Calibri"/>
        </w:rPr>
        <w:t xml:space="preserve">harboring </w:t>
      </w:r>
      <w:proofErr w:type="spellStart"/>
      <w:r w:rsidRPr="00F33FC4">
        <w:rPr>
          <w:rFonts w:eastAsia="Calibri"/>
        </w:rPr>
        <w:t>pBR</w:t>
      </w:r>
      <w:proofErr w:type="spellEnd"/>
      <w:r w:rsidRPr="00F33FC4">
        <w:rPr>
          <w:rFonts w:eastAsia="Calibri"/>
        </w:rPr>
        <w:t xml:space="preserve"> or </w:t>
      </w:r>
      <w:proofErr w:type="spellStart"/>
      <w:r w:rsidRPr="00F33FC4">
        <w:rPr>
          <w:rFonts w:eastAsia="Calibri"/>
        </w:rPr>
        <w:t>pBR-</w:t>
      </w:r>
      <w:r w:rsidRPr="00F33FC4">
        <w:rPr>
          <w:rFonts w:eastAsia="Calibri"/>
          <w:i/>
          <w:iCs/>
        </w:rPr>
        <w:t>zor-orz</w:t>
      </w:r>
      <w:proofErr w:type="spellEnd"/>
      <w:r w:rsidRPr="00F33FC4">
        <w:rPr>
          <w:rFonts w:eastAsia="Calibri"/>
        </w:rPr>
        <w:t xml:space="preserve"> grow similar in rich media (LB) and minimal media but cells harboring </w:t>
      </w:r>
      <w:proofErr w:type="spellStart"/>
      <w:r w:rsidRPr="00F33FC4">
        <w:rPr>
          <w:rFonts w:eastAsia="Calibri"/>
        </w:rPr>
        <w:t>pBR-</w:t>
      </w:r>
      <w:r w:rsidRPr="00F33FC4">
        <w:rPr>
          <w:rFonts w:eastAsia="Calibri"/>
          <w:i/>
          <w:iCs/>
        </w:rPr>
        <w:t>zor-orz</w:t>
      </w:r>
      <w:proofErr w:type="spellEnd"/>
      <w:r w:rsidRPr="00F33FC4">
        <w:rPr>
          <w:rFonts w:eastAsia="Calibri"/>
        </w:rPr>
        <w:t xml:space="preserve"> had improved growth in presence of several aminoglycoside antibiotics and an increased minimum inhibitory concentration for kanamycin and gentamycin </w:t>
      </w:r>
      <w:r w:rsidRPr="00F33FC4">
        <w:rPr>
          <w:rFonts w:eastAsia="Calibri"/>
          <w:noProof/>
        </w:rPr>
        <w:t>(18)</w:t>
      </w:r>
      <w:r w:rsidRPr="00F33FC4">
        <w:rPr>
          <w:rFonts w:eastAsia="Calibri"/>
        </w:rPr>
        <w:t xml:space="preserve">. When cells were challenged with kanamycin (10 µg/ml) in exponential phase, cells with </w:t>
      </w:r>
      <w:proofErr w:type="spellStart"/>
      <w:r w:rsidRPr="00F33FC4">
        <w:rPr>
          <w:rFonts w:eastAsia="Calibri"/>
        </w:rPr>
        <w:t>pBR-</w:t>
      </w:r>
      <w:r w:rsidRPr="00F33FC4">
        <w:rPr>
          <w:rFonts w:eastAsia="Calibri"/>
          <w:i/>
          <w:iCs/>
        </w:rPr>
        <w:t>zor-orz</w:t>
      </w:r>
      <w:proofErr w:type="spellEnd"/>
      <w:r w:rsidRPr="00F33FC4">
        <w:rPr>
          <w:rFonts w:eastAsia="Calibri"/>
        </w:rPr>
        <w:t xml:space="preserve"> did reach a higher final optical density than that of empty vector (Fig. 3.3). To further elucidate the mechanism by which the </w:t>
      </w:r>
      <w:proofErr w:type="spellStart"/>
      <w:r w:rsidRPr="00F33FC4">
        <w:rPr>
          <w:rFonts w:eastAsia="Calibri"/>
          <w:i/>
          <w:iCs/>
        </w:rPr>
        <w:t>zor-orz</w:t>
      </w:r>
      <w:proofErr w:type="spellEnd"/>
      <w:r w:rsidRPr="00F33FC4">
        <w:rPr>
          <w:rFonts w:eastAsia="Calibri"/>
        </w:rPr>
        <w:t xml:space="preserve"> locus enables improved growth in the presence of kanamycin, we challenged the cells with 10 µg/ml kanamycin for 15 minutes and extracted RNA for transcriptomic analyses. </w:t>
      </w:r>
    </w:p>
    <w:p w14:paraId="095382BD" w14:textId="77777777" w:rsidR="00F33FC4" w:rsidRPr="00F33FC4" w:rsidRDefault="00F33FC4" w:rsidP="00F33FC4">
      <w:pPr>
        <w:spacing w:line="360" w:lineRule="auto"/>
        <w:ind w:left="284"/>
        <w:rPr>
          <w:rFonts w:eastAsia="Calibri"/>
        </w:rPr>
      </w:pPr>
    </w:p>
    <w:p w14:paraId="63CB52A4" w14:textId="77777777" w:rsidR="00F33FC4" w:rsidRPr="00F33FC4" w:rsidRDefault="00F33FC4" w:rsidP="00C3607D">
      <w:pPr>
        <w:spacing w:line="360" w:lineRule="auto"/>
        <w:rPr>
          <w:rFonts w:eastAsia="Calibri"/>
          <w:b/>
          <w:bCs/>
        </w:rPr>
      </w:pPr>
      <w:r w:rsidRPr="00F33FC4">
        <w:rPr>
          <w:rFonts w:eastAsia="Calibri"/>
          <w:b/>
          <w:bCs/>
        </w:rPr>
        <w:t>RNA sequencing output and quality control</w:t>
      </w:r>
    </w:p>
    <w:p w14:paraId="0A2E5072" w14:textId="14F9236E" w:rsidR="00F33FC4" w:rsidRPr="00F33FC4" w:rsidRDefault="00F33FC4" w:rsidP="00C3607D">
      <w:pPr>
        <w:spacing w:line="360" w:lineRule="auto"/>
        <w:ind w:firstLine="720"/>
        <w:rPr>
          <w:rFonts w:eastAsia="Calibri"/>
        </w:rPr>
      </w:pPr>
      <w:r w:rsidRPr="00F33FC4">
        <w:rPr>
          <w:rFonts w:eastAsia="Calibri"/>
        </w:rPr>
        <w:t xml:space="preserve">The overall sequence reads, </w:t>
      </w:r>
      <w:proofErr w:type="spellStart"/>
      <w:r w:rsidRPr="00F33FC4">
        <w:rPr>
          <w:rFonts w:eastAsia="Calibri"/>
        </w:rPr>
        <w:t>FastQC</w:t>
      </w:r>
      <w:proofErr w:type="spellEnd"/>
      <w:r w:rsidRPr="00F33FC4">
        <w:rPr>
          <w:rFonts w:eastAsia="Calibri"/>
        </w:rPr>
        <w:t xml:space="preserve"> results and the number of mapped reads to the reference genome is listed in Table 3.1. The mean total sequence output for all the samples was 33,76,865 reads (SE ± 2,73,118). The total sequence reads for cells harboring </w:t>
      </w:r>
      <w:proofErr w:type="spellStart"/>
      <w:r w:rsidRPr="00F33FC4">
        <w:rPr>
          <w:rFonts w:eastAsia="Calibri"/>
        </w:rPr>
        <w:t>pBR</w:t>
      </w:r>
      <w:proofErr w:type="spellEnd"/>
      <w:r w:rsidRPr="00F33FC4">
        <w:rPr>
          <w:rFonts w:eastAsia="Calibri"/>
        </w:rPr>
        <w:t xml:space="preserve"> was less than that for those harboring </w:t>
      </w:r>
      <w:proofErr w:type="spellStart"/>
      <w:r w:rsidRPr="00F33FC4">
        <w:rPr>
          <w:rFonts w:eastAsia="Calibri"/>
        </w:rPr>
        <w:t>pBR-</w:t>
      </w:r>
      <w:r w:rsidRPr="00F33FC4">
        <w:rPr>
          <w:rFonts w:eastAsia="Calibri"/>
          <w:i/>
          <w:iCs/>
        </w:rPr>
        <w:t>zor-roz</w:t>
      </w:r>
      <w:proofErr w:type="spellEnd"/>
      <w:r w:rsidRPr="00F33FC4">
        <w:rPr>
          <w:rFonts w:eastAsia="Calibri"/>
        </w:rPr>
        <w:t xml:space="preserve"> (28,26,330 vs 39, 27,399 respectively, Table 3.1). </w:t>
      </w:r>
      <w:proofErr w:type="spellStart"/>
      <w:r w:rsidRPr="00F33FC4">
        <w:rPr>
          <w:rFonts w:eastAsia="Calibri"/>
        </w:rPr>
        <w:t>FastQC</w:t>
      </w:r>
      <w:proofErr w:type="spellEnd"/>
      <w:r w:rsidRPr="00F33FC4">
        <w:rPr>
          <w:rFonts w:eastAsia="Calibri"/>
        </w:rPr>
        <w:t xml:space="preserve"> was used assess the quality of the raw </w:t>
      </w:r>
    </w:p>
    <w:p w14:paraId="2DD0EA59" w14:textId="34D0DEA5" w:rsidR="00F33FC4" w:rsidRPr="00F33FC4" w:rsidRDefault="00F33FC4" w:rsidP="00F33FC4">
      <w:pPr>
        <w:spacing w:line="360" w:lineRule="auto"/>
        <w:ind w:left="284" w:firstLine="720"/>
        <w:rPr>
          <w:rFonts w:eastAsia="Calibri"/>
          <w:b/>
          <w:bCs/>
        </w:rPr>
      </w:pPr>
    </w:p>
    <w:p w14:paraId="42BB365E" w14:textId="77777777" w:rsidR="00F33FC4" w:rsidRPr="00F33FC4" w:rsidRDefault="00F33FC4" w:rsidP="00F33FC4">
      <w:pPr>
        <w:spacing w:line="360" w:lineRule="auto"/>
        <w:ind w:left="284" w:firstLine="720"/>
        <w:rPr>
          <w:rFonts w:eastAsia="Calibri"/>
        </w:rPr>
      </w:pPr>
      <w:r w:rsidRPr="00F33FC4">
        <w:rPr>
          <w:rFonts w:ascii="Calibri" w:eastAsia="Calibri" w:hAnsi="Calibri" w:cs="Mangal"/>
          <w:noProof/>
        </w:rPr>
        <mc:AlternateContent>
          <mc:Choice Requires="wps">
            <w:drawing>
              <wp:anchor distT="0" distB="0" distL="114300" distR="114300" simplePos="0" relativeHeight="251710464" behindDoc="0" locked="0" layoutInCell="1" allowOverlap="1" wp14:anchorId="1CDCF3B4" wp14:editId="637DEEC5">
                <wp:simplePos x="0" y="0"/>
                <wp:positionH relativeFrom="column">
                  <wp:posOffset>252919</wp:posOffset>
                </wp:positionH>
                <wp:positionV relativeFrom="paragraph">
                  <wp:posOffset>3581697</wp:posOffset>
                </wp:positionV>
                <wp:extent cx="5320030" cy="635"/>
                <wp:effectExtent l="0" t="0" r="1270" b="0"/>
                <wp:wrapTopAndBottom/>
                <wp:docPr id="75" name="Text Box 75"/>
                <wp:cNvGraphicFramePr/>
                <a:graphic xmlns:a="http://schemas.openxmlformats.org/drawingml/2006/main">
                  <a:graphicData uri="http://schemas.microsoft.com/office/word/2010/wordprocessingShape">
                    <wps:wsp>
                      <wps:cNvSpPr txBox="1"/>
                      <wps:spPr>
                        <a:xfrm>
                          <a:off x="0" y="0"/>
                          <a:ext cx="5320030" cy="635"/>
                        </a:xfrm>
                        <a:prstGeom prst="rect">
                          <a:avLst/>
                        </a:prstGeom>
                        <a:solidFill>
                          <a:prstClr val="white"/>
                        </a:solidFill>
                        <a:ln>
                          <a:noFill/>
                        </a:ln>
                      </wps:spPr>
                      <wps:txbx>
                        <w:txbxContent>
                          <w:p w14:paraId="2C3678EC" w14:textId="77777777" w:rsidR="00F33FC4" w:rsidRPr="00F12873" w:rsidRDefault="00F33FC4" w:rsidP="00F33FC4">
                            <w:pPr>
                              <w:pStyle w:val="Caption"/>
                              <w:rPr>
                                <w:i/>
                                <w:iCs w:val="0"/>
                                <w:sz w:val="22"/>
                                <w:szCs w:val="22"/>
                              </w:rPr>
                            </w:pPr>
                            <w:r w:rsidRPr="00F12873">
                              <w:rPr>
                                <w:iCs w:val="0"/>
                                <w:sz w:val="22"/>
                                <w:szCs w:val="22"/>
                              </w:rPr>
                              <w:t xml:space="preserve">Figure </w:t>
                            </w:r>
                            <w:r>
                              <w:rPr>
                                <w:iCs w:val="0"/>
                                <w:sz w:val="22"/>
                                <w:szCs w:val="22"/>
                              </w:rPr>
                              <w:t>3.3. Growth curve of the EDL933</w:t>
                            </w:r>
                            <w:r w:rsidRPr="00155ED3">
                              <w:rPr>
                                <w:sz w:val="22"/>
                                <w:szCs w:val="22"/>
                              </w:rPr>
                              <w:t>-</w:t>
                            </w:r>
                            <w:r w:rsidRPr="00155ED3">
                              <w:rPr>
                                <w:sz w:val="22"/>
                                <w:szCs w:val="22"/>
                              </w:rPr>
                              <w:sym w:font="Symbol" w:char="F044"/>
                            </w:r>
                            <w:proofErr w:type="spellStart"/>
                            <w:r w:rsidRPr="00F24DF8">
                              <w:rPr>
                                <w:i/>
                                <w:iCs w:val="0"/>
                                <w:sz w:val="22"/>
                                <w:szCs w:val="22"/>
                              </w:rPr>
                              <w:t>zor-orz</w:t>
                            </w:r>
                            <w:proofErr w:type="spellEnd"/>
                            <w:r w:rsidRPr="00155ED3">
                              <w:rPr>
                                <w:sz w:val="22"/>
                                <w:szCs w:val="22"/>
                              </w:rPr>
                              <w:t xml:space="preserve"> </w:t>
                            </w:r>
                            <w:r>
                              <w:rPr>
                                <w:iCs w:val="0"/>
                                <w:sz w:val="22"/>
                                <w:szCs w:val="22"/>
                              </w:rPr>
                              <w:t xml:space="preserve">strain carrying indicated plasmid vector in LB medium with addition of 10 </w:t>
                            </w:r>
                            <w:r w:rsidRPr="00155ED3">
                              <w:rPr>
                                <w:iCs w:val="0"/>
                                <w:sz w:val="22"/>
                                <w:szCs w:val="22"/>
                              </w:rPr>
                              <w:t>µg/ml kanamycin during mid-log growth phase</w:t>
                            </w:r>
                            <w:r>
                              <w:rPr>
                                <w:iCs w:val="0"/>
                                <w:sz w:val="22"/>
                                <w:szCs w:val="22"/>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CDCF3B4" id="Text Box 75" o:spid="_x0000_s1043" type="#_x0000_t202" style="position:absolute;left:0;text-align:left;margin-left:19.9pt;margin-top:282pt;width:418.9pt;height:.05pt;z-index:251710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" stroked="f">
                <v:textbox style="mso-fit-shape-to-text:t" inset="0,0,0,0">
                  <w:txbxContent>
                    <w:p w14:paraId="2C3678EC" w14:textId="77777777" w:rsidR="00F33FC4" w:rsidRPr="00F12873" w:rsidRDefault="00F33FC4" w:rsidP="00F33FC4">
                      <w:pPr>
                        <w:pStyle w:val="Caption"/>
                        <w:rPr>
                          <w:i/>
                          <w:iCs w:val="0"/>
                          <w:sz w:val="22"/>
                          <w:szCs w:val="22"/>
                        </w:rPr>
                      </w:pPr>
                      <w:r w:rsidRPr="00F12873">
                        <w:rPr>
                          <w:iCs w:val="0"/>
                          <w:sz w:val="22"/>
                          <w:szCs w:val="22"/>
                        </w:rPr>
                        <w:t xml:space="preserve">Figure </w:t>
                      </w:r>
                      <w:r>
                        <w:rPr>
                          <w:iCs w:val="0"/>
                          <w:sz w:val="22"/>
                          <w:szCs w:val="22"/>
                        </w:rPr>
                        <w:t>3.3. Growth curve of the EDL933</w:t>
                      </w:r>
                      <w:r w:rsidRPr="00155ED3">
                        <w:rPr>
                          <w:sz w:val="22"/>
                          <w:szCs w:val="22"/>
                        </w:rPr>
                        <w:t>-</w:t>
                      </w:r>
                      <w:r w:rsidRPr="00155ED3">
                        <w:rPr>
                          <w:sz w:val="22"/>
                          <w:szCs w:val="22"/>
                        </w:rPr>
                        <w:sym w:font="Symbol" w:char="F044"/>
                      </w:r>
                      <w:proofErr w:type="spellStart"/>
                      <w:r w:rsidRPr="00F24DF8">
                        <w:rPr>
                          <w:i/>
                          <w:iCs w:val="0"/>
                          <w:sz w:val="22"/>
                          <w:szCs w:val="22"/>
                        </w:rPr>
                        <w:t>zor-orz</w:t>
                      </w:r>
                      <w:proofErr w:type="spellEnd"/>
                      <w:r w:rsidRPr="00155ED3">
                        <w:rPr>
                          <w:sz w:val="22"/>
                          <w:szCs w:val="22"/>
                        </w:rPr>
                        <w:t xml:space="preserve"> </w:t>
                      </w:r>
                      <w:r>
                        <w:rPr>
                          <w:iCs w:val="0"/>
                          <w:sz w:val="22"/>
                          <w:szCs w:val="22"/>
                        </w:rPr>
                        <w:t xml:space="preserve">strain carrying indicated plasmid vector in LB medium with addition of 10 </w:t>
                      </w:r>
                      <w:r w:rsidRPr="00155ED3">
                        <w:rPr>
                          <w:iCs w:val="0"/>
                          <w:sz w:val="22"/>
                          <w:szCs w:val="22"/>
                        </w:rPr>
                        <w:t>µg/ml kanamycin during mid-log growth phase</w:t>
                      </w:r>
                      <w:r>
                        <w:rPr>
                          <w:iCs w:val="0"/>
                          <w:sz w:val="22"/>
                          <w:szCs w:val="22"/>
                        </w:rPr>
                        <w:t>.</w:t>
                      </w:r>
                    </w:p>
                  </w:txbxContent>
                </v:textbox>
                <w10:wrap type="topAndBottom"/>
              </v:shape>
            </w:pict>
          </mc:Fallback>
        </mc:AlternateContent>
      </w:r>
      <w:r w:rsidRPr="00F33FC4">
        <w:rPr>
          <w:rFonts w:eastAsia="Calibri"/>
          <w:noProof/>
        </w:rPr>
        <w:drawing>
          <wp:anchor distT="0" distB="0" distL="114300" distR="114300" simplePos="0" relativeHeight="251711488" behindDoc="0" locked="0" layoutInCell="1" allowOverlap="1" wp14:anchorId="713DE61D" wp14:editId="6EB1CB9C">
            <wp:simplePos x="0" y="0"/>
            <wp:positionH relativeFrom="column">
              <wp:posOffset>406400</wp:posOffset>
            </wp:positionH>
            <wp:positionV relativeFrom="paragraph">
              <wp:posOffset>262890</wp:posOffset>
            </wp:positionV>
            <wp:extent cx="4239260" cy="3183255"/>
            <wp:effectExtent l="0" t="0" r="2540" b="4445"/>
            <wp:wrapTopAndBottom/>
            <wp:docPr id="83" name="Picture 83"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hart&#10;&#10;Description automatically generated"/>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239260" cy="3183255"/>
                    </a:xfrm>
                    <a:prstGeom prst="rect">
                      <a:avLst/>
                    </a:prstGeom>
                  </pic:spPr>
                </pic:pic>
              </a:graphicData>
            </a:graphic>
            <wp14:sizeRelH relativeFrom="page">
              <wp14:pctWidth>0</wp14:pctWidth>
            </wp14:sizeRelH>
            <wp14:sizeRelV relativeFrom="page">
              <wp14:pctHeight>0</wp14:pctHeight>
            </wp14:sizeRelV>
          </wp:anchor>
        </w:drawing>
      </w:r>
      <w:r w:rsidRPr="00F33FC4">
        <w:rPr>
          <w:rFonts w:eastAsia="Calibri"/>
        </w:rPr>
        <w:br w:type="page"/>
      </w:r>
    </w:p>
    <w:p w14:paraId="23218C6B" w14:textId="77777777" w:rsidR="00F33FC4" w:rsidRPr="00D21137" w:rsidRDefault="00F33FC4" w:rsidP="00F33FC4">
      <w:pPr>
        <w:spacing w:line="360" w:lineRule="auto"/>
        <w:ind w:firstLine="284"/>
        <w:rPr>
          <w:rFonts w:eastAsia="Calibri"/>
          <w:sz w:val="22"/>
          <w:szCs w:val="22"/>
        </w:rPr>
      </w:pPr>
      <w:r w:rsidRPr="00D21137">
        <w:rPr>
          <w:rFonts w:eastAsia="Calibri"/>
          <w:sz w:val="22"/>
          <w:szCs w:val="22"/>
        </w:rPr>
        <w:lastRenderedPageBreak/>
        <w:t>Table 3.1. Total sequencing reads, read quality, and mapping</w:t>
      </w:r>
    </w:p>
    <w:tbl>
      <w:tblPr>
        <w:tblW w:w="8904" w:type="dxa"/>
        <w:tblInd w:w="168" w:type="dxa"/>
        <w:tblLook w:val="04A0" w:firstRow="1" w:lastRow="0" w:firstColumn="1" w:lastColumn="0" w:noHBand="0" w:noVBand="1"/>
      </w:tblPr>
      <w:tblGrid>
        <w:gridCol w:w="2384"/>
        <w:gridCol w:w="1616"/>
        <w:gridCol w:w="1300"/>
        <w:gridCol w:w="1300"/>
        <w:gridCol w:w="1199"/>
        <w:gridCol w:w="1105"/>
      </w:tblGrid>
      <w:tr w:rsidR="00F33FC4" w:rsidRPr="00D21137" w14:paraId="5644B731" w14:textId="77777777" w:rsidTr="00D21137">
        <w:trPr>
          <w:trHeight w:val="400"/>
        </w:trPr>
        <w:tc>
          <w:tcPr>
            <w:tcW w:w="2384" w:type="dxa"/>
            <w:vMerge w:val="restart"/>
            <w:tcBorders>
              <w:top w:val="single" w:sz="4" w:space="0" w:color="auto"/>
              <w:left w:val="nil"/>
              <w:bottom w:val="nil"/>
              <w:right w:val="nil"/>
            </w:tcBorders>
            <w:shd w:val="clear" w:color="auto" w:fill="auto"/>
            <w:noWrap/>
            <w:vAlign w:val="center"/>
            <w:hideMark/>
          </w:tcPr>
          <w:p w14:paraId="5914974C" w14:textId="77777777" w:rsidR="00F33FC4" w:rsidRPr="00D21137" w:rsidRDefault="00F33FC4" w:rsidP="00F33FC4">
            <w:pPr>
              <w:rPr>
                <w:sz w:val="22"/>
                <w:szCs w:val="22"/>
                <w:lang w:bidi="ne-NP"/>
              </w:rPr>
            </w:pPr>
          </w:p>
        </w:tc>
        <w:tc>
          <w:tcPr>
            <w:tcW w:w="4216" w:type="dxa"/>
            <w:gridSpan w:val="3"/>
            <w:tcBorders>
              <w:top w:val="single" w:sz="4" w:space="0" w:color="auto"/>
              <w:left w:val="nil"/>
              <w:bottom w:val="nil"/>
              <w:right w:val="nil"/>
            </w:tcBorders>
            <w:shd w:val="clear" w:color="auto" w:fill="auto"/>
            <w:noWrap/>
            <w:vAlign w:val="center"/>
            <w:hideMark/>
          </w:tcPr>
          <w:p w14:paraId="05FD21D1" w14:textId="77777777" w:rsidR="00F33FC4" w:rsidRPr="00D21137" w:rsidRDefault="00F33FC4" w:rsidP="00F33FC4">
            <w:pPr>
              <w:jc w:val="center"/>
              <w:rPr>
                <w:b/>
                <w:bCs/>
                <w:color w:val="000000"/>
                <w:sz w:val="22"/>
                <w:szCs w:val="22"/>
                <w:lang w:bidi="ne-NP"/>
              </w:rPr>
            </w:pPr>
            <w:r w:rsidRPr="00D21137">
              <w:rPr>
                <w:b/>
                <w:bCs/>
                <w:color w:val="000000"/>
                <w:sz w:val="22"/>
                <w:szCs w:val="22"/>
                <w:lang w:bidi="ne-NP"/>
              </w:rPr>
              <w:t>EDL933-</w:t>
            </w:r>
            <w:r w:rsidRPr="00D21137">
              <w:rPr>
                <w:rFonts w:ascii="Cambria Math" w:hAnsi="Cambria Math" w:cs="Cambria Math"/>
                <w:b/>
                <w:bCs/>
                <w:color w:val="000000"/>
                <w:sz w:val="22"/>
                <w:szCs w:val="22"/>
                <w:lang w:bidi="ne-NP"/>
              </w:rPr>
              <w:t>△</w:t>
            </w:r>
            <w:proofErr w:type="spellStart"/>
            <w:r w:rsidRPr="00D21137">
              <w:rPr>
                <w:b/>
                <w:bCs/>
                <w:i/>
                <w:iCs/>
                <w:color w:val="000000"/>
                <w:sz w:val="22"/>
                <w:szCs w:val="22"/>
                <w:lang w:bidi="ne-NP"/>
              </w:rPr>
              <w:t>zor-orz</w:t>
            </w:r>
            <w:proofErr w:type="spellEnd"/>
            <w:r w:rsidRPr="00D21137">
              <w:rPr>
                <w:b/>
                <w:bCs/>
                <w:color w:val="000000"/>
                <w:sz w:val="22"/>
                <w:szCs w:val="22"/>
                <w:lang w:bidi="ne-NP"/>
              </w:rPr>
              <w:t xml:space="preserve"> </w:t>
            </w:r>
            <w:proofErr w:type="spellStart"/>
            <w:r w:rsidRPr="00D21137">
              <w:rPr>
                <w:b/>
                <w:bCs/>
                <w:color w:val="000000"/>
                <w:sz w:val="22"/>
                <w:szCs w:val="22"/>
                <w:lang w:bidi="ne-NP"/>
              </w:rPr>
              <w:t>pBR</w:t>
            </w:r>
            <w:proofErr w:type="spellEnd"/>
          </w:p>
        </w:tc>
        <w:tc>
          <w:tcPr>
            <w:tcW w:w="1199" w:type="dxa"/>
            <w:vMerge w:val="restart"/>
            <w:tcBorders>
              <w:top w:val="single" w:sz="4" w:space="0" w:color="auto"/>
              <w:left w:val="nil"/>
              <w:bottom w:val="nil"/>
              <w:right w:val="nil"/>
            </w:tcBorders>
            <w:shd w:val="clear" w:color="auto" w:fill="auto"/>
            <w:noWrap/>
            <w:vAlign w:val="center"/>
            <w:hideMark/>
          </w:tcPr>
          <w:p w14:paraId="5B071548" w14:textId="77777777" w:rsidR="00F33FC4" w:rsidRPr="00D21137" w:rsidRDefault="00F33FC4" w:rsidP="00F33FC4">
            <w:pPr>
              <w:jc w:val="center"/>
              <w:rPr>
                <w:b/>
                <w:bCs/>
                <w:color w:val="000000"/>
                <w:sz w:val="22"/>
                <w:szCs w:val="22"/>
                <w:lang w:bidi="ne-NP"/>
              </w:rPr>
            </w:pPr>
            <w:r w:rsidRPr="00D21137">
              <w:rPr>
                <w:b/>
                <w:bCs/>
                <w:color w:val="000000"/>
                <w:sz w:val="22"/>
                <w:szCs w:val="22"/>
                <w:lang w:bidi="ne-NP"/>
              </w:rPr>
              <w:t xml:space="preserve">Mean </w:t>
            </w:r>
          </w:p>
        </w:tc>
        <w:tc>
          <w:tcPr>
            <w:tcW w:w="1105" w:type="dxa"/>
            <w:vMerge w:val="restart"/>
            <w:tcBorders>
              <w:top w:val="single" w:sz="4" w:space="0" w:color="auto"/>
              <w:left w:val="nil"/>
              <w:bottom w:val="nil"/>
              <w:right w:val="nil"/>
            </w:tcBorders>
            <w:shd w:val="clear" w:color="auto" w:fill="auto"/>
            <w:noWrap/>
            <w:vAlign w:val="center"/>
            <w:hideMark/>
          </w:tcPr>
          <w:p w14:paraId="39C85A80" w14:textId="77777777" w:rsidR="00F33FC4" w:rsidRPr="00D21137" w:rsidRDefault="00F33FC4" w:rsidP="00F33FC4">
            <w:pPr>
              <w:jc w:val="center"/>
              <w:rPr>
                <w:b/>
                <w:bCs/>
                <w:color w:val="000000"/>
                <w:sz w:val="22"/>
                <w:szCs w:val="22"/>
                <w:lang w:bidi="ne-NP"/>
              </w:rPr>
            </w:pPr>
            <w:r w:rsidRPr="00D21137">
              <w:rPr>
                <w:b/>
                <w:bCs/>
                <w:color w:val="000000"/>
                <w:sz w:val="22"/>
                <w:szCs w:val="22"/>
                <w:lang w:bidi="ne-NP"/>
              </w:rPr>
              <w:t>± SE</w:t>
            </w:r>
          </w:p>
        </w:tc>
      </w:tr>
      <w:tr w:rsidR="00F33FC4" w:rsidRPr="00D21137" w14:paraId="739A912D" w14:textId="77777777" w:rsidTr="00D21137">
        <w:trPr>
          <w:trHeight w:val="400"/>
        </w:trPr>
        <w:tc>
          <w:tcPr>
            <w:tcW w:w="2384" w:type="dxa"/>
            <w:vMerge/>
            <w:tcBorders>
              <w:top w:val="nil"/>
              <w:left w:val="nil"/>
              <w:bottom w:val="nil"/>
              <w:right w:val="nil"/>
            </w:tcBorders>
            <w:vAlign w:val="center"/>
            <w:hideMark/>
          </w:tcPr>
          <w:p w14:paraId="2534B2B6" w14:textId="77777777" w:rsidR="00F33FC4" w:rsidRPr="00D21137" w:rsidRDefault="00F33FC4" w:rsidP="00F33FC4">
            <w:pPr>
              <w:rPr>
                <w:sz w:val="22"/>
                <w:szCs w:val="22"/>
                <w:lang w:bidi="ne-NP"/>
              </w:rPr>
            </w:pPr>
          </w:p>
        </w:tc>
        <w:tc>
          <w:tcPr>
            <w:tcW w:w="1616" w:type="dxa"/>
            <w:tcBorders>
              <w:top w:val="nil"/>
              <w:left w:val="nil"/>
              <w:bottom w:val="nil"/>
              <w:right w:val="nil"/>
            </w:tcBorders>
            <w:shd w:val="clear" w:color="auto" w:fill="auto"/>
            <w:noWrap/>
            <w:vAlign w:val="center"/>
            <w:hideMark/>
          </w:tcPr>
          <w:p w14:paraId="71B8B6C6" w14:textId="77777777" w:rsidR="00F33FC4" w:rsidRPr="00D21137" w:rsidRDefault="00F33FC4" w:rsidP="00F33FC4">
            <w:pPr>
              <w:jc w:val="center"/>
              <w:rPr>
                <w:b/>
                <w:bCs/>
                <w:color w:val="000000"/>
                <w:sz w:val="22"/>
                <w:szCs w:val="22"/>
                <w:lang w:bidi="ne-NP"/>
              </w:rPr>
            </w:pPr>
            <w:r w:rsidRPr="00D21137">
              <w:rPr>
                <w:b/>
                <w:bCs/>
                <w:color w:val="000000"/>
                <w:sz w:val="22"/>
                <w:szCs w:val="22"/>
                <w:lang w:bidi="ne-NP"/>
              </w:rPr>
              <w:t>A</w:t>
            </w:r>
          </w:p>
        </w:tc>
        <w:tc>
          <w:tcPr>
            <w:tcW w:w="1300" w:type="dxa"/>
            <w:tcBorders>
              <w:top w:val="nil"/>
              <w:left w:val="nil"/>
              <w:bottom w:val="nil"/>
              <w:right w:val="nil"/>
            </w:tcBorders>
            <w:shd w:val="clear" w:color="auto" w:fill="auto"/>
            <w:noWrap/>
            <w:vAlign w:val="center"/>
            <w:hideMark/>
          </w:tcPr>
          <w:p w14:paraId="5648AEC8" w14:textId="77777777" w:rsidR="00F33FC4" w:rsidRPr="00D21137" w:rsidRDefault="00F33FC4" w:rsidP="00F33FC4">
            <w:pPr>
              <w:jc w:val="center"/>
              <w:rPr>
                <w:b/>
                <w:bCs/>
                <w:color w:val="000000"/>
                <w:sz w:val="22"/>
                <w:szCs w:val="22"/>
                <w:lang w:bidi="ne-NP"/>
              </w:rPr>
            </w:pPr>
            <w:r w:rsidRPr="00D21137">
              <w:rPr>
                <w:b/>
                <w:bCs/>
                <w:color w:val="000000"/>
                <w:sz w:val="22"/>
                <w:szCs w:val="22"/>
                <w:lang w:bidi="ne-NP"/>
              </w:rPr>
              <w:t>B</w:t>
            </w:r>
          </w:p>
        </w:tc>
        <w:tc>
          <w:tcPr>
            <w:tcW w:w="1300" w:type="dxa"/>
            <w:tcBorders>
              <w:top w:val="nil"/>
              <w:left w:val="nil"/>
              <w:bottom w:val="nil"/>
              <w:right w:val="nil"/>
            </w:tcBorders>
            <w:shd w:val="clear" w:color="auto" w:fill="auto"/>
            <w:noWrap/>
            <w:vAlign w:val="center"/>
            <w:hideMark/>
          </w:tcPr>
          <w:p w14:paraId="3D661B61" w14:textId="77777777" w:rsidR="00F33FC4" w:rsidRPr="00D21137" w:rsidRDefault="00F33FC4" w:rsidP="00F33FC4">
            <w:pPr>
              <w:jc w:val="center"/>
              <w:rPr>
                <w:b/>
                <w:bCs/>
                <w:color w:val="000000"/>
                <w:sz w:val="22"/>
                <w:szCs w:val="22"/>
                <w:lang w:bidi="ne-NP"/>
              </w:rPr>
            </w:pPr>
            <w:r w:rsidRPr="00D21137">
              <w:rPr>
                <w:b/>
                <w:bCs/>
                <w:color w:val="000000"/>
                <w:sz w:val="22"/>
                <w:szCs w:val="22"/>
                <w:lang w:bidi="ne-NP"/>
              </w:rPr>
              <w:t>C</w:t>
            </w:r>
          </w:p>
        </w:tc>
        <w:tc>
          <w:tcPr>
            <w:tcW w:w="1199" w:type="dxa"/>
            <w:vMerge/>
            <w:tcBorders>
              <w:top w:val="nil"/>
              <w:left w:val="nil"/>
              <w:bottom w:val="nil"/>
              <w:right w:val="nil"/>
            </w:tcBorders>
            <w:vAlign w:val="center"/>
            <w:hideMark/>
          </w:tcPr>
          <w:p w14:paraId="11352139" w14:textId="77777777" w:rsidR="00F33FC4" w:rsidRPr="00D21137" w:rsidRDefault="00F33FC4" w:rsidP="00F33FC4">
            <w:pPr>
              <w:rPr>
                <w:b/>
                <w:bCs/>
                <w:color w:val="000000"/>
                <w:sz w:val="22"/>
                <w:szCs w:val="22"/>
                <w:lang w:bidi="ne-NP"/>
              </w:rPr>
            </w:pPr>
          </w:p>
        </w:tc>
        <w:tc>
          <w:tcPr>
            <w:tcW w:w="1105" w:type="dxa"/>
            <w:vMerge/>
            <w:tcBorders>
              <w:top w:val="nil"/>
              <w:left w:val="nil"/>
              <w:bottom w:val="nil"/>
              <w:right w:val="nil"/>
            </w:tcBorders>
            <w:vAlign w:val="center"/>
            <w:hideMark/>
          </w:tcPr>
          <w:p w14:paraId="3E483809" w14:textId="77777777" w:rsidR="00F33FC4" w:rsidRPr="00D21137" w:rsidRDefault="00F33FC4" w:rsidP="00F33FC4">
            <w:pPr>
              <w:rPr>
                <w:b/>
                <w:bCs/>
                <w:color w:val="000000"/>
                <w:sz w:val="22"/>
                <w:szCs w:val="22"/>
                <w:lang w:bidi="ne-NP"/>
              </w:rPr>
            </w:pPr>
          </w:p>
        </w:tc>
      </w:tr>
      <w:tr w:rsidR="00F33FC4" w:rsidRPr="00D21137" w14:paraId="1F7FD4DD" w14:textId="77777777" w:rsidTr="00D21137">
        <w:trPr>
          <w:trHeight w:val="400"/>
        </w:trPr>
        <w:tc>
          <w:tcPr>
            <w:tcW w:w="2384" w:type="dxa"/>
            <w:tcBorders>
              <w:top w:val="nil"/>
              <w:left w:val="nil"/>
              <w:bottom w:val="nil"/>
              <w:right w:val="nil"/>
            </w:tcBorders>
            <w:shd w:val="clear" w:color="auto" w:fill="auto"/>
            <w:noWrap/>
            <w:vAlign w:val="center"/>
            <w:hideMark/>
          </w:tcPr>
          <w:p w14:paraId="0BC0585F" w14:textId="77777777" w:rsidR="00F33FC4" w:rsidRPr="00D21137" w:rsidRDefault="00F33FC4" w:rsidP="00F33FC4">
            <w:pPr>
              <w:rPr>
                <w:b/>
                <w:bCs/>
                <w:color w:val="000000"/>
                <w:sz w:val="22"/>
                <w:szCs w:val="22"/>
                <w:lang w:bidi="ne-NP"/>
              </w:rPr>
            </w:pPr>
            <w:r w:rsidRPr="00D21137">
              <w:rPr>
                <w:b/>
                <w:bCs/>
                <w:color w:val="000000"/>
                <w:sz w:val="22"/>
                <w:szCs w:val="22"/>
                <w:lang w:bidi="ne-NP"/>
              </w:rPr>
              <w:t>Total reads pre-trim</w:t>
            </w:r>
          </w:p>
        </w:tc>
        <w:tc>
          <w:tcPr>
            <w:tcW w:w="1616" w:type="dxa"/>
            <w:tcBorders>
              <w:top w:val="nil"/>
              <w:left w:val="nil"/>
              <w:bottom w:val="nil"/>
              <w:right w:val="nil"/>
            </w:tcBorders>
            <w:shd w:val="clear" w:color="auto" w:fill="auto"/>
            <w:noWrap/>
            <w:vAlign w:val="center"/>
            <w:hideMark/>
          </w:tcPr>
          <w:p w14:paraId="6D0AF313" w14:textId="77777777" w:rsidR="00F33FC4" w:rsidRPr="00D21137" w:rsidRDefault="00F33FC4" w:rsidP="00F33FC4">
            <w:pPr>
              <w:jc w:val="right"/>
              <w:rPr>
                <w:color w:val="000000"/>
                <w:sz w:val="22"/>
                <w:szCs w:val="22"/>
                <w:lang w:bidi="ne-NP"/>
              </w:rPr>
            </w:pPr>
            <w:r w:rsidRPr="00D21137">
              <w:rPr>
                <w:color w:val="000000"/>
                <w:sz w:val="22"/>
                <w:szCs w:val="22"/>
                <w:lang w:bidi="ne-NP"/>
              </w:rPr>
              <w:t>2908227</w:t>
            </w:r>
          </w:p>
        </w:tc>
        <w:tc>
          <w:tcPr>
            <w:tcW w:w="1300" w:type="dxa"/>
            <w:tcBorders>
              <w:top w:val="nil"/>
              <w:left w:val="nil"/>
              <w:bottom w:val="nil"/>
              <w:right w:val="nil"/>
            </w:tcBorders>
            <w:shd w:val="clear" w:color="auto" w:fill="auto"/>
            <w:noWrap/>
            <w:vAlign w:val="center"/>
            <w:hideMark/>
          </w:tcPr>
          <w:p w14:paraId="581C1371" w14:textId="77777777" w:rsidR="00F33FC4" w:rsidRPr="00D21137" w:rsidRDefault="00F33FC4" w:rsidP="00F33FC4">
            <w:pPr>
              <w:jc w:val="right"/>
              <w:rPr>
                <w:color w:val="000000"/>
                <w:sz w:val="22"/>
                <w:szCs w:val="22"/>
                <w:lang w:bidi="ne-NP"/>
              </w:rPr>
            </w:pPr>
            <w:r w:rsidRPr="00D21137">
              <w:rPr>
                <w:color w:val="000000"/>
                <w:sz w:val="22"/>
                <w:szCs w:val="22"/>
                <w:lang w:bidi="ne-NP"/>
              </w:rPr>
              <w:t>2923686</w:t>
            </w:r>
          </w:p>
        </w:tc>
        <w:tc>
          <w:tcPr>
            <w:tcW w:w="1300" w:type="dxa"/>
            <w:tcBorders>
              <w:top w:val="nil"/>
              <w:left w:val="nil"/>
              <w:bottom w:val="nil"/>
              <w:right w:val="nil"/>
            </w:tcBorders>
            <w:shd w:val="clear" w:color="auto" w:fill="auto"/>
            <w:noWrap/>
            <w:vAlign w:val="center"/>
            <w:hideMark/>
          </w:tcPr>
          <w:p w14:paraId="4822B37C" w14:textId="77777777" w:rsidR="00F33FC4" w:rsidRPr="00D21137" w:rsidRDefault="00F33FC4" w:rsidP="00F33FC4">
            <w:pPr>
              <w:jc w:val="right"/>
              <w:rPr>
                <w:color w:val="000000"/>
                <w:sz w:val="22"/>
                <w:szCs w:val="22"/>
                <w:lang w:bidi="ne-NP"/>
              </w:rPr>
            </w:pPr>
            <w:r w:rsidRPr="00D21137">
              <w:rPr>
                <w:color w:val="000000"/>
                <w:sz w:val="22"/>
                <w:szCs w:val="22"/>
                <w:lang w:bidi="ne-NP"/>
              </w:rPr>
              <w:t>2647079</w:t>
            </w:r>
          </w:p>
        </w:tc>
        <w:tc>
          <w:tcPr>
            <w:tcW w:w="1199" w:type="dxa"/>
            <w:tcBorders>
              <w:top w:val="nil"/>
              <w:left w:val="nil"/>
              <w:bottom w:val="nil"/>
              <w:right w:val="nil"/>
            </w:tcBorders>
            <w:shd w:val="clear" w:color="auto" w:fill="auto"/>
            <w:vAlign w:val="center"/>
            <w:hideMark/>
          </w:tcPr>
          <w:p w14:paraId="764C894A" w14:textId="77777777" w:rsidR="00F33FC4" w:rsidRPr="00D21137" w:rsidRDefault="00F33FC4" w:rsidP="00F33FC4">
            <w:pPr>
              <w:jc w:val="right"/>
              <w:rPr>
                <w:color w:val="000000"/>
                <w:sz w:val="22"/>
                <w:szCs w:val="22"/>
                <w:lang w:bidi="ne-NP"/>
              </w:rPr>
            </w:pPr>
            <w:r w:rsidRPr="00D21137">
              <w:rPr>
                <w:color w:val="000000"/>
                <w:sz w:val="22"/>
                <w:szCs w:val="22"/>
                <w:lang w:bidi="ne-NP"/>
              </w:rPr>
              <w:t>28,26,330</w:t>
            </w:r>
          </w:p>
        </w:tc>
        <w:tc>
          <w:tcPr>
            <w:tcW w:w="1105" w:type="dxa"/>
            <w:tcBorders>
              <w:top w:val="nil"/>
              <w:left w:val="nil"/>
              <w:bottom w:val="nil"/>
              <w:right w:val="nil"/>
            </w:tcBorders>
            <w:shd w:val="clear" w:color="auto" w:fill="auto"/>
            <w:vAlign w:val="center"/>
            <w:hideMark/>
          </w:tcPr>
          <w:p w14:paraId="713BD5A3" w14:textId="77777777" w:rsidR="00F33FC4" w:rsidRPr="00D21137" w:rsidRDefault="00F33FC4" w:rsidP="00F33FC4">
            <w:pPr>
              <w:jc w:val="right"/>
              <w:rPr>
                <w:color w:val="000000"/>
                <w:sz w:val="22"/>
                <w:szCs w:val="22"/>
                <w:lang w:bidi="ne-NP"/>
              </w:rPr>
            </w:pPr>
            <w:r w:rsidRPr="00D21137">
              <w:rPr>
                <w:color w:val="000000"/>
                <w:sz w:val="22"/>
                <w:szCs w:val="22"/>
                <w:lang w:bidi="ne-NP"/>
              </w:rPr>
              <w:t>89,736</w:t>
            </w:r>
          </w:p>
        </w:tc>
      </w:tr>
      <w:tr w:rsidR="00F33FC4" w:rsidRPr="00D21137" w14:paraId="4784CC81" w14:textId="77777777" w:rsidTr="00D21137">
        <w:trPr>
          <w:trHeight w:val="400"/>
        </w:trPr>
        <w:tc>
          <w:tcPr>
            <w:tcW w:w="2384" w:type="dxa"/>
            <w:tcBorders>
              <w:top w:val="nil"/>
              <w:left w:val="nil"/>
              <w:bottom w:val="nil"/>
              <w:right w:val="nil"/>
            </w:tcBorders>
            <w:shd w:val="clear" w:color="auto" w:fill="auto"/>
            <w:noWrap/>
            <w:vAlign w:val="center"/>
            <w:hideMark/>
          </w:tcPr>
          <w:p w14:paraId="0615E580" w14:textId="77777777" w:rsidR="00F33FC4" w:rsidRPr="00D21137" w:rsidRDefault="00F33FC4" w:rsidP="00F33FC4">
            <w:pPr>
              <w:rPr>
                <w:b/>
                <w:bCs/>
                <w:color w:val="000000"/>
                <w:sz w:val="22"/>
                <w:szCs w:val="22"/>
                <w:lang w:bidi="ne-NP"/>
              </w:rPr>
            </w:pPr>
            <w:r w:rsidRPr="00D21137">
              <w:rPr>
                <w:b/>
                <w:bCs/>
                <w:color w:val="000000"/>
                <w:sz w:val="22"/>
                <w:szCs w:val="22"/>
                <w:lang w:bidi="ne-NP"/>
              </w:rPr>
              <w:t>Total reads post-trim</w:t>
            </w:r>
          </w:p>
        </w:tc>
        <w:tc>
          <w:tcPr>
            <w:tcW w:w="1616" w:type="dxa"/>
            <w:tcBorders>
              <w:top w:val="nil"/>
              <w:left w:val="nil"/>
              <w:bottom w:val="nil"/>
              <w:right w:val="nil"/>
            </w:tcBorders>
            <w:shd w:val="clear" w:color="auto" w:fill="auto"/>
            <w:noWrap/>
            <w:vAlign w:val="center"/>
            <w:hideMark/>
          </w:tcPr>
          <w:p w14:paraId="1112105B" w14:textId="77777777" w:rsidR="00F33FC4" w:rsidRPr="00D21137" w:rsidRDefault="00F33FC4" w:rsidP="00F33FC4">
            <w:pPr>
              <w:jc w:val="right"/>
              <w:rPr>
                <w:color w:val="000000"/>
                <w:sz w:val="22"/>
                <w:szCs w:val="22"/>
                <w:lang w:bidi="ne-NP"/>
              </w:rPr>
            </w:pPr>
            <w:r w:rsidRPr="00D21137">
              <w:rPr>
                <w:color w:val="000000"/>
                <w:sz w:val="22"/>
                <w:szCs w:val="22"/>
                <w:lang w:bidi="ne-NP"/>
              </w:rPr>
              <w:t>2576086</w:t>
            </w:r>
          </w:p>
        </w:tc>
        <w:tc>
          <w:tcPr>
            <w:tcW w:w="1300" w:type="dxa"/>
            <w:tcBorders>
              <w:top w:val="nil"/>
              <w:left w:val="nil"/>
              <w:bottom w:val="nil"/>
              <w:right w:val="nil"/>
            </w:tcBorders>
            <w:shd w:val="clear" w:color="auto" w:fill="auto"/>
            <w:noWrap/>
            <w:vAlign w:val="center"/>
            <w:hideMark/>
          </w:tcPr>
          <w:p w14:paraId="7D0A3704" w14:textId="77777777" w:rsidR="00F33FC4" w:rsidRPr="00D21137" w:rsidRDefault="00F33FC4" w:rsidP="00F33FC4">
            <w:pPr>
              <w:jc w:val="right"/>
              <w:rPr>
                <w:color w:val="000000"/>
                <w:sz w:val="22"/>
                <w:szCs w:val="22"/>
                <w:lang w:bidi="ne-NP"/>
              </w:rPr>
            </w:pPr>
            <w:r w:rsidRPr="00D21137">
              <w:rPr>
                <w:color w:val="000000"/>
                <w:sz w:val="22"/>
                <w:szCs w:val="22"/>
                <w:lang w:bidi="ne-NP"/>
              </w:rPr>
              <w:t>2565634</w:t>
            </w:r>
          </w:p>
        </w:tc>
        <w:tc>
          <w:tcPr>
            <w:tcW w:w="1300" w:type="dxa"/>
            <w:tcBorders>
              <w:top w:val="nil"/>
              <w:left w:val="nil"/>
              <w:bottom w:val="nil"/>
              <w:right w:val="nil"/>
            </w:tcBorders>
            <w:shd w:val="clear" w:color="auto" w:fill="auto"/>
            <w:noWrap/>
            <w:vAlign w:val="center"/>
            <w:hideMark/>
          </w:tcPr>
          <w:p w14:paraId="0BED8AFE" w14:textId="77777777" w:rsidR="00F33FC4" w:rsidRPr="00D21137" w:rsidRDefault="00F33FC4" w:rsidP="00F33FC4">
            <w:pPr>
              <w:jc w:val="right"/>
              <w:rPr>
                <w:color w:val="000000"/>
                <w:sz w:val="22"/>
                <w:szCs w:val="22"/>
                <w:lang w:bidi="ne-NP"/>
              </w:rPr>
            </w:pPr>
            <w:r w:rsidRPr="00D21137">
              <w:rPr>
                <w:color w:val="000000"/>
                <w:sz w:val="22"/>
                <w:szCs w:val="22"/>
                <w:lang w:bidi="ne-NP"/>
              </w:rPr>
              <w:t>2337867</w:t>
            </w:r>
          </w:p>
        </w:tc>
        <w:tc>
          <w:tcPr>
            <w:tcW w:w="1199" w:type="dxa"/>
            <w:tcBorders>
              <w:top w:val="nil"/>
              <w:left w:val="nil"/>
              <w:bottom w:val="nil"/>
              <w:right w:val="nil"/>
            </w:tcBorders>
            <w:shd w:val="clear" w:color="auto" w:fill="auto"/>
            <w:vAlign w:val="center"/>
            <w:hideMark/>
          </w:tcPr>
          <w:p w14:paraId="32F9F389" w14:textId="77777777" w:rsidR="00F33FC4" w:rsidRPr="00D21137" w:rsidRDefault="00F33FC4" w:rsidP="00F33FC4">
            <w:pPr>
              <w:jc w:val="right"/>
              <w:rPr>
                <w:color w:val="000000"/>
                <w:sz w:val="22"/>
                <w:szCs w:val="22"/>
                <w:lang w:bidi="ne-NP"/>
              </w:rPr>
            </w:pPr>
            <w:r w:rsidRPr="00D21137">
              <w:rPr>
                <w:color w:val="000000"/>
                <w:sz w:val="22"/>
                <w:szCs w:val="22"/>
                <w:lang w:bidi="ne-NP"/>
              </w:rPr>
              <w:t>24,93,195</w:t>
            </w:r>
          </w:p>
        </w:tc>
        <w:tc>
          <w:tcPr>
            <w:tcW w:w="1105" w:type="dxa"/>
            <w:tcBorders>
              <w:top w:val="nil"/>
              <w:left w:val="nil"/>
              <w:bottom w:val="nil"/>
              <w:right w:val="nil"/>
            </w:tcBorders>
            <w:shd w:val="clear" w:color="auto" w:fill="auto"/>
            <w:noWrap/>
            <w:vAlign w:val="center"/>
            <w:hideMark/>
          </w:tcPr>
          <w:p w14:paraId="3A00B0A0" w14:textId="77777777" w:rsidR="00F33FC4" w:rsidRPr="00D21137" w:rsidRDefault="00F33FC4" w:rsidP="00F33FC4">
            <w:pPr>
              <w:jc w:val="right"/>
              <w:rPr>
                <w:color w:val="000000"/>
                <w:sz w:val="22"/>
                <w:szCs w:val="22"/>
                <w:lang w:bidi="ne-NP"/>
              </w:rPr>
            </w:pPr>
            <w:r w:rsidRPr="00D21137">
              <w:rPr>
                <w:color w:val="000000"/>
                <w:sz w:val="22"/>
                <w:szCs w:val="22"/>
                <w:lang w:bidi="ne-NP"/>
              </w:rPr>
              <w:t>77,722</w:t>
            </w:r>
          </w:p>
        </w:tc>
      </w:tr>
      <w:tr w:rsidR="00F33FC4" w:rsidRPr="00D21137" w14:paraId="27C87AE7" w14:textId="77777777" w:rsidTr="00D21137">
        <w:trPr>
          <w:trHeight w:val="400"/>
        </w:trPr>
        <w:tc>
          <w:tcPr>
            <w:tcW w:w="2384" w:type="dxa"/>
            <w:tcBorders>
              <w:top w:val="nil"/>
              <w:left w:val="nil"/>
              <w:bottom w:val="nil"/>
              <w:right w:val="nil"/>
            </w:tcBorders>
            <w:shd w:val="clear" w:color="auto" w:fill="auto"/>
            <w:noWrap/>
            <w:vAlign w:val="center"/>
            <w:hideMark/>
          </w:tcPr>
          <w:p w14:paraId="4CA65DA9" w14:textId="77777777" w:rsidR="00F33FC4" w:rsidRPr="00D21137" w:rsidRDefault="00F33FC4" w:rsidP="00F33FC4">
            <w:pPr>
              <w:rPr>
                <w:b/>
                <w:bCs/>
                <w:color w:val="000000"/>
                <w:sz w:val="22"/>
                <w:szCs w:val="22"/>
                <w:lang w:bidi="ne-NP"/>
              </w:rPr>
            </w:pPr>
            <w:r w:rsidRPr="00D21137">
              <w:rPr>
                <w:b/>
                <w:bCs/>
                <w:color w:val="000000"/>
                <w:sz w:val="22"/>
                <w:szCs w:val="22"/>
                <w:lang w:bidi="ne-NP"/>
              </w:rPr>
              <w:t>Percent GC</w:t>
            </w:r>
          </w:p>
        </w:tc>
        <w:tc>
          <w:tcPr>
            <w:tcW w:w="1616" w:type="dxa"/>
            <w:tcBorders>
              <w:top w:val="nil"/>
              <w:left w:val="nil"/>
              <w:bottom w:val="nil"/>
              <w:right w:val="nil"/>
            </w:tcBorders>
            <w:shd w:val="clear" w:color="auto" w:fill="auto"/>
            <w:noWrap/>
            <w:vAlign w:val="center"/>
            <w:hideMark/>
          </w:tcPr>
          <w:p w14:paraId="2563EC58" w14:textId="77777777" w:rsidR="00F33FC4" w:rsidRPr="00D21137" w:rsidRDefault="00F33FC4" w:rsidP="00F33FC4">
            <w:pPr>
              <w:jc w:val="right"/>
              <w:rPr>
                <w:color w:val="000000"/>
                <w:sz w:val="22"/>
                <w:szCs w:val="22"/>
                <w:lang w:bidi="ne-NP"/>
              </w:rPr>
            </w:pPr>
            <w:r w:rsidRPr="00D21137">
              <w:rPr>
                <w:color w:val="000000"/>
                <w:sz w:val="22"/>
                <w:szCs w:val="22"/>
                <w:lang w:bidi="ne-NP"/>
              </w:rPr>
              <w:t>53</w:t>
            </w:r>
          </w:p>
        </w:tc>
        <w:tc>
          <w:tcPr>
            <w:tcW w:w="1300" w:type="dxa"/>
            <w:tcBorders>
              <w:top w:val="nil"/>
              <w:left w:val="nil"/>
              <w:bottom w:val="nil"/>
              <w:right w:val="nil"/>
            </w:tcBorders>
            <w:shd w:val="clear" w:color="auto" w:fill="auto"/>
            <w:noWrap/>
            <w:vAlign w:val="center"/>
            <w:hideMark/>
          </w:tcPr>
          <w:p w14:paraId="056EBE8B" w14:textId="77777777" w:rsidR="00F33FC4" w:rsidRPr="00D21137" w:rsidRDefault="00F33FC4" w:rsidP="00F33FC4">
            <w:pPr>
              <w:jc w:val="right"/>
              <w:rPr>
                <w:color w:val="000000"/>
                <w:sz w:val="22"/>
                <w:szCs w:val="22"/>
                <w:lang w:bidi="ne-NP"/>
              </w:rPr>
            </w:pPr>
            <w:r w:rsidRPr="00D21137">
              <w:rPr>
                <w:color w:val="000000"/>
                <w:sz w:val="22"/>
                <w:szCs w:val="22"/>
                <w:lang w:bidi="ne-NP"/>
              </w:rPr>
              <w:t>53</w:t>
            </w:r>
          </w:p>
        </w:tc>
        <w:tc>
          <w:tcPr>
            <w:tcW w:w="1300" w:type="dxa"/>
            <w:tcBorders>
              <w:top w:val="nil"/>
              <w:left w:val="nil"/>
              <w:bottom w:val="nil"/>
              <w:right w:val="nil"/>
            </w:tcBorders>
            <w:shd w:val="clear" w:color="auto" w:fill="auto"/>
            <w:noWrap/>
            <w:vAlign w:val="center"/>
            <w:hideMark/>
          </w:tcPr>
          <w:p w14:paraId="0490946B" w14:textId="77777777" w:rsidR="00F33FC4" w:rsidRPr="00D21137" w:rsidRDefault="00F33FC4" w:rsidP="00F33FC4">
            <w:pPr>
              <w:jc w:val="right"/>
              <w:rPr>
                <w:color w:val="000000"/>
                <w:sz w:val="22"/>
                <w:szCs w:val="22"/>
                <w:lang w:bidi="ne-NP"/>
              </w:rPr>
            </w:pPr>
            <w:r w:rsidRPr="00D21137">
              <w:rPr>
                <w:color w:val="000000"/>
                <w:sz w:val="22"/>
                <w:szCs w:val="22"/>
                <w:lang w:bidi="ne-NP"/>
              </w:rPr>
              <w:t>53</w:t>
            </w:r>
          </w:p>
        </w:tc>
        <w:tc>
          <w:tcPr>
            <w:tcW w:w="1199" w:type="dxa"/>
            <w:tcBorders>
              <w:top w:val="nil"/>
              <w:left w:val="nil"/>
              <w:bottom w:val="nil"/>
              <w:right w:val="nil"/>
            </w:tcBorders>
            <w:shd w:val="clear" w:color="auto" w:fill="auto"/>
            <w:noWrap/>
            <w:vAlign w:val="center"/>
            <w:hideMark/>
          </w:tcPr>
          <w:p w14:paraId="399A9002" w14:textId="77777777" w:rsidR="00F33FC4" w:rsidRPr="00D21137" w:rsidRDefault="00F33FC4" w:rsidP="00F33FC4">
            <w:pPr>
              <w:jc w:val="right"/>
              <w:rPr>
                <w:color w:val="000000"/>
                <w:sz w:val="22"/>
                <w:szCs w:val="22"/>
                <w:lang w:bidi="ne-NP"/>
              </w:rPr>
            </w:pPr>
          </w:p>
        </w:tc>
        <w:tc>
          <w:tcPr>
            <w:tcW w:w="1105" w:type="dxa"/>
            <w:tcBorders>
              <w:top w:val="nil"/>
              <w:left w:val="nil"/>
              <w:bottom w:val="nil"/>
              <w:right w:val="nil"/>
            </w:tcBorders>
            <w:shd w:val="clear" w:color="auto" w:fill="auto"/>
            <w:noWrap/>
            <w:vAlign w:val="center"/>
            <w:hideMark/>
          </w:tcPr>
          <w:p w14:paraId="79936CF9" w14:textId="77777777" w:rsidR="00F33FC4" w:rsidRPr="00D21137" w:rsidRDefault="00F33FC4" w:rsidP="00F33FC4">
            <w:pPr>
              <w:jc w:val="right"/>
              <w:rPr>
                <w:sz w:val="22"/>
                <w:szCs w:val="22"/>
                <w:lang w:bidi="ne-NP"/>
              </w:rPr>
            </w:pPr>
          </w:p>
        </w:tc>
      </w:tr>
      <w:tr w:rsidR="00F33FC4" w:rsidRPr="00D21137" w14:paraId="5EF527AC" w14:textId="77777777" w:rsidTr="00D21137">
        <w:trPr>
          <w:trHeight w:val="400"/>
        </w:trPr>
        <w:tc>
          <w:tcPr>
            <w:tcW w:w="2384" w:type="dxa"/>
            <w:tcBorders>
              <w:top w:val="nil"/>
              <w:left w:val="nil"/>
              <w:bottom w:val="nil"/>
              <w:right w:val="nil"/>
            </w:tcBorders>
            <w:shd w:val="clear" w:color="auto" w:fill="auto"/>
            <w:noWrap/>
            <w:vAlign w:val="center"/>
            <w:hideMark/>
          </w:tcPr>
          <w:p w14:paraId="511FBFDE" w14:textId="77777777" w:rsidR="00F33FC4" w:rsidRPr="00D21137" w:rsidRDefault="00F33FC4" w:rsidP="00F33FC4">
            <w:pPr>
              <w:rPr>
                <w:b/>
                <w:bCs/>
                <w:color w:val="000000"/>
                <w:sz w:val="22"/>
                <w:szCs w:val="22"/>
                <w:lang w:bidi="ne-NP"/>
              </w:rPr>
            </w:pPr>
            <w:r w:rsidRPr="00D21137">
              <w:rPr>
                <w:b/>
                <w:bCs/>
                <w:color w:val="000000"/>
                <w:sz w:val="22"/>
                <w:szCs w:val="22"/>
                <w:lang w:bidi="ne-NP"/>
              </w:rPr>
              <w:t>Sequence length</w:t>
            </w:r>
          </w:p>
        </w:tc>
        <w:tc>
          <w:tcPr>
            <w:tcW w:w="1616" w:type="dxa"/>
            <w:tcBorders>
              <w:top w:val="nil"/>
              <w:left w:val="nil"/>
              <w:bottom w:val="nil"/>
              <w:right w:val="nil"/>
            </w:tcBorders>
            <w:shd w:val="clear" w:color="auto" w:fill="auto"/>
            <w:noWrap/>
            <w:vAlign w:val="center"/>
            <w:hideMark/>
          </w:tcPr>
          <w:p w14:paraId="4A107A38" w14:textId="77777777" w:rsidR="00F33FC4" w:rsidRPr="00D21137" w:rsidRDefault="00F33FC4" w:rsidP="00F33FC4">
            <w:pPr>
              <w:jc w:val="right"/>
              <w:rPr>
                <w:color w:val="000000"/>
                <w:sz w:val="22"/>
                <w:szCs w:val="22"/>
                <w:lang w:bidi="ne-NP"/>
              </w:rPr>
            </w:pPr>
            <w:r w:rsidRPr="00D21137">
              <w:rPr>
                <w:color w:val="000000"/>
                <w:sz w:val="22"/>
                <w:szCs w:val="22"/>
                <w:lang w:bidi="ne-NP"/>
              </w:rPr>
              <w:t>55-75</w:t>
            </w:r>
          </w:p>
        </w:tc>
        <w:tc>
          <w:tcPr>
            <w:tcW w:w="1300" w:type="dxa"/>
            <w:tcBorders>
              <w:top w:val="nil"/>
              <w:left w:val="nil"/>
              <w:bottom w:val="nil"/>
              <w:right w:val="nil"/>
            </w:tcBorders>
            <w:shd w:val="clear" w:color="auto" w:fill="auto"/>
            <w:noWrap/>
            <w:vAlign w:val="center"/>
            <w:hideMark/>
          </w:tcPr>
          <w:p w14:paraId="752D96A0" w14:textId="77777777" w:rsidR="00F33FC4" w:rsidRPr="00D21137" w:rsidRDefault="00F33FC4" w:rsidP="00F33FC4">
            <w:pPr>
              <w:jc w:val="right"/>
              <w:rPr>
                <w:color w:val="000000"/>
                <w:sz w:val="22"/>
                <w:szCs w:val="22"/>
                <w:lang w:bidi="ne-NP"/>
              </w:rPr>
            </w:pPr>
            <w:r w:rsidRPr="00D21137">
              <w:rPr>
                <w:color w:val="000000"/>
                <w:sz w:val="22"/>
                <w:szCs w:val="22"/>
                <w:lang w:bidi="ne-NP"/>
              </w:rPr>
              <w:t>55-75</w:t>
            </w:r>
          </w:p>
        </w:tc>
        <w:tc>
          <w:tcPr>
            <w:tcW w:w="1300" w:type="dxa"/>
            <w:tcBorders>
              <w:top w:val="nil"/>
              <w:left w:val="nil"/>
              <w:bottom w:val="nil"/>
              <w:right w:val="nil"/>
            </w:tcBorders>
            <w:shd w:val="clear" w:color="auto" w:fill="auto"/>
            <w:noWrap/>
            <w:vAlign w:val="center"/>
            <w:hideMark/>
          </w:tcPr>
          <w:p w14:paraId="70F8619F" w14:textId="77777777" w:rsidR="00F33FC4" w:rsidRPr="00D21137" w:rsidRDefault="00F33FC4" w:rsidP="00F33FC4">
            <w:pPr>
              <w:jc w:val="right"/>
              <w:rPr>
                <w:color w:val="000000"/>
                <w:sz w:val="22"/>
                <w:szCs w:val="22"/>
                <w:lang w:bidi="ne-NP"/>
              </w:rPr>
            </w:pPr>
            <w:r w:rsidRPr="00D21137">
              <w:rPr>
                <w:color w:val="000000"/>
                <w:sz w:val="22"/>
                <w:szCs w:val="22"/>
                <w:lang w:bidi="ne-NP"/>
              </w:rPr>
              <w:t>55-75</w:t>
            </w:r>
          </w:p>
        </w:tc>
        <w:tc>
          <w:tcPr>
            <w:tcW w:w="1199" w:type="dxa"/>
            <w:tcBorders>
              <w:top w:val="nil"/>
              <w:left w:val="nil"/>
              <w:bottom w:val="nil"/>
              <w:right w:val="nil"/>
            </w:tcBorders>
            <w:shd w:val="clear" w:color="auto" w:fill="auto"/>
            <w:noWrap/>
            <w:vAlign w:val="center"/>
            <w:hideMark/>
          </w:tcPr>
          <w:p w14:paraId="03C60761" w14:textId="77777777" w:rsidR="00F33FC4" w:rsidRPr="00D21137" w:rsidRDefault="00F33FC4" w:rsidP="00F33FC4">
            <w:pPr>
              <w:jc w:val="right"/>
              <w:rPr>
                <w:color w:val="000000"/>
                <w:sz w:val="22"/>
                <w:szCs w:val="22"/>
                <w:lang w:bidi="ne-NP"/>
              </w:rPr>
            </w:pPr>
          </w:p>
        </w:tc>
        <w:tc>
          <w:tcPr>
            <w:tcW w:w="1105" w:type="dxa"/>
            <w:tcBorders>
              <w:top w:val="nil"/>
              <w:left w:val="nil"/>
              <w:bottom w:val="nil"/>
              <w:right w:val="nil"/>
            </w:tcBorders>
            <w:shd w:val="clear" w:color="auto" w:fill="auto"/>
            <w:noWrap/>
            <w:vAlign w:val="center"/>
            <w:hideMark/>
          </w:tcPr>
          <w:p w14:paraId="5F15B608" w14:textId="77777777" w:rsidR="00F33FC4" w:rsidRPr="00D21137" w:rsidRDefault="00F33FC4" w:rsidP="00F33FC4">
            <w:pPr>
              <w:jc w:val="right"/>
              <w:rPr>
                <w:sz w:val="22"/>
                <w:szCs w:val="22"/>
                <w:lang w:bidi="ne-NP"/>
              </w:rPr>
            </w:pPr>
          </w:p>
        </w:tc>
      </w:tr>
      <w:tr w:rsidR="00F33FC4" w:rsidRPr="00D21137" w14:paraId="3D3AEE3A" w14:textId="77777777" w:rsidTr="00D21137">
        <w:trPr>
          <w:trHeight w:val="400"/>
        </w:trPr>
        <w:tc>
          <w:tcPr>
            <w:tcW w:w="2384" w:type="dxa"/>
            <w:tcBorders>
              <w:top w:val="nil"/>
              <w:left w:val="nil"/>
              <w:bottom w:val="nil"/>
              <w:right w:val="nil"/>
            </w:tcBorders>
            <w:shd w:val="clear" w:color="auto" w:fill="auto"/>
            <w:noWrap/>
            <w:vAlign w:val="center"/>
            <w:hideMark/>
          </w:tcPr>
          <w:p w14:paraId="7DFFD85C" w14:textId="77777777" w:rsidR="00F33FC4" w:rsidRPr="00D21137" w:rsidRDefault="00F33FC4" w:rsidP="00F33FC4">
            <w:pPr>
              <w:rPr>
                <w:b/>
                <w:bCs/>
                <w:color w:val="000000"/>
                <w:sz w:val="22"/>
                <w:szCs w:val="22"/>
                <w:lang w:bidi="ne-NP"/>
              </w:rPr>
            </w:pPr>
            <w:r w:rsidRPr="00D21137">
              <w:rPr>
                <w:b/>
                <w:bCs/>
                <w:color w:val="000000"/>
                <w:sz w:val="22"/>
                <w:szCs w:val="22"/>
                <w:lang w:bidi="ne-NP"/>
              </w:rPr>
              <w:t>Quality score</w:t>
            </w:r>
          </w:p>
        </w:tc>
        <w:tc>
          <w:tcPr>
            <w:tcW w:w="1616" w:type="dxa"/>
            <w:tcBorders>
              <w:top w:val="nil"/>
              <w:left w:val="nil"/>
              <w:bottom w:val="nil"/>
              <w:right w:val="nil"/>
            </w:tcBorders>
            <w:shd w:val="clear" w:color="auto" w:fill="auto"/>
            <w:noWrap/>
            <w:vAlign w:val="center"/>
            <w:hideMark/>
          </w:tcPr>
          <w:p w14:paraId="5B1C2A52" w14:textId="77777777" w:rsidR="00F33FC4" w:rsidRPr="00D21137" w:rsidRDefault="00F33FC4" w:rsidP="00F33FC4">
            <w:pPr>
              <w:jc w:val="right"/>
              <w:rPr>
                <w:color w:val="000000"/>
                <w:sz w:val="22"/>
                <w:szCs w:val="22"/>
                <w:lang w:bidi="ne-NP"/>
              </w:rPr>
            </w:pPr>
            <w:r w:rsidRPr="00D21137">
              <w:rPr>
                <w:color w:val="000000"/>
                <w:sz w:val="22"/>
                <w:szCs w:val="22"/>
                <w:lang w:bidi="ne-NP"/>
              </w:rPr>
              <w:t>33-37</w:t>
            </w:r>
          </w:p>
        </w:tc>
        <w:tc>
          <w:tcPr>
            <w:tcW w:w="1300" w:type="dxa"/>
            <w:tcBorders>
              <w:top w:val="nil"/>
              <w:left w:val="nil"/>
              <w:bottom w:val="nil"/>
              <w:right w:val="nil"/>
            </w:tcBorders>
            <w:shd w:val="clear" w:color="auto" w:fill="auto"/>
            <w:noWrap/>
            <w:vAlign w:val="center"/>
            <w:hideMark/>
          </w:tcPr>
          <w:p w14:paraId="62907104" w14:textId="77777777" w:rsidR="00F33FC4" w:rsidRPr="00D21137" w:rsidRDefault="00F33FC4" w:rsidP="00F33FC4">
            <w:pPr>
              <w:jc w:val="right"/>
              <w:rPr>
                <w:color w:val="000000"/>
                <w:sz w:val="22"/>
                <w:szCs w:val="22"/>
                <w:lang w:bidi="ne-NP"/>
              </w:rPr>
            </w:pPr>
            <w:r w:rsidRPr="00D21137">
              <w:rPr>
                <w:color w:val="000000"/>
                <w:sz w:val="22"/>
                <w:szCs w:val="22"/>
                <w:lang w:bidi="ne-NP"/>
              </w:rPr>
              <w:t>33-37</w:t>
            </w:r>
          </w:p>
        </w:tc>
        <w:tc>
          <w:tcPr>
            <w:tcW w:w="1300" w:type="dxa"/>
            <w:tcBorders>
              <w:top w:val="nil"/>
              <w:left w:val="nil"/>
              <w:bottom w:val="nil"/>
              <w:right w:val="nil"/>
            </w:tcBorders>
            <w:shd w:val="clear" w:color="auto" w:fill="auto"/>
            <w:noWrap/>
            <w:vAlign w:val="center"/>
            <w:hideMark/>
          </w:tcPr>
          <w:p w14:paraId="5A4C8F80" w14:textId="77777777" w:rsidR="00F33FC4" w:rsidRPr="00D21137" w:rsidRDefault="00F33FC4" w:rsidP="00F33FC4">
            <w:pPr>
              <w:jc w:val="right"/>
              <w:rPr>
                <w:color w:val="000000"/>
                <w:sz w:val="22"/>
                <w:szCs w:val="22"/>
                <w:lang w:bidi="ne-NP"/>
              </w:rPr>
            </w:pPr>
            <w:r w:rsidRPr="00D21137">
              <w:rPr>
                <w:color w:val="000000"/>
                <w:sz w:val="22"/>
                <w:szCs w:val="22"/>
                <w:lang w:bidi="ne-NP"/>
              </w:rPr>
              <w:t>33-37</w:t>
            </w:r>
          </w:p>
        </w:tc>
        <w:tc>
          <w:tcPr>
            <w:tcW w:w="1199" w:type="dxa"/>
            <w:tcBorders>
              <w:top w:val="nil"/>
              <w:left w:val="nil"/>
              <w:bottom w:val="nil"/>
              <w:right w:val="nil"/>
            </w:tcBorders>
            <w:shd w:val="clear" w:color="auto" w:fill="auto"/>
            <w:noWrap/>
            <w:vAlign w:val="center"/>
            <w:hideMark/>
          </w:tcPr>
          <w:p w14:paraId="462A14AA" w14:textId="77777777" w:rsidR="00F33FC4" w:rsidRPr="00D21137" w:rsidRDefault="00F33FC4" w:rsidP="00F33FC4">
            <w:pPr>
              <w:jc w:val="right"/>
              <w:rPr>
                <w:color w:val="000000"/>
                <w:sz w:val="22"/>
                <w:szCs w:val="22"/>
                <w:lang w:bidi="ne-NP"/>
              </w:rPr>
            </w:pPr>
          </w:p>
        </w:tc>
        <w:tc>
          <w:tcPr>
            <w:tcW w:w="1105" w:type="dxa"/>
            <w:tcBorders>
              <w:top w:val="nil"/>
              <w:left w:val="nil"/>
              <w:bottom w:val="nil"/>
              <w:right w:val="nil"/>
            </w:tcBorders>
            <w:shd w:val="clear" w:color="auto" w:fill="auto"/>
            <w:noWrap/>
            <w:vAlign w:val="center"/>
            <w:hideMark/>
          </w:tcPr>
          <w:p w14:paraId="57679E90" w14:textId="77777777" w:rsidR="00F33FC4" w:rsidRPr="00D21137" w:rsidRDefault="00F33FC4" w:rsidP="00F33FC4">
            <w:pPr>
              <w:jc w:val="right"/>
              <w:rPr>
                <w:sz w:val="22"/>
                <w:szCs w:val="22"/>
                <w:lang w:bidi="ne-NP"/>
              </w:rPr>
            </w:pPr>
          </w:p>
        </w:tc>
      </w:tr>
      <w:tr w:rsidR="00F33FC4" w:rsidRPr="00D21137" w14:paraId="630AAED8" w14:textId="77777777" w:rsidTr="00D21137">
        <w:trPr>
          <w:trHeight w:val="400"/>
        </w:trPr>
        <w:tc>
          <w:tcPr>
            <w:tcW w:w="2384" w:type="dxa"/>
            <w:tcBorders>
              <w:top w:val="nil"/>
              <w:left w:val="nil"/>
              <w:bottom w:val="nil"/>
              <w:right w:val="nil"/>
            </w:tcBorders>
            <w:shd w:val="clear" w:color="auto" w:fill="auto"/>
            <w:noWrap/>
            <w:vAlign w:val="center"/>
            <w:hideMark/>
          </w:tcPr>
          <w:p w14:paraId="18D200D6" w14:textId="77777777" w:rsidR="00F33FC4" w:rsidRPr="00D21137" w:rsidRDefault="00F33FC4" w:rsidP="00F33FC4">
            <w:pPr>
              <w:jc w:val="right"/>
              <w:rPr>
                <w:sz w:val="22"/>
                <w:szCs w:val="22"/>
                <w:lang w:bidi="ne-NP"/>
              </w:rPr>
            </w:pPr>
          </w:p>
        </w:tc>
        <w:tc>
          <w:tcPr>
            <w:tcW w:w="1616" w:type="dxa"/>
            <w:tcBorders>
              <w:top w:val="nil"/>
              <w:left w:val="nil"/>
              <w:bottom w:val="nil"/>
              <w:right w:val="nil"/>
            </w:tcBorders>
            <w:shd w:val="clear" w:color="auto" w:fill="auto"/>
            <w:noWrap/>
            <w:vAlign w:val="center"/>
            <w:hideMark/>
          </w:tcPr>
          <w:p w14:paraId="4B76DC72" w14:textId="77777777" w:rsidR="00F33FC4" w:rsidRPr="00D21137" w:rsidRDefault="00F33FC4" w:rsidP="00F33FC4">
            <w:pPr>
              <w:rPr>
                <w:sz w:val="22"/>
                <w:szCs w:val="22"/>
                <w:lang w:bidi="ne-NP"/>
              </w:rPr>
            </w:pPr>
          </w:p>
        </w:tc>
        <w:tc>
          <w:tcPr>
            <w:tcW w:w="1300" w:type="dxa"/>
            <w:tcBorders>
              <w:top w:val="nil"/>
              <w:left w:val="nil"/>
              <w:bottom w:val="nil"/>
              <w:right w:val="nil"/>
            </w:tcBorders>
            <w:shd w:val="clear" w:color="auto" w:fill="auto"/>
            <w:noWrap/>
            <w:vAlign w:val="center"/>
            <w:hideMark/>
          </w:tcPr>
          <w:p w14:paraId="29F3DEED" w14:textId="77777777" w:rsidR="00F33FC4" w:rsidRPr="00D21137" w:rsidRDefault="00F33FC4" w:rsidP="00F33FC4">
            <w:pPr>
              <w:jc w:val="right"/>
              <w:rPr>
                <w:sz w:val="22"/>
                <w:szCs w:val="22"/>
                <w:lang w:bidi="ne-NP"/>
              </w:rPr>
            </w:pPr>
          </w:p>
        </w:tc>
        <w:tc>
          <w:tcPr>
            <w:tcW w:w="1300" w:type="dxa"/>
            <w:tcBorders>
              <w:top w:val="nil"/>
              <w:left w:val="nil"/>
              <w:bottom w:val="nil"/>
              <w:right w:val="nil"/>
            </w:tcBorders>
            <w:shd w:val="clear" w:color="auto" w:fill="auto"/>
            <w:noWrap/>
            <w:vAlign w:val="center"/>
            <w:hideMark/>
          </w:tcPr>
          <w:p w14:paraId="0BBBF7F4" w14:textId="77777777" w:rsidR="00F33FC4" w:rsidRPr="00D21137" w:rsidRDefault="00F33FC4" w:rsidP="00F33FC4">
            <w:pPr>
              <w:jc w:val="right"/>
              <w:rPr>
                <w:sz w:val="22"/>
                <w:szCs w:val="22"/>
                <w:lang w:bidi="ne-NP"/>
              </w:rPr>
            </w:pPr>
          </w:p>
        </w:tc>
        <w:tc>
          <w:tcPr>
            <w:tcW w:w="1199" w:type="dxa"/>
            <w:tcBorders>
              <w:top w:val="nil"/>
              <w:left w:val="nil"/>
              <w:bottom w:val="nil"/>
              <w:right w:val="nil"/>
            </w:tcBorders>
            <w:shd w:val="clear" w:color="auto" w:fill="auto"/>
            <w:noWrap/>
            <w:vAlign w:val="center"/>
            <w:hideMark/>
          </w:tcPr>
          <w:p w14:paraId="4523F48D" w14:textId="77777777" w:rsidR="00F33FC4" w:rsidRPr="00D21137" w:rsidRDefault="00F33FC4" w:rsidP="00F33FC4">
            <w:pPr>
              <w:jc w:val="right"/>
              <w:rPr>
                <w:sz w:val="22"/>
                <w:szCs w:val="22"/>
                <w:lang w:bidi="ne-NP"/>
              </w:rPr>
            </w:pPr>
          </w:p>
        </w:tc>
        <w:tc>
          <w:tcPr>
            <w:tcW w:w="1105" w:type="dxa"/>
            <w:tcBorders>
              <w:top w:val="nil"/>
              <w:left w:val="nil"/>
              <w:bottom w:val="nil"/>
              <w:right w:val="nil"/>
            </w:tcBorders>
            <w:shd w:val="clear" w:color="auto" w:fill="auto"/>
            <w:noWrap/>
            <w:vAlign w:val="center"/>
            <w:hideMark/>
          </w:tcPr>
          <w:p w14:paraId="0F69A5CF" w14:textId="77777777" w:rsidR="00F33FC4" w:rsidRPr="00D21137" w:rsidRDefault="00F33FC4" w:rsidP="00F33FC4">
            <w:pPr>
              <w:jc w:val="right"/>
              <w:rPr>
                <w:sz w:val="22"/>
                <w:szCs w:val="22"/>
                <w:lang w:bidi="ne-NP"/>
              </w:rPr>
            </w:pPr>
          </w:p>
        </w:tc>
      </w:tr>
      <w:tr w:rsidR="00F33FC4" w:rsidRPr="00D21137" w14:paraId="0AE6174C" w14:textId="77777777" w:rsidTr="00D21137">
        <w:trPr>
          <w:trHeight w:val="400"/>
        </w:trPr>
        <w:tc>
          <w:tcPr>
            <w:tcW w:w="2384" w:type="dxa"/>
            <w:tcBorders>
              <w:top w:val="nil"/>
              <w:left w:val="nil"/>
              <w:bottom w:val="nil"/>
              <w:right w:val="nil"/>
            </w:tcBorders>
            <w:shd w:val="clear" w:color="auto" w:fill="auto"/>
            <w:noWrap/>
            <w:vAlign w:val="center"/>
            <w:hideMark/>
          </w:tcPr>
          <w:p w14:paraId="2BE27A99" w14:textId="77777777" w:rsidR="00F33FC4" w:rsidRPr="00D21137" w:rsidRDefault="00F33FC4" w:rsidP="00F33FC4">
            <w:pPr>
              <w:rPr>
                <w:b/>
                <w:bCs/>
                <w:color w:val="000000"/>
                <w:sz w:val="22"/>
                <w:szCs w:val="22"/>
                <w:lang w:bidi="ne-NP"/>
              </w:rPr>
            </w:pPr>
            <w:r w:rsidRPr="00D21137">
              <w:rPr>
                <w:b/>
                <w:bCs/>
                <w:color w:val="000000"/>
                <w:sz w:val="22"/>
                <w:szCs w:val="22"/>
                <w:lang w:bidi="ne-NP"/>
              </w:rPr>
              <w:t>Total mapped reads</w:t>
            </w:r>
          </w:p>
        </w:tc>
        <w:tc>
          <w:tcPr>
            <w:tcW w:w="1616" w:type="dxa"/>
            <w:tcBorders>
              <w:top w:val="nil"/>
              <w:left w:val="nil"/>
              <w:bottom w:val="nil"/>
              <w:right w:val="nil"/>
            </w:tcBorders>
            <w:shd w:val="clear" w:color="auto" w:fill="auto"/>
            <w:noWrap/>
            <w:vAlign w:val="center"/>
            <w:hideMark/>
          </w:tcPr>
          <w:p w14:paraId="2A86092A" w14:textId="77777777" w:rsidR="00F33FC4" w:rsidRPr="00D21137" w:rsidRDefault="00F33FC4" w:rsidP="00F33FC4">
            <w:pPr>
              <w:jc w:val="right"/>
              <w:rPr>
                <w:color w:val="000000"/>
                <w:sz w:val="22"/>
                <w:szCs w:val="22"/>
                <w:lang w:bidi="ne-NP"/>
              </w:rPr>
            </w:pPr>
            <w:r w:rsidRPr="00D21137">
              <w:rPr>
                <w:color w:val="000000"/>
                <w:sz w:val="22"/>
                <w:szCs w:val="22"/>
                <w:lang w:bidi="ne-NP"/>
              </w:rPr>
              <w:t>2252913</w:t>
            </w:r>
          </w:p>
        </w:tc>
        <w:tc>
          <w:tcPr>
            <w:tcW w:w="1300" w:type="dxa"/>
            <w:tcBorders>
              <w:top w:val="nil"/>
              <w:left w:val="nil"/>
              <w:bottom w:val="nil"/>
              <w:right w:val="nil"/>
            </w:tcBorders>
            <w:shd w:val="clear" w:color="auto" w:fill="auto"/>
            <w:noWrap/>
            <w:vAlign w:val="center"/>
            <w:hideMark/>
          </w:tcPr>
          <w:p w14:paraId="731A51F8" w14:textId="77777777" w:rsidR="00F33FC4" w:rsidRPr="00D21137" w:rsidRDefault="00F33FC4" w:rsidP="00F33FC4">
            <w:pPr>
              <w:jc w:val="right"/>
              <w:rPr>
                <w:color w:val="000000"/>
                <w:sz w:val="22"/>
                <w:szCs w:val="22"/>
                <w:lang w:bidi="ne-NP"/>
              </w:rPr>
            </w:pPr>
            <w:r w:rsidRPr="00D21137">
              <w:rPr>
                <w:color w:val="000000"/>
                <w:sz w:val="22"/>
                <w:szCs w:val="22"/>
                <w:lang w:bidi="ne-NP"/>
              </w:rPr>
              <w:t>2231338</w:t>
            </w:r>
          </w:p>
        </w:tc>
        <w:tc>
          <w:tcPr>
            <w:tcW w:w="1300" w:type="dxa"/>
            <w:tcBorders>
              <w:top w:val="nil"/>
              <w:left w:val="nil"/>
              <w:bottom w:val="nil"/>
              <w:right w:val="nil"/>
            </w:tcBorders>
            <w:shd w:val="clear" w:color="auto" w:fill="auto"/>
            <w:noWrap/>
            <w:vAlign w:val="center"/>
            <w:hideMark/>
          </w:tcPr>
          <w:p w14:paraId="53C77C65" w14:textId="77777777" w:rsidR="00F33FC4" w:rsidRPr="00D21137" w:rsidRDefault="00F33FC4" w:rsidP="00F33FC4">
            <w:pPr>
              <w:jc w:val="right"/>
              <w:rPr>
                <w:color w:val="000000"/>
                <w:sz w:val="22"/>
                <w:szCs w:val="22"/>
                <w:lang w:bidi="ne-NP"/>
              </w:rPr>
            </w:pPr>
            <w:r w:rsidRPr="00D21137">
              <w:rPr>
                <w:color w:val="000000"/>
                <w:sz w:val="22"/>
                <w:szCs w:val="22"/>
                <w:lang w:bidi="ne-NP"/>
              </w:rPr>
              <w:t>2043072</w:t>
            </w:r>
          </w:p>
        </w:tc>
        <w:tc>
          <w:tcPr>
            <w:tcW w:w="1199" w:type="dxa"/>
            <w:tcBorders>
              <w:top w:val="nil"/>
              <w:left w:val="nil"/>
              <w:bottom w:val="nil"/>
              <w:right w:val="nil"/>
            </w:tcBorders>
            <w:shd w:val="clear" w:color="auto" w:fill="auto"/>
            <w:noWrap/>
            <w:vAlign w:val="center"/>
            <w:hideMark/>
          </w:tcPr>
          <w:p w14:paraId="26FC1EB6" w14:textId="77777777" w:rsidR="00F33FC4" w:rsidRPr="00D21137" w:rsidRDefault="00F33FC4" w:rsidP="00F33FC4">
            <w:pPr>
              <w:jc w:val="right"/>
              <w:rPr>
                <w:color w:val="000000"/>
                <w:sz w:val="22"/>
                <w:szCs w:val="22"/>
                <w:lang w:bidi="ne-NP"/>
              </w:rPr>
            </w:pPr>
          </w:p>
        </w:tc>
        <w:tc>
          <w:tcPr>
            <w:tcW w:w="1105" w:type="dxa"/>
            <w:tcBorders>
              <w:top w:val="nil"/>
              <w:left w:val="nil"/>
              <w:bottom w:val="nil"/>
              <w:right w:val="nil"/>
            </w:tcBorders>
            <w:shd w:val="clear" w:color="auto" w:fill="auto"/>
            <w:noWrap/>
            <w:vAlign w:val="center"/>
            <w:hideMark/>
          </w:tcPr>
          <w:p w14:paraId="3132F4CD" w14:textId="77777777" w:rsidR="00F33FC4" w:rsidRPr="00D21137" w:rsidRDefault="00F33FC4" w:rsidP="00F33FC4">
            <w:pPr>
              <w:jc w:val="right"/>
              <w:rPr>
                <w:sz w:val="22"/>
                <w:szCs w:val="22"/>
                <w:lang w:bidi="ne-NP"/>
              </w:rPr>
            </w:pPr>
          </w:p>
        </w:tc>
      </w:tr>
      <w:tr w:rsidR="00F33FC4" w:rsidRPr="00D21137" w14:paraId="5E3BABCD" w14:textId="77777777" w:rsidTr="00D21137">
        <w:trPr>
          <w:trHeight w:val="400"/>
        </w:trPr>
        <w:tc>
          <w:tcPr>
            <w:tcW w:w="2384" w:type="dxa"/>
            <w:tcBorders>
              <w:top w:val="nil"/>
              <w:left w:val="nil"/>
              <w:bottom w:val="nil"/>
              <w:right w:val="nil"/>
            </w:tcBorders>
            <w:shd w:val="clear" w:color="auto" w:fill="auto"/>
            <w:noWrap/>
            <w:vAlign w:val="center"/>
            <w:hideMark/>
          </w:tcPr>
          <w:p w14:paraId="38186247" w14:textId="77777777" w:rsidR="00F33FC4" w:rsidRPr="00D21137" w:rsidRDefault="00F33FC4" w:rsidP="00F33FC4">
            <w:pPr>
              <w:rPr>
                <w:b/>
                <w:bCs/>
                <w:color w:val="000000"/>
                <w:sz w:val="22"/>
                <w:szCs w:val="22"/>
                <w:lang w:bidi="ne-NP"/>
              </w:rPr>
            </w:pPr>
            <w:r w:rsidRPr="00D21137">
              <w:rPr>
                <w:b/>
                <w:bCs/>
                <w:color w:val="000000"/>
                <w:sz w:val="22"/>
                <w:szCs w:val="22"/>
                <w:lang w:bidi="ne-NP"/>
              </w:rPr>
              <w:t>Unique mapped</w:t>
            </w:r>
          </w:p>
        </w:tc>
        <w:tc>
          <w:tcPr>
            <w:tcW w:w="1616" w:type="dxa"/>
            <w:tcBorders>
              <w:top w:val="nil"/>
              <w:left w:val="nil"/>
              <w:bottom w:val="nil"/>
              <w:right w:val="nil"/>
            </w:tcBorders>
            <w:shd w:val="clear" w:color="auto" w:fill="auto"/>
            <w:noWrap/>
            <w:vAlign w:val="center"/>
            <w:hideMark/>
          </w:tcPr>
          <w:p w14:paraId="1A7F02F4" w14:textId="77777777" w:rsidR="00F33FC4" w:rsidRPr="00D21137" w:rsidRDefault="00F33FC4" w:rsidP="00F33FC4">
            <w:pPr>
              <w:jc w:val="right"/>
              <w:rPr>
                <w:color w:val="000000"/>
                <w:sz w:val="22"/>
                <w:szCs w:val="22"/>
                <w:lang w:bidi="ne-NP"/>
              </w:rPr>
            </w:pPr>
            <w:r w:rsidRPr="00D21137">
              <w:rPr>
                <w:color w:val="000000"/>
                <w:sz w:val="22"/>
                <w:szCs w:val="22"/>
                <w:lang w:bidi="ne-NP"/>
              </w:rPr>
              <w:t>499394</w:t>
            </w:r>
          </w:p>
        </w:tc>
        <w:tc>
          <w:tcPr>
            <w:tcW w:w="1300" w:type="dxa"/>
            <w:tcBorders>
              <w:top w:val="nil"/>
              <w:left w:val="nil"/>
              <w:bottom w:val="nil"/>
              <w:right w:val="nil"/>
            </w:tcBorders>
            <w:shd w:val="clear" w:color="auto" w:fill="auto"/>
            <w:noWrap/>
            <w:vAlign w:val="center"/>
            <w:hideMark/>
          </w:tcPr>
          <w:p w14:paraId="15A11738" w14:textId="77777777" w:rsidR="00F33FC4" w:rsidRPr="00D21137" w:rsidRDefault="00F33FC4" w:rsidP="00F33FC4">
            <w:pPr>
              <w:jc w:val="right"/>
              <w:rPr>
                <w:color w:val="000000"/>
                <w:sz w:val="22"/>
                <w:szCs w:val="22"/>
                <w:lang w:bidi="ne-NP"/>
              </w:rPr>
            </w:pPr>
            <w:r w:rsidRPr="00D21137">
              <w:rPr>
                <w:color w:val="000000"/>
                <w:sz w:val="22"/>
                <w:szCs w:val="22"/>
                <w:lang w:bidi="ne-NP"/>
              </w:rPr>
              <w:t>484048</w:t>
            </w:r>
          </w:p>
        </w:tc>
        <w:tc>
          <w:tcPr>
            <w:tcW w:w="1300" w:type="dxa"/>
            <w:tcBorders>
              <w:top w:val="nil"/>
              <w:left w:val="nil"/>
              <w:bottom w:val="nil"/>
              <w:right w:val="nil"/>
            </w:tcBorders>
            <w:shd w:val="clear" w:color="auto" w:fill="auto"/>
            <w:noWrap/>
            <w:vAlign w:val="center"/>
            <w:hideMark/>
          </w:tcPr>
          <w:p w14:paraId="60048B3F" w14:textId="77777777" w:rsidR="00F33FC4" w:rsidRPr="00D21137" w:rsidRDefault="00F33FC4" w:rsidP="00F33FC4">
            <w:pPr>
              <w:jc w:val="right"/>
              <w:rPr>
                <w:color w:val="000000"/>
                <w:sz w:val="22"/>
                <w:szCs w:val="22"/>
                <w:lang w:bidi="ne-NP"/>
              </w:rPr>
            </w:pPr>
            <w:r w:rsidRPr="00D21137">
              <w:rPr>
                <w:color w:val="000000"/>
                <w:sz w:val="22"/>
                <w:szCs w:val="22"/>
                <w:lang w:bidi="ne-NP"/>
              </w:rPr>
              <w:t>461459</w:t>
            </w:r>
          </w:p>
        </w:tc>
        <w:tc>
          <w:tcPr>
            <w:tcW w:w="1199" w:type="dxa"/>
            <w:tcBorders>
              <w:top w:val="nil"/>
              <w:left w:val="nil"/>
              <w:bottom w:val="nil"/>
              <w:right w:val="nil"/>
            </w:tcBorders>
            <w:shd w:val="clear" w:color="auto" w:fill="auto"/>
            <w:noWrap/>
            <w:vAlign w:val="center"/>
            <w:hideMark/>
          </w:tcPr>
          <w:p w14:paraId="295EC9CD" w14:textId="77777777" w:rsidR="00F33FC4" w:rsidRPr="00D21137" w:rsidRDefault="00F33FC4" w:rsidP="00F33FC4">
            <w:pPr>
              <w:jc w:val="right"/>
              <w:rPr>
                <w:color w:val="000000"/>
                <w:sz w:val="22"/>
                <w:szCs w:val="22"/>
                <w:lang w:bidi="ne-NP"/>
              </w:rPr>
            </w:pPr>
          </w:p>
        </w:tc>
        <w:tc>
          <w:tcPr>
            <w:tcW w:w="1105" w:type="dxa"/>
            <w:tcBorders>
              <w:top w:val="nil"/>
              <w:left w:val="nil"/>
              <w:bottom w:val="nil"/>
              <w:right w:val="nil"/>
            </w:tcBorders>
            <w:shd w:val="clear" w:color="auto" w:fill="auto"/>
            <w:noWrap/>
            <w:vAlign w:val="center"/>
            <w:hideMark/>
          </w:tcPr>
          <w:p w14:paraId="3470961D" w14:textId="77777777" w:rsidR="00F33FC4" w:rsidRPr="00D21137" w:rsidRDefault="00F33FC4" w:rsidP="00F33FC4">
            <w:pPr>
              <w:jc w:val="right"/>
              <w:rPr>
                <w:sz w:val="22"/>
                <w:szCs w:val="22"/>
                <w:lang w:bidi="ne-NP"/>
              </w:rPr>
            </w:pPr>
          </w:p>
        </w:tc>
      </w:tr>
      <w:tr w:rsidR="00F33FC4" w:rsidRPr="00D21137" w14:paraId="2D8710F9" w14:textId="77777777" w:rsidTr="00D21137">
        <w:trPr>
          <w:trHeight w:val="400"/>
        </w:trPr>
        <w:tc>
          <w:tcPr>
            <w:tcW w:w="2384" w:type="dxa"/>
            <w:tcBorders>
              <w:top w:val="nil"/>
              <w:left w:val="nil"/>
              <w:bottom w:val="nil"/>
              <w:right w:val="nil"/>
            </w:tcBorders>
            <w:shd w:val="clear" w:color="auto" w:fill="auto"/>
            <w:noWrap/>
            <w:vAlign w:val="center"/>
            <w:hideMark/>
          </w:tcPr>
          <w:p w14:paraId="323ACC70" w14:textId="77777777" w:rsidR="00F33FC4" w:rsidRPr="00D21137" w:rsidRDefault="00F33FC4" w:rsidP="00F33FC4">
            <w:pPr>
              <w:rPr>
                <w:b/>
                <w:bCs/>
                <w:color w:val="000000"/>
                <w:sz w:val="22"/>
                <w:szCs w:val="22"/>
                <w:lang w:bidi="ne-NP"/>
              </w:rPr>
            </w:pPr>
            <w:r w:rsidRPr="00D21137">
              <w:rPr>
                <w:b/>
                <w:bCs/>
                <w:color w:val="000000"/>
                <w:sz w:val="22"/>
                <w:szCs w:val="22"/>
                <w:lang w:bidi="ne-NP"/>
              </w:rPr>
              <w:t>Percent unique mapped</w:t>
            </w:r>
          </w:p>
        </w:tc>
        <w:tc>
          <w:tcPr>
            <w:tcW w:w="1616" w:type="dxa"/>
            <w:tcBorders>
              <w:top w:val="nil"/>
              <w:left w:val="nil"/>
              <w:bottom w:val="nil"/>
              <w:right w:val="nil"/>
            </w:tcBorders>
            <w:shd w:val="clear" w:color="auto" w:fill="auto"/>
            <w:noWrap/>
            <w:vAlign w:val="center"/>
            <w:hideMark/>
          </w:tcPr>
          <w:p w14:paraId="14C1ACEC" w14:textId="77777777" w:rsidR="00F33FC4" w:rsidRPr="00D21137" w:rsidRDefault="00F33FC4" w:rsidP="00F33FC4">
            <w:pPr>
              <w:jc w:val="right"/>
              <w:rPr>
                <w:color w:val="000000"/>
                <w:sz w:val="22"/>
                <w:szCs w:val="22"/>
                <w:lang w:bidi="ne-NP"/>
              </w:rPr>
            </w:pPr>
            <w:r w:rsidRPr="00D21137">
              <w:rPr>
                <w:color w:val="000000"/>
                <w:sz w:val="22"/>
                <w:szCs w:val="22"/>
                <w:lang w:bidi="ne-NP"/>
              </w:rPr>
              <w:t>22.17</w:t>
            </w:r>
          </w:p>
        </w:tc>
        <w:tc>
          <w:tcPr>
            <w:tcW w:w="1300" w:type="dxa"/>
            <w:tcBorders>
              <w:top w:val="nil"/>
              <w:left w:val="nil"/>
              <w:bottom w:val="nil"/>
              <w:right w:val="nil"/>
            </w:tcBorders>
            <w:shd w:val="clear" w:color="auto" w:fill="auto"/>
            <w:noWrap/>
            <w:vAlign w:val="center"/>
            <w:hideMark/>
          </w:tcPr>
          <w:p w14:paraId="6513911B" w14:textId="77777777" w:rsidR="00F33FC4" w:rsidRPr="00D21137" w:rsidRDefault="00F33FC4" w:rsidP="00F33FC4">
            <w:pPr>
              <w:jc w:val="right"/>
              <w:rPr>
                <w:color w:val="000000"/>
                <w:sz w:val="22"/>
                <w:szCs w:val="22"/>
                <w:lang w:bidi="ne-NP"/>
              </w:rPr>
            </w:pPr>
            <w:r w:rsidRPr="00D21137">
              <w:rPr>
                <w:color w:val="000000"/>
                <w:sz w:val="22"/>
                <w:szCs w:val="22"/>
                <w:lang w:bidi="ne-NP"/>
              </w:rPr>
              <w:t>21.69</w:t>
            </w:r>
          </w:p>
        </w:tc>
        <w:tc>
          <w:tcPr>
            <w:tcW w:w="1300" w:type="dxa"/>
            <w:tcBorders>
              <w:top w:val="nil"/>
              <w:left w:val="nil"/>
              <w:bottom w:val="nil"/>
              <w:right w:val="nil"/>
            </w:tcBorders>
            <w:shd w:val="clear" w:color="auto" w:fill="auto"/>
            <w:noWrap/>
            <w:vAlign w:val="center"/>
            <w:hideMark/>
          </w:tcPr>
          <w:p w14:paraId="3AB29B91" w14:textId="77777777" w:rsidR="00F33FC4" w:rsidRPr="00D21137" w:rsidRDefault="00F33FC4" w:rsidP="00F33FC4">
            <w:pPr>
              <w:jc w:val="right"/>
              <w:rPr>
                <w:color w:val="000000"/>
                <w:sz w:val="22"/>
                <w:szCs w:val="22"/>
                <w:lang w:bidi="ne-NP"/>
              </w:rPr>
            </w:pPr>
            <w:r w:rsidRPr="00D21137">
              <w:rPr>
                <w:color w:val="000000"/>
                <w:sz w:val="22"/>
                <w:szCs w:val="22"/>
                <w:lang w:bidi="ne-NP"/>
              </w:rPr>
              <w:t>22.59</w:t>
            </w:r>
          </w:p>
        </w:tc>
        <w:tc>
          <w:tcPr>
            <w:tcW w:w="1199" w:type="dxa"/>
            <w:tcBorders>
              <w:top w:val="nil"/>
              <w:left w:val="nil"/>
              <w:bottom w:val="nil"/>
              <w:right w:val="nil"/>
            </w:tcBorders>
            <w:shd w:val="clear" w:color="auto" w:fill="auto"/>
            <w:noWrap/>
            <w:vAlign w:val="center"/>
            <w:hideMark/>
          </w:tcPr>
          <w:p w14:paraId="7106CC96" w14:textId="77777777" w:rsidR="00F33FC4" w:rsidRPr="00D21137" w:rsidRDefault="00F33FC4" w:rsidP="00F33FC4">
            <w:pPr>
              <w:jc w:val="right"/>
              <w:rPr>
                <w:color w:val="000000"/>
                <w:sz w:val="22"/>
                <w:szCs w:val="22"/>
                <w:lang w:bidi="ne-NP"/>
              </w:rPr>
            </w:pPr>
          </w:p>
        </w:tc>
        <w:tc>
          <w:tcPr>
            <w:tcW w:w="1105" w:type="dxa"/>
            <w:tcBorders>
              <w:top w:val="nil"/>
              <w:left w:val="nil"/>
              <w:bottom w:val="nil"/>
              <w:right w:val="nil"/>
            </w:tcBorders>
            <w:shd w:val="clear" w:color="auto" w:fill="auto"/>
            <w:noWrap/>
            <w:vAlign w:val="center"/>
            <w:hideMark/>
          </w:tcPr>
          <w:p w14:paraId="2CE37833" w14:textId="77777777" w:rsidR="00F33FC4" w:rsidRPr="00D21137" w:rsidRDefault="00F33FC4" w:rsidP="00F33FC4">
            <w:pPr>
              <w:jc w:val="right"/>
              <w:rPr>
                <w:sz w:val="22"/>
                <w:szCs w:val="22"/>
                <w:lang w:bidi="ne-NP"/>
              </w:rPr>
            </w:pPr>
          </w:p>
        </w:tc>
      </w:tr>
      <w:tr w:rsidR="00F33FC4" w:rsidRPr="00D21137" w14:paraId="668362BA" w14:textId="77777777" w:rsidTr="00D21137">
        <w:trPr>
          <w:trHeight w:val="400"/>
        </w:trPr>
        <w:tc>
          <w:tcPr>
            <w:tcW w:w="2384" w:type="dxa"/>
            <w:tcBorders>
              <w:top w:val="nil"/>
              <w:left w:val="nil"/>
              <w:bottom w:val="nil"/>
              <w:right w:val="nil"/>
            </w:tcBorders>
            <w:shd w:val="clear" w:color="auto" w:fill="auto"/>
            <w:noWrap/>
            <w:vAlign w:val="center"/>
            <w:hideMark/>
          </w:tcPr>
          <w:p w14:paraId="31A2EF22" w14:textId="77777777" w:rsidR="00F33FC4" w:rsidRPr="00D21137" w:rsidRDefault="00F33FC4" w:rsidP="00F33FC4">
            <w:pPr>
              <w:rPr>
                <w:b/>
                <w:bCs/>
                <w:sz w:val="22"/>
                <w:szCs w:val="22"/>
                <w:lang w:bidi="ne-NP"/>
              </w:rPr>
            </w:pPr>
            <w:r w:rsidRPr="00D21137">
              <w:rPr>
                <w:b/>
                <w:bCs/>
                <w:sz w:val="22"/>
                <w:szCs w:val="22"/>
                <w:lang w:bidi="ne-NP"/>
              </w:rPr>
              <w:t>Percent multiple loci mapped</w:t>
            </w:r>
          </w:p>
        </w:tc>
        <w:tc>
          <w:tcPr>
            <w:tcW w:w="1616" w:type="dxa"/>
            <w:tcBorders>
              <w:top w:val="nil"/>
              <w:left w:val="nil"/>
              <w:bottom w:val="nil"/>
              <w:right w:val="nil"/>
            </w:tcBorders>
            <w:shd w:val="clear" w:color="auto" w:fill="auto"/>
            <w:noWrap/>
            <w:vAlign w:val="center"/>
            <w:hideMark/>
          </w:tcPr>
          <w:p w14:paraId="52BCBA8D" w14:textId="77777777" w:rsidR="00F33FC4" w:rsidRPr="00D21137" w:rsidRDefault="00F33FC4" w:rsidP="00F33FC4">
            <w:pPr>
              <w:jc w:val="right"/>
              <w:rPr>
                <w:sz w:val="22"/>
                <w:szCs w:val="22"/>
                <w:lang w:bidi="ne-NP"/>
              </w:rPr>
            </w:pPr>
            <w:r w:rsidRPr="00D21137">
              <w:rPr>
                <w:sz w:val="22"/>
                <w:szCs w:val="22"/>
                <w:lang w:bidi="ne-NP"/>
              </w:rPr>
              <w:t>76.52</w:t>
            </w:r>
          </w:p>
        </w:tc>
        <w:tc>
          <w:tcPr>
            <w:tcW w:w="1300" w:type="dxa"/>
            <w:tcBorders>
              <w:top w:val="nil"/>
              <w:left w:val="nil"/>
              <w:bottom w:val="nil"/>
              <w:right w:val="nil"/>
            </w:tcBorders>
            <w:shd w:val="clear" w:color="auto" w:fill="auto"/>
            <w:noWrap/>
            <w:vAlign w:val="center"/>
            <w:hideMark/>
          </w:tcPr>
          <w:p w14:paraId="2D4D8CD7" w14:textId="77777777" w:rsidR="00F33FC4" w:rsidRPr="00D21137" w:rsidRDefault="00F33FC4" w:rsidP="00F33FC4">
            <w:pPr>
              <w:jc w:val="right"/>
              <w:rPr>
                <w:sz w:val="22"/>
                <w:szCs w:val="22"/>
                <w:lang w:bidi="ne-NP"/>
              </w:rPr>
            </w:pPr>
            <w:r w:rsidRPr="00D21137">
              <w:rPr>
                <w:sz w:val="22"/>
                <w:szCs w:val="22"/>
                <w:lang w:bidi="ne-NP"/>
              </w:rPr>
              <w:t>76.96</w:t>
            </w:r>
          </w:p>
        </w:tc>
        <w:tc>
          <w:tcPr>
            <w:tcW w:w="1300" w:type="dxa"/>
            <w:tcBorders>
              <w:top w:val="nil"/>
              <w:left w:val="nil"/>
              <w:bottom w:val="nil"/>
              <w:right w:val="nil"/>
            </w:tcBorders>
            <w:shd w:val="clear" w:color="auto" w:fill="auto"/>
            <w:noWrap/>
            <w:vAlign w:val="center"/>
            <w:hideMark/>
          </w:tcPr>
          <w:p w14:paraId="1320D0E0" w14:textId="77777777" w:rsidR="00F33FC4" w:rsidRPr="00D21137" w:rsidRDefault="00F33FC4" w:rsidP="00F33FC4">
            <w:pPr>
              <w:jc w:val="right"/>
              <w:rPr>
                <w:sz w:val="22"/>
                <w:szCs w:val="22"/>
                <w:lang w:bidi="ne-NP"/>
              </w:rPr>
            </w:pPr>
            <w:r w:rsidRPr="00D21137">
              <w:rPr>
                <w:sz w:val="22"/>
                <w:szCs w:val="22"/>
                <w:lang w:bidi="ne-NP"/>
              </w:rPr>
              <w:t>76.2</w:t>
            </w:r>
          </w:p>
        </w:tc>
        <w:tc>
          <w:tcPr>
            <w:tcW w:w="1199" w:type="dxa"/>
            <w:tcBorders>
              <w:top w:val="nil"/>
              <w:left w:val="nil"/>
              <w:bottom w:val="nil"/>
              <w:right w:val="nil"/>
            </w:tcBorders>
            <w:shd w:val="clear" w:color="auto" w:fill="auto"/>
            <w:noWrap/>
            <w:vAlign w:val="center"/>
            <w:hideMark/>
          </w:tcPr>
          <w:p w14:paraId="6CF9E0C3" w14:textId="77777777" w:rsidR="00F33FC4" w:rsidRPr="00D21137" w:rsidRDefault="00F33FC4" w:rsidP="00F33FC4">
            <w:pPr>
              <w:rPr>
                <w:sz w:val="22"/>
                <w:szCs w:val="22"/>
                <w:lang w:bidi="ne-NP"/>
              </w:rPr>
            </w:pPr>
          </w:p>
        </w:tc>
        <w:tc>
          <w:tcPr>
            <w:tcW w:w="1105" w:type="dxa"/>
            <w:tcBorders>
              <w:top w:val="nil"/>
              <w:left w:val="nil"/>
              <w:bottom w:val="nil"/>
              <w:right w:val="nil"/>
            </w:tcBorders>
            <w:shd w:val="clear" w:color="auto" w:fill="auto"/>
            <w:noWrap/>
            <w:vAlign w:val="center"/>
            <w:hideMark/>
          </w:tcPr>
          <w:p w14:paraId="49308C4E" w14:textId="77777777" w:rsidR="00F33FC4" w:rsidRPr="00D21137" w:rsidRDefault="00F33FC4" w:rsidP="00F33FC4">
            <w:pPr>
              <w:jc w:val="right"/>
              <w:rPr>
                <w:sz w:val="22"/>
                <w:szCs w:val="22"/>
                <w:lang w:bidi="ne-NP"/>
              </w:rPr>
            </w:pPr>
          </w:p>
        </w:tc>
      </w:tr>
      <w:tr w:rsidR="00F33FC4" w:rsidRPr="00D21137" w14:paraId="214092F9" w14:textId="77777777" w:rsidTr="00D21137">
        <w:trPr>
          <w:trHeight w:val="400"/>
        </w:trPr>
        <w:tc>
          <w:tcPr>
            <w:tcW w:w="2384" w:type="dxa"/>
            <w:tcBorders>
              <w:top w:val="single" w:sz="4" w:space="0" w:color="000000"/>
              <w:left w:val="nil"/>
              <w:bottom w:val="nil"/>
              <w:right w:val="nil"/>
            </w:tcBorders>
            <w:shd w:val="clear" w:color="auto" w:fill="auto"/>
            <w:noWrap/>
            <w:vAlign w:val="center"/>
            <w:hideMark/>
          </w:tcPr>
          <w:p w14:paraId="596F63F8" w14:textId="77777777" w:rsidR="00F33FC4" w:rsidRPr="00D21137" w:rsidRDefault="00F33FC4" w:rsidP="00F33FC4">
            <w:pPr>
              <w:rPr>
                <w:b/>
                <w:bCs/>
                <w:color w:val="000000"/>
                <w:sz w:val="22"/>
                <w:szCs w:val="22"/>
                <w:lang w:bidi="ne-NP"/>
              </w:rPr>
            </w:pPr>
            <w:r w:rsidRPr="00D21137">
              <w:rPr>
                <w:b/>
                <w:bCs/>
                <w:color w:val="000000"/>
                <w:sz w:val="22"/>
                <w:szCs w:val="22"/>
                <w:lang w:bidi="ne-NP"/>
              </w:rPr>
              <w:t> </w:t>
            </w:r>
          </w:p>
        </w:tc>
        <w:tc>
          <w:tcPr>
            <w:tcW w:w="4216" w:type="dxa"/>
            <w:gridSpan w:val="3"/>
            <w:tcBorders>
              <w:top w:val="single" w:sz="4" w:space="0" w:color="000000"/>
              <w:left w:val="nil"/>
              <w:bottom w:val="nil"/>
              <w:right w:val="nil"/>
            </w:tcBorders>
            <w:shd w:val="clear" w:color="auto" w:fill="auto"/>
            <w:noWrap/>
            <w:vAlign w:val="center"/>
            <w:hideMark/>
          </w:tcPr>
          <w:p w14:paraId="215AF83D" w14:textId="77777777" w:rsidR="00F33FC4" w:rsidRPr="00D21137" w:rsidRDefault="00F33FC4" w:rsidP="00F33FC4">
            <w:pPr>
              <w:jc w:val="center"/>
              <w:rPr>
                <w:b/>
                <w:bCs/>
                <w:color w:val="000000"/>
                <w:sz w:val="22"/>
                <w:szCs w:val="22"/>
                <w:lang w:bidi="ne-NP"/>
              </w:rPr>
            </w:pPr>
            <w:r w:rsidRPr="00D21137">
              <w:rPr>
                <w:b/>
                <w:bCs/>
                <w:color w:val="000000"/>
                <w:sz w:val="22"/>
                <w:szCs w:val="22"/>
                <w:lang w:bidi="ne-NP"/>
              </w:rPr>
              <w:t>EDL933-</w:t>
            </w:r>
            <w:r w:rsidRPr="00D21137">
              <w:rPr>
                <w:rFonts w:ascii="Cambria Math" w:hAnsi="Cambria Math" w:cs="Cambria Math"/>
                <w:b/>
                <w:bCs/>
                <w:color w:val="000000"/>
                <w:sz w:val="22"/>
                <w:szCs w:val="22"/>
                <w:lang w:bidi="ne-NP"/>
              </w:rPr>
              <w:t>△</w:t>
            </w:r>
            <w:proofErr w:type="spellStart"/>
            <w:r w:rsidRPr="00D21137">
              <w:rPr>
                <w:b/>
                <w:bCs/>
                <w:i/>
                <w:iCs/>
                <w:color w:val="000000"/>
                <w:sz w:val="22"/>
                <w:szCs w:val="22"/>
                <w:lang w:bidi="ne-NP"/>
              </w:rPr>
              <w:t>zor-orz</w:t>
            </w:r>
            <w:proofErr w:type="spellEnd"/>
            <w:r w:rsidRPr="00D21137">
              <w:rPr>
                <w:b/>
                <w:bCs/>
                <w:color w:val="000000"/>
                <w:sz w:val="22"/>
                <w:szCs w:val="22"/>
                <w:lang w:bidi="ne-NP"/>
              </w:rPr>
              <w:t xml:space="preserve"> </w:t>
            </w:r>
            <w:proofErr w:type="spellStart"/>
            <w:r w:rsidRPr="00D21137">
              <w:rPr>
                <w:b/>
                <w:bCs/>
                <w:color w:val="000000"/>
                <w:sz w:val="22"/>
                <w:szCs w:val="22"/>
                <w:lang w:bidi="ne-NP"/>
              </w:rPr>
              <w:t>pBR</w:t>
            </w:r>
            <w:r w:rsidRPr="00D21137">
              <w:rPr>
                <w:b/>
                <w:bCs/>
                <w:i/>
                <w:iCs/>
                <w:color w:val="000000"/>
                <w:sz w:val="22"/>
                <w:szCs w:val="22"/>
                <w:lang w:bidi="ne-NP"/>
              </w:rPr>
              <w:t>-zor-orz</w:t>
            </w:r>
            <w:proofErr w:type="spellEnd"/>
          </w:p>
        </w:tc>
        <w:tc>
          <w:tcPr>
            <w:tcW w:w="1199" w:type="dxa"/>
            <w:vMerge w:val="restart"/>
            <w:tcBorders>
              <w:top w:val="single" w:sz="4" w:space="0" w:color="000000"/>
              <w:left w:val="nil"/>
              <w:right w:val="nil"/>
            </w:tcBorders>
            <w:shd w:val="clear" w:color="auto" w:fill="auto"/>
            <w:noWrap/>
            <w:vAlign w:val="center"/>
            <w:hideMark/>
          </w:tcPr>
          <w:p w14:paraId="39F1F927" w14:textId="77777777" w:rsidR="00F33FC4" w:rsidRPr="00D21137" w:rsidRDefault="00F33FC4" w:rsidP="00F33FC4">
            <w:pPr>
              <w:jc w:val="center"/>
              <w:rPr>
                <w:color w:val="000000"/>
                <w:sz w:val="22"/>
                <w:szCs w:val="22"/>
                <w:lang w:bidi="ne-NP"/>
              </w:rPr>
            </w:pPr>
            <w:r w:rsidRPr="00D21137">
              <w:rPr>
                <w:b/>
                <w:bCs/>
                <w:color w:val="000000"/>
                <w:sz w:val="22"/>
                <w:szCs w:val="22"/>
                <w:lang w:bidi="ne-NP"/>
              </w:rPr>
              <w:t>Mean</w:t>
            </w:r>
          </w:p>
        </w:tc>
        <w:tc>
          <w:tcPr>
            <w:tcW w:w="1105" w:type="dxa"/>
            <w:vMerge w:val="restart"/>
            <w:tcBorders>
              <w:top w:val="single" w:sz="4" w:space="0" w:color="000000"/>
              <w:left w:val="nil"/>
              <w:right w:val="nil"/>
            </w:tcBorders>
            <w:shd w:val="clear" w:color="auto" w:fill="auto"/>
            <w:noWrap/>
            <w:vAlign w:val="center"/>
            <w:hideMark/>
          </w:tcPr>
          <w:p w14:paraId="12F02177" w14:textId="77777777" w:rsidR="00F33FC4" w:rsidRPr="00D21137" w:rsidRDefault="00F33FC4" w:rsidP="00F33FC4">
            <w:pPr>
              <w:jc w:val="center"/>
              <w:rPr>
                <w:color w:val="000000"/>
                <w:sz w:val="22"/>
                <w:szCs w:val="22"/>
                <w:lang w:bidi="ne-NP"/>
              </w:rPr>
            </w:pPr>
            <w:r w:rsidRPr="00D21137">
              <w:rPr>
                <w:b/>
                <w:bCs/>
                <w:color w:val="000000"/>
                <w:sz w:val="22"/>
                <w:szCs w:val="22"/>
                <w:lang w:bidi="ne-NP"/>
              </w:rPr>
              <w:t>± SE</w:t>
            </w:r>
          </w:p>
        </w:tc>
      </w:tr>
      <w:tr w:rsidR="00F33FC4" w:rsidRPr="00D21137" w14:paraId="3AD48FCB" w14:textId="77777777" w:rsidTr="00D21137">
        <w:trPr>
          <w:trHeight w:val="400"/>
        </w:trPr>
        <w:tc>
          <w:tcPr>
            <w:tcW w:w="2384" w:type="dxa"/>
            <w:tcBorders>
              <w:top w:val="nil"/>
              <w:left w:val="nil"/>
              <w:bottom w:val="nil"/>
              <w:right w:val="nil"/>
            </w:tcBorders>
            <w:shd w:val="clear" w:color="auto" w:fill="auto"/>
            <w:noWrap/>
            <w:vAlign w:val="center"/>
            <w:hideMark/>
          </w:tcPr>
          <w:p w14:paraId="45530B89" w14:textId="77777777" w:rsidR="00F33FC4" w:rsidRPr="00D21137" w:rsidRDefault="00F33FC4" w:rsidP="00F33FC4">
            <w:pPr>
              <w:jc w:val="right"/>
              <w:rPr>
                <w:color w:val="000000"/>
                <w:sz w:val="22"/>
                <w:szCs w:val="22"/>
                <w:lang w:bidi="ne-NP"/>
              </w:rPr>
            </w:pPr>
          </w:p>
        </w:tc>
        <w:tc>
          <w:tcPr>
            <w:tcW w:w="1616" w:type="dxa"/>
            <w:tcBorders>
              <w:top w:val="nil"/>
              <w:left w:val="nil"/>
              <w:bottom w:val="nil"/>
              <w:right w:val="nil"/>
            </w:tcBorders>
            <w:shd w:val="clear" w:color="auto" w:fill="auto"/>
            <w:noWrap/>
            <w:vAlign w:val="center"/>
            <w:hideMark/>
          </w:tcPr>
          <w:p w14:paraId="1DEE5FA3" w14:textId="77777777" w:rsidR="00F33FC4" w:rsidRPr="00D21137" w:rsidRDefault="00F33FC4" w:rsidP="00F33FC4">
            <w:pPr>
              <w:jc w:val="center"/>
              <w:rPr>
                <w:b/>
                <w:bCs/>
                <w:color w:val="000000"/>
                <w:sz w:val="22"/>
                <w:szCs w:val="22"/>
                <w:lang w:bidi="ne-NP"/>
              </w:rPr>
            </w:pPr>
            <w:r w:rsidRPr="00D21137">
              <w:rPr>
                <w:b/>
                <w:bCs/>
                <w:color w:val="000000"/>
                <w:sz w:val="22"/>
                <w:szCs w:val="22"/>
                <w:lang w:bidi="ne-NP"/>
              </w:rPr>
              <w:t>A</w:t>
            </w:r>
          </w:p>
        </w:tc>
        <w:tc>
          <w:tcPr>
            <w:tcW w:w="1300" w:type="dxa"/>
            <w:tcBorders>
              <w:top w:val="nil"/>
              <w:left w:val="nil"/>
              <w:bottom w:val="nil"/>
              <w:right w:val="nil"/>
            </w:tcBorders>
            <w:shd w:val="clear" w:color="auto" w:fill="auto"/>
            <w:noWrap/>
            <w:vAlign w:val="center"/>
            <w:hideMark/>
          </w:tcPr>
          <w:p w14:paraId="5CD7B406" w14:textId="77777777" w:rsidR="00F33FC4" w:rsidRPr="00D21137" w:rsidRDefault="00F33FC4" w:rsidP="00F33FC4">
            <w:pPr>
              <w:jc w:val="center"/>
              <w:rPr>
                <w:b/>
                <w:bCs/>
                <w:color w:val="000000"/>
                <w:sz w:val="22"/>
                <w:szCs w:val="22"/>
                <w:lang w:bidi="ne-NP"/>
              </w:rPr>
            </w:pPr>
            <w:r w:rsidRPr="00D21137">
              <w:rPr>
                <w:b/>
                <w:bCs/>
                <w:color w:val="000000"/>
                <w:sz w:val="22"/>
                <w:szCs w:val="22"/>
                <w:lang w:bidi="ne-NP"/>
              </w:rPr>
              <w:t>B</w:t>
            </w:r>
          </w:p>
        </w:tc>
        <w:tc>
          <w:tcPr>
            <w:tcW w:w="1300" w:type="dxa"/>
            <w:tcBorders>
              <w:top w:val="nil"/>
              <w:left w:val="nil"/>
              <w:bottom w:val="nil"/>
              <w:right w:val="nil"/>
            </w:tcBorders>
            <w:shd w:val="clear" w:color="auto" w:fill="auto"/>
            <w:noWrap/>
            <w:vAlign w:val="center"/>
            <w:hideMark/>
          </w:tcPr>
          <w:p w14:paraId="5A2232C7" w14:textId="77777777" w:rsidR="00F33FC4" w:rsidRPr="00D21137" w:rsidRDefault="00F33FC4" w:rsidP="00F33FC4">
            <w:pPr>
              <w:jc w:val="center"/>
              <w:rPr>
                <w:b/>
                <w:bCs/>
                <w:color w:val="000000"/>
                <w:sz w:val="22"/>
                <w:szCs w:val="22"/>
                <w:lang w:bidi="ne-NP"/>
              </w:rPr>
            </w:pPr>
            <w:r w:rsidRPr="00D21137">
              <w:rPr>
                <w:b/>
                <w:bCs/>
                <w:color w:val="000000"/>
                <w:sz w:val="22"/>
                <w:szCs w:val="22"/>
                <w:lang w:bidi="ne-NP"/>
              </w:rPr>
              <w:t>C</w:t>
            </w:r>
          </w:p>
        </w:tc>
        <w:tc>
          <w:tcPr>
            <w:tcW w:w="1199" w:type="dxa"/>
            <w:vMerge/>
            <w:tcBorders>
              <w:left w:val="nil"/>
              <w:bottom w:val="nil"/>
              <w:right w:val="nil"/>
            </w:tcBorders>
            <w:shd w:val="clear" w:color="auto" w:fill="auto"/>
            <w:noWrap/>
            <w:hideMark/>
          </w:tcPr>
          <w:p w14:paraId="6D02EC02" w14:textId="77777777" w:rsidR="00F33FC4" w:rsidRPr="00D21137" w:rsidRDefault="00F33FC4" w:rsidP="00F33FC4">
            <w:pPr>
              <w:jc w:val="center"/>
              <w:rPr>
                <w:color w:val="000000"/>
                <w:sz w:val="22"/>
                <w:szCs w:val="22"/>
                <w:lang w:bidi="ne-NP"/>
              </w:rPr>
            </w:pPr>
          </w:p>
        </w:tc>
        <w:tc>
          <w:tcPr>
            <w:tcW w:w="1105" w:type="dxa"/>
            <w:vMerge/>
            <w:tcBorders>
              <w:left w:val="nil"/>
              <w:bottom w:val="nil"/>
              <w:right w:val="nil"/>
            </w:tcBorders>
            <w:shd w:val="clear" w:color="auto" w:fill="auto"/>
            <w:noWrap/>
            <w:hideMark/>
          </w:tcPr>
          <w:p w14:paraId="24250243" w14:textId="77777777" w:rsidR="00F33FC4" w:rsidRPr="00D21137" w:rsidRDefault="00F33FC4" w:rsidP="00F33FC4">
            <w:pPr>
              <w:jc w:val="center"/>
              <w:rPr>
                <w:sz w:val="22"/>
                <w:szCs w:val="22"/>
                <w:lang w:bidi="ne-NP"/>
              </w:rPr>
            </w:pPr>
          </w:p>
        </w:tc>
      </w:tr>
      <w:tr w:rsidR="00F33FC4" w:rsidRPr="00D21137" w14:paraId="736FA7F1" w14:textId="77777777" w:rsidTr="00D21137">
        <w:trPr>
          <w:trHeight w:val="400"/>
        </w:trPr>
        <w:tc>
          <w:tcPr>
            <w:tcW w:w="2384" w:type="dxa"/>
            <w:tcBorders>
              <w:top w:val="nil"/>
              <w:left w:val="nil"/>
              <w:bottom w:val="nil"/>
              <w:right w:val="nil"/>
            </w:tcBorders>
            <w:shd w:val="clear" w:color="auto" w:fill="auto"/>
            <w:noWrap/>
            <w:vAlign w:val="center"/>
            <w:hideMark/>
          </w:tcPr>
          <w:p w14:paraId="079D3538" w14:textId="77777777" w:rsidR="00F33FC4" w:rsidRPr="00D21137" w:rsidRDefault="00F33FC4" w:rsidP="00F33FC4">
            <w:pPr>
              <w:rPr>
                <w:b/>
                <w:bCs/>
                <w:color w:val="000000"/>
                <w:sz w:val="22"/>
                <w:szCs w:val="22"/>
                <w:lang w:bidi="ne-NP"/>
              </w:rPr>
            </w:pPr>
            <w:r w:rsidRPr="00D21137">
              <w:rPr>
                <w:b/>
                <w:bCs/>
                <w:color w:val="000000"/>
                <w:sz w:val="22"/>
                <w:szCs w:val="22"/>
                <w:lang w:bidi="ne-NP"/>
              </w:rPr>
              <w:t>Total reads pre-trim</w:t>
            </w:r>
          </w:p>
        </w:tc>
        <w:tc>
          <w:tcPr>
            <w:tcW w:w="1616" w:type="dxa"/>
            <w:tcBorders>
              <w:top w:val="nil"/>
              <w:left w:val="nil"/>
              <w:bottom w:val="nil"/>
              <w:right w:val="nil"/>
            </w:tcBorders>
            <w:shd w:val="clear" w:color="auto" w:fill="auto"/>
            <w:noWrap/>
            <w:vAlign w:val="center"/>
            <w:hideMark/>
          </w:tcPr>
          <w:p w14:paraId="350F49FC" w14:textId="77777777" w:rsidR="00F33FC4" w:rsidRPr="00D21137" w:rsidRDefault="00F33FC4" w:rsidP="00F33FC4">
            <w:pPr>
              <w:jc w:val="right"/>
              <w:rPr>
                <w:color w:val="000000"/>
                <w:sz w:val="22"/>
                <w:szCs w:val="22"/>
                <w:lang w:bidi="ne-NP"/>
              </w:rPr>
            </w:pPr>
            <w:r w:rsidRPr="00D21137">
              <w:rPr>
                <w:color w:val="000000"/>
                <w:sz w:val="22"/>
                <w:szCs w:val="22"/>
                <w:lang w:bidi="ne-NP"/>
              </w:rPr>
              <w:t>3456573</w:t>
            </w:r>
          </w:p>
        </w:tc>
        <w:tc>
          <w:tcPr>
            <w:tcW w:w="1300" w:type="dxa"/>
            <w:tcBorders>
              <w:top w:val="nil"/>
              <w:left w:val="nil"/>
              <w:bottom w:val="nil"/>
              <w:right w:val="nil"/>
            </w:tcBorders>
            <w:shd w:val="clear" w:color="auto" w:fill="auto"/>
            <w:noWrap/>
            <w:vAlign w:val="center"/>
            <w:hideMark/>
          </w:tcPr>
          <w:p w14:paraId="26961B92" w14:textId="77777777" w:rsidR="00F33FC4" w:rsidRPr="00D21137" w:rsidRDefault="00F33FC4" w:rsidP="00F33FC4">
            <w:pPr>
              <w:jc w:val="right"/>
              <w:rPr>
                <w:color w:val="000000"/>
                <w:sz w:val="22"/>
                <w:szCs w:val="22"/>
                <w:lang w:bidi="ne-NP"/>
              </w:rPr>
            </w:pPr>
            <w:r w:rsidRPr="00D21137">
              <w:rPr>
                <w:color w:val="000000"/>
                <w:sz w:val="22"/>
                <w:szCs w:val="22"/>
                <w:lang w:bidi="ne-NP"/>
              </w:rPr>
              <w:t>4024160</w:t>
            </w:r>
          </w:p>
        </w:tc>
        <w:tc>
          <w:tcPr>
            <w:tcW w:w="1300" w:type="dxa"/>
            <w:tcBorders>
              <w:top w:val="nil"/>
              <w:left w:val="nil"/>
              <w:bottom w:val="nil"/>
              <w:right w:val="nil"/>
            </w:tcBorders>
            <w:shd w:val="clear" w:color="auto" w:fill="auto"/>
            <w:noWrap/>
            <w:vAlign w:val="center"/>
            <w:hideMark/>
          </w:tcPr>
          <w:p w14:paraId="67AC6D67" w14:textId="77777777" w:rsidR="00F33FC4" w:rsidRPr="00D21137" w:rsidRDefault="00F33FC4" w:rsidP="00F33FC4">
            <w:pPr>
              <w:jc w:val="right"/>
              <w:rPr>
                <w:color w:val="000000"/>
                <w:sz w:val="22"/>
                <w:szCs w:val="22"/>
                <w:lang w:bidi="ne-NP"/>
              </w:rPr>
            </w:pPr>
            <w:r w:rsidRPr="00D21137">
              <w:rPr>
                <w:color w:val="000000"/>
                <w:sz w:val="22"/>
                <w:szCs w:val="22"/>
                <w:lang w:bidi="ne-NP"/>
              </w:rPr>
              <w:t>4301466</w:t>
            </w:r>
          </w:p>
        </w:tc>
        <w:tc>
          <w:tcPr>
            <w:tcW w:w="1199" w:type="dxa"/>
            <w:tcBorders>
              <w:top w:val="nil"/>
              <w:left w:val="nil"/>
              <w:bottom w:val="nil"/>
              <w:right w:val="nil"/>
            </w:tcBorders>
            <w:shd w:val="clear" w:color="auto" w:fill="auto"/>
            <w:vAlign w:val="center"/>
            <w:hideMark/>
          </w:tcPr>
          <w:p w14:paraId="5CEDFF8D" w14:textId="77777777" w:rsidR="00F33FC4" w:rsidRPr="00D21137" w:rsidRDefault="00F33FC4" w:rsidP="00F33FC4">
            <w:pPr>
              <w:jc w:val="right"/>
              <w:rPr>
                <w:color w:val="000000"/>
                <w:sz w:val="22"/>
                <w:szCs w:val="22"/>
                <w:lang w:bidi="ne-NP"/>
              </w:rPr>
            </w:pPr>
            <w:r w:rsidRPr="00D21137">
              <w:rPr>
                <w:color w:val="000000"/>
                <w:sz w:val="22"/>
                <w:szCs w:val="22"/>
                <w:lang w:bidi="ne-NP"/>
              </w:rPr>
              <w:t>39,27,299</w:t>
            </w:r>
          </w:p>
        </w:tc>
        <w:tc>
          <w:tcPr>
            <w:tcW w:w="1105" w:type="dxa"/>
            <w:tcBorders>
              <w:top w:val="nil"/>
              <w:left w:val="nil"/>
              <w:bottom w:val="nil"/>
              <w:right w:val="nil"/>
            </w:tcBorders>
            <w:shd w:val="clear" w:color="auto" w:fill="auto"/>
            <w:noWrap/>
            <w:vAlign w:val="center"/>
            <w:hideMark/>
          </w:tcPr>
          <w:p w14:paraId="3171BD15" w14:textId="77777777" w:rsidR="00F33FC4" w:rsidRPr="00D21137" w:rsidRDefault="00F33FC4" w:rsidP="00F33FC4">
            <w:pPr>
              <w:jc w:val="right"/>
              <w:rPr>
                <w:color w:val="000000"/>
                <w:sz w:val="22"/>
                <w:szCs w:val="22"/>
                <w:lang w:bidi="ne-NP"/>
              </w:rPr>
            </w:pPr>
            <w:r w:rsidRPr="00D21137">
              <w:rPr>
                <w:color w:val="000000"/>
                <w:sz w:val="22"/>
                <w:szCs w:val="22"/>
                <w:lang w:bidi="ne-NP"/>
              </w:rPr>
              <w:t>2,48,651</w:t>
            </w:r>
          </w:p>
        </w:tc>
      </w:tr>
      <w:tr w:rsidR="00F33FC4" w:rsidRPr="00D21137" w14:paraId="7CA73019" w14:textId="77777777" w:rsidTr="00D21137">
        <w:trPr>
          <w:trHeight w:val="400"/>
        </w:trPr>
        <w:tc>
          <w:tcPr>
            <w:tcW w:w="2384" w:type="dxa"/>
            <w:tcBorders>
              <w:top w:val="nil"/>
              <w:left w:val="nil"/>
              <w:bottom w:val="nil"/>
              <w:right w:val="nil"/>
            </w:tcBorders>
            <w:shd w:val="clear" w:color="auto" w:fill="auto"/>
            <w:noWrap/>
            <w:vAlign w:val="center"/>
            <w:hideMark/>
          </w:tcPr>
          <w:p w14:paraId="1D8AB62C" w14:textId="77777777" w:rsidR="00F33FC4" w:rsidRPr="00D21137" w:rsidRDefault="00F33FC4" w:rsidP="00F33FC4">
            <w:pPr>
              <w:rPr>
                <w:b/>
                <w:bCs/>
                <w:color w:val="000000"/>
                <w:sz w:val="22"/>
                <w:szCs w:val="22"/>
                <w:lang w:bidi="ne-NP"/>
              </w:rPr>
            </w:pPr>
            <w:r w:rsidRPr="00D21137">
              <w:rPr>
                <w:b/>
                <w:bCs/>
                <w:color w:val="000000"/>
                <w:sz w:val="22"/>
                <w:szCs w:val="22"/>
                <w:lang w:bidi="ne-NP"/>
              </w:rPr>
              <w:t>Total reads post-trim</w:t>
            </w:r>
          </w:p>
        </w:tc>
        <w:tc>
          <w:tcPr>
            <w:tcW w:w="1616" w:type="dxa"/>
            <w:tcBorders>
              <w:top w:val="nil"/>
              <w:left w:val="nil"/>
              <w:bottom w:val="nil"/>
              <w:right w:val="nil"/>
            </w:tcBorders>
            <w:shd w:val="clear" w:color="auto" w:fill="auto"/>
            <w:noWrap/>
            <w:vAlign w:val="center"/>
            <w:hideMark/>
          </w:tcPr>
          <w:p w14:paraId="6D7B85EE" w14:textId="77777777" w:rsidR="00F33FC4" w:rsidRPr="00D21137" w:rsidRDefault="00F33FC4" w:rsidP="00F33FC4">
            <w:pPr>
              <w:jc w:val="right"/>
              <w:rPr>
                <w:color w:val="000000"/>
                <w:sz w:val="22"/>
                <w:szCs w:val="22"/>
                <w:lang w:bidi="ne-NP"/>
              </w:rPr>
            </w:pPr>
            <w:r w:rsidRPr="00D21137">
              <w:rPr>
                <w:color w:val="000000"/>
                <w:sz w:val="22"/>
                <w:szCs w:val="22"/>
                <w:lang w:bidi="ne-NP"/>
              </w:rPr>
              <w:t>3011708</w:t>
            </w:r>
          </w:p>
        </w:tc>
        <w:tc>
          <w:tcPr>
            <w:tcW w:w="1300" w:type="dxa"/>
            <w:tcBorders>
              <w:top w:val="nil"/>
              <w:left w:val="nil"/>
              <w:bottom w:val="nil"/>
              <w:right w:val="nil"/>
            </w:tcBorders>
            <w:shd w:val="clear" w:color="auto" w:fill="auto"/>
            <w:noWrap/>
            <w:vAlign w:val="center"/>
            <w:hideMark/>
          </w:tcPr>
          <w:p w14:paraId="36CDF465" w14:textId="77777777" w:rsidR="00F33FC4" w:rsidRPr="00D21137" w:rsidRDefault="00F33FC4" w:rsidP="00F33FC4">
            <w:pPr>
              <w:jc w:val="right"/>
              <w:rPr>
                <w:color w:val="000000"/>
                <w:sz w:val="22"/>
                <w:szCs w:val="22"/>
                <w:lang w:bidi="ne-NP"/>
              </w:rPr>
            </w:pPr>
            <w:r w:rsidRPr="00D21137">
              <w:rPr>
                <w:color w:val="000000"/>
                <w:sz w:val="22"/>
                <w:szCs w:val="22"/>
                <w:lang w:bidi="ne-NP"/>
              </w:rPr>
              <w:t>3566814</w:t>
            </w:r>
          </w:p>
        </w:tc>
        <w:tc>
          <w:tcPr>
            <w:tcW w:w="1300" w:type="dxa"/>
            <w:tcBorders>
              <w:top w:val="nil"/>
              <w:left w:val="nil"/>
              <w:bottom w:val="nil"/>
              <w:right w:val="nil"/>
            </w:tcBorders>
            <w:shd w:val="clear" w:color="auto" w:fill="auto"/>
            <w:noWrap/>
            <w:vAlign w:val="center"/>
            <w:hideMark/>
          </w:tcPr>
          <w:p w14:paraId="1625A721" w14:textId="77777777" w:rsidR="00F33FC4" w:rsidRPr="00D21137" w:rsidRDefault="00F33FC4" w:rsidP="00F33FC4">
            <w:pPr>
              <w:jc w:val="right"/>
              <w:rPr>
                <w:color w:val="000000"/>
                <w:sz w:val="22"/>
                <w:szCs w:val="22"/>
                <w:lang w:bidi="ne-NP"/>
              </w:rPr>
            </w:pPr>
            <w:r w:rsidRPr="00D21137">
              <w:rPr>
                <w:color w:val="000000"/>
                <w:sz w:val="22"/>
                <w:szCs w:val="22"/>
                <w:lang w:bidi="ne-NP"/>
              </w:rPr>
              <w:t>3805631</w:t>
            </w:r>
          </w:p>
        </w:tc>
        <w:tc>
          <w:tcPr>
            <w:tcW w:w="1199" w:type="dxa"/>
            <w:tcBorders>
              <w:top w:val="nil"/>
              <w:left w:val="nil"/>
              <w:bottom w:val="nil"/>
              <w:right w:val="nil"/>
            </w:tcBorders>
            <w:shd w:val="clear" w:color="auto" w:fill="auto"/>
            <w:vAlign w:val="center"/>
            <w:hideMark/>
          </w:tcPr>
          <w:p w14:paraId="3D8947B3" w14:textId="77777777" w:rsidR="00F33FC4" w:rsidRPr="00D21137" w:rsidRDefault="00F33FC4" w:rsidP="00F33FC4">
            <w:pPr>
              <w:jc w:val="right"/>
              <w:rPr>
                <w:color w:val="000000"/>
                <w:sz w:val="22"/>
                <w:szCs w:val="22"/>
                <w:lang w:bidi="ne-NP"/>
              </w:rPr>
            </w:pPr>
            <w:r w:rsidRPr="00D21137">
              <w:rPr>
                <w:color w:val="000000"/>
                <w:sz w:val="22"/>
                <w:szCs w:val="22"/>
                <w:lang w:bidi="ne-NP"/>
              </w:rPr>
              <w:t>34,61,384</w:t>
            </w:r>
          </w:p>
        </w:tc>
        <w:tc>
          <w:tcPr>
            <w:tcW w:w="1105" w:type="dxa"/>
            <w:tcBorders>
              <w:top w:val="nil"/>
              <w:left w:val="nil"/>
              <w:bottom w:val="nil"/>
              <w:right w:val="nil"/>
            </w:tcBorders>
            <w:shd w:val="clear" w:color="auto" w:fill="auto"/>
            <w:noWrap/>
            <w:vAlign w:val="center"/>
            <w:hideMark/>
          </w:tcPr>
          <w:p w14:paraId="56906608" w14:textId="77777777" w:rsidR="00F33FC4" w:rsidRPr="00D21137" w:rsidRDefault="00F33FC4" w:rsidP="00F33FC4">
            <w:pPr>
              <w:jc w:val="right"/>
              <w:rPr>
                <w:color w:val="000000"/>
                <w:sz w:val="22"/>
                <w:szCs w:val="22"/>
                <w:lang w:bidi="ne-NP"/>
              </w:rPr>
            </w:pPr>
            <w:r w:rsidRPr="00D21137">
              <w:rPr>
                <w:color w:val="000000"/>
                <w:sz w:val="22"/>
                <w:szCs w:val="22"/>
                <w:lang w:bidi="ne-NP"/>
              </w:rPr>
              <w:t>2,35,170</w:t>
            </w:r>
          </w:p>
        </w:tc>
      </w:tr>
      <w:tr w:rsidR="00F33FC4" w:rsidRPr="00D21137" w14:paraId="62867FF4" w14:textId="77777777" w:rsidTr="00D21137">
        <w:trPr>
          <w:trHeight w:val="400"/>
        </w:trPr>
        <w:tc>
          <w:tcPr>
            <w:tcW w:w="2384" w:type="dxa"/>
            <w:tcBorders>
              <w:top w:val="nil"/>
              <w:left w:val="nil"/>
              <w:bottom w:val="nil"/>
              <w:right w:val="nil"/>
            </w:tcBorders>
            <w:shd w:val="clear" w:color="auto" w:fill="auto"/>
            <w:noWrap/>
            <w:vAlign w:val="center"/>
            <w:hideMark/>
          </w:tcPr>
          <w:p w14:paraId="34ED1E34" w14:textId="77777777" w:rsidR="00F33FC4" w:rsidRPr="00D21137" w:rsidRDefault="00F33FC4" w:rsidP="00F33FC4">
            <w:pPr>
              <w:rPr>
                <w:b/>
                <w:bCs/>
                <w:color w:val="000000"/>
                <w:sz w:val="22"/>
                <w:szCs w:val="22"/>
                <w:lang w:bidi="ne-NP"/>
              </w:rPr>
            </w:pPr>
            <w:r w:rsidRPr="00D21137">
              <w:rPr>
                <w:b/>
                <w:bCs/>
                <w:color w:val="000000"/>
                <w:sz w:val="22"/>
                <w:szCs w:val="22"/>
                <w:lang w:bidi="ne-NP"/>
              </w:rPr>
              <w:t>Percent GC</w:t>
            </w:r>
          </w:p>
        </w:tc>
        <w:tc>
          <w:tcPr>
            <w:tcW w:w="1616" w:type="dxa"/>
            <w:tcBorders>
              <w:top w:val="nil"/>
              <w:left w:val="nil"/>
              <w:bottom w:val="nil"/>
              <w:right w:val="nil"/>
            </w:tcBorders>
            <w:shd w:val="clear" w:color="auto" w:fill="auto"/>
            <w:noWrap/>
            <w:vAlign w:val="center"/>
            <w:hideMark/>
          </w:tcPr>
          <w:p w14:paraId="07AC72C2" w14:textId="77777777" w:rsidR="00F33FC4" w:rsidRPr="00D21137" w:rsidRDefault="00F33FC4" w:rsidP="00F33FC4">
            <w:pPr>
              <w:jc w:val="right"/>
              <w:rPr>
                <w:color w:val="000000"/>
                <w:sz w:val="22"/>
                <w:szCs w:val="22"/>
                <w:lang w:bidi="ne-NP"/>
              </w:rPr>
            </w:pPr>
            <w:r w:rsidRPr="00D21137">
              <w:rPr>
                <w:color w:val="000000"/>
                <w:sz w:val="22"/>
                <w:szCs w:val="22"/>
                <w:lang w:bidi="ne-NP"/>
              </w:rPr>
              <w:t>53</w:t>
            </w:r>
          </w:p>
        </w:tc>
        <w:tc>
          <w:tcPr>
            <w:tcW w:w="1300" w:type="dxa"/>
            <w:tcBorders>
              <w:top w:val="nil"/>
              <w:left w:val="nil"/>
              <w:bottom w:val="nil"/>
              <w:right w:val="nil"/>
            </w:tcBorders>
            <w:shd w:val="clear" w:color="auto" w:fill="auto"/>
            <w:noWrap/>
            <w:vAlign w:val="center"/>
            <w:hideMark/>
          </w:tcPr>
          <w:p w14:paraId="7DBB22FC" w14:textId="77777777" w:rsidR="00F33FC4" w:rsidRPr="00D21137" w:rsidRDefault="00F33FC4" w:rsidP="00F33FC4">
            <w:pPr>
              <w:jc w:val="right"/>
              <w:rPr>
                <w:color w:val="000000"/>
                <w:sz w:val="22"/>
                <w:szCs w:val="22"/>
                <w:lang w:bidi="ne-NP"/>
              </w:rPr>
            </w:pPr>
            <w:r w:rsidRPr="00D21137">
              <w:rPr>
                <w:color w:val="000000"/>
                <w:sz w:val="22"/>
                <w:szCs w:val="22"/>
                <w:lang w:bidi="ne-NP"/>
              </w:rPr>
              <w:t>53</w:t>
            </w:r>
          </w:p>
        </w:tc>
        <w:tc>
          <w:tcPr>
            <w:tcW w:w="1300" w:type="dxa"/>
            <w:tcBorders>
              <w:top w:val="nil"/>
              <w:left w:val="nil"/>
              <w:bottom w:val="nil"/>
              <w:right w:val="nil"/>
            </w:tcBorders>
            <w:shd w:val="clear" w:color="auto" w:fill="auto"/>
            <w:noWrap/>
            <w:vAlign w:val="center"/>
            <w:hideMark/>
          </w:tcPr>
          <w:p w14:paraId="0F3A2BB0" w14:textId="77777777" w:rsidR="00F33FC4" w:rsidRPr="00D21137" w:rsidRDefault="00F33FC4" w:rsidP="00F33FC4">
            <w:pPr>
              <w:jc w:val="right"/>
              <w:rPr>
                <w:color w:val="000000"/>
                <w:sz w:val="22"/>
                <w:szCs w:val="22"/>
                <w:lang w:bidi="ne-NP"/>
              </w:rPr>
            </w:pPr>
            <w:r w:rsidRPr="00D21137">
              <w:rPr>
                <w:color w:val="000000"/>
                <w:sz w:val="22"/>
                <w:szCs w:val="22"/>
                <w:lang w:bidi="ne-NP"/>
              </w:rPr>
              <w:t>53</w:t>
            </w:r>
          </w:p>
        </w:tc>
        <w:tc>
          <w:tcPr>
            <w:tcW w:w="1199" w:type="dxa"/>
            <w:tcBorders>
              <w:top w:val="nil"/>
              <w:left w:val="nil"/>
              <w:bottom w:val="nil"/>
              <w:right w:val="nil"/>
            </w:tcBorders>
            <w:shd w:val="clear" w:color="auto" w:fill="auto"/>
            <w:noWrap/>
            <w:vAlign w:val="center"/>
            <w:hideMark/>
          </w:tcPr>
          <w:p w14:paraId="45AAC871" w14:textId="77777777" w:rsidR="00F33FC4" w:rsidRPr="00D21137" w:rsidRDefault="00F33FC4" w:rsidP="00F33FC4">
            <w:pPr>
              <w:jc w:val="right"/>
              <w:rPr>
                <w:color w:val="000000"/>
                <w:sz w:val="22"/>
                <w:szCs w:val="22"/>
                <w:lang w:bidi="ne-NP"/>
              </w:rPr>
            </w:pPr>
          </w:p>
        </w:tc>
        <w:tc>
          <w:tcPr>
            <w:tcW w:w="1105" w:type="dxa"/>
            <w:tcBorders>
              <w:top w:val="nil"/>
              <w:left w:val="nil"/>
              <w:bottom w:val="nil"/>
              <w:right w:val="nil"/>
            </w:tcBorders>
            <w:shd w:val="clear" w:color="auto" w:fill="auto"/>
            <w:noWrap/>
            <w:vAlign w:val="center"/>
            <w:hideMark/>
          </w:tcPr>
          <w:p w14:paraId="43D87828" w14:textId="77777777" w:rsidR="00F33FC4" w:rsidRPr="00D21137" w:rsidRDefault="00F33FC4" w:rsidP="00F33FC4">
            <w:pPr>
              <w:jc w:val="right"/>
              <w:rPr>
                <w:sz w:val="22"/>
                <w:szCs w:val="22"/>
                <w:lang w:bidi="ne-NP"/>
              </w:rPr>
            </w:pPr>
          </w:p>
        </w:tc>
      </w:tr>
      <w:tr w:rsidR="00F33FC4" w:rsidRPr="00D21137" w14:paraId="4EE13634" w14:textId="77777777" w:rsidTr="00D21137">
        <w:trPr>
          <w:trHeight w:val="400"/>
        </w:trPr>
        <w:tc>
          <w:tcPr>
            <w:tcW w:w="2384" w:type="dxa"/>
            <w:tcBorders>
              <w:top w:val="nil"/>
              <w:left w:val="nil"/>
              <w:bottom w:val="nil"/>
              <w:right w:val="nil"/>
            </w:tcBorders>
            <w:shd w:val="clear" w:color="auto" w:fill="auto"/>
            <w:noWrap/>
            <w:vAlign w:val="center"/>
            <w:hideMark/>
          </w:tcPr>
          <w:p w14:paraId="5CE7A348" w14:textId="77777777" w:rsidR="00F33FC4" w:rsidRPr="00D21137" w:rsidRDefault="00F33FC4" w:rsidP="00F33FC4">
            <w:pPr>
              <w:rPr>
                <w:b/>
                <w:bCs/>
                <w:color w:val="000000"/>
                <w:sz w:val="22"/>
                <w:szCs w:val="22"/>
                <w:lang w:bidi="ne-NP"/>
              </w:rPr>
            </w:pPr>
            <w:r w:rsidRPr="00D21137">
              <w:rPr>
                <w:b/>
                <w:bCs/>
                <w:color w:val="000000"/>
                <w:sz w:val="22"/>
                <w:szCs w:val="22"/>
                <w:lang w:bidi="ne-NP"/>
              </w:rPr>
              <w:t>Sequence length</w:t>
            </w:r>
          </w:p>
        </w:tc>
        <w:tc>
          <w:tcPr>
            <w:tcW w:w="1616" w:type="dxa"/>
            <w:tcBorders>
              <w:top w:val="nil"/>
              <w:left w:val="nil"/>
              <w:bottom w:val="nil"/>
              <w:right w:val="nil"/>
            </w:tcBorders>
            <w:shd w:val="clear" w:color="auto" w:fill="auto"/>
            <w:noWrap/>
            <w:vAlign w:val="center"/>
            <w:hideMark/>
          </w:tcPr>
          <w:p w14:paraId="3D6FF3B9" w14:textId="77777777" w:rsidR="00F33FC4" w:rsidRPr="00D21137" w:rsidRDefault="00F33FC4" w:rsidP="00F33FC4">
            <w:pPr>
              <w:jc w:val="right"/>
              <w:rPr>
                <w:color w:val="000000"/>
                <w:sz w:val="22"/>
                <w:szCs w:val="22"/>
                <w:lang w:bidi="ne-NP"/>
              </w:rPr>
            </w:pPr>
            <w:r w:rsidRPr="00D21137">
              <w:rPr>
                <w:color w:val="000000"/>
                <w:sz w:val="22"/>
                <w:szCs w:val="22"/>
                <w:lang w:bidi="ne-NP"/>
              </w:rPr>
              <w:t>55-75</w:t>
            </w:r>
          </w:p>
        </w:tc>
        <w:tc>
          <w:tcPr>
            <w:tcW w:w="1300" w:type="dxa"/>
            <w:tcBorders>
              <w:top w:val="nil"/>
              <w:left w:val="nil"/>
              <w:bottom w:val="nil"/>
              <w:right w:val="nil"/>
            </w:tcBorders>
            <w:shd w:val="clear" w:color="auto" w:fill="auto"/>
            <w:noWrap/>
            <w:vAlign w:val="center"/>
            <w:hideMark/>
          </w:tcPr>
          <w:p w14:paraId="0AE5CFA2" w14:textId="77777777" w:rsidR="00F33FC4" w:rsidRPr="00D21137" w:rsidRDefault="00F33FC4" w:rsidP="00F33FC4">
            <w:pPr>
              <w:jc w:val="right"/>
              <w:rPr>
                <w:color w:val="000000"/>
                <w:sz w:val="22"/>
                <w:szCs w:val="22"/>
                <w:lang w:bidi="ne-NP"/>
              </w:rPr>
            </w:pPr>
            <w:r w:rsidRPr="00D21137">
              <w:rPr>
                <w:color w:val="000000"/>
                <w:sz w:val="22"/>
                <w:szCs w:val="22"/>
                <w:lang w:bidi="ne-NP"/>
              </w:rPr>
              <w:t>55-75</w:t>
            </w:r>
          </w:p>
        </w:tc>
        <w:tc>
          <w:tcPr>
            <w:tcW w:w="1300" w:type="dxa"/>
            <w:tcBorders>
              <w:top w:val="nil"/>
              <w:left w:val="nil"/>
              <w:bottom w:val="nil"/>
              <w:right w:val="nil"/>
            </w:tcBorders>
            <w:shd w:val="clear" w:color="auto" w:fill="auto"/>
            <w:noWrap/>
            <w:vAlign w:val="center"/>
            <w:hideMark/>
          </w:tcPr>
          <w:p w14:paraId="2D5B4202" w14:textId="77777777" w:rsidR="00F33FC4" w:rsidRPr="00D21137" w:rsidRDefault="00F33FC4" w:rsidP="00F33FC4">
            <w:pPr>
              <w:jc w:val="right"/>
              <w:rPr>
                <w:color w:val="000000"/>
                <w:sz w:val="22"/>
                <w:szCs w:val="22"/>
                <w:lang w:bidi="ne-NP"/>
              </w:rPr>
            </w:pPr>
            <w:r w:rsidRPr="00D21137">
              <w:rPr>
                <w:color w:val="000000"/>
                <w:sz w:val="22"/>
                <w:szCs w:val="22"/>
                <w:lang w:bidi="ne-NP"/>
              </w:rPr>
              <w:t>55-75</w:t>
            </w:r>
          </w:p>
        </w:tc>
        <w:tc>
          <w:tcPr>
            <w:tcW w:w="1199" w:type="dxa"/>
            <w:tcBorders>
              <w:top w:val="nil"/>
              <w:left w:val="nil"/>
              <w:bottom w:val="nil"/>
              <w:right w:val="nil"/>
            </w:tcBorders>
            <w:shd w:val="clear" w:color="auto" w:fill="auto"/>
            <w:noWrap/>
            <w:vAlign w:val="center"/>
            <w:hideMark/>
          </w:tcPr>
          <w:p w14:paraId="21001D7F" w14:textId="77777777" w:rsidR="00F33FC4" w:rsidRPr="00D21137" w:rsidRDefault="00F33FC4" w:rsidP="00F33FC4">
            <w:pPr>
              <w:jc w:val="right"/>
              <w:rPr>
                <w:color w:val="000000"/>
                <w:sz w:val="22"/>
                <w:szCs w:val="22"/>
                <w:lang w:bidi="ne-NP"/>
              </w:rPr>
            </w:pPr>
          </w:p>
        </w:tc>
        <w:tc>
          <w:tcPr>
            <w:tcW w:w="1105" w:type="dxa"/>
            <w:tcBorders>
              <w:top w:val="nil"/>
              <w:left w:val="nil"/>
              <w:bottom w:val="nil"/>
              <w:right w:val="nil"/>
            </w:tcBorders>
            <w:shd w:val="clear" w:color="auto" w:fill="auto"/>
            <w:noWrap/>
            <w:vAlign w:val="center"/>
            <w:hideMark/>
          </w:tcPr>
          <w:p w14:paraId="1C7851A7" w14:textId="77777777" w:rsidR="00F33FC4" w:rsidRPr="00D21137" w:rsidRDefault="00F33FC4" w:rsidP="00F33FC4">
            <w:pPr>
              <w:jc w:val="right"/>
              <w:rPr>
                <w:sz w:val="22"/>
                <w:szCs w:val="22"/>
                <w:lang w:bidi="ne-NP"/>
              </w:rPr>
            </w:pPr>
          </w:p>
        </w:tc>
      </w:tr>
      <w:tr w:rsidR="00F33FC4" w:rsidRPr="00D21137" w14:paraId="2460DD42" w14:textId="77777777" w:rsidTr="00D21137">
        <w:trPr>
          <w:trHeight w:val="400"/>
        </w:trPr>
        <w:tc>
          <w:tcPr>
            <w:tcW w:w="2384" w:type="dxa"/>
            <w:tcBorders>
              <w:top w:val="nil"/>
              <w:left w:val="nil"/>
              <w:bottom w:val="nil"/>
              <w:right w:val="nil"/>
            </w:tcBorders>
            <w:shd w:val="clear" w:color="auto" w:fill="auto"/>
            <w:noWrap/>
            <w:vAlign w:val="center"/>
            <w:hideMark/>
          </w:tcPr>
          <w:p w14:paraId="30E94E1F" w14:textId="77777777" w:rsidR="00F33FC4" w:rsidRPr="00D21137" w:rsidRDefault="00F33FC4" w:rsidP="00F33FC4">
            <w:pPr>
              <w:rPr>
                <w:b/>
                <w:bCs/>
                <w:color w:val="000000"/>
                <w:sz w:val="22"/>
                <w:szCs w:val="22"/>
                <w:lang w:bidi="ne-NP"/>
              </w:rPr>
            </w:pPr>
            <w:r w:rsidRPr="00D21137">
              <w:rPr>
                <w:b/>
                <w:bCs/>
                <w:color w:val="000000"/>
                <w:sz w:val="22"/>
                <w:szCs w:val="22"/>
                <w:lang w:bidi="ne-NP"/>
              </w:rPr>
              <w:t>Quality score</w:t>
            </w:r>
          </w:p>
        </w:tc>
        <w:tc>
          <w:tcPr>
            <w:tcW w:w="1616" w:type="dxa"/>
            <w:tcBorders>
              <w:top w:val="nil"/>
              <w:left w:val="nil"/>
              <w:bottom w:val="nil"/>
              <w:right w:val="nil"/>
            </w:tcBorders>
            <w:shd w:val="clear" w:color="auto" w:fill="auto"/>
            <w:noWrap/>
            <w:vAlign w:val="center"/>
            <w:hideMark/>
          </w:tcPr>
          <w:p w14:paraId="0166BDF4" w14:textId="77777777" w:rsidR="00F33FC4" w:rsidRPr="00D21137" w:rsidRDefault="00F33FC4" w:rsidP="00F33FC4">
            <w:pPr>
              <w:jc w:val="right"/>
              <w:rPr>
                <w:color w:val="000000"/>
                <w:sz w:val="22"/>
                <w:szCs w:val="22"/>
                <w:lang w:bidi="ne-NP"/>
              </w:rPr>
            </w:pPr>
            <w:r w:rsidRPr="00D21137">
              <w:rPr>
                <w:color w:val="000000"/>
                <w:sz w:val="22"/>
                <w:szCs w:val="22"/>
                <w:lang w:bidi="ne-NP"/>
              </w:rPr>
              <w:t>33-37</w:t>
            </w:r>
          </w:p>
        </w:tc>
        <w:tc>
          <w:tcPr>
            <w:tcW w:w="1300" w:type="dxa"/>
            <w:tcBorders>
              <w:top w:val="nil"/>
              <w:left w:val="nil"/>
              <w:bottom w:val="nil"/>
              <w:right w:val="nil"/>
            </w:tcBorders>
            <w:shd w:val="clear" w:color="auto" w:fill="auto"/>
            <w:noWrap/>
            <w:vAlign w:val="center"/>
            <w:hideMark/>
          </w:tcPr>
          <w:p w14:paraId="5D91E014" w14:textId="77777777" w:rsidR="00F33FC4" w:rsidRPr="00D21137" w:rsidRDefault="00F33FC4" w:rsidP="00F33FC4">
            <w:pPr>
              <w:jc w:val="right"/>
              <w:rPr>
                <w:color w:val="000000"/>
                <w:sz w:val="22"/>
                <w:szCs w:val="22"/>
                <w:lang w:bidi="ne-NP"/>
              </w:rPr>
            </w:pPr>
            <w:r w:rsidRPr="00D21137">
              <w:rPr>
                <w:color w:val="000000"/>
                <w:sz w:val="22"/>
                <w:szCs w:val="22"/>
                <w:lang w:bidi="ne-NP"/>
              </w:rPr>
              <w:t>33-37</w:t>
            </w:r>
          </w:p>
        </w:tc>
        <w:tc>
          <w:tcPr>
            <w:tcW w:w="1300" w:type="dxa"/>
            <w:tcBorders>
              <w:top w:val="nil"/>
              <w:left w:val="nil"/>
              <w:bottom w:val="nil"/>
              <w:right w:val="nil"/>
            </w:tcBorders>
            <w:shd w:val="clear" w:color="auto" w:fill="auto"/>
            <w:noWrap/>
            <w:vAlign w:val="center"/>
            <w:hideMark/>
          </w:tcPr>
          <w:p w14:paraId="404E4013" w14:textId="77777777" w:rsidR="00F33FC4" w:rsidRPr="00D21137" w:rsidRDefault="00F33FC4" w:rsidP="00F33FC4">
            <w:pPr>
              <w:jc w:val="right"/>
              <w:rPr>
                <w:color w:val="000000"/>
                <w:sz w:val="22"/>
                <w:szCs w:val="22"/>
                <w:lang w:bidi="ne-NP"/>
              </w:rPr>
            </w:pPr>
            <w:r w:rsidRPr="00D21137">
              <w:rPr>
                <w:color w:val="000000"/>
                <w:sz w:val="22"/>
                <w:szCs w:val="22"/>
                <w:lang w:bidi="ne-NP"/>
              </w:rPr>
              <w:t>33-37</w:t>
            </w:r>
          </w:p>
        </w:tc>
        <w:tc>
          <w:tcPr>
            <w:tcW w:w="1199" w:type="dxa"/>
            <w:tcBorders>
              <w:top w:val="nil"/>
              <w:left w:val="nil"/>
              <w:bottom w:val="nil"/>
              <w:right w:val="nil"/>
            </w:tcBorders>
            <w:shd w:val="clear" w:color="auto" w:fill="auto"/>
            <w:noWrap/>
            <w:vAlign w:val="center"/>
            <w:hideMark/>
          </w:tcPr>
          <w:p w14:paraId="14FCF1EC" w14:textId="77777777" w:rsidR="00F33FC4" w:rsidRPr="00D21137" w:rsidRDefault="00F33FC4" w:rsidP="00F33FC4">
            <w:pPr>
              <w:jc w:val="right"/>
              <w:rPr>
                <w:color w:val="000000"/>
                <w:sz w:val="22"/>
                <w:szCs w:val="22"/>
                <w:lang w:bidi="ne-NP"/>
              </w:rPr>
            </w:pPr>
          </w:p>
        </w:tc>
        <w:tc>
          <w:tcPr>
            <w:tcW w:w="1105" w:type="dxa"/>
            <w:tcBorders>
              <w:top w:val="nil"/>
              <w:left w:val="nil"/>
              <w:bottom w:val="nil"/>
              <w:right w:val="nil"/>
            </w:tcBorders>
            <w:shd w:val="clear" w:color="auto" w:fill="auto"/>
            <w:noWrap/>
            <w:vAlign w:val="center"/>
            <w:hideMark/>
          </w:tcPr>
          <w:p w14:paraId="46D9961E" w14:textId="77777777" w:rsidR="00F33FC4" w:rsidRPr="00D21137" w:rsidRDefault="00F33FC4" w:rsidP="00F33FC4">
            <w:pPr>
              <w:jc w:val="right"/>
              <w:rPr>
                <w:sz w:val="22"/>
                <w:szCs w:val="22"/>
                <w:lang w:bidi="ne-NP"/>
              </w:rPr>
            </w:pPr>
          </w:p>
        </w:tc>
      </w:tr>
      <w:tr w:rsidR="00F33FC4" w:rsidRPr="00D21137" w14:paraId="5DFCC217" w14:textId="77777777" w:rsidTr="00D21137">
        <w:trPr>
          <w:trHeight w:val="400"/>
        </w:trPr>
        <w:tc>
          <w:tcPr>
            <w:tcW w:w="2384" w:type="dxa"/>
            <w:tcBorders>
              <w:top w:val="nil"/>
              <w:left w:val="nil"/>
              <w:bottom w:val="nil"/>
              <w:right w:val="nil"/>
            </w:tcBorders>
            <w:shd w:val="clear" w:color="auto" w:fill="auto"/>
            <w:noWrap/>
            <w:vAlign w:val="center"/>
            <w:hideMark/>
          </w:tcPr>
          <w:p w14:paraId="3314F715" w14:textId="77777777" w:rsidR="00F33FC4" w:rsidRPr="00D21137" w:rsidRDefault="00F33FC4" w:rsidP="00F33FC4">
            <w:pPr>
              <w:jc w:val="right"/>
              <w:rPr>
                <w:sz w:val="22"/>
                <w:szCs w:val="22"/>
                <w:lang w:bidi="ne-NP"/>
              </w:rPr>
            </w:pPr>
          </w:p>
        </w:tc>
        <w:tc>
          <w:tcPr>
            <w:tcW w:w="1616" w:type="dxa"/>
            <w:tcBorders>
              <w:top w:val="nil"/>
              <w:left w:val="nil"/>
              <w:bottom w:val="nil"/>
              <w:right w:val="nil"/>
            </w:tcBorders>
            <w:shd w:val="clear" w:color="auto" w:fill="auto"/>
            <w:noWrap/>
            <w:vAlign w:val="center"/>
            <w:hideMark/>
          </w:tcPr>
          <w:p w14:paraId="4657ACC2" w14:textId="77777777" w:rsidR="00F33FC4" w:rsidRPr="00D21137" w:rsidRDefault="00F33FC4" w:rsidP="00F33FC4">
            <w:pPr>
              <w:rPr>
                <w:sz w:val="22"/>
                <w:szCs w:val="22"/>
                <w:lang w:bidi="ne-NP"/>
              </w:rPr>
            </w:pPr>
          </w:p>
        </w:tc>
        <w:tc>
          <w:tcPr>
            <w:tcW w:w="1300" w:type="dxa"/>
            <w:tcBorders>
              <w:top w:val="nil"/>
              <w:left w:val="nil"/>
              <w:bottom w:val="nil"/>
              <w:right w:val="nil"/>
            </w:tcBorders>
            <w:shd w:val="clear" w:color="auto" w:fill="auto"/>
            <w:noWrap/>
            <w:vAlign w:val="center"/>
            <w:hideMark/>
          </w:tcPr>
          <w:p w14:paraId="2C8B56EF" w14:textId="77777777" w:rsidR="00F33FC4" w:rsidRPr="00D21137" w:rsidRDefault="00F33FC4" w:rsidP="00F33FC4">
            <w:pPr>
              <w:jc w:val="right"/>
              <w:rPr>
                <w:sz w:val="22"/>
                <w:szCs w:val="22"/>
                <w:lang w:bidi="ne-NP"/>
              </w:rPr>
            </w:pPr>
          </w:p>
        </w:tc>
        <w:tc>
          <w:tcPr>
            <w:tcW w:w="1300" w:type="dxa"/>
            <w:tcBorders>
              <w:top w:val="nil"/>
              <w:left w:val="nil"/>
              <w:bottom w:val="nil"/>
              <w:right w:val="nil"/>
            </w:tcBorders>
            <w:shd w:val="clear" w:color="auto" w:fill="auto"/>
            <w:noWrap/>
            <w:vAlign w:val="center"/>
            <w:hideMark/>
          </w:tcPr>
          <w:p w14:paraId="7892DB19" w14:textId="77777777" w:rsidR="00F33FC4" w:rsidRPr="00D21137" w:rsidRDefault="00F33FC4" w:rsidP="00F33FC4">
            <w:pPr>
              <w:jc w:val="right"/>
              <w:rPr>
                <w:sz w:val="22"/>
                <w:szCs w:val="22"/>
                <w:lang w:bidi="ne-NP"/>
              </w:rPr>
            </w:pPr>
          </w:p>
        </w:tc>
        <w:tc>
          <w:tcPr>
            <w:tcW w:w="1199" w:type="dxa"/>
            <w:tcBorders>
              <w:top w:val="nil"/>
              <w:left w:val="nil"/>
              <w:bottom w:val="nil"/>
              <w:right w:val="nil"/>
            </w:tcBorders>
            <w:shd w:val="clear" w:color="auto" w:fill="auto"/>
            <w:noWrap/>
            <w:vAlign w:val="center"/>
            <w:hideMark/>
          </w:tcPr>
          <w:p w14:paraId="34EC4AD7" w14:textId="77777777" w:rsidR="00F33FC4" w:rsidRPr="00D21137" w:rsidRDefault="00F33FC4" w:rsidP="00F33FC4">
            <w:pPr>
              <w:jc w:val="right"/>
              <w:rPr>
                <w:sz w:val="22"/>
                <w:szCs w:val="22"/>
                <w:lang w:bidi="ne-NP"/>
              </w:rPr>
            </w:pPr>
          </w:p>
        </w:tc>
        <w:tc>
          <w:tcPr>
            <w:tcW w:w="1105" w:type="dxa"/>
            <w:tcBorders>
              <w:top w:val="nil"/>
              <w:left w:val="nil"/>
              <w:bottom w:val="nil"/>
              <w:right w:val="nil"/>
            </w:tcBorders>
            <w:shd w:val="clear" w:color="auto" w:fill="auto"/>
            <w:noWrap/>
            <w:vAlign w:val="center"/>
            <w:hideMark/>
          </w:tcPr>
          <w:p w14:paraId="67FFDE37" w14:textId="77777777" w:rsidR="00F33FC4" w:rsidRPr="00D21137" w:rsidRDefault="00F33FC4" w:rsidP="00F33FC4">
            <w:pPr>
              <w:jc w:val="right"/>
              <w:rPr>
                <w:sz w:val="22"/>
                <w:szCs w:val="22"/>
                <w:lang w:bidi="ne-NP"/>
              </w:rPr>
            </w:pPr>
          </w:p>
        </w:tc>
      </w:tr>
      <w:tr w:rsidR="00F33FC4" w:rsidRPr="00D21137" w14:paraId="6EF6FC8C" w14:textId="77777777" w:rsidTr="00D21137">
        <w:trPr>
          <w:trHeight w:val="400"/>
        </w:trPr>
        <w:tc>
          <w:tcPr>
            <w:tcW w:w="2384" w:type="dxa"/>
            <w:tcBorders>
              <w:top w:val="nil"/>
              <w:left w:val="nil"/>
              <w:bottom w:val="nil"/>
              <w:right w:val="nil"/>
            </w:tcBorders>
            <w:shd w:val="clear" w:color="auto" w:fill="auto"/>
            <w:noWrap/>
            <w:vAlign w:val="center"/>
            <w:hideMark/>
          </w:tcPr>
          <w:p w14:paraId="44AECB97" w14:textId="77777777" w:rsidR="00F33FC4" w:rsidRPr="00D21137" w:rsidRDefault="00F33FC4" w:rsidP="00F33FC4">
            <w:pPr>
              <w:rPr>
                <w:b/>
                <w:bCs/>
                <w:color w:val="000000"/>
                <w:sz w:val="22"/>
                <w:szCs w:val="22"/>
                <w:lang w:bidi="ne-NP"/>
              </w:rPr>
            </w:pPr>
            <w:r w:rsidRPr="00D21137">
              <w:rPr>
                <w:b/>
                <w:bCs/>
                <w:color w:val="000000"/>
                <w:sz w:val="22"/>
                <w:szCs w:val="22"/>
                <w:lang w:bidi="ne-NP"/>
              </w:rPr>
              <w:t>Total mapped reads</w:t>
            </w:r>
          </w:p>
        </w:tc>
        <w:tc>
          <w:tcPr>
            <w:tcW w:w="1616" w:type="dxa"/>
            <w:tcBorders>
              <w:top w:val="nil"/>
              <w:left w:val="nil"/>
              <w:bottom w:val="nil"/>
              <w:right w:val="nil"/>
            </w:tcBorders>
            <w:shd w:val="clear" w:color="auto" w:fill="auto"/>
            <w:noWrap/>
            <w:vAlign w:val="center"/>
            <w:hideMark/>
          </w:tcPr>
          <w:p w14:paraId="00C53487" w14:textId="77777777" w:rsidR="00F33FC4" w:rsidRPr="00D21137" w:rsidRDefault="00F33FC4" w:rsidP="00F33FC4">
            <w:pPr>
              <w:jc w:val="right"/>
              <w:rPr>
                <w:color w:val="000000"/>
                <w:sz w:val="22"/>
                <w:szCs w:val="22"/>
                <w:lang w:bidi="ne-NP"/>
              </w:rPr>
            </w:pPr>
            <w:r w:rsidRPr="00D21137">
              <w:rPr>
                <w:color w:val="000000"/>
                <w:sz w:val="22"/>
                <w:szCs w:val="22"/>
                <w:lang w:bidi="ne-NP"/>
              </w:rPr>
              <w:t>2622839</w:t>
            </w:r>
          </w:p>
        </w:tc>
        <w:tc>
          <w:tcPr>
            <w:tcW w:w="1300" w:type="dxa"/>
            <w:tcBorders>
              <w:top w:val="nil"/>
              <w:left w:val="nil"/>
              <w:bottom w:val="nil"/>
              <w:right w:val="nil"/>
            </w:tcBorders>
            <w:shd w:val="clear" w:color="auto" w:fill="auto"/>
            <w:noWrap/>
            <w:vAlign w:val="center"/>
            <w:hideMark/>
          </w:tcPr>
          <w:p w14:paraId="287CDC43" w14:textId="77777777" w:rsidR="00F33FC4" w:rsidRPr="00D21137" w:rsidRDefault="00F33FC4" w:rsidP="00F33FC4">
            <w:pPr>
              <w:jc w:val="right"/>
              <w:rPr>
                <w:color w:val="000000"/>
                <w:sz w:val="22"/>
                <w:szCs w:val="22"/>
                <w:lang w:bidi="ne-NP"/>
              </w:rPr>
            </w:pPr>
            <w:r w:rsidRPr="00D21137">
              <w:rPr>
                <w:color w:val="000000"/>
                <w:sz w:val="22"/>
                <w:szCs w:val="22"/>
                <w:lang w:bidi="ne-NP"/>
              </w:rPr>
              <w:t>3129246</w:t>
            </w:r>
          </w:p>
        </w:tc>
        <w:tc>
          <w:tcPr>
            <w:tcW w:w="1300" w:type="dxa"/>
            <w:tcBorders>
              <w:top w:val="nil"/>
              <w:left w:val="nil"/>
              <w:bottom w:val="nil"/>
              <w:right w:val="nil"/>
            </w:tcBorders>
            <w:shd w:val="clear" w:color="auto" w:fill="auto"/>
            <w:noWrap/>
            <w:vAlign w:val="center"/>
            <w:hideMark/>
          </w:tcPr>
          <w:p w14:paraId="591AB92D" w14:textId="77777777" w:rsidR="00F33FC4" w:rsidRPr="00D21137" w:rsidRDefault="00F33FC4" w:rsidP="00F33FC4">
            <w:pPr>
              <w:jc w:val="right"/>
              <w:rPr>
                <w:color w:val="000000"/>
                <w:sz w:val="22"/>
                <w:szCs w:val="22"/>
                <w:lang w:bidi="ne-NP"/>
              </w:rPr>
            </w:pPr>
            <w:r w:rsidRPr="00D21137">
              <w:rPr>
                <w:color w:val="000000"/>
                <w:sz w:val="22"/>
                <w:szCs w:val="22"/>
                <w:lang w:bidi="ne-NP"/>
              </w:rPr>
              <w:t>3328311</w:t>
            </w:r>
          </w:p>
        </w:tc>
        <w:tc>
          <w:tcPr>
            <w:tcW w:w="1199" w:type="dxa"/>
            <w:tcBorders>
              <w:top w:val="nil"/>
              <w:left w:val="nil"/>
              <w:bottom w:val="nil"/>
              <w:right w:val="nil"/>
            </w:tcBorders>
            <w:shd w:val="clear" w:color="auto" w:fill="auto"/>
            <w:noWrap/>
            <w:vAlign w:val="center"/>
            <w:hideMark/>
          </w:tcPr>
          <w:p w14:paraId="713ED996" w14:textId="77777777" w:rsidR="00F33FC4" w:rsidRPr="00D21137" w:rsidRDefault="00F33FC4" w:rsidP="00F33FC4">
            <w:pPr>
              <w:jc w:val="right"/>
              <w:rPr>
                <w:color w:val="000000"/>
                <w:sz w:val="22"/>
                <w:szCs w:val="22"/>
                <w:lang w:bidi="ne-NP"/>
              </w:rPr>
            </w:pPr>
          </w:p>
        </w:tc>
        <w:tc>
          <w:tcPr>
            <w:tcW w:w="1105" w:type="dxa"/>
            <w:tcBorders>
              <w:top w:val="nil"/>
              <w:left w:val="nil"/>
              <w:bottom w:val="nil"/>
              <w:right w:val="nil"/>
            </w:tcBorders>
            <w:shd w:val="clear" w:color="auto" w:fill="auto"/>
            <w:noWrap/>
            <w:vAlign w:val="center"/>
            <w:hideMark/>
          </w:tcPr>
          <w:p w14:paraId="132E36BF" w14:textId="77777777" w:rsidR="00F33FC4" w:rsidRPr="00D21137" w:rsidRDefault="00F33FC4" w:rsidP="00F33FC4">
            <w:pPr>
              <w:jc w:val="right"/>
              <w:rPr>
                <w:sz w:val="22"/>
                <w:szCs w:val="22"/>
                <w:lang w:bidi="ne-NP"/>
              </w:rPr>
            </w:pPr>
          </w:p>
        </w:tc>
      </w:tr>
      <w:tr w:rsidR="00F33FC4" w:rsidRPr="00D21137" w14:paraId="50F8A8C2" w14:textId="77777777" w:rsidTr="00D21137">
        <w:trPr>
          <w:trHeight w:val="400"/>
        </w:trPr>
        <w:tc>
          <w:tcPr>
            <w:tcW w:w="2384" w:type="dxa"/>
            <w:tcBorders>
              <w:top w:val="nil"/>
              <w:left w:val="nil"/>
              <w:bottom w:val="nil"/>
              <w:right w:val="nil"/>
            </w:tcBorders>
            <w:shd w:val="clear" w:color="auto" w:fill="auto"/>
            <w:noWrap/>
            <w:vAlign w:val="center"/>
            <w:hideMark/>
          </w:tcPr>
          <w:p w14:paraId="14438BC9" w14:textId="77777777" w:rsidR="00F33FC4" w:rsidRPr="00D21137" w:rsidRDefault="00F33FC4" w:rsidP="00F33FC4">
            <w:pPr>
              <w:rPr>
                <w:b/>
                <w:bCs/>
                <w:color w:val="000000"/>
                <w:sz w:val="22"/>
                <w:szCs w:val="22"/>
                <w:lang w:bidi="ne-NP"/>
              </w:rPr>
            </w:pPr>
            <w:r w:rsidRPr="00D21137">
              <w:rPr>
                <w:b/>
                <w:bCs/>
                <w:color w:val="000000"/>
                <w:sz w:val="22"/>
                <w:szCs w:val="22"/>
                <w:lang w:bidi="ne-NP"/>
              </w:rPr>
              <w:t>Unique mapped</w:t>
            </w:r>
          </w:p>
        </w:tc>
        <w:tc>
          <w:tcPr>
            <w:tcW w:w="1616" w:type="dxa"/>
            <w:tcBorders>
              <w:top w:val="nil"/>
              <w:left w:val="nil"/>
              <w:bottom w:val="nil"/>
              <w:right w:val="nil"/>
            </w:tcBorders>
            <w:shd w:val="clear" w:color="auto" w:fill="auto"/>
            <w:noWrap/>
            <w:vAlign w:val="center"/>
            <w:hideMark/>
          </w:tcPr>
          <w:p w14:paraId="7E565A7C" w14:textId="77777777" w:rsidR="00F33FC4" w:rsidRPr="00D21137" w:rsidRDefault="00F33FC4" w:rsidP="00F33FC4">
            <w:pPr>
              <w:jc w:val="right"/>
              <w:rPr>
                <w:color w:val="000000"/>
                <w:sz w:val="22"/>
                <w:szCs w:val="22"/>
                <w:lang w:bidi="ne-NP"/>
              </w:rPr>
            </w:pPr>
            <w:r w:rsidRPr="00D21137">
              <w:rPr>
                <w:color w:val="000000"/>
                <w:sz w:val="22"/>
                <w:szCs w:val="22"/>
                <w:lang w:bidi="ne-NP"/>
              </w:rPr>
              <w:t>424110</w:t>
            </w:r>
          </w:p>
        </w:tc>
        <w:tc>
          <w:tcPr>
            <w:tcW w:w="1300" w:type="dxa"/>
            <w:tcBorders>
              <w:top w:val="nil"/>
              <w:left w:val="nil"/>
              <w:bottom w:val="nil"/>
              <w:right w:val="nil"/>
            </w:tcBorders>
            <w:shd w:val="clear" w:color="auto" w:fill="auto"/>
            <w:noWrap/>
            <w:vAlign w:val="center"/>
            <w:hideMark/>
          </w:tcPr>
          <w:p w14:paraId="51DA374A" w14:textId="77777777" w:rsidR="00F33FC4" w:rsidRPr="00D21137" w:rsidRDefault="00F33FC4" w:rsidP="00F33FC4">
            <w:pPr>
              <w:jc w:val="right"/>
              <w:rPr>
                <w:color w:val="000000"/>
                <w:sz w:val="22"/>
                <w:szCs w:val="22"/>
                <w:lang w:bidi="ne-NP"/>
              </w:rPr>
            </w:pPr>
            <w:r w:rsidRPr="00D21137">
              <w:rPr>
                <w:color w:val="000000"/>
                <w:sz w:val="22"/>
                <w:szCs w:val="22"/>
                <w:lang w:bidi="ne-NP"/>
              </w:rPr>
              <w:t>499347</w:t>
            </w:r>
          </w:p>
        </w:tc>
        <w:tc>
          <w:tcPr>
            <w:tcW w:w="1300" w:type="dxa"/>
            <w:tcBorders>
              <w:top w:val="nil"/>
              <w:left w:val="nil"/>
              <w:bottom w:val="nil"/>
              <w:right w:val="nil"/>
            </w:tcBorders>
            <w:shd w:val="clear" w:color="auto" w:fill="auto"/>
            <w:noWrap/>
            <w:vAlign w:val="center"/>
            <w:hideMark/>
          </w:tcPr>
          <w:p w14:paraId="3B87EF9E" w14:textId="77777777" w:rsidR="00F33FC4" w:rsidRPr="00D21137" w:rsidRDefault="00F33FC4" w:rsidP="00F33FC4">
            <w:pPr>
              <w:jc w:val="right"/>
              <w:rPr>
                <w:color w:val="000000"/>
                <w:sz w:val="22"/>
                <w:szCs w:val="22"/>
                <w:lang w:bidi="ne-NP"/>
              </w:rPr>
            </w:pPr>
            <w:r w:rsidRPr="00D21137">
              <w:rPr>
                <w:color w:val="000000"/>
                <w:sz w:val="22"/>
                <w:szCs w:val="22"/>
                <w:lang w:bidi="ne-NP"/>
              </w:rPr>
              <w:t>567106</w:t>
            </w:r>
          </w:p>
        </w:tc>
        <w:tc>
          <w:tcPr>
            <w:tcW w:w="1199" w:type="dxa"/>
            <w:tcBorders>
              <w:top w:val="nil"/>
              <w:left w:val="nil"/>
              <w:bottom w:val="nil"/>
              <w:right w:val="nil"/>
            </w:tcBorders>
            <w:shd w:val="clear" w:color="auto" w:fill="auto"/>
            <w:noWrap/>
            <w:vAlign w:val="center"/>
            <w:hideMark/>
          </w:tcPr>
          <w:p w14:paraId="69006327" w14:textId="77777777" w:rsidR="00F33FC4" w:rsidRPr="00D21137" w:rsidRDefault="00F33FC4" w:rsidP="00F33FC4">
            <w:pPr>
              <w:jc w:val="right"/>
              <w:rPr>
                <w:color w:val="000000"/>
                <w:sz w:val="22"/>
                <w:szCs w:val="22"/>
                <w:lang w:bidi="ne-NP"/>
              </w:rPr>
            </w:pPr>
          </w:p>
        </w:tc>
        <w:tc>
          <w:tcPr>
            <w:tcW w:w="1105" w:type="dxa"/>
            <w:tcBorders>
              <w:top w:val="nil"/>
              <w:left w:val="nil"/>
              <w:bottom w:val="nil"/>
              <w:right w:val="nil"/>
            </w:tcBorders>
            <w:shd w:val="clear" w:color="auto" w:fill="auto"/>
            <w:noWrap/>
            <w:vAlign w:val="center"/>
            <w:hideMark/>
          </w:tcPr>
          <w:p w14:paraId="4EE8B871" w14:textId="77777777" w:rsidR="00F33FC4" w:rsidRPr="00D21137" w:rsidRDefault="00F33FC4" w:rsidP="00F33FC4">
            <w:pPr>
              <w:jc w:val="right"/>
              <w:rPr>
                <w:sz w:val="22"/>
                <w:szCs w:val="22"/>
                <w:lang w:bidi="ne-NP"/>
              </w:rPr>
            </w:pPr>
          </w:p>
        </w:tc>
      </w:tr>
      <w:tr w:rsidR="00F33FC4" w:rsidRPr="00D21137" w14:paraId="04AB57C7" w14:textId="77777777" w:rsidTr="00D21137">
        <w:trPr>
          <w:trHeight w:val="400"/>
        </w:trPr>
        <w:tc>
          <w:tcPr>
            <w:tcW w:w="2384" w:type="dxa"/>
            <w:tcBorders>
              <w:top w:val="nil"/>
              <w:left w:val="nil"/>
              <w:right w:val="nil"/>
            </w:tcBorders>
            <w:shd w:val="clear" w:color="auto" w:fill="auto"/>
            <w:noWrap/>
            <w:vAlign w:val="center"/>
            <w:hideMark/>
          </w:tcPr>
          <w:p w14:paraId="6E6EEEEB" w14:textId="77777777" w:rsidR="00F33FC4" w:rsidRPr="00D21137" w:rsidRDefault="00F33FC4" w:rsidP="00F33FC4">
            <w:pPr>
              <w:rPr>
                <w:b/>
                <w:bCs/>
                <w:color w:val="000000"/>
                <w:sz w:val="22"/>
                <w:szCs w:val="22"/>
                <w:lang w:bidi="ne-NP"/>
              </w:rPr>
            </w:pPr>
            <w:r w:rsidRPr="00D21137">
              <w:rPr>
                <w:b/>
                <w:bCs/>
                <w:color w:val="000000"/>
                <w:sz w:val="22"/>
                <w:szCs w:val="22"/>
                <w:lang w:bidi="ne-NP"/>
              </w:rPr>
              <w:t>Percent unique mapped</w:t>
            </w:r>
          </w:p>
        </w:tc>
        <w:tc>
          <w:tcPr>
            <w:tcW w:w="1616" w:type="dxa"/>
            <w:tcBorders>
              <w:top w:val="nil"/>
              <w:left w:val="nil"/>
              <w:right w:val="nil"/>
            </w:tcBorders>
            <w:shd w:val="clear" w:color="auto" w:fill="auto"/>
            <w:noWrap/>
            <w:vAlign w:val="center"/>
            <w:hideMark/>
          </w:tcPr>
          <w:p w14:paraId="30D0A269" w14:textId="77777777" w:rsidR="00F33FC4" w:rsidRPr="00D21137" w:rsidRDefault="00F33FC4" w:rsidP="00F33FC4">
            <w:pPr>
              <w:jc w:val="right"/>
              <w:rPr>
                <w:color w:val="000000"/>
                <w:sz w:val="22"/>
                <w:szCs w:val="22"/>
                <w:lang w:bidi="ne-NP"/>
              </w:rPr>
            </w:pPr>
            <w:r w:rsidRPr="00D21137">
              <w:rPr>
                <w:color w:val="000000"/>
                <w:sz w:val="22"/>
                <w:szCs w:val="22"/>
                <w:lang w:bidi="ne-NP"/>
              </w:rPr>
              <w:t>16.17</w:t>
            </w:r>
          </w:p>
        </w:tc>
        <w:tc>
          <w:tcPr>
            <w:tcW w:w="1300" w:type="dxa"/>
            <w:tcBorders>
              <w:top w:val="nil"/>
              <w:left w:val="nil"/>
              <w:right w:val="nil"/>
            </w:tcBorders>
            <w:shd w:val="clear" w:color="auto" w:fill="auto"/>
            <w:noWrap/>
            <w:vAlign w:val="center"/>
            <w:hideMark/>
          </w:tcPr>
          <w:p w14:paraId="4EF3657E" w14:textId="77777777" w:rsidR="00F33FC4" w:rsidRPr="00D21137" w:rsidRDefault="00F33FC4" w:rsidP="00F33FC4">
            <w:pPr>
              <w:jc w:val="right"/>
              <w:rPr>
                <w:color w:val="000000"/>
                <w:sz w:val="22"/>
                <w:szCs w:val="22"/>
                <w:lang w:bidi="ne-NP"/>
              </w:rPr>
            </w:pPr>
            <w:r w:rsidRPr="00D21137">
              <w:rPr>
                <w:color w:val="000000"/>
                <w:sz w:val="22"/>
                <w:szCs w:val="22"/>
                <w:lang w:bidi="ne-NP"/>
              </w:rPr>
              <w:t>15.96</w:t>
            </w:r>
          </w:p>
        </w:tc>
        <w:tc>
          <w:tcPr>
            <w:tcW w:w="1300" w:type="dxa"/>
            <w:tcBorders>
              <w:top w:val="nil"/>
              <w:left w:val="nil"/>
              <w:right w:val="nil"/>
            </w:tcBorders>
            <w:shd w:val="clear" w:color="auto" w:fill="auto"/>
            <w:noWrap/>
            <w:vAlign w:val="center"/>
            <w:hideMark/>
          </w:tcPr>
          <w:p w14:paraId="6A897A52" w14:textId="77777777" w:rsidR="00F33FC4" w:rsidRPr="00D21137" w:rsidRDefault="00F33FC4" w:rsidP="00F33FC4">
            <w:pPr>
              <w:jc w:val="right"/>
              <w:rPr>
                <w:color w:val="000000"/>
                <w:sz w:val="22"/>
                <w:szCs w:val="22"/>
                <w:lang w:bidi="ne-NP"/>
              </w:rPr>
            </w:pPr>
            <w:r w:rsidRPr="00D21137">
              <w:rPr>
                <w:color w:val="000000"/>
                <w:sz w:val="22"/>
                <w:szCs w:val="22"/>
                <w:lang w:bidi="ne-NP"/>
              </w:rPr>
              <w:t>17.04</w:t>
            </w:r>
          </w:p>
        </w:tc>
        <w:tc>
          <w:tcPr>
            <w:tcW w:w="1199" w:type="dxa"/>
            <w:tcBorders>
              <w:top w:val="nil"/>
              <w:left w:val="nil"/>
              <w:right w:val="nil"/>
            </w:tcBorders>
            <w:shd w:val="clear" w:color="auto" w:fill="auto"/>
            <w:noWrap/>
            <w:vAlign w:val="center"/>
            <w:hideMark/>
          </w:tcPr>
          <w:p w14:paraId="37269D0B" w14:textId="77777777" w:rsidR="00F33FC4" w:rsidRPr="00D21137" w:rsidRDefault="00F33FC4" w:rsidP="00F33FC4">
            <w:pPr>
              <w:jc w:val="right"/>
              <w:rPr>
                <w:color w:val="000000"/>
                <w:sz w:val="22"/>
                <w:szCs w:val="22"/>
                <w:lang w:bidi="ne-NP"/>
              </w:rPr>
            </w:pPr>
          </w:p>
        </w:tc>
        <w:tc>
          <w:tcPr>
            <w:tcW w:w="1105" w:type="dxa"/>
            <w:tcBorders>
              <w:top w:val="nil"/>
              <w:left w:val="nil"/>
              <w:right w:val="nil"/>
            </w:tcBorders>
            <w:shd w:val="clear" w:color="auto" w:fill="auto"/>
            <w:noWrap/>
            <w:vAlign w:val="center"/>
            <w:hideMark/>
          </w:tcPr>
          <w:p w14:paraId="5F636F22" w14:textId="77777777" w:rsidR="00F33FC4" w:rsidRPr="00D21137" w:rsidRDefault="00F33FC4" w:rsidP="00F33FC4">
            <w:pPr>
              <w:jc w:val="right"/>
              <w:rPr>
                <w:sz w:val="22"/>
                <w:szCs w:val="22"/>
                <w:lang w:bidi="ne-NP"/>
              </w:rPr>
            </w:pPr>
          </w:p>
        </w:tc>
      </w:tr>
      <w:tr w:rsidR="00F33FC4" w:rsidRPr="00D21137" w14:paraId="3F067E5B" w14:textId="77777777" w:rsidTr="00D21137">
        <w:trPr>
          <w:trHeight w:val="400"/>
        </w:trPr>
        <w:tc>
          <w:tcPr>
            <w:tcW w:w="2384" w:type="dxa"/>
            <w:tcBorders>
              <w:top w:val="nil"/>
              <w:left w:val="nil"/>
              <w:bottom w:val="single" w:sz="4" w:space="0" w:color="auto"/>
              <w:right w:val="nil"/>
            </w:tcBorders>
            <w:shd w:val="clear" w:color="auto" w:fill="auto"/>
            <w:noWrap/>
            <w:vAlign w:val="center"/>
            <w:hideMark/>
          </w:tcPr>
          <w:p w14:paraId="3C531A66" w14:textId="77777777" w:rsidR="00F33FC4" w:rsidRPr="00D21137" w:rsidRDefault="00F33FC4" w:rsidP="00F33FC4">
            <w:pPr>
              <w:rPr>
                <w:sz w:val="22"/>
                <w:szCs w:val="22"/>
                <w:lang w:bidi="ne-NP"/>
              </w:rPr>
            </w:pPr>
            <w:r w:rsidRPr="00D21137">
              <w:rPr>
                <w:b/>
                <w:bCs/>
                <w:sz w:val="22"/>
                <w:szCs w:val="22"/>
                <w:lang w:bidi="ne-NP"/>
              </w:rPr>
              <w:t>Percent multiple loci mapped</w:t>
            </w:r>
          </w:p>
        </w:tc>
        <w:tc>
          <w:tcPr>
            <w:tcW w:w="1616" w:type="dxa"/>
            <w:tcBorders>
              <w:top w:val="nil"/>
              <w:left w:val="nil"/>
              <w:bottom w:val="single" w:sz="4" w:space="0" w:color="auto"/>
              <w:right w:val="nil"/>
            </w:tcBorders>
            <w:shd w:val="clear" w:color="auto" w:fill="auto"/>
            <w:noWrap/>
            <w:vAlign w:val="center"/>
            <w:hideMark/>
          </w:tcPr>
          <w:p w14:paraId="5B28A23B" w14:textId="77777777" w:rsidR="00F33FC4" w:rsidRPr="00D21137" w:rsidRDefault="00F33FC4" w:rsidP="00F33FC4">
            <w:pPr>
              <w:jc w:val="right"/>
              <w:rPr>
                <w:sz w:val="22"/>
                <w:szCs w:val="22"/>
                <w:lang w:bidi="ne-NP"/>
              </w:rPr>
            </w:pPr>
            <w:r w:rsidRPr="00D21137">
              <w:rPr>
                <w:sz w:val="22"/>
                <w:szCs w:val="22"/>
                <w:lang w:bidi="ne-NP"/>
              </w:rPr>
              <w:t>83.06</w:t>
            </w:r>
          </w:p>
        </w:tc>
        <w:tc>
          <w:tcPr>
            <w:tcW w:w="1300" w:type="dxa"/>
            <w:tcBorders>
              <w:top w:val="nil"/>
              <w:left w:val="nil"/>
              <w:bottom w:val="single" w:sz="4" w:space="0" w:color="auto"/>
              <w:right w:val="nil"/>
            </w:tcBorders>
            <w:shd w:val="clear" w:color="auto" w:fill="auto"/>
            <w:noWrap/>
            <w:vAlign w:val="center"/>
            <w:hideMark/>
          </w:tcPr>
          <w:p w14:paraId="40E48FD8" w14:textId="77777777" w:rsidR="00F33FC4" w:rsidRPr="00D21137" w:rsidRDefault="00F33FC4" w:rsidP="00F33FC4">
            <w:pPr>
              <w:jc w:val="right"/>
              <w:rPr>
                <w:sz w:val="22"/>
                <w:szCs w:val="22"/>
                <w:lang w:bidi="ne-NP"/>
              </w:rPr>
            </w:pPr>
            <w:r w:rsidRPr="00D21137">
              <w:rPr>
                <w:sz w:val="22"/>
                <w:szCs w:val="22"/>
                <w:lang w:bidi="ne-NP"/>
              </w:rPr>
              <w:t>83.19</w:t>
            </w:r>
          </w:p>
        </w:tc>
        <w:tc>
          <w:tcPr>
            <w:tcW w:w="1300" w:type="dxa"/>
            <w:tcBorders>
              <w:top w:val="nil"/>
              <w:left w:val="nil"/>
              <w:bottom w:val="single" w:sz="4" w:space="0" w:color="auto"/>
              <w:right w:val="nil"/>
            </w:tcBorders>
            <w:shd w:val="clear" w:color="auto" w:fill="auto"/>
            <w:noWrap/>
            <w:vAlign w:val="center"/>
            <w:hideMark/>
          </w:tcPr>
          <w:p w14:paraId="1B6F2637" w14:textId="77777777" w:rsidR="00F33FC4" w:rsidRPr="00D21137" w:rsidRDefault="00F33FC4" w:rsidP="00F33FC4">
            <w:pPr>
              <w:jc w:val="right"/>
              <w:rPr>
                <w:sz w:val="22"/>
                <w:szCs w:val="22"/>
                <w:lang w:bidi="ne-NP"/>
              </w:rPr>
            </w:pPr>
            <w:r w:rsidRPr="00D21137">
              <w:rPr>
                <w:sz w:val="22"/>
                <w:szCs w:val="22"/>
                <w:lang w:bidi="ne-NP"/>
              </w:rPr>
              <w:t>82</w:t>
            </w:r>
          </w:p>
        </w:tc>
        <w:tc>
          <w:tcPr>
            <w:tcW w:w="1199" w:type="dxa"/>
            <w:tcBorders>
              <w:top w:val="nil"/>
              <w:left w:val="nil"/>
              <w:bottom w:val="single" w:sz="4" w:space="0" w:color="auto"/>
              <w:right w:val="nil"/>
            </w:tcBorders>
            <w:shd w:val="clear" w:color="auto" w:fill="auto"/>
            <w:noWrap/>
            <w:vAlign w:val="bottom"/>
            <w:hideMark/>
          </w:tcPr>
          <w:p w14:paraId="1219D02B" w14:textId="77777777" w:rsidR="00F33FC4" w:rsidRPr="00D21137" w:rsidRDefault="00F33FC4" w:rsidP="00F33FC4">
            <w:pPr>
              <w:jc w:val="right"/>
              <w:rPr>
                <w:sz w:val="22"/>
                <w:szCs w:val="22"/>
                <w:lang w:bidi="ne-NP"/>
              </w:rPr>
            </w:pPr>
          </w:p>
        </w:tc>
        <w:tc>
          <w:tcPr>
            <w:tcW w:w="1105" w:type="dxa"/>
            <w:tcBorders>
              <w:top w:val="nil"/>
              <w:left w:val="nil"/>
              <w:bottom w:val="single" w:sz="4" w:space="0" w:color="auto"/>
              <w:right w:val="nil"/>
            </w:tcBorders>
            <w:shd w:val="clear" w:color="auto" w:fill="auto"/>
            <w:noWrap/>
            <w:vAlign w:val="center"/>
            <w:hideMark/>
          </w:tcPr>
          <w:p w14:paraId="0353C057" w14:textId="77777777" w:rsidR="00F33FC4" w:rsidRPr="00D21137" w:rsidRDefault="00F33FC4" w:rsidP="00F33FC4">
            <w:pPr>
              <w:rPr>
                <w:sz w:val="22"/>
                <w:szCs w:val="22"/>
                <w:lang w:bidi="ne-NP"/>
              </w:rPr>
            </w:pPr>
          </w:p>
        </w:tc>
      </w:tr>
    </w:tbl>
    <w:p w14:paraId="4BFA35CF" w14:textId="77777777" w:rsidR="00C3607D" w:rsidRPr="00F33FC4" w:rsidRDefault="00F33FC4" w:rsidP="00C3607D">
      <w:pPr>
        <w:spacing w:line="360" w:lineRule="auto"/>
        <w:rPr>
          <w:rFonts w:eastAsia="Calibri"/>
        </w:rPr>
      </w:pPr>
      <w:r w:rsidRPr="00F33FC4">
        <w:rPr>
          <w:rFonts w:eastAsia="Calibri"/>
        </w:rPr>
        <w:br w:type="page"/>
      </w:r>
      <w:r w:rsidR="00C3607D" w:rsidRPr="00F33FC4">
        <w:rPr>
          <w:rFonts w:eastAsia="Calibri"/>
        </w:rPr>
        <w:lastRenderedPageBreak/>
        <w:t xml:space="preserve">sequence reads. After initial </w:t>
      </w:r>
      <w:proofErr w:type="spellStart"/>
      <w:r w:rsidR="00C3607D" w:rsidRPr="00F33FC4">
        <w:rPr>
          <w:rFonts w:eastAsia="Calibri"/>
        </w:rPr>
        <w:t>FastQC</w:t>
      </w:r>
      <w:proofErr w:type="spellEnd"/>
      <w:r w:rsidR="00C3607D" w:rsidRPr="00F33FC4">
        <w:rPr>
          <w:rFonts w:eastAsia="Calibri"/>
        </w:rPr>
        <w:t xml:space="preserve">, the reads were trimmed and re-run for quality check. The </w:t>
      </w:r>
      <w:proofErr w:type="spellStart"/>
      <w:r w:rsidR="00C3607D" w:rsidRPr="00F33FC4">
        <w:rPr>
          <w:rFonts w:eastAsia="Calibri"/>
        </w:rPr>
        <w:t>FastQC</w:t>
      </w:r>
      <w:proofErr w:type="spellEnd"/>
      <w:r w:rsidR="00C3607D" w:rsidRPr="00F33FC4">
        <w:rPr>
          <w:rFonts w:eastAsia="Calibri"/>
        </w:rPr>
        <w:t xml:space="preserve"> results for each of the paired sequence reads for our dataset showed GC content of 53%. The sequence length ranged from 55-75 </w:t>
      </w:r>
      <w:proofErr w:type="spellStart"/>
      <w:r w:rsidR="00C3607D" w:rsidRPr="00F33FC4">
        <w:rPr>
          <w:rFonts w:eastAsia="Calibri"/>
        </w:rPr>
        <w:t>nts</w:t>
      </w:r>
      <w:proofErr w:type="spellEnd"/>
      <w:r w:rsidR="00C3607D" w:rsidRPr="00F33FC4">
        <w:rPr>
          <w:rFonts w:eastAsia="Calibri"/>
        </w:rPr>
        <w:t xml:space="preserve"> and the </w:t>
      </w:r>
    </w:p>
    <w:p w14:paraId="772A3E1A" w14:textId="58EF262E" w:rsidR="00F33FC4" w:rsidRPr="00F33FC4" w:rsidRDefault="00F33FC4" w:rsidP="00F33FC4">
      <w:pPr>
        <w:spacing w:line="360" w:lineRule="auto"/>
        <w:rPr>
          <w:rFonts w:eastAsia="Calibri"/>
        </w:rPr>
      </w:pPr>
      <w:proofErr w:type="spellStart"/>
      <w:r w:rsidRPr="00F33FC4">
        <w:rPr>
          <w:rFonts w:eastAsia="Calibri"/>
        </w:rPr>
        <w:t>phred</w:t>
      </w:r>
      <w:proofErr w:type="spellEnd"/>
      <w:r w:rsidRPr="00F33FC4">
        <w:rPr>
          <w:rFonts w:eastAsia="Calibri"/>
        </w:rPr>
        <w:t xml:space="preserve"> score was 33-37. On average, 79.6% of the sequences were mapped to multiple loci (ribosomal RNA). </w:t>
      </w:r>
    </w:p>
    <w:p w14:paraId="2A9D6282" w14:textId="0520531B" w:rsidR="00F33FC4" w:rsidRDefault="00F33FC4" w:rsidP="00C3607D">
      <w:pPr>
        <w:spacing w:line="360" w:lineRule="auto"/>
        <w:ind w:firstLine="720"/>
        <w:rPr>
          <w:rFonts w:eastAsia="Calibri"/>
          <w:color w:val="000000"/>
        </w:rPr>
      </w:pPr>
      <w:r w:rsidRPr="00F33FC4">
        <w:rPr>
          <w:rFonts w:eastAsia="Calibri"/>
        </w:rPr>
        <w:t xml:space="preserve">The sequence reads were then mapped to the </w:t>
      </w:r>
      <w:r w:rsidRPr="00F33FC4">
        <w:rPr>
          <w:rFonts w:eastAsia="Calibri"/>
          <w:i/>
          <w:iCs/>
        </w:rPr>
        <w:t>E. coli</w:t>
      </w:r>
      <w:r w:rsidRPr="00F33FC4">
        <w:rPr>
          <w:rFonts w:eastAsia="Calibri"/>
        </w:rPr>
        <w:t xml:space="preserve"> O157:H7 str. EDL933 (assembly</w:t>
      </w:r>
      <w:r w:rsidR="000725B7">
        <w:rPr>
          <w:rFonts w:eastAsia="Calibri"/>
        </w:rPr>
        <w:t xml:space="preserve"> </w:t>
      </w:r>
      <w:hyperlink r:id="rId30" w:tgtFrame="_blank" w:tooltip="Link to Assembly" w:history="1">
        <w:r w:rsidRPr="00F33FC4">
          <w:rPr>
            <w:rFonts w:eastAsia="Calibri"/>
            <w:color w:val="000000"/>
          </w:rPr>
          <w:t>GCA_000732965.1</w:t>
        </w:r>
      </w:hyperlink>
      <w:r w:rsidRPr="00F33FC4">
        <w:rPr>
          <w:rFonts w:eastAsia="Calibri"/>
          <w:color w:val="000000"/>
        </w:rPr>
        <w:t xml:space="preserve">) reference genome using STAR, analyzed for gene expression (using </w:t>
      </w:r>
      <w:proofErr w:type="spellStart"/>
      <w:r w:rsidRPr="00F33FC4">
        <w:rPr>
          <w:rFonts w:eastAsia="Calibri"/>
          <w:color w:val="000000"/>
        </w:rPr>
        <w:t>HTSeq</w:t>
      </w:r>
      <w:proofErr w:type="spellEnd"/>
      <w:r w:rsidRPr="00F33FC4">
        <w:rPr>
          <w:rFonts w:eastAsia="Calibri"/>
          <w:color w:val="000000"/>
        </w:rPr>
        <w:t xml:space="preserve">) and differential gene expression (using DEseq2). </w:t>
      </w:r>
    </w:p>
    <w:p w14:paraId="0C836F72" w14:textId="77777777" w:rsidR="00C3607D" w:rsidRPr="00F33FC4" w:rsidRDefault="00C3607D" w:rsidP="00C3607D">
      <w:pPr>
        <w:spacing w:line="360" w:lineRule="auto"/>
        <w:ind w:firstLine="720"/>
        <w:rPr>
          <w:rFonts w:eastAsia="Calibri"/>
        </w:rPr>
      </w:pPr>
    </w:p>
    <w:p w14:paraId="72D8E0D4" w14:textId="77777777" w:rsidR="00F33FC4" w:rsidRPr="00F33FC4" w:rsidRDefault="00F33FC4" w:rsidP="00C3607D">
      <w:pPr>
        <w:spacing w:line="360" w:lineRule="auto"/>
        <w:rPr>
          <w:rFonts w:eastAsia="Calibri"/>
          <w:b/>
          <w:bCs/>
        </w:rPr>
      </w:pPr>
      <w:r w:rsidRPr="00F33FC4">
        <w:rPr>
          <w:rFonts w:eastAsia="Calibri"/>
          <w:b/>
          <w:bCs/>
        </w:rPr>
        <w:t>Overall comparison of transcriptome</w:t>
      </w:r>
    </w:p>
    <w:p w14:paraId="0536096C" w14:textId="77777777" w:rsidR="00F33FC4" w:rsidRPr="00F33FC4" w:rsidRDefault="00F33FC4" w:rsidP="00C3607D">
      <w:pPr>
        <w:spacing w:line="360" w:lineRule="auto"/>
        <w:ind w:firstLine="720"/>
        <w:rPr>
          <w:rFonts w:eastAsia="Calibri"/>
        </w:rPr>
      </w:pPr>
      <w:r w:rsidRPr="00F33FC4">
        <w:rPr>
          <w:rFonts w:eastAsia="Calibri"/>
        </w:rPr>
        <w:t>The transcriptome of EDL933</w:t>
      </w:r>
      <w:r w:rsidRPr="00F33FC4">
        <w:rPr>
          <w:rFonts w:eastAsia="Calibri"/>
          <w:i/>
          <w:iCs/>
        </w:rPr>
        <w:t>-</w:t>
      </w:r>
      <w:r w:rsidRPr="00F33FC4">
        <w:rPr>
          <w:rFonts w:eastAsia="Calibri"/>
          <w:i/>
          <w:iCs/>
        </w:rPr>
        <w:sym w:font="Symbol" w:char="F044"/>
      </w:r>
      <w:proofErr w:type="spellStart"/>
      <w:r w:rsidRPr="00F33FC4">
        <w:rPr>
          <w:rFonts w:eastAsia="Calibri"/>
          <w:i/>
          <w:iCs/>
        </w:rPr>
        <w:t>zor-orz</w:t>
      </w:r>
      <w:proofErr w:type="spellEnd"/>
      <w:r w:rsidRPr="00F33FC4">
        <w:rPr>
          <w:rFonts w:eastAsia="Calibri"/>
          <w:i/>
          <w:iCs/>
        </w:rPr>
        <w:t xml:space="preserve"> </w:t>
      </w:r>
      <w:r w:rsidRPr="00F33FC4">
        <w:rPr>
          <w:rFonts w:eastAsia="Calibri"/>
        </w:rPr>
        <w:t xml:space="preserve">after kanamycin treatment was well differentiated based on the plasmid it harbored, </w:t>
      </w:r>
      <w:r w:rsidRPr="00F33FC4">
        <w:rPr>
          <w:rFonts w:eastAsia="Calibri"/>
          <w:i/>
          <w:iCs/>
        </w:rPr>
        <w:t>i.e.</w:t>
      </w:r>
      <w:r w:rsidRPr="00F33FC4">
        <w:rPr>
          <w:rFonts w:eastAsia="Calibri"/>
        </w:rPr>
        <w:t xml:space="preserve"> either </w:t>
      </w:r>
      <w:proofErr w:type="spellStart"/>
      <w:r w:rsidRPr="00F33FC4">
        <w:rPr>
          <w:rFonts w:eastAsia="Calibri"/>
        </w:rPr>
        <w:t>pBR</w:t>
      </w:r>
      <w:proofErr w:type="spellEnd"/>
      <w:r w:rsidRPr="00F33FC4">
        <w:rPr>
          <w:rFonts w:eastAsia="Calibri"/>
        </w:rPr>
        <w:t xml:space="preserve"> or </w:t>
      </w:r>
      <w:proofErr w:type="spellStart"/>
      <w:r w:rsidRPr="00F33FC4">
        <w:rPr>
          <w:rFonts w:eastAsia="Calibri"/>
        </w:rPr>
        <w:t>pBR</w:t>
      </w:r>
      <w:r w:rsidRPr="00F33FC4">
        <w:rPr>
          <w:rFonts w:eastAsia="Calibri"/>
          <w:i/>
          <w:iCs/>
        </w:rPr>
        <w:t>-zor-orz</w:t>
      </w:r>
      <w:proofErr w:type="spellEnd"/>
      <w:r w:rsidRPr="00F33FC4">
        <w:rPr>
          <w:rFonts w:eastAsia="Calibri"/>
        </w:rPr>
        <w:t xml:space="preserve"> (Fig. 3.4A). Mean reads of 8 reference genes that are reported to be stably expressed in </w:t>
      </w:r>
      <w:r w:rsidRPr="00F33FC4">
        <w:rPr>
          <w:rFonts w:eastAsia="Calibri"/>
          <w:i/>
          <w:iCs/>
        </w:rPr>
        <w:t>E. coli</w:t>
      </w:r>
      <w:r w:rsidRPr="00F33FC4">
        <w:rPr>
          <w:rFonts w:eastAsia="Calibri"/>
        </w:rPr>
        <w:t xml:space="preserve"> </w:t>
      </w:r>
      <w:r w:rsidRPr="00F33FC4">
        <w:rPr>
          <w:rFonts w:eastAsia="Calibri"/>
          <w:noProof/>
        </w:rPr>
        <w:t>(22,23)</w:t>
      </w:r>
      <w:r w:rsidRPr="00F33FC4">
        <w:rPr>
          <w:rFonts w:eastAsia="Calibri"/>
        </w:rPr>
        <w:t xml:space="preserve"> showed similar expression levels (Fig. 3.4B). Expression of a total of 3,398 genes was identified out of 5,579 total genes annotated in the reference genome. Of these, 473 genes showed a significant differential expression (</w:t>
      </w:r>
      <w:r w:rsidRPr="00F33FC4">
        <w:rPr>
          <w:rFonts w:eastAsia="Calibri"/>
          <w:i/>
          <w:iCs/>
        </w:rPr>
        <w:t>p</w:t>
      </w:r>
      <w:r w:rsidRPr="00F33FC4">
        <w:rPr>
          <w:rFonts w:eastAsia="Calibri"/>
        </w:rPr>
        <w:t xml:space="preserve"> &lt; 0.05, Fig. 3.5).</w:t>
      </w:r>
    </w:p>
    <w:p w14:paraId="05143700" w14:textId="77777777" w:rsidR="00F33FC4" w:rsidRPr="00F33FC4" w:rsidRDefault="00F33FC4" w:rsidP="00F33FC4">
      <w:pPr>
        <w:spacing w:line="360" w:lineRule="auto"/>
        <w:rPr>
          <w:rFonts w:eastAsia="Calibri"/>
          <w:b/>
          <w:bCs/>
        </w:rPr>
      </w:pPr>
    </w:p>
    <w:p w14:paraId="738EA867" w14:textId="77777777" w:rsidR="00F33FC4" w:rsidRPr="00F33FC4" w:rsidRDefault="00F33FC4" w:rsidP="00C3607D">
      <w:pPr>
        <w:spacing w:line="360" w:lineRule="auto"/>
        <w:rPr>
          <w:rFonts w:eastAsia="Calibri"/>
          <w:b/>
          <w:bCs/>
        </w:rPr>
      </w:pPr>
      <w:r w:rsidRPr="00F33FC4">
        <w:rPr>
          <w:rFonts w:eastAsia="Calibri"/>
          <w:b/>
          <w:bCs/>
        </w:rPr>
        <w:t>Differentially expressed genes</w:t>
      </w:r>
    </w:p>
    <w:p w14:paraId="42DF7A78" w14:textId="71C6B0ED" w:rsidR="00F33FC4" w:rsidRPr="00F33FC4" w:rsidRDefault="00F33FC4" w:rsidP="00C3607D">
      <w:pPr>
        <w:spacing w:line="360" w:lineRule="auto"/>
        <w:ind w:firstLine="720"/>
        <w:rPr>
          <w:rFonts w:eastAsia="Calibri"/>
        </w:rPr>
      </w:pPr>
      <w:r w:rsidRPr="00F33FC4">
        <w:rPr>
          <w:rFonts w:eastAsia="Calibri"/>
        </w:rPr>
        <w:t xml:space="preserve">Of the 234 upregulated genes in the cells harboring </w:t>
      </w:r>
      <w:proofErr w:type="spellStart"/>
      <w:r w:rsidRPr="00F33FC4">
        <w:rPr>
          <w:rFonts w:eastAsia="Calibri"/>
        </w:rPr>
        <w:t>pBR-</w:t>
      </w:r>
      <w:r w:rsidRPr="00F33FC4">
        <w:rPr>
          <w:rFonts w:eastAsia="Calibri"/>
          <w:i/>
          <w:iCs/>
        </w:rPr>
        <w:t>zor-orz</w:t>
      </w:r>
      <w:proofErr w:type="spellEnd"/>
      <w:r w:rsidRPr="00F33FC4">
        <w:rPr>
          <w:rFonts w:eastAsia="Calibri"/>
        </w:rPr>
        <w:t xml:space="preserve"> plasmids those with at least 1.5-log</w:t>
      </w:r>
      <w:r w:rsidRPr="00F33FC4">
        <w:rPr>
          <w:rFonts w:eastAsia="Calibri"/>
          <w:vertAlign w:val="subscript"/>
        </w:rPr>
        <w:t>2</w:t>
      </w:r>
      <w:r w:rsidRPr="00F33FC4">
        <w:rPr>
          <w:rFonts w:eastAsia="Calibri"/>
        </w:rPr>
        <w:t xml:space="preserve">fold change are shown in Table 3.1. Most of the significantly upregulated genes belong to those involved in nitrate assimilation, anaerobic respiration, and amino acid biosynthesis (lysine and isoleucine, Table 3.1). </w:t>
      </w:r>
      <w:r w:rsidR="00C3607D" w:rsidRPr="00F33FC4">
        <w:rPr>
          <w:rFonts w:eastAsia="Calibri"/>
        </w:rPr>
        <w:t xml:space="preserve">The network analysis of the differentially expressed genes followed by the functional annotation enrichment with KEGG, GO, and </w:t>
      </w:r>
      <w:proofErr w:type="spellStart"/>
      <w:r w:rsidR="00C3607D" w:rsidRPr="00F33FC4">
        <w:rPr>
          <w:rFonts w:eastAsia="Calibri"/>
        </w:rPr>
        <w:t>InterPro</w:t>
      </w:r>
      <w:proofErr w:type="spellEnd"/>
      <w:r w:rsidR="00C3607D" w:rsidRPr="00F33FC4">
        <w:rPr>
          <w:rFonts w:eastAsia="Calibri"/>
        </w:rPr>
        <w:t xml:space="preserve"> pathways shows connections between the upregulated genes and enrichment of nitrogen metabolism and molybdopterin </w:t>
      </w:r>
      <w:proofErr w:type="spellStart"/>
      <w:r w:rsidR="00C3607D" w:rsidRPr="00F33FC4">
        <w:rPr>
          <w:rFonts w:eastAsia="Calibri"/>
        </w:rPr>
        <w:t>oxidoreducatase</w:t>
      </w:r>
      <w:proofErr w:type="spellEnd"/>
      <w:r w:rsidR="00C3607D" w:rsidRPr="00F33FC4">
        <w:rPr>
          <w:rFonts w:eastAsia="Calibri"/>
        </w:rPr>
        <w:t xml:space="preserve"> pathway (Fig. 3.6).</w:t>
      </w:r>
      <w:r w:rsidR="00C3607D" w:rsidRPr="00C3607D">
        <w:rPr>
          <w:rFonts w:eastAsia="Calibri"/>
        </w:rPr>
        <w:t xml:space="preserve"> </w:t>
      </w:r>
      <w:r w:rsidR="00C3607D" w:rsidRPr="00F33FC4">
        <w:rPr>
          <w:rFonts w:eastAsia="Calibri"/>
        </w:rPr>
        <w:t>Similar analyses for the downregulated genes show enrichment of protein folding, heat response and flagellar assembly pathways (Fig. 3.7).</w:t>
      </w:r>
    </w:p>
    <w:p w14:paraId="126A1B99" w14:textId="77777777" w:rsidR="00F33FC4" w:rsidRPr="00F33FC4" w:rsidRDefault="00F33FC4" w:rsidP="00F33FC4">
      <w:pPr>
        <w:spacing w:line="360" w:lineRule="auto"/>
        <w:ind w:left="284" w:firstLine="720"/>
        <w:rPr>
          <w:rFonts w:eastAsia="Calibri"/>
        </w:rPr>
      </w:pPr>
    </w:p>
    <w:p w14:paraId="0BB1736F" w14:textId="77777777" w:rsidR="00F33FC4" w:rsidRPr="00F33FC4" w:rsidRDefault="00F33FC4" w:rsidP="00F33FC4">
      <w:pPr>
        <w:spacing w:line="360" w:lineRule="auto"/>
        <w:ind w:left="284" w:firstLine="720"/>
        <w:rPr>
          <w:rFonts w:eastAsia="Calibri"/>
          <w:b/>
          <w:bCs/>
        </w:rPr>
      </w:pPr>
      <w:r w:rsidRPr="00F33FC4">
        <w:rPr>
          <w:rFonts w:ascii="Calibri" w:eastAsia="Calibri" w:hAnsi="Calibri" w:cs="Mangal"/>
          <w:noProof/>
        </w:rPr>
        <w:lastRenderedPageBreak/>
        <mc:AlternateContent>
          <mc:Choice Requires="wps">
            <w:drawing>
              <wp:anchor distT="0" distB="0" distL="114300" distR="114300" simplePos="0" relativeHeight="251705344" behindDoc="0" locked="0" layoutInCell="1" allowOverlap="1" wp14:anchorId="35DD2139" wp14:editId="7F5063CA">
                <wp:simplePos x="0" y="0"/>
                <wp:positionH relativeFrom="column">
                  <wp:posOffset>-52124</wp:posOffset>
                </wp:positionH>
                <wp:positionV relativeFrom="paragraph">
                  <wp:posOffset>6337827</wp:posOffset>
                </wp:positionV>
                <wp:extent cx="5918835" cy="635"/>
                <wp:effectExtent l="0" t="0" r="0" b="5715"/>
                <wp:wrapTopAndBottom/>
                <wp:docPr id="76" name="Text Box 76"/>
                <wp:cNvGraphicFramePr/>
                <a:graphic xmlns:a="http://schemas.openxmlformats.org/drawingml/2006/main">
                  <a:graphicData uri="http://schemas.microsoft.com/office/word/2010/wordprocessingShape">
                    <wps:wsp>
                      <wps:cNvSpPr txBox="1"/>
                      <wps:spPr>
                        <a:xfrm>
                          <a:off x="0" y="0"/>
                          <a:ext cx="5918835" cy="635"/>
                        </a:xfrm>
                        <a:prstGeom prst="rect">
                          <a:avLst/>
                        </a:prstGeom>
                        <a:solidFill>
                          <a:prstClr val="white"/>
                        </a:solidFill>
                        <a:ln>
                          <a:noFill/>
                        </a:ln>
                      </wps:spPr>
                      <wps:txbx>
                        <w:txbxContent>
                          <w:p w14:paraId="40C9B114" w14:textId="77777777" w:rsidR="00F33FC4" w:rsidRPr="00F12873" w:rsidRDefault="00F33FC4" w:rsidP="00F33FC4">
                            <w:pPr>
                              <w:pStyle w:val="Caption"/>
                              <w:rPr>
                                <w:i/>
                                <w:iCs w:val="0"/>
                                <w:sz w:val="22"/>
                                <w:szCs w:val="22"/>
                              </w:rPr>
                            </w:pPr>
                            <w:r w:rsidRPr="00F12873">
                              <w:rPr>
                                <w:iCs w:val="0"/>
                                <w:sz w:val="22"/>
                                <w:szCs w:val="22"/>
                              </w:rPr>
                              <w:t xml:space="preserve">Figure </w:t>
                            </w:r>
                            <w:r>
                              <w:rPr>
                                <w:iCs w:val="0"/>
                                <w:sz w:val="22"/>
                                <w:szCs w:val="22"/>
                              </w:rPr>
                              <w:t xml:space="preserve">3.4. </w:t>
                            </w:r>
                            <w:r w:rsidRPr="004C33F4">
                              <w:rPr>
                                <w:iCs w:val="0"/>
                                <w:sz w:val="22"/>
                                <w:szCs w:val="22"/>
                              </w:rPr>
                              <w:t xml:space="preserve">Principle component analysis plot of the transcriptome of the EDL933 cells </w:t>
                            </w:r>
                            <w:r>
                              <w:rPr>
                                <w:iCs w:val="0"/>
                                <w:sz w:val="22"/>
                                <w:szCs w:val="22"/>
                              </w:rPr>
                              <w:t>harboring either</w:t>
                            </w:r>
                            <w:r w:rsidRPr="004C33F4">
                              <w:rPr>
                                <w:iCs w:val="0"/>
                                <w:sz w:val="22"/>
                                <w:szCs w:val="22"/>
                              </w:rPr>
                              <w:t xml:space="preserve"> </w:t>
                            </w:r>
                            <w:proofErr w:type="spellStart"/>
                            <w:r w:rsidRPr="004C33F4">
                              <w:rPr>
                                <w:iCs w:val="0"/>
                                <w:sz w:val="22"/>
                                <w:szCs w:val="22"/>
                              </w:rPr>
                              <w:t>pBR</w:t>
                            </w:r>
                            <w:proofErr w:type="spellEnd"/>
                            <w:r w:rsidRPr="004C33F4">
                              <w:rPr>
                                <w:iCs w:val="0"/>
                                <w:sz w:val="22"/>
                                <w:szCs w:val="22"/>
                              </w:rPr>
                              <w:t xml:space="preserve"> </w:t>
                            </w:r>
                            <w:r>
                              <w:rPr>
                                <w:iCs w:val="0"/>
                                <w:sz w:val="22"/>
                                <w:szCs w:val="22"/>
                              </w:rPr>
                              <w:t>or</w:t>
                            </w:r>
                            <w:r w:rsidRPr="004C33F4">
                              <w:rPr>
                                <w:iCs w:val="0"/>
                                <w:sz w:val="22"/>
                                <w:szCs w:val="22"/>
                              </w:rPr>
                              <w:t xml:space="preserve"> </w:t>
                            </w:r>
                            <w:proofErr w:type="spellStart"/>
                            <w:r w:rsidRPr="004C33F4">
                              <w:rPr>
                                <w:iCs w:val="0"/>
                                <w:sz w:val="22"/>
                                <w:szCs w:val="22"/>
                              </w:rPr>
                              <w:t>pBR-</w:t>
                            </w:r>
                            <w:r w:rsidRPr="00F24DF8">
                              <w:rPr>
                                <w:i/>
                                <w:iCs w:val="0"/>
                                <w:sz w:val="22"/>
                                <w:szCs w:val="22"/>
                              </w:rPr>
                              <w:t>zor-orz</w:t>
                            </w:r>
                            <w:proofErr w:type="spellEnd"/>
                            <w:r w:rsidRPr="004C33F4">
                              <w:rPr>
                                <w:iCs w:val="0"/>
                                <w:sz w:val="22"/>
                                <w:szCs w:val="22"/>
                              </w:rPr>
                              <w:t xml:space="preserve"> plasmids after treatment with 10 µg/ml kanamycin for 15 min</w:t>
                            </w:r>
                            <w:r>
                              <w:rPr>
                                <w:iCs w:val="0"/>
                                <w:sz w:val="22"/>
                                <w:szCs w:val="22"/>
                              </w:rPr>
                              <w:t xml:space="preserve"> (A)</w:t>
                            </w:r>
                            <w:r w:rsidRPr="004C33F4">
                              <w:rPr>
                                <w:iCs w:val="0"/>
                                <w:sz w:val="22"/>
                                <w:szCs w:val="22"/>
                              </w:rPr>
                              <w:t>.</w:t>
                            </w:r>
                            <w:r>
                              <w:rPr>
                                <w:iCs w:val="0"/>
                                <w:sz w:val="22"/>
                                <w:szCs w:val="22"/>
                              </w:rPr>
                              <w:t xml:space="preserve"> Mean expression of the reference genes for the cells harboring </w:t>
                            </w:r>
                            <w:proofErr w:type="spellStart"/>
                            <w:r>
                              <w:rPr>
                                <w:iCs w:val="0"/>
                                <w:sz w:val="22"/>
                                <w:szCs w:val="22"/>
                              </w:rPr>
                              <w:t>pBR</w:t>
                            </w:r>
                            <w:proofErr w:type="spellEnd"/>
                            <w:r>
                              <w:rPr>
                                <w:iCs w:val="0"/>
                                <w:sz w:val="22"/>
                                <w:szCs w:val="22"/>
                              </w:rPr>
                              <w:t xml:space="preserve"> or </w:t>
                            </w:r>
                            <w:proofErr w:type="spellStart"/>
                            <w:r>
                              <w:rPr>
                                <w:iCs w:val="0"/>
                                <w:sz w:val="22"/>
                                <w:szCs w:val="22"/>
                              </w:rPr>
                              <w:t>pBR-</w:t>
                            </w:r>
                            <w:r w:rsidRPr="00F24DF8">
                              <w:rPr>
                                <w:i/>
                                <w:iCs w:val="0"/>
                                <w:sz w:val="22"/>
                                <w:szCs w:val="22"/>
                              </w:rPr>
                              <w:t>zor-orz</w:t>
                            </w:r>
                            <w:proofErr w:type="spellEnd"/>
                            <w:r>
                              <w:rPr>
                                <w:iCs w:val="0"/>
                                <w:sz w:val="22"/>
                                <w:szCs w:val="22"/>
                              </w:rPr>
                              <w:t xml:space="preserve"> plasmids (B)</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5DD2139" id="Text Box 76" o:spid="_x0000_s1044" type="#_x0000_t202" style="position:absolute;left:0;text-align:left;margin-left:-4.1pt;margin-top:499.05pt;width:466.05pt;height:.05pt;z-index:2517053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" stroked="f">
                <v:textbox style="mso-fit-shape-to-text:t" inset="0,0,0,0">
                  <w:txbxContent>
                    <w:p w14:paraId="40C9B114" w14:textId="77777777" w:rsidR="00F33FC4" w:rsidRPr="00F12873" w:rsidRDefault="00F33FC4" w:rsidP="00F33FC4">
                      <w:pPr>
                        <w:pStyle w:val="Caption"/>
                        <w:rPr>
                          <w:i/>
                          <w:iCs w:val="0"/>
                          <w:sz w:val="22"/>
                          <w:szCs w:val="22"/>
                        </w:rPr>
                      </w:pPr>
                      <w:r w:rsidRPr="00F12873">
                        <w:rPr>
                          <w:iCs w:val="0"/>
                          <w:sz w:val="22"/>
                          <w:szCs w:val="22"/>
                        </w:rPr>
                        <w:t xml:space="preserve">Figure </w:t>
                      </w:r>
                      <w:r>
                        <w:rPr>
                          <w:iCs w:val="0"/>
                          <w:sz w:val="22"/>
                          <w:szCs w:val="22"/>
                        </w:rPr>
                        <w:t xml:space="preserve">3.4. </w:t>
                      </w:r>
                      <w:r w:rsidRPr="004C33F4">
                        <w:rPr>
                          <w:iCs w:val="0"/>
                          <w:sz w:val="22"/>
                          <w:szCs w:val="22"/>
                        </w:rPr>
                        <w:t xml:space="preserve">Principle component analysis plot of the transcriptome of the EDL933 cells </w:t>
                      </w:r>
                      <w:r>
                        <w:rPr>
                          <w:iCs w:val="0"/>
                          <w:sz w:val="22"/>
                          <w:szCs w:val="22"/>
                        </w:rPr>
                        <w:t>harboring either</w:t>
                      </w:r>
                      <w:r w:rsidRPr="004C33F4">
                        <w:rPr>
                          <w:iCs w:val="0"/>
                          <w:sz w:val="22"/>
                          <w:szCs w:val="22"/>
                        </w:rPr>
                        <w:t xml:space="preserve"> </w:t>
                      </w:r>
                      <w:proofErr w:type="spellStart"/>
                      <w:r w:rsidRPr="004C33F4">
                        <w:rPr>
                          <w:iCs w:val="0"/>
                          <w:sz w:val="22"/>
                          <w:szCs w:val="22"/>
                        </w:rPr>
                        <w:t>pBR</w:t>
                      </w:r>
                      <w:proofErr w:type="spellEnd"/>
                      <w:r w:rsidRPr="004C33F4">
                        <w:rPr>
                          <w:iCs w:val="0"/>
                          <w:sz w:val="22"/>
                          <w:szCs w:val="22"/>
                        </w:rPr>
                        <w:t xml:space="preserve"> </w:t>
                      </w:r>
                      <w:r>
                        <w:rPr>
                          <w:iCs w:val="0"/>
                          <w:sz w:val="22"/>
                          <w:szCs w:val="22"/>
                        </w:rPr>
                        <w:t>or</w:t>
                      </w:r>
                      <w:r w:rsidRPr="004C33F4">
                        <w:rPr>
                          <w:iCs w:val="0"/>
                          <w:sz w:val="22"/>
                          <w:szCs w:val="22"/>
                        </w:rPr>
                        <w:t xml:space="preserve"> </w:t>
                      </w:r>
                      <w:proofErr w:type="spellStart"/>
                      <w:r w:rsidRPr="004C33F4">
                        <w:rPr>
                          <w:iCs w:val="0"/>
                          <w:sz w:val="22"/>
                          <w:szCs w:val="22"/>
                        </w:rPr>
                        <w:t>pBR-</w:t>
                      </w:r>
                      <w:r w:rsidRPr="00F24DF8">
                        <w:rPr>
                          <w:i/>
                          <w:iCs w:val="0"/>
                          <w:sz w:val="22"/>
                          <w:szCs w:val="22"/>
                        </w:rPr>
                        <w:t>zor-orz</w:t>
                      </w:r>
                      <w:proofErr w:type="spellEnd"/>
                      <w:r w:rsidRPr="004C33F4">
                        <w:rPr>
                          <w:iCs w:val="0"/>
                          <w:sz w:val="22"/>
                          <w:szCs w:val="22"/>
                        </w:rPr>
                        <w:t xml:space="preserve"> plasmids after treatment with 10 µg/ml kanamycin for 15 min</w:t>
                      </w:r>
                      <w:r>
                        <w:rPr>
                          <w:iCs w:val="0"/>
                          <w:sz w:val="22"/>
                          <w:szCs w:val="22"/>
                        </w:rPr>
                        <w:t xml:space="preserve"> (A)</w:t>
                      </w:r>
                      <w:r w:rsidRPr="004C33F4">
                        <w:rPr>
                          <w:iCs w:val="0"/>
                          <w:sz w:val="22"/>
                          <w:szCs w:val="22"/>
                        </w:rPr>
                        <w:t>.</w:t>
                      </w:r>
                      <w:r>
                        <w:rPr>
                          <w:iCs w:val="0"/>
                          <w:sz w:val="22"/>
                          <w:szCs w:val="22"/>
                        </w:rPr>
                        <w:t xml:space="preserve"> Mean expression of the reference genes for the cells harboring </w:t>
                      </w:r>
                      <w:proofErr w:type="spellStart"/>
                      <w:r>
                        <w:rPr>
                          <w:iCs w:val="0"/>
                          <w:sz w:val="22"/>
                          <w:szCs w:val="22"/>
                        </w:rPr>
                        <w:t>pBR</w:t>
                      </w:r>
                      <w:proofErr w:type="spellEnd"/>
                      <w:r>
                        <w:rPr>
                          <w:iCs w:val="0"/>
                          <w:sz w:val="22"/>
                          <w:szCs w:val="22"/>
                        </w:rPr>
                        <w:t xml:space="preserve"> or </w:t>
                      </w:r>
                      <w:proofErr w:type="spellStart"/>
                      <w:r>
                        <w:rPr>
                          <w:iCs w:val="0"/>
                          <w:sz w:val="22"/>
                          <w:szCs w:val="22"/>
                        </w:rPr>
                        <w:t>pBR-</w:t>
                      </w:r>
                      <w:r w:rsidRPr="00F24DF8">
                        <w:rPr>
                          <w:i/>
                          <w:iCs w:val="0"/>
                          <w:sz w:val="22"/>
                          <w:szCs w:val="22"/>
                        </w:rPr>
                        <w:t>zor-orz</w:t>
                      </w:r>
                      <w:proofErr w:type="spellEnd"/>
                      <w:r>
                        <w:rPr>
                          <w:iCs w:val="0"/>
                          <w:sz w:val="22"/>
                          <w:szCs w:val="22"/>
                        </w:rPr>
                        <w:t xml:space="preserve"> plasmids (B)</w:t>
                      </w:r>
                    </w:p>
                  </w:txbxContent>
                </v:textbox>
                <w10:wrap type="topAndBottom"/>
              </v:shape>
            </w:pict>
          </mc:Fallback>
        </mc:AlternateContent>
      </w:r>
      <w:r w:rsidRPr="00F33FC4">
        <w:rPr>
          <w:rFonts w:eastAsia="Calibri"/>
          <w:b/>
          <w:bCs/>
          <w:noProof/>
        </w:rPr>
        <w:drawing>
          <wp:anchor distT="0" distB="0" distL="114300" distR="114300" simplePos="0" relativeHeight="251712512" behindDoc="0" locked="0" layoutInCell="1" allowOverlap="1" wp14:anchorId="4A1145A7" wp14:editId="13A9E885">
            <wp:simplePos x="0" y="0"/>
            <wp:positionH relativeFrom="column">
              <wp:posOffset>184785</wp:posOffset>
            </wp:positionH>
            <wp:positionV relativeFrom="paragraph">
              <wp:posOffset>0</wp:posOffset>
            </wp:positionV>
            <wp:extent cx="5271770" cy="6220460"/>
            <wp:effectExtent l="0" t="0" r="0" b="2540"/>
            <wp:wrapTopAndBottom/>
            <wp:docPr id="84" name="Picture 84"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scatter chart&#10;&#10;Description automatically generated"/>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271770" cy="6220460"/>
                    </a:xfrm>
                    <a:prstGeom prst="rect">
                      <a:avLst/>
                    </a:prstGeom>
                  </pic:spPr>
                </pic:pic>
              </a:graphicData>
            </a:graphic>
            <wp14:sizeRelH relativeFrom="page">
              <wp14:pctWidth>0</wp14:pctWidth>
            </wp14:sizeRelH>
            <wp14:sizeRelV relativeFrom="page">
              <wp14:pctHeight>0</wp14:pctHeight>
            </wp14:sizeRelV>
          </wp:anchor>
        </w:drawing>
      </w:r>
      <w:r w:rsidRPr="00F33FC4">
        <w:rPr>
          <w:rFonts w:eastAsia="Calibri"/>
          <w:b/>
          <w:bCs/>
        </w:rPr>
        <w:br w:type="page"/>
      </w:r>
    </w:p>
    <w:p w14:paraId="31A61B4D" w14:textId="77777777" w:rsidR="00F33FC4" w:rsidRPr="00F33FC4" w:rsidRDefault="00F33FC4" w:rsidP="00F33FC4">
      <w:pPr>
        <w:spacing w:line="360" w:lineRule="auto"/>
        <w:rPr>
          <w:rFonts w:eastAsia="Calibri"/>
          <w:b/>
          <w:bCs/>
        </w:rPr>
      </w:pPr>
      <w:r w:rsidRPr="00F33FC4">
        <w:rPr>
          <w:rFonts w:eastAsia="Calibri"/>
          <w:b/>
          <w:bCs/>
          <w:noProof/>
        </w:rPr>
        <w:lastRenderedPageBreak/>
        <w:drawing>
          <wp:anchor distT="0" distB="0" distL="114300" distR="114300" simplePos="0" relativeHeight="251713536" behindDoc="0" locked="0" layoutInCell="1" allowOverlap="1" wp14:anchorId="7849E96A" wp14:editId="468C8311">
            <wp:simplePos x="0" y="0"/>
            <wp:positionH relativeFrom="column">
              <wp:posOffset>0</wp:posOffset>
            </wp:positionH>
            <wp:positionV relativeFrom="paragraph">
              <wp:posOffset>293370</wp:posOffset>
            </wp:positionV>
            <wp:extent cx="5318125" cy="3863975"/>
            <wp:effectExtent l="0" t="0" r="3175" b="0"/>
            <wp:wrapTopAndBottom/>
            <wp:docPr id="85" name="Picture 85"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hart, scatter chart&#10;&#10;Description automatically generated"/>
                    <pic:cNvPicPr/>
                  </pic:nvPicPr>
                  <pic:blipFill rotWithShape="1">
                    <a:blip r:embed="rId32" cstate="print">
                      <a:extLst>
                        <a:ext uri="{28A0092B-C50C-407E-A947-70E740481C1C}">
                          <a14:useLocalDpi xmlns:a14="http://schemas.microsoft.com/office/drawing/2010/main" val="0"/>
                        </a:ext>
                      </a:extLst>
                    </a:blip>
                    <a:srcRect t="7063"/>
                    <a:stretch/>
                  </pic:blipFill>
                  <pic:spPr bwMode="auto">
                    <a:xfrm>
                      <a:off x="0" y="0"/>
                      <a:ext cx="5318125" cy="38639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33FC4">
        <w:rPr>
          <w:rFonts w:ascii="Calibri" w:eastAsia="Calibri" w:hAnsi="Calibri" w:cs="Mangal"/>
          <w:noProof/>
        </w:rPr>
        <mc:AlternateContent>
          <mc:Choice Requires="wps">
            <w:drawing>
              <wp:anchor distT="0" distB="0" distL="114300" distR="114300" simplePos="0" relativeHeight="251706368" behindDoc="0" locked="0" layoutInCell="1" allowOverlap="1" wp14:anchorId="178CEAE3" wp14:editId="141BB36D">
                <wp:simplePos x="0" y="0"/>
                <wp:positionH relativeFrom="column">
                  <wp:posOffset>59690</wp:posOffset>
                </wp:positionH>
                <wp:positionV relativeFrom="paragraph">
                  <wp:posOffset>4371867</wp:posOffset>
                </wp:positionV>
                <wp:extent cx="5918835" cy="635"/>
                <wp:effectExtent l="0" t="0" r="0" b="5715"/>
                <wp:wrapTopAndBottom/>
                <wp:docPr id="77" name="Text Box 77"/>
                <wp:cNvGraphicFramePr/>
                <a:graphic xmlns:a="http://schemas.openxmlformats.org/drawingml/2006/main">
                  <a:graphicData uri="http://schemas.microsoft.com/office/word/2010/wordprocessingShape">
                    <wps:wsp>
                      <wps:cNvSpPr txBox="1"/>
                      <wps:spPr>
                        <a:xfrm>
                          <a:off x="0" y="0"/>
                          <a:ext cx="5918835" cy="635"/>
                        </a:xfrm>
                        <a:prstGeom prst="rect">
                          <a:avLst/>
                        </a:prstGeom>
                        <a:solidFill>
                          <a:prstClr val="white"/>
                        </a:solidFill>
                        <a:ln>
                          <a:noFill/>
                        </a:ln>
                      </wps:spPr>
                      <wps:txbx>
                        <w:txbxContent>
                          <w:p w14:paraId="149B20B6" w14:textId="77777777" w:rsidR="00F33FC4" w:rsidRPr="00F12873" w:rsidRDefault="00F33FC4" w:rsidP="00F33FC4">
                            <w:pPr>
                              <w:pStyle w:val="Caption"/>
                              <w:rPr>
                                <w:i/>
                                <w:iCs w:val="0"/>
                                <w:sz w:val="22"/>
                                <w:szCs w:val="22"/>
                              </w:rPr>
                            </w:pPr>
                            <w:r w:rsidRPr="00F12873">
                              <w:rPr>
                                <w:iCs w:val="0"/>
                                <w:sz w:val="22"/>
                                <w:szCs w:val="22"/>
                              </w:rPr>
                              <w:t xml:space="preserve">Figure </w:t>
                            </w:r>
                            <w:r>
                              <w:rPr>
                                <w:iCs w:val="0"/>
                                <w:sz w:val="22"/>
                                <w:szCs w:val="22"/>
                              </w:rPr>
                              <w:t>3.5. Differentially expressed genes represented as a scatter plot. Log</w:t>
                            </w:r>
                            <w:r w:rsidRPr="00860B4C">
                              <w:rPr>
                                <w:iCs w:val="0"/>
                                <w:sz w:val="22"/>
                                <w:szCs w:val="22"/>
                                <w:vertAlign w:val="subscript"/>
                              </w:rPr>
                              <w:t>2</w:t>
                            </w:r>
                            <w:r>
                              <w:rPr>
                                <w:iCs w:val="0"/>
                                <w:sz w:val="22"/>
                                <w:szCs w:val="22"/>
                              </w:rPr>
                              <w:t>fold change between EDL933</w:t>
                            </w:r>
                            <w:r w:rsidRPr="00F01012">
                              <w:rPr>
                                <w:sz w:val="22"/>
                                <w:szCs w:val="22"/>
                              </w:rPr>
                              <w:t>-</w:t>
                            </w:r>
                            <w:r w:rsidRPr="00F01012">
                              <w:rPr>
                                <w:sz w:val="22"/>
                                <w:szCs w:val="22"/>
                              </w:rPr>
                              <w:sym w:font="Symbol" w:char="F044"/>
                            </w:r>
                            <w:proofErr w:type="spellStart"/>
                            <w:r w:rsidRPr="00F24DF8">
                              <w:rPr>
                                <w:i/>
                                <w:iCs w:val="0"/>
                                <w:sz w:val="22"/>
                                <w:szCs w:val="22"/>
                              </w:rPr>
                              <w:t>zor-orz</w:t>
                            </w:r>
                            <w:proofErr w:type="spellEnd"/>
                            <w:r w:rsidRPr="00F01012">
                              <w:rPr>
                                <w:iCs w:val="0"/>
                                <w:sz w:val="22"/>
                                <w:szCs w:val="22"/>
                              </w:rPr>
                              <w:t xml:space="preserve"> cells</w:t>
                            </w:r>
                            <w:r>
                              <w:rPr>
                                <w:iCs w:val="0"/>
                                <w:sz w:val="22"/>
                                <w:szCs w:val="22"/>
                              </w:rPr>
                              <w:t xml:space="preserve"> carrying </w:t>
                            </w:r>
                            <w:proofErr w:type="spellStart"/>
                            <w:r>
                              <w:rPr>
                                <w:iCs w:val="0"/>
                                <w:sz w:val="22"/>
                                <w:szCs w:val="22"/>
                              </w:rPr>
                              <w:t>pBR</w:t>
                            </w:r>
                            <w:proofErr w:type="spellEnd"/>
                            <w:r>
                              <w:rPr>
                                <w:iCs w:val="0"/>
                                <w:sz w:val="22"/>
                                <w:szCs w:val="22"/>
                              </w:rPr>
                              <w:t xml:space="preserve"> and </w:t>
                            </w:r>
                            <w:proofErr w:type="spellStart"/>
                            <w:r>
                              <w:rPr>
                                <w:iCs w:val="0"/>
                                <w:sz w:val="22"/>
                                <w:szCs w:val="22"/>
                              </w:rPr>
                              <w:t>pBR-</w:t>
                            </w:r>
                            <w:r w:rsidRPr="00F24DF8">
                              <w:rPr>
                                <w:i/>
                                <w:iCs w:val="0"/>
                                <w:sz w:val="22"/>
                                <w:szCs w:val="22"/>
                              </w:rPr>
                              <w:t>zor-orz</w:t>
                            </w:r>
                            <w:proofErr w:type="spellEnd"/>
                            <w:r>
                              <w:rPr>
                                <w:iCs w:val="0"/>
                                <w:sz w:val="22"/>
                                <w:szCs w:val="22"/>
                              </w:rPr>
                              <w:t xml:space="preserve"> plasmids after kanamycin treatment </w:t>
                            </w:r>
                            <w:proofErr w:type="spellStart"/>
                            <w:r>
                              <w:rPr>
                                <w:iCs w:val="0"/>
                                <w:sz w:val="22"/>
                                <w:szCs w:val="22"/>
                              </w:rPr>
                              <w:t>compard</w:t>
                            </w:r>
                            <w:proofErr w:type="spellEnd"/>
                            <w:r>
                              <w:rPr>
                                <w:iCs w:val="0"/>
                                <w:sz w:val="22"/>
                                <w:szCs w:val="22"/>
                              </w:rPr>
                              <w:t xml:space="preserve"> to the mean of normalized counts. Statistically significant genes (</w:t>
                            </w:r>
                            <w:r w:rsidRPr="006B6F65">
                              <w:rPr>
                                <w:sz w:val="22"/>
                                <w:szCs w:val="22"/>
                              </w:rPr>
                              <w:t>p</w:t>
                            </w:r>
                            <w:r>
                              <w:rPr>
                                <w:iCs w:val="0"/>
                                <w:sz w:val="22"/>
                                <w:szCs w:val="22"/>
                              </w:rPr>
                              <w:t xml:space="preserve"> value &lt;0.05) included 234 up-regulated and 239 down-regulated genes. Blue lines indicate 1.5-log</w:t>
                            </w:r>
                            <w:r w:rsidRPr="006B6F65">
                              <w:rPr>
                                <w:iCs w:val="0"/>
                                <w:sz w:val="22"/>
                                <w:szCs w:val="22"/>
                                <w:vertAlign w:val="subscript"/>
                              </w:rPr>
                              <w:t>2</w:t>
                            </w:r>
                            <w:r>
                              <w:rPr>
                                <w:iCs w:val="0"/>
                                <w:sz w:val="22"/>
                                <w:szCs w:val="22"/>
                              </w:rPr>
                              <w:t xml:space="preserve">fold </w:t>
                            </w:r>
                            <w:proofErr w:type="spellStart"/>
                            <w:r>
                              <w:rPr>
                                <w:iCs w:val="0"/>
                                <w:sz w:val="22"/>
                                <w:szCs w:val="22"/>
                              </w:rPr>
                              <w:t>changs</w:t>
                            </w:r>
                            <w:proofErr w:type="spellEnd"/>
                            <w:r>
                              <w:rPr>
                                <w:iCs w:val="0"/>
                                <w:sz w:val="22"/>
                                <w:szCs w:val="22"/>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78CEAE3" id="Text Box 77" o:spid="_x0000_s1045" type="#_x0000_t202" style="position:absolute;margin-left:4.7pt;margin-top:344.25pt;width:466.05pt;height:.05pt;z-index:25170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" stroked="f">
                <v:textbox style="mso-fit-shape-to-text:t" inset="0,0,0,0">
                  <w:txbxContent>
                    <w:p w14:paraId="149B20B6" w14:textId="77777777" w:rsidR="00F33FC4" w:rsidRPr="00F12873" w:rsidRDefault="00F33FC4" w:rsidP="00F33FC4">
                      <w:pPr>
                        <w:pStyle w:val="Caption"/>
                        <w:rPr>
                          <w:i/>
                          <w:iCs w:val="0"/>
                          <w:sz w:val="22"/>
                          <w:szCs w:val="22"/>
                        </w:rPr>
                      </w:pPr>
                      <w:r w:rsidRPr="00F12873">
                        <w:rPr>
                          <w:iCs w:val="0"/>
                          <w:sz w:val="22"/>
                          <w:szCs w:val="22"/>
                        </w:rPr>
                        <w:t xml:space="preserve">Figure </w:t>
                      </w:r>
                      <w:r>
                        <w:rPr>
                          <w:iCs w:val="0"/>
                          <w:sz w:val="22"/>
                          <w:szCs w:val="22"/>
                        </w:rPr>
                        <w:t>3.5. Differentially expressed genes represented as a scatter plot. Log</w:t>
                      </w:r>
                      <w:r w:rsidRPr="00860B4C">
                        <w:rPr>
                          <w:iCs w:val="0"/>
                          <w:sz w:val="22"/>
                          <w:szCs w:val="22"/>
                          <w:vertAlign w:val="subscript"/>
                        </w:rPr>
                        <w:t>2</w:t>
                      </w:r>
                      <w:r>
                        <w:rPr>
                          <w:iCs w:val="0"/>
                          <w:sz w:val="22"/>
                          <w:szCs w:val="22"/>
                        </w:rPr>
                        <w:t>fold change between EDL933</w:t>
                      </w:r>
                      <w:r w:rsidRPr="00F01012">
                        <w:rPr>
                          <w:sz w:val="22"/>
                          <w:szCs w:val="22"/>
                        </w:rPr>
                        <w:t>-</w:t>
                      </w:r>
                      <w:r w:rsidRPr="00F01012">
                        <w:rPr>
                          <w:sz w:val="22"/>
                          <w:szCs w:val="22"/>
                        </w:rPr>
                        <w:sym w:font="Symbol" w:char="F044"/>
                      </w:r>
                      <w:proofErr w:type="spellStart"/>
                      <w:r w:rsidRPr="00F24DF8">
                        <w:rPr>
                          <w:i/>
                          <w:iCs w:val="0"/>
                          <w:sz w:val="22"/>
                          <w:szCs w:val="22"/>
                        </w:rPr>
                        <w:t>zor-orz</w:t>
                      </w:r>
                      <w:proofErr w:type="spellEnd"/>
                      <w:r w:rsidRPr="00F01012">
                        <w:rPr>
                          <w:iCs w:val="0"/>
                          <w:sz w:val="22"/>
                          <w:szCs w:val="22"/>
                        </w:rPr>
                        <w:t xml:space="preserve"> cells</w:t>
                      </w:r>
                      <w:r>
                        <w:rPr>
                          <w:iCs w:val="0"/>
                          <w:sz w:val="22"/>
                          <w:szCs w:val="22"/>
                        </w:rPr>
                        <w:t xml:space="preserve"> carrying </w:t>
                      </w:r>
                      <w:proofErr w:type="spellStart"/>
                      <w:r>
                        <w:rPr>
                          <w:iCs w:val="0"/>
                          <w:sz w:val="22"/>
                          <w:szCs w:val="22"/>
                        </w:rPr>
                        <w:t>pBR</w:t>
                      </w:r>
                      <w:proofErr w:type="spellEnd"/>
                      <w:r>
                        <w:rPr>
                          <w:iCs w:val="0"/>
                          <w:sz w:val="22"/>
                          <w:szCs w:val="22"/>
                        </w:rPr>
                        <w:t xml:space="preserve"> and </w:t>
                      </w:r>
                      <w:proofErr w:type="spellStart"/>
                      <w:r>
                        <w:rPr>
                          <w:iCs w:val="0"/>
                          <w:sz w:val="22"/>
                          <w:szCs w:val="22"/>
                        </w:rPr>
                        <w:t>pBR-</w:t>
                      </w:r>
                      <w:r w:rsidRPr="00F24DF8">
                        <w:rPr>
                          <w:i/>
                          <w:iCs w:val="0"/>
                          <w:sz w:val="22"/>
                          <w:szCs w:val="22"/>
                        </w:rPr>
                        <w:t>zor-orz</w:t>
                      </w:r>
                      <w:proofErr w:type="spellEnd"/>
                      <w:r>
                        <w:rPr>
                          <w:iCs w:val="0"/>
                          <w:sz w:val="22"/>
                          <w:szCs w:val="22"/>
                        </w:rPr>
                        <w:t xml:space="preserve"> plasmids after kanamycin treatment </w:t>
                      </w:r>
                      <w:proofErr w:type="spellStart"/>
                      <w:r>
                        <w:rPr>
                          <w:iCs w:val="0"/>
                          <w:sz w:val="22"/>
                          <w:szCs w:val="22"/>
                        </w:rPr>
                        <w:t>compard</w:t>
                      </w:r>
                      <w:proofErr w:type="spellEnd"/>
                      <w:r>
                        <w:rPr>
                          <w:iCs w:val="0"/>
                          <w:sz w:val="22"/>
                          <w:szCs w:val="22"/>
                        </w:rPr>
                        <w:t xml:space="preserve"> to the mean of normalized counts. Statistically significant genes (</w:t>
                      </w:r>
                      <w:r w:rsidRPr="006B6F65">
                        <w:rPr>
                          <w:sz w:val="22"/>
                          <w:szCs w:val="22"/>
                        </w:rPr>
                        <w:t>p</w:t>
                      </w:r>
                      <w:r>
                        <w:rPr>
                          <w:iCs w:val="0"/>
                          <w:sz w:val="22"/>
                          <w:szCs w:val="22"/>
                        </w:rPr>
                        <w:t xml:space="preserve"> value &lt;0.05) included 234 up-regulated and 239 down-regulated genes. Blue lines indicate 1.5-log</w:t>
                      </w:r>
                      <w:r w:rsidRPr="006B6F65">
                        <w:rPr>
                          <w:iCs w:val="0"/>
                          <w:sz w:val="22"/>
                          <w:szCs w:val="22"/>
                          <w:vertAlign w:val="subscript"/>
                        </w:rPr>
                        <w:t>2</w:t>
                      </w:r>
                      <w:r>
                        <w:rPr>
                          <w:iCs w:val="0"/>
                          <w:sz w:val="22"/>
                          <w:szCs w:val="22"/>
                        </w:rPr>
                        <w:t xml:space="preserve">fold </w:t>
                      </w:r>
                      <w:proofErr w:type="spellStart"/>
                      <w:r>
                        <w:rPr>
                          <w:iCs w:val="0"/>
                          <w:sz w:val="22"/>
                          <w:szCs w:val="22"/>
                        </w:rPr>
                        <w:t>changs</w:t>
                      </w:r>
                      <w:proofErr w:type="spellEnd"/>
                      <w:r>
                        <w:rPr>
                          <w:iCs w:val="0"/>
                          <w:sz w:val="22"/>
                          <w:szCs w:val="22"/>
                        </w:rPr>
                        <w:t>.</w:t>
                      </w:r>
                    </w:p>
                  </w:txbxContent>
                </v:textbox>
                <w10:wrap type="topAndBottom"/>
              </v:shape>
            </w:pict>
          </mc:Fallback>
        </mc:AlternateContent>
      </w:r>
      <w:r w:rsidRPr="00F33FC4">
        <w:rPr>
          <w:rFonts w:eastAsia="Calibri"/>
          <w:b/>
          <w:bCs/>
        </w:rPr>
        <w:br w:type="page"/>
      </w:r>
    </w:p>
    <w:p w14:paraId="4C7238BB" w14:textId="77777777" w:rsidR="00F33FC4" w:rsidRPr="00D21137" w:rsidRDefault="00F33FC4" w:rsidP="00F33FC4">
      <w:pPr>
        <w:spacing w:line="360" w:lineRule="auto"/>
        <w:rPr>
          <w:rFonts w:eastAsia="Calibri"/>
          <w:sz w:val="22"/>
          <w:szCs w:val="22"/>
        </w:rPr>
      </w:pPr>
      <w:r w:rsidRPr="00D21137">
        <w:rPr>
          <w:rFonts w:eastAsia="Calibri"/>
          <w:sz w:val="22"/>
          <w:szCs w:val="22"/>
        </w:rPr>
        <w:lastRenderedPageBreak/>
        <w:t>Table 3.2. Description of significantly upregulated genes (p &lt; 0.01) with at least 1.5-log</w:t>
      </w:r>
      <w:r w:rsidRPr="00D21137">
        <w:rPr>
          <w:rFonts w:eastAsia="Calibri"/>
          <w:sz w:val="22"/>
          <w:szCs w:val="22"/>
          <w:vertAlign w:val="subscript"/>
        </w:rPr>
        <w:t>2</w:t>
      </w:r>
      <w:r w:rsidRPr="00D21137">
        <w:rPr>
          <w:rFonts w:eastAsia="Calibri"/>
          <w:sz w:val="22"/>
          <w:szCs w:val="22"/>
        </w:rPr>
        <w:t>fold change</w:t>
      </w:r>
    </w:p>
    <w:tbl>
      <w:tblPr>
        <w:tblW w:w="10080" w:type="dxa"/>
        <w:tblLook w:val="04A0" w:firstRow="1" w:lastRow="0" w:firstColumn="1" w:lastColumn="0" w:noHBand="0" w:noVBand="1"/>
      </w:tblPr>
      <w:tblGrid>
        <w:gridCol w:w="779"/>
        <w:gridCol w:w="1162"/>
        <w:gridCol w:w="889"/>
        <w:gridCol w:w="2694"/>
        <w:gridCol w:w="4556"/>
      </w:tblGrid>
      <w:tr w:rsidR="00F33FC4" w:rsidRPr="00D21137" w14:paraId="0DBA4AC3" w14:textId="77777777" w:rsidTr="00D21137">
        <w:trPr>
          <w:trHeight w:val="720"/>
        </w:trPr>
        <w:tc>
          <w:tcPr>
            <w:tcW w:w="779"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54F73D04" w14:textId="77777777" w:rsidR="00F33FC4" w:rsidRPr="00D21137" w:rsidRDefault="00F33FC4" w:rsidP="00D21137">
            <w:pPr>
              <w:spacing w:line="360" w:lineRule="auto"/>
              <w:jc w:val="center"/>
              <w:rPr>
                <w:b/>
                <w:bCs/>
                <w:color w:val="000000"/>
                <w:sz w:val="22"/>
                <w:szCs w:val="22"/>
                <w:lang w:bidi="ne-NP"/>
              </w:rPr>
            </w:pPr>
            <w:r w:rsidRPr="00D21137">
              <w:rPr>
                <w:b/>
                <w:bCs/>
                <w:color w:val="000000"/>
                <w:sz w:val="22"/>
                <w:szCs w:val="22"/>
                <w:lang w:bidi="ne-NP"/>
              </w:rPr>
              <w:t>Gene</w:t>
            </w:r>
          </w:p>
        </w:tc>
        <w:tc>
          <w:tcPr>
            <w:tcW w:w="1162" w:type="dxa"/>
            <w:tcBorders>
              <w:top w:val="single" w:sz="4" w:space="0" w:color="000000"/>
              <w:left w:val="nil"/>
              <w:bottom w:val="single" w:sz="4" w:space="0" w:color="000000"/>
              <w:right w:val="single" w:sz="4" w:space="0" w:color="000000"/>
            </w:tcBorders>
            <w:shd w:val="clear" w:color="auto" w:fill="auto"/>
            <w:vAlign w:val="center"/>
            <w:hideMark/>
          </w:tcPr>
          <w:p w14:paraId="2BECAF8D" w14:textId="77777777" w:rsidR="00F33FC4" w:rsidRPr="00D21137" w:rsidRDefault="00F33FC4" w:rsidP="00D21137">
            <w:pPr>
              <w:spacing w:line="360" w:lineRule="auto"/>
              <w:jc w:val="center"/>
              <w:rPr>
                <w:b/>
                <w:bCs/>
                <w:color w:val="000000"/>
                <w:sz w:val="22"/>
                <w:szCs w:val="22"/>
                <w:lang w:bidi="ne-NP"/>
              </w:rPr>
            </w:pPr>
            <w:r w:rsidRPr="00D21137">
              <w:rPr>
                <w:b/>
                <w:bCs/>
                <w:color w:val="000000"/>
                <w:sz w:val="22"/>
                <w:szCs w:val="22"/>
                <w:lang w:bidi="ne-NP"/>
              </w:rPr>
              <w:t>Log</w:t>
            </w:r>
            <w:r w:rsidRPr="00D21137">
              <w:rPr>
                <w:b/>
                <w:bCs/>
                <w:color w:val="000000"/>
                <w:sz w:val="22"/>
                <w:szCs w:val="22"/>
                <w:vertAlign w:val="subscript"/>
                <w:lang w:bidi="ne-NP"/>
              </w:rPr>
              <w:t>2</w:t>
            </w:r>
            <w:r w:rsidRPr="00D21137">
              <w:rPr>
                <w:b/>
                <w:bCs/>
                <w:color w:val="000000"/>
                <w:sz w:val="22"/>
                <w:szCs w:val="22"/>
                <w:lang w:bidi="ne-NP"/>
              </w:rPr>
              <w:t>Fold Change</w:t>
            </w:r>
          </w:p>
        </w:tc>
        <w:tc>
          <w:tcPr>
            <w:tcW w:w="889" w:type="dxa"/>
            <w:tcBorders>
              <w:top w:val="single" w:sz="4" w:space="0" w:color="000000"/>
              <w:left w:val="nil"/>
              <w:bottom w:val="single" w:sz="4" w:space="0" w:color="000000"/>
              <w:right w:val="single" w:sz="4" w:space="0" w:color="000000"/>
            </w:tcBorders>
            <w:shd w:val="clear" w:color="auto" w:fill="auto"/>
            <w:noWrap/>
            <w:vAlign w:val="center"/>
            <w:hideMark/>
          </w:tcPr>
          <w:p w14:paraId="321779AF" w14:textId="77777777" w:rsidR="00F33FC4" w:rsidRPr="00D21137" w:rsidRDefault="00F33FC4" w:rsidP="00D21137">
            <w:pPr>
              <w:spacing w:line="360" w:lineRule="auto"/>
              <w:jc w:val="center"/>
              <w:rPr>
                <w:b/>
                <w:bCs/>
                <w:color w:val="000000"/>
                <w:sz w:val="22"/>
                <w:szCs w:val="22"/>
                <w:lang w:bidi="ne-NP"/>
              </w:rPr>
            </w:pPr>
            <w:r w:rsidRPr="00D21137">
              <w:rPr>
                <w:b/>
                <w:bCs/>
                <w:color w:val="000000"/>
                <w:sz w:val="22"/>
                <w:szCs w:val="22"/>
                <w:lang w:bidi="ne-NP"/>
              </w:rPr>
              <w:t>p-value</w:t>
            </w:r>
          </w:p>
        </w:tc>
        <w:tc>
          <w:tcPr>
            <w:tcW w:w="2694" w:type="dxa"/>
            <w:tcBorders>
              <w:top w:val="single" w:sz="4" w:space="0" w:color="000000"/>
              <w:left w:val="nil"/>
              <w:bottom w:val="single" w:sz="4" w:space="0" w:color="000000"/>
              <w:right w:val="single" w:sz="4" w:space="0" w:color="000000"/>
            </w:tcBorders>
            <w:shd w:val="clear" w:color="auto" w:fill="auto"/>
            <w:vAlign w:val="center"/>
            <w:hideMark/>
          </w:tcPr>
          <w:p w14:paraId="49A3F0A9" w14:textId="77777777" w:rsidR="00F33FC4" w:rsidRPr="00D21137" w:rsidRDefault="00F33FC4" w:rsidP="00D21137">
            <w:pPr>
              <w:spacing w:line="360" w:lineRule="auto"/>
              <w:rPr>
                <w:b/>
                <w:bCs/>
                <w:color w:val="000000"/>
                <w:sz w:val="22"/>
                <w:szCs w:val="22"/>
                <w:lang w:bidi="ne-NP"/>
              </w:rPr>
            </w:pPr>
            <w:r w:rsidRPr="00D21137">
              <w:rPr>
                <w:b/>
                <w:bCs/>
                <w:color w:val="000000"/>
                <w:sz w:val="22"/>
                <w:szCs w:val="22"/>
                <w:lang w:bidi="ne-NP"/>
              </w:rPr>
              <w:t>Functional category</w:t>
            </w:r>
          </w:p>
        </w:tc>
        <w:tc>
          <w:tcPr>
            <w:tcW w:w="4556" w:type="dxa"/>
            <w:tcBorders>
              <w:top w:val="single" w:sz="4" w:space="0" w:color="000000"/>
              <w:left w:val="nil"/>
              <w:bottom w:val="single" w:sz="4" w:space="0" w:color="000000"/>
              <w:right w:val="single" w:sz="4" w:space="0" w:color="000000"/>
            </w:tcBorders>
            <w:shd w:val="clear" w:color="auto" w:fill="auto"/>
            <w:vAlign w:val="center"/>
            <w:hideMark/>
          </w:tcPr>
          <w:p w14:paraId="3154652D" w14:textId="77777777" w:rsidR="00F33FC4" w:rsidRPr="00D21137" w:rsidRDefault="00F33FC4" w:rsidP="00D21137">
            <w:pPr>
              <w:spacing w:line="360" w:lineRule="auto"/>
              <w:jc w:val="center"/>
              <w:rPr>
                <w:b/>
                <w:bCs/>
                <w:color w:val="000000"/>
                <w:sz w:val="22"/>
                <w:szCs w:val="22"/>
                <w:lang w:bidi="ne-NP"/>
              </w:rPr>
            </w:pPr>
            <w:r w:rsidRPr="00D21137">
              <w:rPr>
                <w:b/>
                <w:bCs/>
                <w:color w:val="000000"/>
                <w:sz w:val="22"/>
                <w:szCs w:val="22"/>
                <w:lang w:bidi="ne-NP"/>
              </w:rPr>
              <w:t>Protein Description</w:t>
            </w:r>
          </w:p>
        </w:tc>
      </w:tr>
      <w:tr w:rsidR="00F33FC4" w:rsidRPr="00D21137" w14:paraId="3D1EF12D" w14:textId="77777777" w:rsidTr="00D21137">
        <w:trPr>
          <w:trHeight w:val="600"/>
        </w:trPr>
        <w:tc>
          <w:tcPr>
            <w:tcW w:w="779" w:type="dxa"/>
            <w:tcBorders>
              <w:top w:val="nil"/>
              <w:left w:val="single" w:sz="4" w:space="0" w:color="AEAAAA"/>
              <w:bottom w:val="single" w:sz="4" w:space="0" w:color="AEAAAA"/>
              <w:right w:val="single" w:sz="4" w:space="0" w:color="AEAAAA"/>
            </w:tcBorders>
            <w:shd w:val="clear" w:color="auto" w:fill="auto"/>
            <w:noWrap/>
            <w:vAlign w:val="center"/>
            <w:hideMark/>
          </w:tcPr>
          <w:p w14:paraId="3ED2E565" w14:textId="77777777" w:rsidR="00F33FC4" w:rsidRPr="00D21137" w:rsidRDefault="00F33FC4" w:rsidP="00D21137">
            <w:pPr>
              <w:spacing w:line="360" w:lineRule="auto"/>
              <w:rPr>
                <w:i/>
                <w:iCs/>
                <w:color w:val="000000"/>
                <w:sz w:val="22"/>
                <w:szCs w:val="22"/>
                <w:lang w:bidi="ne-NP"/>
              </w:rPr>
            </w:pPr>
            <w:proofErr w:type="spellStart"/>
            <w:r w:rsidRPr="00D21137">
              <w:rPr>
                <w:i/>
                <w:iCs/>
                <w:color w:val="000000"/>
                <w:sz w:val="22"/>
                <w:szCs w:val="22"/>
                <w:lang w:bidi="ne-NP"/>
              </w:rPr>
              <w:t>ansB</w:t>
            </w:r>
            <w:proofErr w:type="spellEnd"/>
          </w:p>
        </w:tc>
        <w:tc>
          <w:tcPr>
            <w:tcW w:w="1162" w:type="dxa"/>
            <w:tcBorders>
              <w:top w:val="nil"/>
              <w:left w:val="nil"/>
              <w:bottom w:val="single" w:sz="4" w:space="0" w:color="AEAAAA"/>
              <w:right w:val="single" w:sz="4" w:space="0" w:color="AEAAAA"/>
            </w:tcBorders>
            <w:shd w:val="clear" w:color="auto" w:fill="auto"/>
            <w:noWrap/>
            <w:vAlign w:val="center"/>
            <w:hideMark/>
          </w:tcPr>
          <w:p w14:paraId="3BB72344" w14:textId="77777777" w:rsidR="00F33FC4" w:rsidRPr="00D21137" w:rsidRDefault="00F33FC4" w:rsidP="00D21137">
            <w:pPr>
              <w:spacing w:line="360" w:lineRule="auto"/>
              <w:jc w:val="center"/>
              <w:rPr>
                <w:color w:val="000000"/>
                <w:sz w:val="22"/>
                <w:szCs w:val="22"/>
                <w:lang w:bidi="ne-NP"/>
              </w:rPr>
            </w:pPr>
            <w:r w:rsidRPr="00D21137">
              <w:rPr>
                <w:color w:val="000000"/>
                <w:sz w:val="22"/>
                <w:szCs w:val="22"/>
                <w:lang w:bidi="ne-NP"/>
              </w:rPr>
              <w:t>3.20</w:t>
            </w:r>
          </w:p>
        </w:tc>
        <w:tc>
          <w:tcPr>
            <w:tcW w:w="889" w:type="dxa"/>
            <w:tcBorders>
              <w:top w:val="nil"/>
              <w:left w:val="nil"/>
              <w:bottom w:val="single" w:sz="4" w:space="0" w:color="AEAAAA"/>
              <w:right w:val="single" w:sz="4" w:space="0" w:color="AEAAAA"/>
            </w:tcBorders>
            <w:shd w:val="clear" w:color="auto" w:fill="auto"/>
            <w:noWrap/>
            <w:vAlign w:val="center"/>
            <w:hideMark/>
          </w:tcPr>
          <w:p w14:paraId="7BD0BDCB" w14:textId="77777777" w:rsidR="00F33FC4" w:rsidRPr="00D21137" w:rsidRDefault="00F33FC4" w:rsidP="00D21137">
            <w:pPr>
              <w:spacing w:line="360" w:lineRule="auto"/>
              <w:jc w:val="center"/>
              <w:rPr>
                <w:color w:val="000000"/>
                <w:sz w:val="22"/>
                <w:szCs w:val="22"/>
                <w:lang w:bidi="ne-NP"/>
              </w:rPr>
            </w:pPr>
            <w:r w:rsidRPr="00D21137">
              <w:rPr>
                <w:color w:val="000000"/>
                <w:sz w:val="22"/>
                <w:szCs w:val="22"/>
                <w:lang w:bidi="ne-NP"/>
              </w:rPr>
              <w:t>4E-07</w:t>
            </w:r>
          </w:p>
        </w:tc>
        <w:tc>
          <w:tcPr>
            <w:tcW w:w="2694" w:type="dxa"/>
            <w:tcBorders>
              <w:top w:val="nil"/>
              <w:left w:val="nil"/>
              <w:bottom w:val="single" w:sz="4" w:space="0" w:color="AEAAAA"/>
              <w:right w:val="single" w:sz="4" w:space="0" w:color="AEAAAA"/>
            </w:tcBorders>
            <w:shd w:val="clear" w:color="auto" w:fill="auto"/>
            <w:noWrap/>
            <w:vAlign w:val="center"/>
            <w:hideMark/>
          </w:tcPr>
          <w:p w14:paraId="120E09A3" w14:textId="77777777" w:rsidR="00F33FC4" w:rsidRPr="00D21137" w:rsidRDefault="00F33FC4" w:rsidP="00D21137">
            <w:pPr>
              <w:spacing w:line="360" w:lineRule="auto"/>
              <w:rPr>
                <w:color w:val="000000"/>
                <w:sz w:val="22"/>
                <w:szCs w:val="22"/>
                <w:lang w:bidi="ne-NP"/>
              </w:rPr>
            </w:pPr>
            <w:r w:rsidRPr="00D21137">
              <w:rPr>
                <w:color w:val="000000"/>
                <w:sz w:val="22"/>
                <w:szCs w:val="22"/>
                <w:lang w:bidi="ne-NP"/>
              </w:rPr>
              <w:t>Asparagine metabolism</w:t>
            </w:r>
          </w:p>
        </w:tc>
        <w:tc>
          <w:tcPr>
            <w:tcW w:w="4556" w:type="dxa"/>
            <w:tcBorders>
              <w:top w:val="nil"/>
              <w:left w:val="nil"/>
              <w:bottom w:val="single" w:sz="4" w:space="0" w:color="AEAAAA"/>
              <w:right w:val="single" w:sz="4" w:space="0" w:color="AEAAAA"/>
            </w:tcBorders>
            <w:shd w:val="clear" w:color="auto" w:fill="auto"/>
            <w:vAlign w:val="center"/>
            <w:hideMark/>
          </w:tcPr>
          <w:p w14:paraId="3F94737A" w14:textId="77777777" w:rsidR="00F33FC4" w:rsidRPr="00D21137" w:rsidRDefault="00F33FC4" w:rsidP="00D21137">
            <w:pPr>
              <w:spacing w:line="360" w:lineRule="auto"/>
              <w:rPr>
                <w:color w:val="000000"/>
                <w:sz w:val="22"/>
                <w:szCs w:val="22"/>
                <w:lang w:bidi="ne-NP"/>
              </w:rPr>
            </w:pPr>
            <w:r w:rsidRPr="00D21137">
              <w:rPr>
                <w:color w:val="000000"/>
                <w:sz w:val="22"/>
                <w:szCs w:val="22"/>
                <w:lang w:bidi="ne-NP"/>
              </w:rPr>
              <w:t>L-asparaginase 2</w:t>
            </w:r>
          </w:p>
        </w:tc>
      </w:tr>
      <w:tr w:rsidR="00F33FC4" w:rsidRPr="00D21137" w14:paraId="6F88D7AA" w14:textId="77777777" w:rsidTr="00D21137">
        <w:trPr>
          <w:trHeight w:val="600"/>
        </w:trPr>
        <w:tc>
          <w:tcPr>
            <w:tcW w:w="779" w:type="dxa"/>
            <w:tcBorders>
              <w:top w:val="nil"/>
              <w:left w:val="single" w:sz="4" w:space="0" w:color="AEAAAA"/>
              <w:bottom w:val="single" w:sz="4" w:space="0" w:color="AEAAAA"/>
              <w:right w:val="single" w:sz="4" w:space="0" w:color="AEAAAA"/>
            </w:tcBorders>
            <w:shd w:val="clear" w:color="auto" w:fill="auto"/>
            <w:noWrap/>
            <w:vAlign w:val="center"/>
            <w:hideMark/>
          </w:tcPr>
          <w:p w14:paraId="67172DBA" w14:textId="77777777" w:rsidR="00F33FC4" w:rsidRPr="00D21137" w:rsidRDefault="00F33FC4" w:rsidP="00D21137">
            <w:pPr>
              <w:spacing w:line="360" w:lineRule="auto"/>
              <w:rPr>
                <w:i/>
                <w:iCs/>
                <w:color w:val="000000"/>
                <w:sz w:val="22"/>
                <w:szCs w:val="22"/>
                <w:lang w:bidi="ne-NP"/>
              </w:rPr>
            </w:pPr>
            <w:proofErr w:type="spellStart"/>
            <w:r w:rsidRPr="00D21137">
              <w:rPr>
                <w:i/>
                <w:iCs/>
                <w:color w:val="000000"/>
                <w:sz w:val="22"/>
                <w:szCs w:val="22"/>
                <w:lang w:bidi="ne-NP"/>
              </w:rPr>
              <w:t>bssR</w:t>
            </w:r>
            <w:proofErr w:type="spellEnd"/>
          </w:p>
        </w:tc>
        <w:tc>
          <w:tcPr>
            <w:tcW w:w="1162" w:type="dxa"/>
            <w:tcBorders>
              <w:top w:val="nil"/>
              <w:left w:val="nil"/>
              <w:bottom w:val="single" w:sz="4" w:space="0" w:color="AEAAAA"/>
              <w:right w:val="single" w:sz="4" w:space="0" w:color="AEAAAA"/>
            </w:tcBorders>
            <w:shd w:val="clear" w:color="auto" w:fill="auto"/>
            <w:noWrap/>
            <w:vAlign w:val="center"/>
            <w:hideMark/>
          </w:tcPr>
          <w:p w14:paraId="7F42255D" w14:textId="77777777" w:rsidR="00F33FC4" w:rsidRPr="00D21137" w:rsidRDefault="00F33FC4" w:rsidP="00D21137">
            <w:pPr>
              <w:spacing w:line="360" w:lineRule="auto"/>
              <w:jc w:val="center"/>
              <w:rPr>
                <w:color w:val="000000"/>
                <w:sz w:val="22"/>
                <w:szCs w:val="22"/>
                <w:lang w:bidi="ne-NP"/>
              </w:rPr>
            </w:pPr>
            <w:r w:rsidRPr="00D21137">
              <w:rPr>
                <w:color w:val="000000"/>
                <w:sz w:val="22"/>
                <w:szCs w:val="22"/>
                <w:lang w:bidi="ne-NP"/>
              </w:rPr>
              <w:t>2.29</w:t>
            </w:r>
          </w:p>
        </w:tc>
        <w:tc>
          <w:tcPr>
            <w:tcW w:w="889" w:type="dxa"/>
            <w:tcBorders>
              <w:top w:val="nil"/>
              <w:left w:val="nil"/>
              <w:bottom w:val="single" w:sz="4" w:space="0" w:color="AEAAAA"/>
              <w:right w:val="single" w:sz="4" w:space="0" w:color="AEAAAA"/>
            </w:tcBorders>
            <w:shd w:val="clear" w:color="auto" w:fill="auto"/>
            <w:noWrap/>
            <w:vAlign w:val="center"/>
            <w:hideMark/>
          </w:tcPr>
          <w:p w14:paraId="27A05719" w14:textId="77777777" w:rsidR="00F33FC4" w:rsidRPr="00D21137" w:rsidRDefault="00F33FC4" w:rsidP="00D21137">
            <w:pPr>
              <w:spacing w:line="360" w:lineRule="auto"/>
              <w:jc w:val="center"/>
              <w:rPr>
                <w:color w:val="000000"/>
                <w:sz w:val="22"/>
                <w:szCs w:val="22"/>
                <w:lang w:bidi="ne-NP"/>
              </w:rPr>
            </w:pPr>
            <w:r w:rsidRPr="00D21137">
              <w:rPr>
                <w:color w:val="000000"/>
                <w:sz w:val="22"/>
                <w:szCs w:val="22"/>
                <w:lang w:bidi="ne-NP"/>
              </w:rPr>
              <w:t>5E-05</w:t>
            </w:r>
          </w:p>
        </w:tc>
        <w:tc>
          <w:tcPr>
            <w:tcW w:w="2694" w:type="dxa"/>
            <w:tcBorders>
              <w:top w:val="nil"/>
              <w:left w:val="nil"/>
              <w:bottom w:val="single" w:sz="4" w:space="0" w:color="AEAAAA"/>
              <w:right w:val="single" w:sz="4" w:space="0" w:color="AEAAAA"/>
            </w:tcBorders>
            <w:shd w:val="clear" w:color="auto" w:fill="auto"/>
            <w:noWrap/>
            <w:vAlign w:val="center"/>
            <w:hideMark/>
          </w:tcPr>
          <w:p w14:paraId="4D3A2CBA" w14:textId="77777777" w:rsidR="00F33FC4" w:rsidRPr="00D21137" w:rsidRDefault="00F33FC4" w:rsidP="00D21137">
            <w:pPr>
              <w:spacing w:line="360" w:lineRule="auto"/>
              <w:rPr>
                <w:color w:val="000000"/>
                <w:sz w:val="22"/>
                <w:szCs w:val="22"/>
                <w:lang w:bidi="ne-NP"/>
              </w:rPr>
            </w:pPr>
            <w:r w:rsidRPr="00D21137">
              <w:rPr>
                <w:color w:val="000000"/>
                <w:sz w:val="22"/>
                <w:szCs w:val="22"/>
                <w:lang w:bidi="ne-NP"/>
              </w:rPr>
              <w:t>Biofilm</w:t>
            </w:r>
          </w:p>
        </w:tc>
        <w:tc>
          <w:tcPr>
            <w:tcW w:w="4556" w:type="dxa"/>
            <w:tcBorders>
              <w:top w:val="nil"/>
              <w:left w:val="nil"/>
              <w:bottom w:val="single" w:sz="4" w:space="0" w:color="AEAAAA"/>
              <w:right w:val="single" w:sz="4" w:space="0" w:color="AEAAAA"/>
            </w:tcBorders>
            <w:shd w:val="clear" w:color="auto" w:fill="auto"/>
            <w:vAlign w:val="center"/>
            <w:hideMark/>
          </w:tcPr>
          <w:p w14:paraId="4BD2C2D2" w14:textId="77777777" w:rsidR="00F33FC4" w:rsidRPr="00D21137" w:rsidRDefault="00F33FC4" w:rsidP="00D21137">
            <w:pPr>
              <w:spacing w:line="360" w:lineRule="auto"/>
              <w:rPr>
                <w:color w:val="000000"/>
                <w:sz w:val="22"/>
                <w:szCs w:val="22"/>
                <w:lang w:bidi="ne-NP"/>
              </w:rPr>
            </w:pPr>
            <w:r w:rsidRPr="00D21137">
              <w:rPr>
                <w:color w:val="000000"/>
                <w:sz w:val="22"/>
                <w:szCs w:val="22"/>
                <w:lang w:bidi="ne-NP"/>
              </w:rPr>
              <w:t xml:space="preserve">biofilm formation regulator </w:t>
            </w:r>
            <w:proofErr w:type="spellStart"/>
            <w:r w:rsidRPr="00D21137">
              <w:rPr>
                <w:color w:val="000000"/>
                <w:sz w:val="22"/>
                <w:szCs w:val="22"/>
                <w:lang w:bidi="ne-NP"/>
              </w:rPr>
              <w:t>BssR</w:t>
            </w:r>
            <w:proofErr w:type="spellEnd"/>
          </w:p>
        </w:tc>
      </w:tr>
      <w:tr w:rsidR="00F33FC4" w:rsidRPr="00D21137" w14:paraId="1CF6AF76" w14:textId="77777777" w:rsidTr="00D21137">
        <w:trPr>
          <w:trHeight w:val="600"/>
        </w:trPr>
        <w:tc>
          <w:tcPr>
            <w:tcW w:w="779" w:type="dxa"/>
            <w:tcBorders>
              <w:top w:val="nil"/>
              <w:left w:val="single" w:sz="4" w:space="0" w:color="AEAAAA"/>
              <w:bottom w:val="single" w:sz="4" w:space="0" w:color="AEAAAA"/>
              <w:right w:val="single" w:sz="4" w:space="0" w:color="AEAAAA"/>
            </w:tcBorders>
            <w:shd w:val="clear" w:color="auto" w:fill="auto"/>
            <w:noWrap/>
            <w:vAlign w:val="center"/>
            <w:hideMark/>
          </w:tcPr>
          <w:p w14:paraId="6FC68BBE" w14:textId="77777777" w:rsidR="00F33FC4" w:rsidRPr="00D21137" w:rsidRDefault="00F33FC4" w:rsidP="00D21137">
            <w:pPr>
              <w:spacing w:line="360" w:lineRule="auto"/>
              <w:rPr>
                <w:i/>
                <w:iCs/>
                <w:color w:val="000000"/>
                <w:sz w:val="22"/>
                <w:szCs w:val="22"/>
                <w:lang w:bidi="ne-NP"/>
              </w:rPr>
            </w:pPr>
            <w:proofErr w:type="spellStart"/>
            <w:r w:rsidRPr="00D21137">
              <w:rPr>
                <w:i/>
                <w:iCs/>
                <w:color w:val="000000"/>
                <w:sz w:val="22"/>
                <w:szCs w:val="22"/>
                <w:lang w:bidi="ne-NP"/>
              </w:rPr>
              <w:t>ccp</w:t>
            </w:r>
            <w:proofErr w:type="spellEnd"/>
          </w:p>
        </w:tc>
        <w:tc>
          <w:tcPr>
            <w:tcW w:w="1162" w:type="dxa"/>
            <w:tcBorders>
              <w:top w:val="nil"/>
              <w:left w:val="nil"/>
              <w:bottom w:val="single" w:sz="4" w:space="0" w:color="AEAAAA"/>
              <w:right w:val="single" w:sz="4" w:space="0" w:color="AEAAAA"/>
            </w:tcBorders>
            <w:shd w:val="clear" w:color="auto" w:fill="auto"/>
            <w:noWrap/>
            <w:vAlign w:val="center"/>
            <w:hideMark/>
          </w:tcPr>
          <w:p w14:paraId="2EEBE2F3" w14:textId="77777777" w:rsidR="00F33FC4" w:rsidRPr="00D21137" w:rsidRDefault="00F33FC4" w:rsidP="00D21137">
            <w:pPr>
              <w:spacing w:line="360" w:lineRule="auto"/>
              <w:jc w:val="center"/>
              <w:rPr>
                <w:color w:val="000000"/>
                <w:sz w:val="22"/>
                <w:szCs w:val="22"/>
                <w:lang w:bidi="ne-NP"/>
              </w:rPr>
            </w:pPr>
            <w:r w:rsidRPr="00D21137">
              <w:rPr>
                <w:color w:val="000000"/>
                <w:sz w:val="22"/>
                <w:szCs w:val="22"/>
                <w:lang w:bidi="ne-NP"/>
              </w:rPr>
              <w:t>2.03</w:t>
            </w:r>
          </w:p>
        </w:tc>
        <w:tc>
          <w:tcPr>
            <w:tcW w:w="889" w:type="dxa"/>
            <w:tcBorders>
              <w:top w:val="nil"/>
              <w:left w:val="nil"/>
              <w:bottom w:val="single" w:sz="4" w:space="0" w:color="AEAAAA"/>
              <w:right w:val="single" w:sz="4" w:space="0" w:color="AEAAAA"/>
            </w:tcBorders>
            <w:shd w:val="clear" w:color="auto" w:fill="auto"/>
            <w:noWrap/>
            <w:vAlign w:val="center"/>
            <w:hideMark/>
          </w:tcPr>
          <w:p w14:paraId="2A6E3F8C" w14:textId="77777777" w:rsidR="00F33FC4" w:rsidRPr="00D21137" w:rsidRDefault="00F33FC4" w:rsidP="00D21137">
            <w:pPr>
              <w:spacing w:line="360" w:lineRule="auto"/>
              <w:jc w:val="center"/>
              <w:rPr>
                <w:color w:val="000000"/>
                <w:sz w:val="22"/>
                <w:szCs w:val="22"/>
                <w:lang w:bidi="ne-NP"/>
              </w:rPr>
            </w:pPr>
            <w:r w:rsidRPr="00D21137">
              <w:rPr>
                <w:color w:val="000000"/>
                <w:sz w:val="22"/>
                <w:szCs w:val="22"/>
                <w:lang w:bidi="ne-NP"/>
              </w:rPr>
              <w:t>1E-04</w:t>
            </w:r>
          </w:p>
        </w:tc>
        <w:tc>
          <w:tcPr>
            <w:tcW w:w="2694" w:type="dxa"/>
            <w:tcBorders>
              <w:top w:val="nil"/>
              <w:left w:val="nil"/>
              <w:bottom w:val="single" w:sz="4" w:space="0" w:color="AEAAAA"/>
              <w:right w:val="single" w:sz="4" w:space="0" w:color="AEAAAA"/>
            </w:tcBorders>
            <w:shd w:val="clear" w:color="auto" w:fill="auto"/>
            <w:noWrap/>
            <w:vAlign w:val="center"/>
            <w:hideMark/>
          </w:tcPr>
          <w:p w14:paraId="6288AB55" w14:textId="77777777" w:rsidR="00F33FC4" w:rsidRPr="00D21137" w:rsidRDefault="00F33FC4" w:rsidP="00D21137">
            <w:pPr>
              <w:spacing w:line="360" w:lineRule="auto"/>
              <w:rPr>
                <w:color w:val="000000"/>
                <w:sz w:val="22"/>
                <w:szCs w:val="22"/>
                <w:lang w:bidi="ne-NP"/>
              </w:rPr>
            </w:pPr>
            <w:r w:rsidRPr="00D21137">
              <w:rPr>
                <w:color w:val="000000"/>
                <w:sz w:val="22"/>
                <w:szCs w:val="22"/>
                <w:lang w:bidi="ne-NP"/>
              </w:rPr>
              <w:t>Oxidative stress</w:t>
            </w:r>
          </w:p>
        </w:tc>
        <w:tc>
          <w:tcPr>
            <w:tcW w:w="4556" w:type="dxa"/>
            <w:tcBorders>
              <w:top w:val="nil"/>
              <w:left w:val="nil"/>
              <w:bottom w:val="single" w:sz="4" w:space="0" w:color="AEAAAA"/>
              <w:right w:val="single" w:sz="4" w:space="0" w:color="AEAAAA"/>
            </w:tcBorders>
            <w:shd w:val="clear" w:color="auto" w:fill="auto"/>
            <w:vAlign w:val="center"/>
            <w:hideMark/>
          </w:tcPr>
          <w:p w14:paraId="3021D50A" w14:textId="77777777" w:rsidR="00F33FC4" w:rsidRPr="00D21137" w:rsidRDefault="00F33FC4" w:rsidP="00D21137">
            <w:pPr>
              <w:spacing w:line="360" w:lineRule="auto"/>
              <w:rPr>
                <w:color w:val="000000"/>
                <w:sz w:val="22"/>
                <w:szCs w:val="22"/>
                <w:lang w:bidi="ne-NP"/>
              </w:rPr>
            </w:pPr>
            <w:r w:rsidRPr="00D21137">
              <w:rPr>
                <w:color w:val="000000"/>
                <w:sz w:val="22"/>
                <w:szCs w:val="22"/>
                <w:lang w:bidi="ne-NP"/>
              </w:rPr>
              <w:t>cytochrome c peroxidase</w:t>
            </w:r>
          </w:p>
        </w:tc>
      </w:tr>
      <w:tr w:rsidR="00F33FC4" w:rsidRPr="00D21137" w14:paraId="1760375C" w14:textId="77777777" w:rsidTr="00D21137">
        <w:trPr>
          <w:trHeight w:val="600"/>
        </w:trPr>
        <w:tc>
          <w:tcPr>
            <w:tcW w:w="779" w:type="dxa"/>
            <w:tcBorders>
              <w:top w:val="nil"/>
              <w:left w:val="single" w:sz="4" w:space="0" w:color="AEAAAA"/>
              <w:bottom w:val="single" w:sz="4" w:space="0" w:color="AEAAAA"/>
              <w:right w:val="single" w:sz="4" w:space="0" w:color="AEAAAA"/>
            </w:tcBorders>
            <w:shd w:val="clear" w:color="auto" w:fill="auto"/>
            <w:noWrap/>
            <w:vAlign w:val="center"/>
            <w:hideMark/>
          </w:tcPr>
          <w:p w14:paraId="3EB5F8A4" w14:textId="77777777" w:rsidR="00F33FC4" w:rsidRPr="00D21137" w:rsidRDefault="00F33FC4" w:rsidP="00D21137">
            <w:pPr>
              <w:spacing w:line="360" w:lineRule="auto"/>
              <w:rPr>
                <w:i/>
                <w:iCs/>
                <w:color w:val="000000"/>
                <w:sz w:val="22"/>
                <w:szCs w:val="22"/>
                <w:lang w:bidi="ne-NP"/>
              </w:rPr>
            </w:pPr>
            <w:proofErr w:type="spellStart"/>
            <w:r w:rsidRPr="00D21137">
              <w:rPr>
                <w:i/>
                <w:iCs/>
                <w:color w:val="000000"/>
                <w:sz w:val="22"/>
                <w:szCs w:val="22"/>
                <w:lang w:bidi="ne-NP"/>
              </w:rPr>
              <w:t>dcuC</w:t>
            </w:r>
            <w:proofErr w:type="spellEnd"/>
          </w:p>
        </w:tc>
        <w:tc>
          <w:tcPr>
            <w:tcW w:w="1162" w:type="dxa"/>
            <w:tcBorders>
              <w:top w:val="nil"/>
              <w:left w:val="nil"/>
              <w:bottom w:val="single" w:sz="4" w:space="0" w:color="AEAAAA"/>
              <w:right w:val="single" w:sz="4" w:space="0" w:color="AEAAAA"/>
            </w:tcBorders>
            <w:shd w:val="clear" w:color="auto" w:fill="auto"/>
            <w:noWrap/>
            <w:vAlign w:val="center"/>
            <w:hideMark/>
          </w:tcPr>
          <w:p w14:paraId="66107CF3" w14:textId="77777777" w:rsidR="00F33FC4" w:rsidRPr="00D21137" w:rsidRDefault="00F33FC4" w:rsidP="00D21137">
            <w:pPr>
              <w:spacing w:line="360" w:lineRule="auto"/>
              <w:jc w:val="center"/>
              <w:rPr>
                <w:color w:val="000000"/>
                <w:sz w:val="22"/>
                <w:szCs w:val="22"/>
                <w:lang w:bidi="ne-NP"/>
              </w:rPr>
            </w:pPr>
            <w:r w:rsidRPr="00D21137">
              <w:rPr>
                <w:color w:val="000000"/>
                <w:sz w:val="22"/>
                <w:szCs w:val="22"/>
                <w:lang w:bidi="ne-NP"/>
              </w:rPr>
              <w:t>5.65</w:t>
            </w:r>
          </w:p>
        </w:tc>
        <w:tc>
          <w:tcPr>
            <w:tcW w:w="889" w:type="dxa"/>
            <w:tcBorders>
              <w:top w:val="nil"/>
              <w:left w:val="nil"/>
              <w:bottom w:val="single" w:sz="4" w:space="0" w:color="AEAAAA"/>
              <w:right w:val="single" w:sz="4" w:space="0" w:color="AEAAAA"/>
            </w:tcBorders>
            <w:shd w:val="clear" w:color="auto" w:fill="auto"/>
            <w:noWrap/>
            <w:vAlign w:val="center"/>
            <w:hideMark/>
          </w:tcPr>
          <w:p w14:paraId="21965A29" w14:textId="77777777" w:rsidR="00F33FC4" w:rsidRPr="00D21137" w:rsidRDefault="00F33FC4" w:rsidP="00D21137">
            <w:pPr>
              <w:spacing w:line="360" w:lineRule="auto"/>
              <w:jc w:val="center"/>
              <w:rPr>
                <w:color w:val="000000"/>
                <w:sz w:val="22"/>
                <w:szCs w:val="22"/>
                <w:lang w:bidi="ne-NP"/>
              </w:rPr>
            </w:pPr>
            <w:r w:rsidRPr="00D21137">
              <w:rPr>
                <w:color w:val="000000"/>
                <w:sz w:val="22"/>
                <w:szCs w:val="22"/>
                <w:lang w:bidi="ne-NP"/>
              </w:rPr>
              <w:t>1E-03</w:t>
            </w:r>
          </w:p>
        </w:tc>
        <w:tc>
          <w:tcPr>
            <w:tcW w:w="2694" w:type="dxa"/>
            <w:tcBorders>
              <w:top w:val="nil"/>
              <w:left w:val="nil"/>
              <w:bottom w:val="single" w:sz="4" w:space="0" w:color="AEAAAA"/>
              <w:right w:val="single" w:sz="4" w:space="0" w:color="AEAAAA"/>
            </w:tcBorders>
            <w:shd w:val="clear" w:color="auto" w:fill="auto"/>
            <w:noWrap/>
            <w:vAlign w:val="center"/>
            <w:hideMark/>
          </w:tcPr>
          <w:p w14:paraId="200D8F3E" w14:textId="77777777" w:rsidR="00F33FC4" w:rsidRPr="00D21137" w:rsidRDefault="00F33FC4" w:rsidP="00D21137">
            <w:pPr>
              <w:spacing w:line="360" w:lineRule="auto"/>
              <w:rPr>
                <w:color w:val="000000"/>
                <w:sz w:val="22"/>
                <w:szCs w:val="22"/>
                <w:lang w:bidi="ne-NP"/>
              </w:rPr>
            </w:pPr>
            <w:r w:rsidRPr="00D21137">
              <w:rPr>
                <w:color w:val="000000"/>
                <w:sz w:val="22"/>
                <w:szCs w:val="22"/>
                <w:lang w:bidi="ne-NP"/>
              </w:rPr>
              <w:t>Fumarate transporter</w:t>
            </w:r>
          </w:p>
        </w:tc>
        <w:tc>
          <w:tcPr>
            <w:tcW w:w="4556" w:type="dxa"/>
            <w:tcBorders>
              <w:top w:val="nil"/>
              <w:left w:val="nil"/>
              <w:bottom w:val="single" w:sz="4" w:space="0" w:color="AEAAAA"/>
              <w:right w:val="single" w:sz="4" w:space="0" w:color="AEAAAA"/>
            </w:tcBorders>
            <w:shd w:val="clear" w:color="auto" w:fill="auto"/>
            <w:vAlign w:val="center"/>
            <w:hideMark/>
          </w:tcPr>
          <w:p w14:paraId="433D07C7" w14:textId="77777777" w:rsidR="00F33FC4" w:rsidRPr="00D21137" w:rsidRDefault="00F33FC4" w:rsidP="00D21137">
            <w:pPr>
              <w:spacing w:line="360" w:lineRule="auto"/>
              <w:rPr>
                <w:color w:val="000000"/>
                <w:sz w:val="22"/>
                <w:szCs w:val="22"/>
                <w:lang w:bidi="ne-NP"/>
              </w:rPr>
            </w:pPr>
            <w:r w:rsidRPr="00D21137">
              <w:rPr>
                <w:color w:val="000000"/>
                <w:sz w:val="22"/>
                <w:szCs w:val="22"/>
                <w:lang w:bidi="ne-NP"/>
              </w:rPr>
              <w:t xml:space="preserve">anaerobic C4-dicarboxylate transporter </w:t>
            </w:r>
            <w:proofErr w:type="spellStart"/>
            <w:r w:rsidRPr="00D21137">
              <w:rPr>
                <w:color w:val="000000"/>
                <w:sz w:val="22"/>
                <w:szCs w:val="22"/>
                <w:lang w:bidi="ne-NP"/>
              </w:rPr>
              <w:t>DcuC</w:t>
            </w:r>
            <w:proofErr w:type="spellEnd"/>
          </w:p>
        </w:tc>
      </w:tr>
      <w:tr w:rsidR="00F33FC4" w:rsidRPr="00D21137" w14:paraId="4EEC4B07" w14:textId="77777777" w:rsidTr="00D21137">
        <w:trPr>
          <w:trHeight w:val="600"/>
        </w:trPr>
        <w:tc>
          <w:tcPr>
            <w:tcW w:w="779" w:type="dxa"/>
            <w:tcBorders>
              <w:top w:val="nil"/>
              <w:left w:val="single" w:sz="4" w:space="0" w:color="AEAAAA"/>
              <w:bottom w:val="single" w:sz="4" w:space="0" w:color="AEAAAA"/>
              <w:right w:val="single" w:sz="4" w:space="0" w:color="AEAAAA"/>
            </w:tcBorders>
            <w:shd w:val="clear" w:color="auto" w:fill="auto"/>
            <w:noWrap/>
            <w:vAlign w:val="center"/>
            <w:hideMark/>
          </w:tcPr>
          <w:p w14:paraId="613884A2" w14:textId="77777777" w:rsidR="00F33FC4" w:rsidRPr="00D21137" w:rsidRDefault="00F33FC4" w:rsidP="00D21137">
            <w:pPr>
              <w:spacing w:line="360" w:lineRule="auto"/>
              <w:rPr>
                <w:i/>
                <w:iCs/>
                <w:color w:val="000000"/>
                <w:sz w:val="22"/>
                <w:szCs w:val="22"/>
                <w:lang w:bidi="ne-NP"/>
              </w:rPr>
            </w:pPr>
            <w:proofErr w:type="spellStart"/>
            <w:r w:rsidRPr="00D21137">
              <w:rPr>
                <w:i/>
                <w:iCs/>
                <w:color w:val="000000"/>
                <w:sz w:val="22"/>
                <w:szCs w:val="22"/>
                <w:lang w:bidi="ne-NP"/>
              </w:rPr>
              <w:t>dmsA</w:t>
            </w:r>
            <w:proofErr w:type="spellEnd"/>
          </w:p>
        </w:tc>
        <w:tc>
          <w:tcPr>
            <w:tcW w:w="1162" w:type="dxa"/>
            <w:tcBorders>
              <w:top w:val="nil"/>
              <w:left w:val="nil"/>
              <w:bottom w:val="single" w:sz="4" w:space="0" w:color="AEAAAA"/>
              <w:right w:val="single" w:sz="4" w:space="0" w:color="AEAAAA"/>
            </w:tcBorders>
            <w:shd w:val="clear" w:color="auto" w:fill="auto"/>
            <w:noWrap/>
            <w:vAlign w:val="center"/>
            <w:hideMark/>
          </w:tcPr>
          <w:p w14:paraId="50452E3E" w14:textId="77777777" w:rsidR="00F33FC4" w:rsidRPr="00D21137" w:rsidRDefault="00F33FC4" w:rsidP="00D21137">
            <w:pPr>
              <w:spacing w:line="360" w:lineRule="auto"/>
              <w:jc w:val="center"/>
              <w:rPr>
                <w:color w:val="000000"/>
                <w:sz w:val="22"/>
                <w:szCs w:val="22"/>
                <w:lang w:bidi="ne-NP"/>
              </w:rPr>
            </w:pPr>
            <w:r w:rsidRPr="00D21137">
              <w:rPr>
                <w:color w:val="000000"/>
                <w:sz w:val="22"/>
                <w:szCs w:val="22"/>
                <w:lang w:bidi="ne-NP"/>
              </w:rPr>
              <w:t>3.33</w:t>
            </w:r>
          </w:p>
        </w:tc>
        <w:tc>
          <w:tcPr>
            <w:tcW w:w="889" w:type="dxa"/>
            <w:tcBorders>
              <w:top w:val="nil"/>
              <w:left w:val="nil"/>
              <w:bottom w:val="single" w:sz="4" w:space="0" w:color="AEAAAA"/>
              <w:right w:val="single" w:sz="4" w:space="0" w:color="AEAAAA"/>
            </w:tcBorders>
            <w:shd w:val="clear" w:color="auto" w:fill="auto"/>
            <w:noWrap/>
            <w:vAlign w:val="center"/>
            <w:hideMark/>
          </w:tcPr>
          <w:p w14:paraId="090BCFE0" w14:textId="77777777" w:rsidR="00F33FC4" w:rsidRPr="00D21137" w:rsidRDefault="00F33FC4" w:rsidP="00D21137">
            <w:pPr>
              <w:spacing w:line="360" w:lineRule="auto"/>
              <w:jc w:val="center"/>
              <w:rPr>
                <w:color w:val="000000"/>
                <w:sz w:val="22"/>
                <w:szCs w:val="22"/>
                <w:lang w:bidi="ne-NP"/>
              </w:rPr>
            </w:pPr>
            <w:r w:rsidRPr="00D21137">
              <w:rPr>
                <w:color w:val="000000"/>
                <w:sz w:val="22"/>
                <w:szCs w:val="22"/>
                <w:lang w:bidi="ne-NP"/>
              </w:rPr>
              <w:t>2E-08</w:t>
            </w:r>
          </w:p>
        </w:tc>
        <w:tc>
          <w:tcPr>
            <w:tcW w:w="2694" w:type="dxa"/>
            <w:tcBorders>
              <w:top w:val="nil"/>
              <w:left w:val="nil"/>
              <w:bottom w:val="single" w:sz="4" w:space="0" w:color="AEAAAA"/>
              <w:right w:val="single" w:sz="4" w:space="0" w:color="AEAAAA"/>
            </w:tcBorders>
            <w:shd w:val="clear" w:color="auto" w:fill="auto"/>
            <w:noWrap/>
            <w:vAlign w:val="center"/>
            <w:hideMark/>
          </w:tcPr>
          <w:p w14:paraId="25328591" w14:textId="77777777" w:rsidR="00F33FC4" w:rsidRPr="00D21137" w:rsidRDefault="00F33FC4" w:rsidP="00D21137">
            <w:pPr>
              <w:spacing w:line="360" w:lineRule="auto"/>
              <w:rPr>
                <w:color w:val="000000"/>
                <w:sz w:val="22"/>
                <w:szCs w:val="22"/>
                <w:lang w:bidi="ne-NP"/>
              </w:rPr>
            </w:pPr>
            <w:r w:rsidRPr="00D21137">
              <w:rPr>
                <w:color w:val="000000"/>
                <w:sz w:val="22"/>
                <w:szCs w:val="22"/>
                <w:lang w:bidi="ne-NP"/>
              </w:rPr>
              <w:t>Anaerobic respiration</w:t>
            </w:r>
          </w:p>
        </w:tc>
        <w:tc>
          <w:tcPr>
            <w:tcW w:w="4556" w:type="dxa"/>
            <w:tcBorders>
              <w:top w:val="nil"/>
              <w:left w:val="nil"/>
              <w:bottom w:val="single" w:sz="4" w:space="0" w:color="AEAAAA"/>
              <w:right w:val="single" w:sz="4" w:space="0" w:color="AEAAAA"/>
            </w:tcBorders>
            <w:shd w:val="clear" w:color="auto" w:fill="auto"/>
            <w:vAlign w:val="center"/>
            <w:hideMark/>
          </w:tcPr>
          <w:p w14:paraId="1E3AC034" w14:textId="77777777" w:rsidR="00F33FC4" w:rsidRPr="00D21137" w:rsidRDefault="00F33FC4" w:rsidP="00D21137">
            <w:pPr>
              <w:spacing w:line="360" w:lineRule="auto"/>
              <w:rPr>
                <w:color w:val="000000"/>
                <w:sz w:val="22"/>
                <w:szCs w:val="22"/>
                <w:lang w:bidi="ne-NP"/>
              </w:rPr>
            </w:pPr>
            <w:proofErr w:type="spellStart"/>
            <w:r w:rsidRPr="00D21137">
              <w:rPr>
                <w:color w:val="000000"/>
                <w:sz w:val="22"/>
                <w:szCs w:val="22"/>
                <w:lang w:bidi="ne-NP"/>
              </w:rPr>
              <w:t>dimethylsulfoxide</w:t>
            </w:r>
            <w:proofErr w:type="spellEnd"/>
            <w:r w:rsidRPr="00D21137">
              <w:rPr>
                <w:color w:val="000000"/>
                <w:sz w:val="22"/>
                <w:szCs w:val="22"/>
                <w:lang w:bidi="ne-NP"/>
              </w:rPr>
              <w:t xml:space="preserve"> reductase subunit A</w:t>
            </w:r>
          </w:p>
        </w:tc>
      </w:tr>
      <w:tr w:rsidR="00F33FC4" w:rsidRPr="00D21137" w14:paraId="631A5987" w14:textId="77777777" w:rsidTr="00D21137">
        <w:trPr>
          <w:trHeight w:val="600"/>
        </w:trPr>
        <w:tc>
          <w:tcPr>
            <w:tcW w:w="779" w:type="dxa"/>
            <w:tcBorders>
              <w:top w:val="nil"/>
              <w:left w:val="single" w:sz="4" w:space="0" w:color="AEAAAA"/>
              <w:bottom w:val="single" w:sz="4" w:space="0" w:color="AEAAAA"/>
              <w:right w:val="single" w:sz="4" w:space="0" w:color="AEAAAA"/>
            </w:tcBorders>
            <w:shd w:val="clear" w:color="auto" w:fill="auto"/>
            <w:noWrap/>
            <w:vAlign w:val="center"/>
            <w:hideMark/>
          </w:tcPr>
          <w:p w14:paraId="5A0737F7" w14:textId="77777777" w:rsidR="00F33FC4" w:rsidRPr="00D21137" w:rsidRDefault="00F33FC4" w:rsidP="00D21137">
            <w:pPr>
              <w:spacing w:line="360" w:lineRule="auto"/>
              <w:rPr>
                <w:i/>
                <w:iCs/>
                <w:color w:val="000000"/>
                <w:sz w:val="22"/>
                <w:szCs w:val="22"/>
                <w:lang w:bidi="ne-NP"/>
              </w:rPr>
            </w:pPr>
            <w:proofErr w:type="spellStart"/>
            <w:r w:rsidRPr="00D21137">
              <w:rPr>
                <w:i/>
                <w:iCs/>
                <w:color w:val="000000"/>
                <w:sz w:val="22"/>
                <w:szCs w:val="22"/>
                <w:lang w:bidi="ne-NP"/>
              </w:rPr>
              <w:t>fdnG</w:t>
            </w:r>
            <w:proofErr w:type="spellEnd"/>
          </w:p>
        </w:tc>
        <w:tc>
          <w:tcPr>
            <w:tcW w:w="1162" w:type="dxa"/>
            <w:tcBorders>
              <w:top w:val="nil"/>
              <w:left w:val="nil"/>
              <w:bottom w:val="single" w:sz="4" w:space="0" w:color="AEAAAA"/>
              <w:right w:val="single" w:sz="4" w:space="0" w:color="AEAAAA"/>
            </w:tcBorders>
            <w:shd w:val="clear" w:color="auto" w:fill="auto"/>
            <w:noWrap/>
            <w:vAlign w:val="center"/>
            <w:hideMark/>
          </w:tcPr>
          <w:p w14:paraId="61FAD233" w14:textId="77777777" w:rsidR="00F33FC4" w:rsidRPr="00D21137" w:rsidRDefault="00F33FC4" w:rsidP="00D21137">
            <w:pPr>
              <w:spacing w:line="360" w:lineRule="auto"/>
              <w:jc w:val="center"/>
              <w:rPr>
                <w:color w:val="000000"/>
                <w:sz w:val="22"/>
                <w:szCs w:val="22"/>
                <w:lang w:bidi="ne-NP"/>
              </w:rPr>
            </w:pPr>
            <w:r w:rsidRPr="00D21137">
              <w:rPr>
                <w:color w:val="000000"/>
                <w:sz w:val="22"/>
                <w:szCs w:val="22"/>
                <w:lang w:bidi="ne-NP"/>
              </w:rPr>
              <w:t>2.24</w:t>
            </w:r>
          </w:p>
        </w:tc>
        <w:tc>
          <w:tcPr>
            <w:tcW w:w="889" w:type="dxa"/>
            <w:tcBorders>
              <w:top w:val="nil"/>
              <w:left w:val="nil"/>
              <w:bottom w:val="single" w:sz="4" w:space="0" w:color="AEAAAA"/>
              <w:right w:val="single" w:sz="4" w:space="0" w:color="AEAAAA"/>
            </w:tcBorders>
            <w:shd w:val="clear" w:color="auto" w:fill="auto"/>
            <w:noWrap/>
            <w:vAlign w:val="center"/>
            <w:hideMark/>
          </w:tcPr>
          <w:p w14:paraId="6E5ED5B3" w14:textId="77777777" w:rsidR="00F33FC4" w:rsidRPr="00D21137" w:rsidRDefault="00F33FC4" w:rsidP="00D21137">
            <w:pPr>
              <w:spacing w:line="360" w:lineRule="auto"/>
              <w:jc w:val="center"/>
              <w:rPr>
                <w:color w:val="000000"/>
                <w:sz w:val="22"/>
                <w:szCs w:val="22"/>
                <w:lang w:bidi="ne-NP"/>
              </w:rPr>
            </w:pPr>
            <w:r w:rsidRPr="00D21137">
              <w:rPr>
                <w:color w:val="000000"/>
                <w:sz w:val="22"/>
                <w:szCs w:val="22"/>
                <w:lang w:bidi="ne-NP"/>
              </w:rPr>
              <w:t>4E-08</w:t>
            </w:r>
          </w:p>
        </w:tc>
        <w:tc>
          <w:tcPr>
            <w:tcW w:w="2694" w:type="dxa"/>
            <w:tcBorders>
              <w:top w:val="nil"/>
              <w:left w:val="nil"/>
              <w:bottom w:val="single" w:sz="4" w:space="0" w:color="AEAAAA"/>
              <w:right w:val="single" w:sz="4" w:space="0" w:color="AEAAAA"/>
            </w:tcBorders>
            <w:shd w:val="clear" w:color="auto" w:fill="auto"/>
            <w:noWrap/>
            <w:vAlign w:val="center"/>
            <w:hideMark/>
          </w:tcPr>
          <w:p w14:paraId="473938CD" w14:textId="77777777" w:rsidR="00F33FC4" w:rsidRPr="00D21137" w:rsidRDefault="00F33FC4" w:rsidP="00D21137">
            <w:pPr>
              <w:spacing w:line="360" w:lineRule="auto"/>
              <w:rPr>
                <w:color w:val="000000"/>
                <w:sz w:val="22"/>
                <w:szCs w:val="22"/>
                <w:lang w:bidi="ne-NP"/>
              </w:rPr>
            </w:pPr>
            <w:r w:rsidRPr="00D21137">
              <w:rPr>
                <w:color w:val="000000"/>
                <w:sz w:val="22"/>
                <w:szCs w:val="22"/>
                <w:lang w:bidi="ne-NP"/>
              </w:rPr>
              <w:t>Anaerobic respiration</w:t>
            </w:r>
          </w:p>
        </w:tc>
        <w:tc>
          <w:tcPr>
            <w:tcW w:w="4556" w:type="dxa"/>
            <w:tcBorders>
              <w:top w:val="nil"/>
              <w:left w:val="nil"/>
              <w:bottom w:val="single" w:sz="4" w:space="0" w:color="AEAAAA"/>
              <w:right w:val="single" w:sz="4" w:space="0" w:color="AEAAAA"/>
            </w:tcBorders>
            <w:shd w:val="clear" w:color="auto" w:fill="auto"/>
            <w:vAlign w:val="center"/>
            <w:hideMark/>
          </w:tcPr>
          <w:p w14:paraId="7944E537" w14:textId="77777777" w:rsidR="00F33FC4" w:rsidRPr="00D21137" w:rsidRDefault="00F33FC4" w:rsidP="00D21137">
            <w:pPr>
              <w:spacing w:line="360" w:lineRule="auto"/>
              <w:rPr>
                <w:color w:val="000000"/>
                <w:sz w:val="22"/>
                <w:szCs w:val="22"/>
                <w:lang w:bidi="ne-NP"/>
              </w:rPr>
            </w:pPr>
            <w:proofErr w:type="spellStart"/>
            <w:r w:rsidRPr="00D21137">
              <w:rPr>
                <w:color w:val="000000"/>
                <w:sz w:val="22"/>
                <w:szCs w:val="22"/>
                <w:lang w:bidi="ne-NP"/>
              </w:rPr>
              <w:t>formate</w:t>
            </w:r>
            <w:proofErr w:type="spellEnd"/>
            <w:r w:rsidRPr="00D21137">
              <w:rPr>
                <w:color w:val="000000"/>
                <w:sz w:val="22"/>
                <w:szCs w:val="22"/>
                <w:lang w:bidi="ne-NP"/>
              </w:rPr>
              <w:t xml:space="preserve"> dehydrogenase-N subunit alpha</w:t>
            </w:r>
          </w:p>
        </w:tc>
      </w:tr>
      <w:tr w:rsidR="00F33FC4" w:rsidRPr="00D21137" w14:paraId="2988AD03" w14:textId="77777777" w:rsidTr="00D21137">
        <w:trPr>
          <w:trHeight w:val="600"/>
        </w:trPr>
        <w:tc>
          <w:tcPr>
            <w:tcW w:w="779" w:type="dxa"/>
            <w:tcBorders>
              <w:top w:val="nil"/>
              <w:left w:val="single" w:sz="4" w:space="0" w:color="AEAAAA"/>
              <w:bottom w:val="single" w:sz="4" w:space="0" w:color="AEAAAA"/>
              <w:right w:val="single" w:sz="4" w:space="0" w:color="AEAAAA"/>
            </w:tcBorders>
            <w:shd w:val="clear" w:color="auto" w:fill="auto"/>
            <w:noWrap/>
            <w:vAlign w:val="center"/>
            <w:hideMark/>
          </w:tcPr>
          <w:p w14:paraId="04E97546" w14:textId="77777777" w:rsidR="00F33FC4" w:rsidRPr="00D21137" w:rsidRDefault="00F33FC4" w:rsidP="00D21137">
            <w:pPr>
              <w:spacing w:line="360" w:lineRule="auto"/>
              <w:rPr>
                <w:i/>
                <w:iCs/>
                <w:color w:val="000000"/>
                <w:sz w:val="22"/>
                <w:szCs w:val="22"/>
                <w:lang w:bidi="ne-NP"/>
              </w:rPr>
            </w:pPr>
            <w:proofErr w:type="spellStart"/>
            <w:r w:rsidRPr="00D21137">
              <w:rPr>
                <w:i/>
                <w:iCs/>
                <w:color w:val="000000"/>
                <w:sz w:val="22"/>
                <w:szCs w:val="22"/>
                <w:lang w:bidi="ne-NP"/>
              </w:rPr>
              <w:t>feoA</w:t>
            </w:r>
            <w:proofErr w:type="spellEnd"/>
          </w:p>
        </w:tc>
        <w:tc>
          <w:tcPr>
            <w:tcW w:w="1162" w:type="dxa"/>
            <w:tcBorders>
              <w:top w:val="nil"/>
              <w:left w:val="nil"/>
              <w:bottom w:val="single" w:sz="4" w:space="0" w:color="AEAAAA"/>
              <w:right w:val="single" w:sz="4" w:space="0" w:color="AEAAAA"/>
            </w:tcBorders>
            <w:shd w:val="clear" w:color="auto" w:fill="auto"/>
            <w:noWrap/>
            <w:vAlign w:val="center"/>
            <w:hideMark/>
          </w:tcPr>
          <w:p w14:paraId="0B44C11F" w14:textId="77777777" w:rsidR="00F33FC4" w:rsidRPr="00D21137" w:rsidRDefault="00F33FC4" w:rsidP="00D21137">
            <w:pPr>
              <w:spacing w:line="360" w:lineRule="auto"/>
              <w:jc w:val="center"/>
              <w:rPr>
                <w:color w:val="000000"/>
                <w:sz w:val="22"/>
                <w:szCs w:val="22"/>
                <w:lang w:bidi="ne-NP"/>
              </w:rPr>
            </w:pPr>
            <w:r w:rsidRPr="00D21137">
              <w:rPr>
                <w:color w:val="000000"/>
                <w:sz w:val="22"/>
                <w:szCs w:val="22"/>
                <w:lang w:bidi="ne-NP"/>
              </w:rPr>
              <w:t>1.69</w:t>
            </w:r>
          </w:p>
        </w:tc>
        <w:tc>
          <w:tcPr>
            <w:tcW w:w="889" w:type="dxa"/>
            <w:tcBorders>
              <w:top w:val="nil"/>
              <w:left w:val="nil"/>
              <w:bottom w:val="single" w:sz="4" w:space="0" w:color="AEAAAA"/>
              <w:right w:val="single" w:sz="4" w:space="0" w:color="AEAAAA"/>
            </w:tcBorders>
            <w:shd w:val="clear" w:color="auto" w:fill="auto"/>
            <w:noWrap/>
            <w:vAlign w:val="center"/>
            <w:hideMark/>
          </w:tcPr>
          <w:p w14:paraId="67B168B3" w14:textId="77777777" w:rsidR="00F33FC4" w:rsidRPr="00D21137" w:rsidRDefault="00F33FC4" w:rsidP="00D21137">
            <w:pPr>
              <w:spacing w:line="360" w:lineRule="auto"/>
              <w:jc w:val="center"/>
              <w:rPr>
                <w:color w:val="000000"/>
                <w:sz w:val="22"/>
                <w:szCs w:val="22"/>
                <w:lang w:bidi="ne-NP"/>
              </w:rPr>
            </w:pPr>
            <w:r w:rsidRPr="00D21137">
              <w:rPr>
                <w:color w:val="000000"/>
                <w:sz w:val="22"/>
                <w:szCs w:val="22"/>
                <w:lang w:bidi="ne-NP"/>
              </w:rPr>
              <w:t>6E-03</w:t>
            </w:r>
          </w:p>
        </w:tc>
        <w:tc>
          <w:tcPr>
            <w:tcW w:w="2694" w:type="dxa"/>
            <w:tcBorders>
              <w:top w:val="nil"/>
              <w:left w:val="nil"/>
              <w:bottom w:val="single" w:sz="4" w:space="0" w:color="AEAAAA"/>
              <w:right w:val="single" w:sz="4" w:space="0" w:color="AEAAAA"/>
            </w:tcBorders>
            <w:shd w:val="clear" w:color="auto" w:fill="auto"/>
            <w:noWrap/>
            <w:vAlign w:val="center"/>
            <w:hideMark/>
          </w:tcPr>
          <w:p w14:paraId="1C0A7BD6" w14:textId="77777777" w:rsidR="00F33FC4" w:rsidRPr="00D21137" w:rsidRDefault="00F33FC4" w:rsidP="00D21137">
            <w:pPr>
              <w:spacing w:line="360" w:lineRule="auto"/>
              <w:rPr>
                <w:color w:val="000000"/>
                <w:sz w:val="22"/>
                <w:szCs w:val="22"/>
                <w:lang w:bidi="ne-NP"/>
              </w:rPr>
            </w:pPr>
            <w:r w:rsidRPr="00D21137">
              <w:rPr>
                <w:color w:val="000000"/>
                <w:sz w:val="22"/>
                <w:szCs w:val="22"/>
                <w:lang w:bidi="ne-NP"/>
              </w:rPr>
              <w:t>Iron transport</w:t>
            </w:r>
          </w:p>
        </w:tc>
        <w:tc>
          <w:tcPr>
            <w:tcW w:w="4556" w:type="dxa"/>
            <w:tcBorders>
              <w:top w:val="nil"/>
              <w:left w:val="nil"/>
              <w:bottom w:val="single" w:sz="4" w:space="0" w:color="AEAAAA"/>
              <w:right w:val="single" w:sz="4" w:space="0" w:color="AEAAAA"/>
            </w:tcBorders>
            <w:shd w:val="clear" w:color="auto" w:fill="auto"/>
            <w:vAlign w:val="center"/>
            <w:hideMark/>
          </w:tcPr>
          <w:p w14:paraId="593D8E4B" w14:textId="77777777" w:rsidR="00F33FC4" w:rsidRPr="00D21137" w:rsidRDefault="00F33FC4" w:rsidP="00D21137">
            <w:pPr>
              <w:spacing w:line="360" w:lineRule="auto"/>
              <w:rPr>
                <w:color w:val="000000"/>
                <w:sz w:val="22"/>
                <w:szCs w:val="22"/>
                <w:lang w:bidi="ne-NP"/>
              </w:rPr>
            </w:pPr>
            <w:r w:rsidRPr="00D21137">
              <w:rPr>
                <w:color w:val="000000"/>
                <w:sz w:val="22"/>
                <w:szCs w:val="22"/>
                <w:lang w:bidi="ne-NP"/>
              </w:rPr>
              <w:t>ferrous iron transporter A</w:t>
            </w:r>
          </w:p>
        </w:tc>
      </w:tr>
      <w:tr w:rsidR="00F33FC4" w:rsidRPr="00D21137" w14:paraId="2E6D7922" w14:textId="77777777" w:rsidTr="00D21137">
        <w:trPr>
          <w:trHeight w:val="600"/>
        </w:trPr>
        <w:tc>
          <w:tcPr>
            <w:tcW w:w="779" w:type="dxa"/>
            <w:tcBorders>
              <w:top w:val="nil"/>
              <w:left w:val="single" w:sz="4" w:space="0" w:color="AEAAAA"/>
              <w:bottom w:val="single" w:sz="4" w:space="0" w:color="AEAAAA"/>
              <w:right w:val="single" w:sz="4" w:space="0" w:color="AEAAAA"/>
            </w:tcBorders>
            <w:shd w:val="clear" w:color="auto" w:fill="auto"/>
            <w:noWrap/>
            <w:vAlign w:val="center"/>
            <w:hideMark/>
          </w:tcPr>
          <w:p w14:paraId="7B6216CA" w14:textId="77777777" w:rsidR="00F33FC4" w:rsidRPr="00D21137" w:rsidRDefault="00F33FC4" w:rsidP="00D21137">
            <w:pPr>
              <w:spacing w:line="360" w:lineRule="auto"/>
              <w:rPr>
                <w:i/>
                <w:iCs/>
                <w:color w:val="000000"/>
                <w:sz w:val="22"/>
                <w:szCs w:val="22"/>
                <w:lang w:bidi="ne-NP"/>
              </w:rPr>
            </w:pPr>
            <w:proofErr w:type="spellStart"/>
            <w:r w:rsidRPr="00D21137">
              <w:rPr>
                <w:i/>
                <w:iCs/>
                <w:color w:val="000000"/>
                <w:sz w:val="22"/>
                <w:szCs w:val="22"/>
                <w:lang w:bidi="ne-NP"/>
              </w:rPr>
              <w:t>frdA</w:t>
            </w:r>
            <w:proofErr w:type="spellEnd"/>
          </w:p>
        </w:tc>
        <w:tc>
          <w:tcPr>
            <w:tcW w:w="1162" w:type="dxa"/>
            <w:tcBorders>
              <w:top w:val="nil"/>
              <w:left w:val="nil"/>
              <w:bottom w:val="single" w:sz="4" w:space="0" w:color="AEAAAA"/>
              <w:right w:val="single" w:sz="4" w:space="0" w:color="AEAAAA"/>
            </w:tcBorders>
            <w:shd w:val="clear" w:color="auto" w:fill="auto"/>
            <w:noWrap/>
            <w:vAlign w:val="center"/>
            <w:hideMark/>
          </w:tcPr>
          <w:p w14:paraId="7D114741" w14:textId="77777777" w:rsidR="00F33FC4" w:rsidRPr="00D21137" w:rsidRDefault="00F33FC4" w:rsidP="00D21137">
            <w:pPr>
              <w:spacing w:line="360" w:lineRule="auto"/>
              <w:jc w:val="center"/>
              <w:rPr>
                <w:color w:val="000000"/>
                <w:sz w:val="22"/>
                <w:szCs w:val="22"/>
                <w:lang w:bidi="ne-NP"/>
              </w:rPr>
            </w:pPr>
            <w:r w:rsidRPr="00D21137">
              <w:rPr>
                <w:color w:val="000000"/>
                <w:sz w:val="22"/>
                <w:szCs w:val="22"/>
                <w:lang w:bidi="ne-NP"/>
              </w:rPr>
              <w:t>1.68</w:t>
            </w:r>
          </w:p>
        </w:tc>
        <w:tc>
          <w:tcPr>
            <w:tcW w:w="889" w:type="dxa"/>
            <w:tcBorders>
              <w:top w:val="nil"/>
              <w:left w:val="nil"/>
              <w:bottom w:val="single" w:sz="4" w:space="0" w:color="AEAAAA"/>
              <w:right w:val="single" w:sz="4" w:space="0" w:color="AEAAAA"/>
            </w:tcBorders>
            <w:shd w:val="clear" w:color="auto" w:fill="auto"/>
            <w:noWrap/>
            <w:vAlign w:val="center"/>
            <w:hideMark/>
          </w:tcPr>
          <w:p w14:paraId="1AE77CD4" w14:textId="77777777" w:rsidR="00F33FC4" w:rsidRPr="00D21137" w:rsidRDefault="00F33FC4" w:rsidP="00D21137">
            <w:pPr>
              <w:spacing w:line="360" w:lineRule="auto"/>
              <w:jc w:val="center"/>
              <w:rPr>
                <w:color w:val="000000"/>
                <w:sz w:val="22"/>
                <w:szCs w:val="22"/>
                <w:lang w:bidi="ne-NP"/>
              </w:rPr>
            </w:pPr>
            <w:r w:rsidRPr="00D21137">
              <w:rPr>
                <w:color w:val="000000"/>
                <w:sz w:val="22"/>
                <w:szCs w:val="22"/>
                <w:lang w:bidi="ne-NP"/>
              </w:rPr>
              <w:t>1E-03</w:t>
            </w:r>
          </w:p>
        </w:tc>
        <w:tc>
          <w:tcPr>
            <w:tcW w:w="2694" w:type="dxa"/>
            <w:tcBorders>
              <w:top w:val="nil"/>
              <w:left w:val="nil"/>
              <w:bottom w:val="single" w:sz="4" w:space="0" w:color="AEAAAA"/>
              <w:right w:val="single" w:sz="4" w:space="0" w:color="AEAAAA"/>
            </w:tcBorders>
            <w:shd w:val="clear" w:color="auto" w:fill="auto"/>
            <w:noWrap/>
            <w:vAlign w:val="center"/>
            <w:hideMark/>
          </w:tcPr>
          <w:p w14:paraId="3DACA05D" w14:textId="77777777" w:rsidR="00F33FC4" w:rsidRPr="00D21137" w:rsidRDefault="00F33FC4" w:rsidP="00D21137">
            <w:pPr>
              <w:spacing w:line="360" w:lineRule="auto"/>
              <w:rPr>
                <w:color w:val="000000"/>
                <w:sz w:val="22"/>
                <w:szCs w:val="22"/>
                <w:lang w:bidi="ne-NP"/>
              </w:rPr>
            </w:pPr>
            <w:r w:rsidRPr="00D21137">
              <w:rPr>
                <w:color w:val="000000"/>
                <w:sz w:val="22"/>
                <w:szCs w:val="22"/>
                <w:lang w:bidi="ne-NP"/>
              </w:rPr>
              <w:t>Anaerobic respiration</w:t>
            </w:r>
          </w:p>
        </w:tc>
        <w:tc>
          <w:tcPr>
            <w:tcW w:w="4556" w:type="dxa"/>
            <w:tcBorders>
              <w:top w:val="nil"/>
              <w:left w:val="nil"/>
              <w:bottom w:val="single" w:sz="4" w:space="0" w:color="AEAAAA"/>
              <w:right w:val="single" w:sz="4" w:space="0" w:color="AEAAAA"/>
            </w:tcBorders>
            <w:shd w:val="clear" w:color="auto" w:fill="auto"/>
            <w:vAlign w:val="center"/>
            <w:hideMark/>
          </w:tcPr>
          <w:p w14:paraId="2290F757" w14:textId="77777777" w:rsidR="00F33FC4" w:rsidRPr="00D21137" w:rsidRDefault="00F33FC4" w:rsidP="00D21137">
            <w:pPr>
              <w:spacing w:line="360" w:lineRule="auto"/>
              <w:rPr>
                <w:color w:val="000000"/>
                <w:sz w:val="22"/>
                <w:szCs w:val="22"/>
                <w:lang w:bidi="ne-NP"/>
              </w:rPr>
            </w:pPr>
            <w:r w:rsidRPr="00D21137">
              <w:rPr>
                <w:color w:val="000000"/>
                <w:sz w:val="22"/>
                <w:szCs w:val="22"/>
                <w:lang w:bidi="ne-NP"/>
              </w:rPr>
              <w:t>fumarate reductase (quinol) flavoprotein subunit</w:t>
            </w:r>
          </w:p>
        </w:tc>
      </w:tr>
      <w:tr w:rsidR="00F33FC4" w:rsidRPr="00D21137" w14:paraId="00205477" w14:textId="77777777" w:rsidTr="00D21137">
        <w:trPr>
          <w:trHeight w:val="600"/>
        </w:trPr>
        <w:tc>
          <w:tcPr>
            <w:tcW w:w="779" w:type="dxa"/>
            <w:tcBorders>
              <w:top w:val="nil"/>
              <w:left w:val="single" w:sz="4" w:space="0" w:color="AEAAAA"/>
              <w:bottom w:val="single" w:sz="4" w:space="0" w:color="AEAAAA"/>
              <w:right w:val="single" w:sz="4" w:space="0" w:color="AEAAAA"/>
            </w:tcBorders>
            <w:shd w:val="clear" w:color="auto" w:fill="auto"/>
            <w:noWrap/>
            <w:vAlign w:val="center"/>
            <w:hideMark/>
          </w:tcPr>
          <w:p w14:paraId="38CCCD7E" w14:textId="77777777" w:rsidR="00F33FC4" w:rsidRPr="00D21137" w:rsidRDefault="00F33FC4" w:rsidP="00D21137">
            <w:pPr>
              <w:spacing w:line="360" w:lineRule="auto"/>
              <w:rPr>
                <w:i/>
                <w:iCs/>
                <w:color w:val="000000"/>
                <w:sz w:val="22"/>
                <w:szCs w:val="22"/>
                <w:lang w:bidi="ne-NP"/>
              </w:rPr>
            </w:pPr>
            <w:proofErr w:type="spellStart"/>
            <w:r w:rsidRPr="00D21137">
              <w:rPr>
                <w:i/>
                <w:iCs/>
                <w:color w:val="000000"/>
                <w:sz w:val="22"/>
                <w:szCs w:val="22"/>
                <w:lang w:bidi="ne-NP"/>
              </w:rPr>
              <w:t>fruB</w:t>
            </w:r>
            <w:proofErr w:type="spellEnd"/>
          </w:p>
        </w:tc>
        <w:tc>
          <w:tcPr>
            <w:tcW w:w="1162" w:type="dxa"/>
            <w:tcBorders>
              <w:top w:val="nil"/>
              <w:left w:val="nil"/>
              <w:bottom w:val="single" w:sz="4" w:space="0" w:color="AEAAAA"/>
              <w:right w:val="single" w:sz="4" w:space="0" w:color="AEAAAA"/>
            </w:tcBorders>
            <w:shd w:val="clear" w:color="auto" w:fill="auto"/>
            <w:noWrap/>
            <w:vAlign w:val="center"/>
            <w:hideMark/>
          </w:tcPr>
          <w:p w14:paraId="23F420D5" w14:textId="77777777" w:rsidR="00F33FC4" w:rsidRPr="00D21137" w:rsidRDefault="00F33FC4" w:rsidP="00D21137">
            <w:pPr>
              <w:spacing w:line="360" w:lineRule="auto"/>
              <w:jc w:val="center"/>
              <w:rPr>
                <w:color w:val="000000"/>
                <w:sz w:val="22"/>
                <w:szCs w:val="22"/>
                <w:lang w:bidi="ne-NP"/>
              </w:rPr>
            </w:pPr>
            <w:r w:rsidRPr="00D21137">
              <w:rPr>
                <w:color w:val="000000"/>
                <w:sz w:val="22"/>
                <w:szCs w:val="22"/>
                <w:lang w:bidi="ne-NP"/>
              </w:rPr>
              <w:t>2.01</w:t>
            </w:r>
          </w:p>
        </w:tc>
        <w:tc>
          <w:tcPr>
            <w:tcW w:w="889" w:type="dxa"/>
            <w:tcBorders>
              <w:top w:val="nil"/>
              <w:left w:val="nil"/>
              <w:bottom w:val="single" w:sz="4" w:space="0" w:color="AEAAAA"/>
              <w:right w:val="single" w:sz="4" w:space="0" w:color="AEAAAA"/>
            </w:tcBorders>
            <w:shd w:val="clear" w:color="auto" w:fill="auto"/>
            <w:noWrap/>
            <w:vAlign w:val="center"/>
            <w:hideMark/>
          </w:tcPr>
          <w:p w14:paraId="679C5ED9" w14:textId="77777777" w:rsidR="00F33FC4" w:rsidRPr="00D21137" w:rsidRDefault="00F33FC4" w:rsidP="00D21137">
            <w:pPr>
              <w:spacing w:line="360" w:lineRule="auto"/>
              <w:jc w:val="center"/>
              <w:rPr>
                <w:color w:val="000000"/>
                <w:sz w:val="22"/>
                <w:szCs w:val="22"/>
                <w:lang w:bidi="ne-NP"/>
              </w:rPr>
            </w:pPr>
            <w:r w:rsidRPr="00D21137">
              <w:rPr>
                <w:color w:val="000000"/>
                <w:sz w:val="22"/>
                <w:szCs w:val="22"/>
                <w:lang w:bidi="ne-NP"/>
              </w:rPr>
              <w:t>3E-03</w:t>
            </w:r>
          </w:p>
        </w:tc>
        <w:tc>
          <w:tcPr>
            <w:tcW w:w="2694" w:type="dxa"/>
            <w:tcBorders>
              <w:top w:val="nil"/>
              <w:left w:val="nil"/>
              <w:bottom w:val="single" w:sz="4" w:space="0" w:color="AEAAAA"/>
              <w:right w:val="single" w:sz="4" w:space="0" w:color="AEAAAA"/>
            </w:tcBorders>
            <w:shd w:val="clear" w:color="auto" w:fill="auto"/>
            <w:noWrap/>
            <w:vAlign w:val="center"/>
            <w:hideMark/>
          </w:tcPr>
          <w:p w14:paraId="74EF9201" w14:textId="77777777" w:rsidR="00F33FC4" w:rsidRPr="00D21137" w:rsidRDefault="00F33FC4" w:rsidP="00D21137">
            <w:pPr>
              <w:spacing w:line="360" w:lineRule="auto"/>
              <w:rPr>
                <w:color w:val="000000"/>
                <w:sz w:val="22"/>
                <w:szCs w:val="22"/>
                <w:lang w:bidi="ne-NP"/>
              </w:rPr>
            </w:pPr>
            <w:r w:rsidRPr="00D21137">
              <w:rPr>
                <w:color w:val="000000"/>
                <w:sz w:val="22"/>
                <w:szCs w:val="22"/>
                <w:lang w:bidi="ne-NP"/>
              </w:rPr>
              <w:t>Carbohydrate transport</w:t>
            </w:r>
          </w:p>
        </w:tc>
        <w:tc>
          <w:tcPr>
            <w:tcW w:w="4556" w:type="dxa"/>
            <w:tcBorders>
              <w:top w:val="nil"/>
              <w:left w:val="nil"/>
              <w:bottom w:val="single" w:sz="4" w:space="0" w:color="AEAAAA"/>
              <w:right w:val="single" w:sz="4" w:space="0" w:color="AEAAAA"/>
            </w:tcBorders>
            <w:shd w:val="clear" w:color="auto" w:fill="auto"/>
            <w:vAlign w:val="center"/>
            <w:hideMark/>
          </w:tcPr>
          <w:p w14:paraId="25C13523" w14:textId="77777777" w:rsidR="00F33FC4" w:rsidRPr="00D21137" w:rsidRDefault="00F33FC4" w:rsidP="00D21137">
            <w:pPr>
              <w:spacing w:line="360" w:lineRule="auto"/>
              <w:rPr>
                <w:color w:val="000000"/>
                <w:sz w:val="22"/>
                <w:szCs w:val="22"/>
                <w:lang w:bidi="ne-NP"/>
              </w:rPr>
            </w:pPr>
            <w:r w:rsidRPr="00D21137">
              <w:rPr>
                <w:color w:val="000000"/>
                <w:sz w:val="22"/>
                <w:szCs w:val="22"/>
                <w:lang w:bidi="ne-NP"/>
              </w:rPr>
              <w:t>fused PTS fructose transporter subunit IIA/</w:t>
            </w:r>
            <w:proofErr w:type="spellStart"/>
            <w:r w:rsidRPr="00D21137">
              <w:rPr>
                <w:color w:val="000000"/>
                <w:sz w:val="22"/>
                <w:szCs w:val="22"/>
                <w:lang w:bidi="ne-NP"/>
              </w:rPr>
              <w:t>HPr</w:t>
            </w:r>
            <w:proofErr w:type="spellEnd"/>
            <w:r w:rsidRPr="00D21137">
              <w:rPr>
                <w:color w:val="000000"/>
                <w:sz w:val="22"/>
                <w:szCs w:val="22"/>
                <w:lang w:bidi="ne-NP"/>
              </w:rPr>
              <w:t xml:space="preserve"> protein</w:t>
            </w:r>
          </w:p>
        </w:tc>
      </w:tr>
      <w:tr w:rsidR="00F33FC4" w:rsidRPr="00D21137" w14:paraId="718A93BE" w14:textId="77777777" w:rsidTr="00D21137">
        <w:trPr>
          <w:trHeight w:val="600"/>
        </w:trPr>
        <w:tc>
          <w:tcPr>
            <w:tcW w:w="779" w:type="dxa"/>
            <w:tcBorders>
              <w:top w:val="nil"/>
              <w:left w:val="single" w:sz="4" w:space="0" w:color="AEAAAA"/>
              <w:bottom w:val="single" w:sz="4" w:space="0" w:color="AEAAAA"/>
              <w:right w:val="single" w:sz="4" w:space="0" w:color="AEAAAA"/>
            </w:tcBorders>
            <w:shd w:val="clear" w:color="auto" w:fill="auto"/>
            <w:noWrap/>
            <w:vAlign w:val="center"/>
            <w:hideMark/>
          </w:tcPr>
          <w:p w14:paraId="7354F70D" w14:textId="77777777" w:rsidR="00F33FC4" w:rsidRPr="00D21137" w:rsidRDefault="00F33FC4" w:rsidP="00D21137">
            <w:pPr>
              <w:spacing w:line="360" w:lineRule="auto"/>
              <w:rPr>
                <w:i/>
                <w:iCs/>
                <w:color w:val="000000"/>
                <w:sz w:val="22"/>
                <w:szCs w:val="22"/>
                <w:lang w:bidi="ne-NP"/>
              </w:rPr>
            </w:pPr>
            <w:proofErr w:type="spellStart"/>
            <w:r w:rsidRPr="00D21137">
              <w:rPr>
                <w:i/>
                <w:iCs/>
                <w:color w:val="000000"/>
                <w:sz w:val="22"/>
                <w:szCs w:val="22"/>
                <w:lang w:bidi="ne-NP"/>
              </w:rPr>
              <w:t>glpA</w:t>
            </w:r>
            <w:proofErr w:type="spellEnd"/>
          </w:p>
        </w:tc>
        <w:tc>
          <w:tcPr>
            <w:tcW w:w="1162" w:type="dxa"/>
            <w:tcBorders>
              <w:top w:val="nil"/>
              <w:left w:val="nil"/>
              <w:bottom w:val="single" w:sz="4" w:space="0" w:color="AEAAAA"/>
              <w:right w:val="single" w:sz="4" w:space="0" w:color="AEAAAA"/>
            </w:tcBorders>
            <w:shd w:val="clear" w:color="auto" w:fill="auto"/>
            <w:noWrap/>
            <w:vAlign w:val="center"/>
            <w:hideMark/>
          </w:tcPr>
          <w:p w14:paraId="1D9692CE" w14:textId="77777777" w:rsidR="00F33FC4" w:rsidRPr="00D21137" w:rsidRDefault="00F33FC4" w:rsidP="00D21137">
            <w:pPr>
              <w:spacing w:line="360" w:lineRule="auto"/>
              <w:jc w:val="center"/>
              <w:rPr>
                <w:color w:val="000000"/>
                <w:sz w:val="22"/>
                <w:szCs w:val="22"/>
                <w:lang w:bidi="ne-NP"/>
              </w:rPr>
            </w:pPr>
            <w:r w:rsidRPr="00D21137">
              <w:rPr>
                <w:color w:val="000000"/>
                <w:sz w:val="22"/>
                <w:szCs w:val="22"/>
                <w:lang w:bidi="ne-NP"/>
              </w:rPr>
              <w:t>3.38</w:t>
            </w:r>
          </w:p>
        </w:tc>
        <w:tc>
          <w:tcPr>
            <w:tcW w:w="889" w:type="dxa"/>
            <w:tcBorders>
              <w:top w:val="nil"/>
              <w:left w:val="nil"/>
              <w:bottom w:val="single" w:sz="4" w:space="0" w:color="AEAAAA"/>
              <w:right w:val="single" w:sz="4" w:space="0" w:color="AEAAAA"/>
            </w:tcBorders>
            <w:shd w:val="clear" w:color="auto" w:fill="auto"/>
            <w:noWrap/>
            <w:vAlign w:val="center"/>
            <w:hideMark/>
          </w:tcPr>
          <w:p w14:paraId="348AAC0C" w14:textId="77777777" w:rsidR="00F33FC4" w:rsidRPr="00D21137" w:rsidRDefault="00F33FC4" w:rsidP="00D21137">
            <w:pPr>
              <w:spacing w:line="360" w:lineRule="auto"/>
              <w:jc w:val="center"/>
              <w:rPr>
                <w:color w:val="000000"/>
                <w:sz w:val="22"/>
                <w:szCs w:val="22"/>
                <w:lang w:bidi="ne-NP"/>
              </w:rPr>
            </w:pPr>
            <w:r w:rsidRPr="00D21137">
              <w:rPr>
                <w:color w:val="000000"/>
                <w:sz w:val="22"/>
                <w:szCs w:val="22"/>
                <w:lang w:bidi="ne-NP"/>
              </w:rPr>
              <w:t>8E-06</w:t>
            </w:r>
          </w:p>
        </w:tc>
        <w:tc>
          <w:tcPr>
            <w:tcW w:w="2694" w:type="dxa"/>
            <w:tcBorders>
              <w:top w:val="nil"/>
              <w:left w:val="nil"/>
              <w:bottom w:val="single" w:sz="4" w:space="0" w:color="AEAAAA"/>
              <w:right w:val="single" w:sz="4" w:space="0" w:color="AEAAAA"/>
            </w:tcBorders>
            <w:shd w:val="clear" w:color="auto" w:fill="auto"/>
            <w:noWrap/>
            <w:vAlign w:val="center"/>
            <w:hideMark/>
          </w:tcPr>
          <w:p w14:paraId="46F71F93" w14:textId="77777777" w:rsidR="00F33FC4" w:rsidRPr="00D21137" w:rsidRDefault="00F33FC4" w:rsidP="00D21137">
            <w:pPr>
              <w:spacing w:line="360" w:lineRule="auto"/>
              <w:rPr>
                <w:color w:val="000000"/>
                <w:sz w:val="22"/>
                <w:szCs w:val="22"/>
                <w:lang w:bidi="ne-NP"/>
              </w:rPr>
            </w:pPr>
            <w:r w:rsidRPr="00D21137">
              <w:rPr>
                <w:color w:val="000000"/>
                <w:sz w:val="22"/>
                <w:szCs w:val="22"/>
                <w:lang w:bidi="ne-NP"/>
              </w:rPr>
              <w:t>Anaerobic respiration</w:t>
            </w:r>
          </w:p>
        </w:tc>
        <w:tc>
          <w:tcPr>
            <w:tcW w:w="4556" w:type="dxa"/>
            <w:tcBorders>
              <w:top w:val="nil"/>
              <w:left w:val="nil"/>
              <w:bottom w:val="single" w:sz="4" w:space="0" w:color="AEAAAA"/>
              <w:right w:val="single" w:sz="4" w:space="0" w:color="AEAAAA"/>
            </w:tcBorders>
            <w:shd w:val="clear" w:color="auto" w:fill="auto"/>
            <w:vAlign w:val="center"/>
            <w:hideMark/>
          </w:tcPr>
          <w:p w14:paraId="118334BB" w14:textId="77777777" w:rsidR="00F33FC4" w:rsidRPr="00D21137" w:rsidRDefault="00F33FC4" w:rsidP="00D21137">
            <w:pPr>
              <w:spacing w:line="360" w:lineRule="auto"/>
              <w:rPr>
                <w:color w:val="000000"/>
                <w:sz w:val="22"/>
                <w:szCs w:val="22"/>
                <w:lang w:bidi="ne-NP"/>
              </w:rPr>
            </w:pPr>
            <w:r w:rsidRPr="00D21137">
              <w:rPr>
                <w:color w:val="000000"/>
                <w:sz w:val="22"/>
                <w:szCs w:val="22"/>
                <w:lang w:bidi="ne-NP"/>
              </w:rPr>
              <w:t>anaerobic glycerol-3-phosphate dehydrogenase subunit A</w:t>
            </w:r>
          </w:p>
        </w:tc>
      </w:tr>
      <w:tr w:rsidR="00F33FC4" w:rsidRPr="00D21137" w14:paraId="5A470B25" w14:textId="77777777" w:rsidTr="00D21137">
        <w:trPr>
          <w:trHeight w:val="600"/>
        </w:trPr>
        <w:tc>
          <w:tcPr>
            <w:tcW w:w="779" w:type="dxa"/>
            <w:tcBorders>
              <w:top w:val="nil"/>
              <w:left w:val="single" w:sz="4" w:space="0" w:color="AEAAAA"/>
              <w:bottom w:val="single" w:sz="4" w:space="0" w:color="AEAAAA"/>
              <w:right w:val="single" w:sz="4" w:space="0" w:color="AEAAAA"/>
            </w:tcBorders>
            <w:shd w:val="clear" w:color="auto" w:fill="auto"/>
            <w:noWrap/>
            <w:vAlign w:val="center"/>
            <w:hideMark/>
          </w:tcPr>
          <w:p w14:paraId="6C52C77F" w14:textId="77777777" w:rsidR="00F33FC4" w:rsidRPr="00D21137" w:rsidRDefault="00F33FC4" w:rsidP="00D21137">
            <w:pPr>
              <w:spacing w:line="360" w:lineRule="auto"/>
              <w:rPr>
                <w:i/>
                <w:iCs/>
                <w:color w:val="000000"/>
                <w:sz w:val="22"/>
                <w:szCs w:val="22"/>
                <w:lang w:bidi="ne-NP"/>
              </w:rPr>
            </w:pPr>
            <w:proofErr w:type="spellStart"/>
            <w:r w:rsidRPr="00D21137">
              <w:rPr>
                <w:i/>
                <w:iCs/>
                <w:color w:val="000000"/>
                <w:sz w:val="22"/>
                <w:szCs w:val="22"/>
                <w:lang w:bidi="ne-NP"/>
              </w:rPr>
              <w:t>ilvC</w:t>
            </w:r>
            <w:proofErr w:type="spellEnd"/>
          </w:p>
        </w:tc>
        <w:tc>
          <w:tcPr>
            <w:tcW w:w="1162" w:type="dxa"/>
            <w:tcBorders>
              <w:top w:val="nil"/>
              <w:left w:val="nil"/>
              <w:bottom w:val="single" w:sz="4" w:space="0" w:color="AEAAAA"/>
              <w:right w:val="single" w:sz="4" w:space="0" w:color="AEAAAA"/>
            </w:tcBorders>
            <w:shd w:val="clear" w:color="auto" w:fill="auto"/>
            <w:noWrap/>
            <w:vAlign w:val="center"/>
            <w:hideMark/>
          </w:tcPr>
          <w:p w14:paraId="3EBC4D7F" w14:textId="77777777" w:rsidR="00F33FC4" w:rsidRPr="00D21137" w:rsidRDefault="00F33FC4" w:rsidP="00D21137">
            <w:pPr>
              <w:spacing w:line="360" w:lineRule="auto"/>
              <w:jc w:val="center"/>
              <w:rPr>
                <w:color w:val="000000"/>
                <w:sz w:val="22"/>
                <w:szCs w:val="22"/>
                <w:lang w:bidi="ne-NP"/>
              </w:rPr>
            </w:pPr>
            <w:r w:rsidRPr="00D21137">
              <w:rPr>
                <w:color w:val="000000"/>
                <w:sz w:val="22"/>
                <w:szCs w:val="22"/>
                <w:lang w:bidi="ne-NP"/>
              </w:rPr>
              <w:t>2.00</w:t>
            </w:r>
          </w:p>
        </w:tc>
        <w:tc>
          <w:tcPr>
            <w:tcW w:w="889" w:type="dxa"/>
            <w:tcBorders>
              <w:top w:val="nil"/>
              <w:left w:val="nil"/>
              <w:bottom w:val="single" w:sz="4" w:space="0" w:color="AEAAAA"/>
              <w:right w:val="single" w:sz="4" w:space="0" w:color="AEAAAA"/>
            </w:tcBorders>
            <w:shd w:val="clear" w:color="auto" w:fill="auto"/>
            <w:noWrap/>
            <w:vAlign w:val="center"/>
            <w:hideMark/>
          </w:tcPr>
          <w:p w14:paraId="58F5CC70" w14:textId="77777777" w:rsidR="00F33FC4" w:rsidRPr="00D21137" w:rsidRDefault="00F33FC4" w:rsidP="00D21137">
            <w:pPr>
              <w:spacing w:line="360" w:lineRule="auto"/>
              <w:jc w:val="center"/>
              <w:rPr>
                <w:color w:val="000000"/>
                <w:sz w:val="22"/>
                <w:szCs w:val="22"/>
                <w:lang w:bidi="ne-NP"/>
              </w:rPr>
            </w:pPr>
            <w:r w:rsidRPr="00D21137">
              <w:rPr>
                <w:color w:val="000000"/>
                <w:sz w:val="22"/>
                <w:szCs w:val="22"/>
                <w:lang w:bidi="ne-NP"/>
              </w:rPr>
              <w:t>2E-06</w:t>
            </w:r>
          </w:p>
        </w:tc>
        <w:tc>
          <w:tcPr>
            <w:tcW w:w="2694" w:type="dxa"/>
            <w:tcBorders>
              <w:top w:val="nil"/>
              <w:left w:val="nil"/>
              <w:bottom w:val="single" w:sz="4" w:space="0" w:color="AEAAAA"/>
              <w:right w:val="single" w:sz="4" w:space="0" w:color="AEAAAA"/>
            </w:tcBorders>
            <w:shd w:val="clear" w:color="auto" w:fill="auto"/>
            <w:noWrap/>
            <w:vAlign w:val="center"/>
            <w:hideMark/>
          </w:tcPr>
          <w:p w14:paraId="68B0D394" w14:textId="77777777" w:rsidR="00F33FC4" w:rsidRPr="00D21137" w:rsidRDefault="00F33FC4" w:rsidP="00D21137">
            <w:pPr>
              <w:spacing w:line="360" w:lineRule="auto"/>
              <w:rPr>
                <w:color w:val="000000"/>
                <w:sz w:val="22"/>
                <w:szCs w:val="22"/>
                <w:lang w:bidi="ne-NP"/>
              </w:rPr>
            </w:pPr>
            <w:r w:rsidRPr="00D21137">
              <w:rPr>
                <w:color w:val="000000"/>
                <w:sz w:val="22"/>
                <w:szCs w:val="22"/>
                <w:lang w:bidi="ne-NP"/>
              </w:rPr>
              <w:t>Isoleucine biosynthesis</w:t>
            </w:r>
          </w:p>
        </w:tc>
        <w:tc>
          <w:tcPr>
            <w:tcW w:w="4556" w:type="dxa"/>
            <w:tcBorders>
              <w:top w:val="nil"/>
              <w:left w:val="nil"/>
              <w:bottom w:val="single" w:sz="4" w:space="0" w:color="AEAAAA"/>
              <w:right w:val="single" w:sz="4" w:space="0" w:color="AEAAAA"/>
            </w:tcBorders>
            <w:shd w:val="clear" w:color="auto" w:fill="auto"/>
            <w:vAlign w:val="center"/>
            <w:hideMark/>
          </w:tcPr>
          <w:p w14:paraId="62B1CE5F" w14:textId="77777777" w:rsidR="00F33FC4" w:rsidRPr="00D21137" w:rsidRDefault="00F33FC4" w:rsidP="00D21137">
            <w:pPr>
              <w:spacing w:line="360" w:lineRule="auto"/>
              <w:rPr>
                <w:color w:val="000000"/>
                <w:sz w:val="22"/>
                <w:szCs w:val="22"/>
                <w:lang w:bidi="ne-NP"/>
              </w:rPr>
            </w:pPr>
            <w:r w:rsidRPr="00D21137">
              <w:rPr>
                <w:color w:val="000000"/>
                <w:sz w:val="22"/>
                <w:szCs w:val="22"/>
                <w:lang w:bidi="ne-NP"/>
              </w:rPr>
              <w:t xml:space="preserve">ketol-acid </w:t>
            </w:r>
            <w:proofErr w:type="spellStart"/>
            <w:r w:rsidRPr="00D21137">
              <w:rPr>
                <w:color w:val="000000"/>
                <w:sz w:val="22"/>
                <w:szCs w:val="22"/>
                <w:lang w:bidi="ne-NP"/>
              </w:rPr>
              <w:t>reductoisomerase</w:t>
            </w:r>
            <w:proofErr w:type="spellEnd"/>
          </w:p>
        </w:tc>
      </w:tr>
      <w:tr w:rsidR="00F33FC4" w:rsidRPr="00D21137" w14:paraId="39DBBC84" w14:textId="77777777" w:rsidTr="00D21137">
        <w:trPr>
          <w:trHeight w:val="600"/>
        </w:trPr>
        <w:tc>
          <w:tcPr>
            <w:tcW w:w="779" w:type="dxa"/>
            <w:tcBorders>
              <w:top w:val="nil"/>
              <w:left w:val="single" w:sz="4" w:space="0" w:color="AEAAAA"/>
              <w:bottom w:val="single" w:sz="4" w:space="0" w:color="AEAAAA"/>
              <w:right w:val="single" w:sz="4" w:space="0" w:color="AEAAAA"/>
            </w:tcBorders>
            <w:shd w:val="clear" w:color="auto" w:fill="auto"/>
            <w:noWrap/>
            <w:vAlign w:val="center"/>
            <w:hideMark/>
          </w:tcPr>
          <w:p w14:paraId="72837536" w14:textId="77777777" w:rsidR="00F33FC4" w:rsidRPr="00D21137" w:rsidRDefault="00F33FC4" w:rsidP="00D21137">
            <w:pPr>
              <w:spacing w:line="360" w:lineRule="auto"/>
              <w:rPr>
                <w:i/>
                <w:iCs/>
                <w:color w:val="000000"/>
                <w:sz w:val="22"/>
                <w:szCs w:val="22"/>
                <w:lang w:bidi="ne-NP"/>
              </w:rPr>
            </w:pPr>
            <w:proofErr w:type="spellStart"/>
            <w:r w:rsidRPr="00D21137">
              <w:rPr>
                <w:i/>
                <w:iCs/>
                <w:color w:val="000000"/>
                <w:sz w:val="22"/>
                <w:szCs w:val="22"/>
                <w:lang w:bidi="ne-NP"/>
              </w:rPr>
              <w:t>lgoR</w:t>
            </w:r>
            <w:proofErr w:type="spellEnd"/>
          </w:p>
        </w:tc>
        <w:tc>
          <w:tcPr>
            <w:tcW w:w="1162" w:type="dxa"/>
            <w:tcBorders>
              <w:top w:val="nil"/>
              <w:left w:val="nil"/>
              <w:bottom w:val="single" w:sz="4" w:space="0" w:color="AEAAAA"/>
              <w:right w:val="single" w:sz="4" w:space="0" w:color="AEAAAA"/>
            </w:tcBorders>
            <w:shd w:val="clear" w:color="auto" w:fill="auto"/>
            <w:noWrap/>
            <w:vAlign w:val="center"/>
            <w:hideMark/>
          </w:tcPr>
          <w:p w14:paraId="3834929A" w14:textId="77777777" w:rsidR="00F33FC4" w:rsidRPr="00D21137" w:rsidRDefault="00F33FC4" w:rsidP="00D21137">
            <w:pPr>
              <w:spacing w:line="360" w:lineRule="auto"/>
              <w:jc w:val="center"/>
              <w:rPr>
                <w:color w:val="000000"/>
                <w:sz w:val="22"/>
                <w:szCs w:val="22"/>
                <w:lang w:bidi="ne-NP"/>
              </w:rPr>
            </w:pPr>
            <w:r w:rsidRPr="00D21137">
              <w:rPr>
                <w:color w:val="000000"/>
                <w:sz w:val="22"/>
                <w:szCs w:val="22"/>
                <w:lang w:bidi="ne-NP"/>
              </w:rPr>
              <w:t>1.63</w:t>
            </w:r>
          </w:p>
        </w:tc>
        <w:tc>
          <w:tcPr>
            <w:tcW w:w="889" w:type="dxa"/>
            <w:tcBorders>
              <w:top w:val="nil"/>
              <w:left w:val="nil"/>
              <w:bottom w:val="single" w:sz="4" w:space="0" w:color="AEAAAA"/>
              <w:right w:val="single" w:sz="4" w:space="0" w:color="AEAAAA"/>
            </w:tcBorders>
            <w:shd w:val="clear" w:color="auto" w:fill="auto"/>
            <w:noWrap/>
            <w:vAlign w:val="center"/>
            <w:hideMark/>
          </w:tcPr>
          <w:p w14:paraId="53E8ECB2" w14:textId="77777777" w:rsidR="00F33FC4" w:rsidRPr="00D21137" w:rsidRDefault="00F33FC4" w:rsidP="00D21137">
            <w:pPr>
              <w:spacing w:line="360" w:lineRule="auto"/>
              <w:jc w:val="center"/>
              <w:rPr>
                <w:color w:val="000000"/>
                <w:sz w:val="22"/>
                <w:szCs w:val="22"/>
                <w:lang w:bidi="ne-NP"/>
              </w:rPr>
            </w:pPr>
            <w:r w:rsidRPr="00D21137">
              <w:rPr>
                <w:color w:val="000000"/>
                <w:sz w:val="22"/>
                <w:szCs w:val="22"/>
                <w:lang w:bidi="ne-NP"/>
              </w:rPr>
              <w:t>2E-03</w:t>
            </w:r>
          </w:p>
        </w:tc>
        <w:tc>
          <w:tcPr>
            <w:tcW w:w="2694" w:type="dxa"/>
            <w:tcBorders>
              <w:top w:val="nil"/>
              <w:left w:val="nil"/>
              <w:bottom w:val="single" w:sz="4" w:space="0" w:color="AEAAAA"/>
              <w:right w:val="single" w:sz="4" w:space="0" w:color="AEAAAA"/>
            </w:tcBorders>
            <w:shd w:val="clear" w:color="auto" w:fill="auto"/>
            <w:noWrap/>
            <w:vAlign w:val="center"/>
            <w:hideMark/>
          </w:tcPr>
          <w:p w14:paraId="29CD3ED5" w14:textId="77777777" w:rsidR="00F33FC4" w:rsidRPr="00D21137" w:rsidRDefault="00F33FC4" w:rsidP="00D21137">
            <w:pPr>
              <w:spacing w:line="360" w:lineRule="auto"/>
              <w:rPr>
                <w:color w:val="000000"/>
                <w:sz w:val="22"/>
                <w:szCs w:val="22"/>
                <w:lang w:bidi="ne-NP"/>
              </w:rPr>
            </w:pPr>
            <w:r w:rsidRPr="00D21137">
              <w:rPr>
                <w:color w:val="000000"/>
                <w:sz w:val="22"/>
                <w:szCs w:val="22"/>
                <w:lang w:bidi="ne-NP"/>
              </w:rPr>
              <w:t>Transcriptional regulator</w:t>
            </w:r>
          </w:p>
        </w:tc>
        <w:tc>
          <w:tcPr>
            <w:tcW w:w="4556" w:type="dxa"/>
            <w:tcBorders>
              <w:top w:val="nil"/>
              <w:left w:val="nil"/>
              <w:bottom w:val="single" w:sz="4" w:space="0" w:color="AEAAAA"/>
              <w:right w:val="single" w:sz="4" w:space="0" w:color="AEAAAA"/>
            </w:tcBorders>
            <w:shd w:val="clear" w:color="auto" w:fill="auto"/>
            <w:vAlign w:val="center"/>
            <w:hideMark/>
          </w:tcPr>
          <w:p w14:paraId="41F046DF" w14:textId="77777777" w:rsidR="00F33FC4" w:rsidRPr="00D21137" w:rsidRDefault="00F33FC4" w:rsidP="00D21137">
            <w:pPr>
              <w:spacing w:line="360" w:lineRule="auto"/>
              <w:rPr>
                <w:color w:val="000000"/>
                <w:sz w:val="22"/>
                <w:szCs w:val="22"/>
                <w:lang w:bidi="ne-NP"/>
              </w:rPr>
            </w:pPr>
            <w:proofErr w:type="spellStart"/>
            <w:r w:rsidRPr="00D21137">
              <w:rPr>
                <w:color w:val="000000"/>
                <w:sz w:val="22"/>
                <w:szCs w:val="22"/>
                <w:lang w:bidi="ne-NP"/>
              </w:rPr>
              <w:t>GntR</w:t>
            </w:r>
            <w:proofErr w:type="spellEnd"/>
            <w:r w:rsidRPr="00D21137">
              <w:rPr>
                <w:color w:val="000000"/>
                <w:sz w:val="22"/>
                <w:szCs w:val="22"/>
                <w:lang w:bidi="ne-NP"/>
              </w:rPr>
              <w:t xml:space="preserve"> family transcriptional regulator</w:t>
            </w:r>
          </w:p>
        </w:tc>
      </w:tr>
      <w:tr w:rsidR="00F33FC4" w:rsidRPr="00D21137" w14:paraId="7C4F7375" w14:textId="77777777" w:rsidTr="00D21137">
        <w:trPr>
          <w:trHeight w:val="600"/>
        </w:trPr>
        <w:tc>
          <w:tcPr>
            <w:tcW w:w="779" w:type="dxa"/>
            <w:tcBorders>
              <w:top w:val="nil"/>
              <w:left w:val="single" w:sz="4" w:space="0" w:color="AEAAAA"/>
              <w:bottom w:val="single" w:sz="4" w:space="0" w:color="AEAAAA"/>
              <w:right w:val="single" w:sz="4" w:space="0" w:color="AEAAAA"/>
            </w:tcBorders>
            <w:shd w:val="clear" w:color="auto" w:fill="auto"/>
            <w:noWrap/>
            <w:vAlign w:val="center"/>
            <w:hideMark/>
          </w:tcPr>
          <w:p w14:paraId="3DDBF62F" w14:textId="77777777" w:rsidR="00F33FC4" w:rsidRPr="00D21137" w:rsidRDefault="00F33FC4" w:rsidP="00D21137">
            <w:pPr>
              <w:spacing w:line="360" w:lineRule="auto"/>
              <w:rPr>
                <w:i/>
                <w:iCs/>
                <w:color w:val="000000"/>
                <w:sz w:val="22"/>
                <w:szCs w:val="22"/>
                <w:lang w:bidi="ne-NP"/>
              </w:rPr>
            </w:pPr>
            <w:proofErr w:type="spellStart"/>
            <w:r w:rsidRPr="00D21137">
              <w:rPr>
                <w:i/>
                <w:iCs/>
                <w:color w:val="000000"/>
                <w:sz w:val="22"/>
                <w:szCs w:val="22"/>
                <w:lang w:bidi="ne-NP"/>
              </w:rPr>
              <w:t>lsrR</w:t>
            </w:r>
            <w:proofErr w:type="spellEnd"/>
          </w:p>
        </w:tc>
        <w:tc>
          <w:tcPr>
            <w:tcW w:w="1162" w:type="dxa"/>
            <w:tcBorders>
              <w:top w:val="nil"/>
              <w:left w:val="nil"/>
              <w:bottom w:val="single" w:sz="4" w:space="0" w:color="AEAAAA"/>
              <w:right w:val="single" w:sz="4" w:space="0" w:color="AEAAAA"/>
            </w:tcBorders>
            <w:shd w:val="clear" w:color="auto" w:fill="auto"/>
            <w:noWrap/>
            <w:vAlign w:val="center"/>
            <w:hideMark/>
          </w:tcPr>
          <w:p w14:paraId="3A8047EF" w14:textId="77777777" w:rsidR="00F33FC4" w:rsidRPr="00D21137" w:rsidRDefault="00F33FC4" w:rsidP="00D21137">
            <w:pPr>
              <w:spacing w:line="360" w:lineRule="auto"/>
              <w:jc w:val="center"/>
              <w:rPr>
                <w:color w:val="000000"/>
                <w:sz w:val="22"/>
                <w:szCs w:val="22"/>
                <w:lang w:bidi="ne-NP"/>
              </w:rPr>
            </w:pPr>
            <w:r w:rsidRPr="00D21137">
              <w:rPr>
                <w:color w:val="000000"/>
                <w:sz w:val="22"/>
                <w:szCs w:val="22"/>
                <w:lang w:bidi="ne-NP"/>
              </w:rPr>
              <w:t>1.54</w:t>
            </w:r>
          </w:p>
        </w:tc>
        <w:tc>
          <w:tcPr>
            <w:tcW w:w="889" w:type="dxa"/>
            <w:tcBorders>
              <w:top w:val="nil"/>
              <w:left w:val="nil"/>
              <w:bottom w:val="single" w:sz="4" w:space="0" w:color="AEAAAA"/>
              <w:right w:val="single" w:sz="4" w:space="0" w:color="AEAAAA"/>
            </w:tcBorders>
            <w:shd w:val="clear" w:color="auto" w:fill="auto"/>
            <w:noWrap/>
            <w:vAlign w:val="center"/>
            <w:hideMark/>
          </w:tcPr>
          <w:p w14:paraId="66547403" w14:textId="77777777" w:rsidR="00F33FC4" w:rsidRPr="00D21137" w:rsidRDefault="00F33FC4" w:rsidP="00D21137">
            <w:pPr>
              <w:spacing w:line="360" w:lineRule="auto"/>
              <w:jc w:val="center"/>
              <w:rPr>
                <w:color w:val="000000"/>
                <w:sz w:val="22"/>
                <w:szCs w:val="22"/>
                <w:lang w:bidi="ne-NP"/>
              </w:rPr>
            </w:pPr>
            <w:r w:rsidRPr="00D21137">
              <w:rPr>
                <w:color w:val="000000"/>
                <w:sz w:val="22"/>
                <w:szCs w:val="22"/>
                <w:lang w:bidi="ne-NP"/>
              </w:rPr>
              <w:t>9E-03</w:t>
            </w:r>
          </w:p>
        </w:tc>
        <w:tc>
          <w:tcPr>
            <w:tcW w:w="2694" w:type="dxa"/>
            <w:tcBorders>
              <w:top w:val="nil"/>
              <w:left w:val="nil"/>
              <w:bottom w:val="single" w:sz="4" w:space="0" w:color="AEAAAA"/>
              <w:right w:val="single" w:sz="4" w:space="0" w:color="AEAAAA"/>
            </w:tcBorders>
            <w:shd w:val="clear" w:color="auto" w:fill="auto"/>
            <w:noWrap/>
            <w:vAlign w:val="center"/>
            <w:hideMark/>
          </w:tcPr>
          <w:p w14:paraId="50F38F46" w14:textId="77777777" w:rsidR="00F33FC4" w:rsidRPr="00D21137" w:rsidRDefault="00F33FC4" w:rsidP="00D21137">
            <w:pPr>
              <w:spacing w:line="360" w:lineRule="auto"/>
              <w:rPr>
                <w:color w:val="000000"/>
                <w:sz w:val="22"/>
                <w:szCs w:val="22"/>
                <w:lang w:bidi="ne-NP"/>
              </w:rPr>
            </w:pPr>
            <w:r w:rsidRPr="00D21137">
              <w:rPr>
                <w:color w:val="000000"/>
                <w:sz w:val="22"/>
                <w:szCs w:val="22"/>
                <w:lang w:bidi="ne-NP"/>
              </w:rPr>
              <w:t>Transcriptional regulator</w:t>
            </w:r>
          </w:p>
        </w:tc>
        <w:tc>
          <w:tcPr>
            <w:tcW w:w="4556" w:type="dxa"/>
            <w:tcBorders>
              <w:top w:val="nil"/>
              <w:left w:val="nil"/>
              <w:bottom w:val="single" w:sz="4" w:space="0" w:color="AEAAAA"/>
              <w:right w:val="single" w:sz="4" w:space="0" w:color="AEAAAA"/>
            </w:tcBorders>
            <w:shd w:val="clear" w:color="auto" w:fill="auto"/>
            <w:vAlign w:val="center"/>
            <w:hideMark/>
          </w:tcPr>
          <w:p w14:paraId="2ACC57C2" w14:textId="77777777" w:rsidR="00F33FC4" w:rsidRPr="00D21137" w:rsidRDefault="00F33FC4" w:rsidP="00D21137">
            <w:pPr>
              <w:spacing w:line="360" w:lineRule="auto"/>
              <w:rPr>
                <w:color w:val="000000"/>
                <w:sz w:val="22"/>
                <w:szCs w:val="22"/>
                <w:lang w:bidi="ne-NP"/>
              </w:rPr>
            </w:pPr>
            <w:r w:rsidRPr="00D21137">
              <w:rPr>
                <w:color w:val="000000"/>
                <w:sz w:val="22"/>
                <w:szCs w:val="22"/>
                <w:lang w:bidi="ne-NP"/>
              </w:rPr>
              <w:t xml:space="preserve">transcriptional regulator </w:t>
            </w:r>
            <w:proofErr w:type="spellStart"/>
            <w:r w:rsidRPr="00D21137">
              <w:rPr>
                <w:color w:val="000000"/>
                <w:sz w:val="22"/>
                <w:szCs w:val="22"/>
                <w:lang w:bidi="ne-NP"/>
              </w:rPr>
              <w:t>LsrR</w:t>
            </w:r>
            <w:proofErr w:type="spellEnd"/>
          </w:p>
        </w:tc>
      </w:tr>
      <w:tr w:rsidR="00F33FC4" w:rsidRPr="00D21137" w14:paraId="64C3FD97" w14:textId="77777777" w:rsidTr="00D21137">
        <w:trPr>
          <w:trHeight w:val="600"/>
        </w:trPr>
        <w:tc>
          <w:tcPr>
            <w:tcW w:w="779" w:type="dxa"/>
            <w:tcBorders>
              <w:top w:val="nil"/>
              <w:left w:val="single" w:sz="4" w:space="0" w:color="AEAAAA"/>
              <w:bottom w:val="single" w:sz="4" w:space="0" w:color="AEAAAA"/>
              <w:right w:val="single" w:sz="4" w:space="0" w:color="AEAAAA"/>
            </w:tcBorders>
            <w:shd w:val="clear" w:color="auto" w:fill="auto"/>
            <w:noWrap/>
            <w:vAlign w:val="center"/>
            <w:hideMark/>
          </w:tcPr>
          <w:p w14:paraId="0F0D425F" w14:textId="77777777" w:rsidR="00F33FC4" w:rsidRPr="00D21137" w:rsidRDefault="00F33FC4" w:rsidP="00D21137">
            <w:pPr>
              <w:spacing w:line="360" w:lineRule="auto"/>
              <w:rPr>
                <w:i/>
                <w:iCs/>
                <w:color w:val="000000"/>
                <w:sz w:val="22"/>
                <w:szCs w:val="22"/>
                <w:lang w:bidi="ne-NP"/>
              </w:rPr>
            </w:pPr>
            <w:proofErr w:type="spellStart"/>
            <w:r w:rsidRPr="00D21137">
              <w:rPr>
                <w:i/>
                <w:iCs/>
                <w:color w:val="000000"/>
                <w:sz w:val="22"/>
                <w:szCs w:val="22"/>
                <w:lang w:bidi="ne-NP"/>
              </w:rPr>
              <w:t>lysA</w:t>
            </w:r>
            <w:proofErr w:type="spellEnd"/>
          </w:p>
        </w:tc>
        <w:tc>
          <w:tcPr>
            <w:tcW w:w="1162" w:type="dxa"/>
            <w:tcBorders>
              <w:top w:val="nil"/>
              <w:left w:val="nil"/>
              <w:bottom w:val="single" w:sz="4" w:space="0" w:color="AEAAAA"/>
              <w:right w:val="single" w:sz="4" w:space="0" w:color="AEAAAA"/>
            </w:tcBorders>
            <w:shd w:val="clear" w:color="auto" w:fill="auto"/>
            <w:noWrap/>
            <w:vAlign w:val="center"/>
            <w:hideMark/>
          </w:tcPr>
          <w:p w14:paraId="0AB7FB86" w14:textId="77777777" w:rsidR="00F33FC4" w:rsidRPr="00D21137" w:rsidRDefault="00F33FC4" w:rsidP="00D21137">
            <w:pPr>
              <w:spacing w:line="360" w:lineRule="auto"/>
              <w:jc w:val="center"/>
              <w:rPr>
                <w:color w:val="000000"/>
                <w:sz w:val="22"/>
                <w:szCs w:val="22"/>
                <w:lang w:bidi="ne-NP"/>
              </w:rPr>
            </w:pPr>
            <w:r w:rsidRPr="00D21137">
              <w:rPr>
                <w:color w:val="000000"/>
                <w:sz w:val="22"/>
                <w:szCs w:val="22"/>
                <w:lang w:bidi="ne-NP"/>
              </w:rPr>
              <w:t>1.80</w:t>
            </w:r>
          </w:p>
        </w:tc>
        <w:tc>
          <w:tcPr>
            <w:tcW w:w="889" w:type="dxa"/>
            <w:tcBorders>
              <w:top w:val="nil"/>
              <w:left w:val="nil"/>
              <w:bottom w:val="single" w:sz="4" w:space="0" w:color="AEAAAA"/>
              <w:right w:val="single" w:sz="4" w:space="0" w:color="AEAAAA"/>
            </w:tcBorders>
            <w:shd w:val="clear" w:color="auto" w:fill="auto"/>
            <w:noWrap/>
            <w:vAlign w:val="center"/>
            <w:hideMark/>
          </w:tcPr>
          <w:p w14:paraId="4F390252" w14:textId="77777777" w:rsidR="00F33FC4" w:rsidRPr="00D21137" w:rsidRDefault="00F33FC4" w:rsidP="00D21137">
            <w:pPr>
              <w:spacing w:line="360" w:lineRule="auto"/>
              <w:jc w:val="center"/>
              <w:rPr>
                <w:color w:val="000000"/>
                <w:sz w:val="22"/>
                <w:szCs w:val="22"/>
                <w:lang w:bidi="ne-NP"/>
              </w:rPr>
            </w:pPr>
            <w:r w:rsidRPr="00D21137">
              <w:rPr>
                <w:color w:val="000000"/>
                <w:sz w:val="22"/>
                <w:szCs w:val="22"/>
                <w:lang w:bidi="ne-NP"/>
              </w:rPr>
              <w:t>7E-04</w:t>
            </w:r>
          </w:p>
        </w:tc>
        <w:tc>
          <w:tcPr>
            <w:tcW w:w="2694" w:type="dxa"/>
            <w:tcBorders>
              <w:top w:val="nil"/>
              <w:left w:val="nil"/>
              <w:bottom w:val="single" w:sz="4" w:space="0" w:color="AEAAAA"/>
              <w:right w:val="single" w:sz="4" w:space="0" w:color="AEAAAA"/>
            </w:tcBorders>
            <w:shd w:val="clear" w:color="auto" w:fill="auto"/>
            <w:noWrap/>
            <w:vAlign w:val="center"/>
            <w:hideMark/>
          </w:tcPr>
          <w:p w14:paraId="591AD7EF" w14:textId="77777777" w:rsidR="00F33FC4" w:rsidRPr="00D21137" w:rsidRDefault="00F33FC4" w:rsidP="00D21137">
            <w:pPr>
              <w:spacing w:line="360" w:lineRule="auto"/>
              <w:rPr>
                <w:color w:val="000000"/>
                <w:sz w:val="22"/>
                <w:szCs w:val="22"/>
                <w:lang w:bidi="ne-NP"/>
              </w:rPr>
            </w:pPr>
            <w:r w:rsidRPr="00D21137">
              <w:rPr>
                <w:color w:val="000000"/>
                <w:sz w:val="22"/>
                <w:szCs w:val="22"/>
                <w:lang w:bidi="ne-NP"/>
              </w:rPr>
              <w:t>Lysine biosynthesis</w:t>
            </w:r>
          </w:p>
        </w:tc>
        <w:tc>
          <w:tcPr>
            <w:tcW w:w="4556" w:type="dxa"/>
            <w:tcBorders>
              <w:top w:val="nil"/>
              <w:left w:val="nil"/>
              <w:bottom w:val="single" w:sz="4" w:space="0" w:color="AEAAAA"/>
              <w:right w:val="single" w:sz="4" w:space="0" w:color="AEAAAA"/>
            </w:tcBorders>
            <w:shd w:val="clear" w:color="auto" w:fill="auto"/>
            <w:vAlign w:val="center"/>
            <w:hideMark/>
          </w:tcPr>
          <w:p w14:paraId="75DAC4FC" w14:textId="77777777" w:rsidR="00F33FC4" w:rsidRPr="00D21137" w:rsidRDefault="00F33FC4" w:rsidP="00D21137">
            <w:pPr>
              <w:spacing w:line="360" w:lineRule="auto"/>
              <w:rPr>
                <w:color w:val="000000"/>
                <w:sz w:val="22"/>
                <w:szCs w:val="22"/>
                <w:lang w:bidi="ne-NP"/>
              </w:rPr>
            </w:pPr>
            <w:r w:rsidRPr="00D21137">
              <w:rPr>
                <w:color w:val="000000"/>
                <w:sz w:val="22"/>
                <w:szCs w:val="22"/>
                <w:lang w:bidi="ne-NP"/>
              </w:rPr>
              <w:t>diaminopimelate decarboxylase</w:t>
            </w:r>
          </w:p>
        </w:tc>
      </w:tr>
      <w:tr w:rsidR="00F33FC4" w:rsidRPr="00D21137" w14:paraId="3BBB08F3" w14:textId="77777777" w:rsidTr="00D21137">
        <w:trPr>
          <w:trHeight w:val="600"/>
        </w:trPr>
        <w:tc>
          <w:tcPr>
            <w:tcW w:w="779" w:type="dxa"/>
            <w:tcBorders>
              <w:top w:val="nil"/>
              <w:left w:val="single" w:sz="4" w:space="0" w:color="AEAAAA"/>
              <w:bottom w:val="single" w:sz="4" w:space="0" w:color="AEAAAA"/>
              <w:right w:val="single" w:sz="4" w:space="0" w:color="AEAAAA"/>
            </w:tcBorders>
            <w:shd w:val="clear" w:color="auto" w:fill="auto"/>
            <w:noWrap/>
            <w:vAlign w:val="center"/>
            <w:hideMark/>
          </w:tcPr>
          <w:p w14:paraId="4DE48869" w14:textId="77777777" w:rsidR="00F33FC4" w:rsidRPr="00D21137" w:rsidRDefault="00F33FC4" w:rsidP="00D21137">
            <w:pPr>
              <w:spacing w:line="360" w:lineRule="auto"/>
              <w:rPr>
                <w:i/>
                <w:iCs/>
                <w:color w:val="000000"/>
                <w:sz w:val="22"/>
                <w:szCs w:val="22"/>
                <w:lang w:bidi="ne-NP"/>
              </w:rPr>
            </w:pPr>
            <w:proofErr w:type="spellStart"/>
            <w:r w:rsidRPr="00D21137">
              <w:rPr>
                <w:i/>
                <w:iCs/>
                <w:color w:val="000000"/>
                <w:sz w:val="22"/>
                <w:szCs w:val="22"/>
                <w:lang w:bidi="ne-NP"/>
              </w:rPr>
              <w:t>napF</w:t>
            </w:r>
            <w:proofErr w:type="spellEnd"/>
          </w:p>
        </w:tc>
        <w:tc>
          <w:tcPr>
            <w:tcW w:w="1162" w:type="dxa"/>
            <w:tcBorders>
              <w:top w:val="nil"/>
              <w:left w:val="nil"/>
              <w:bottom w:val="single" w:sz="4" w:space="0" w:color="AEAAAA"/>
              <w:right w:val="single" w:sz="4" w:space="0" w:color="AEAAAA"/>
            </w:tcBorders>
            <w:shd w:val="clear" w:color="auto" w:fill="auto"/>
            <w:noWrap/>
            <w:vAlign w:val="center"/>
            <w:hideMark/>
          </w:tcPr>
          <w:p w14:paraId="5351F5F7" w14:textId="77777777" w:rsidR="00F33FC4" w:rsidRPr="00D21137" w:rsidRDefault="00F33FC4" w:rsidP="00D21137">
            <w:pPr>
              <w:spacing w:line="360" w:lineRule="auto"/>
              <w:jc w:val="center"/>
              <w:rPr>
                <w:color w:val="000000"/>
                <w:sz w:val="22"/>
                <w:szCs w:val="22"/>
                <w:lang w:bidi="ne-NP"/>
              </w:rPr>
            </w:pPr>
            <w:r w:rsidRPr="00D21137">
              <w:rPr>
                <w:color w:val="000000"/>
                <w:sz w:val="22"/>
                <w:szCs w:val="22"/>
                <w:lang w:bidi="ne-NP"/>
              </w:rPr>
              <w:t>2.54</w:t>
            </w:r>
          </w:p>
        </w:tc>
        <w:tc>
          <w:tcPr>
            <w:tcW w:w="889" w:type="dxa"/>
            <w:tcBorders>
              <w:top w:val="nil"/>
              <w:left w:val="nil"/>
              <w:bottom w:val="single" w:sz="4" w:space="0" w:color="AEAAAA"/>
              <w:right w:val="single" w:sz="4" w:space="0" w:color="AEAAAA"/>
            </w:tcBorders>
            <w:shd w:val="clear" w:color="auto" w:fill="auto"/>
            <w:noWrap/>
            <w:vAlign w:val="center"/>
            <w:hideMark/>
          </w:tcPr>
          <w:p w14:paraId="0A55EC0F" w14:textId="77777777" w:rsidR="00F33FC4" w:rsidRPr="00D21137" w:rsidRDefault="00F33FC4" w:rsidP="00D21137">
            <w:pPr>
              <w:spacing w:line="360" w:lineRule="auto"/>
              <w:jc w:val="center"/>
              <w:rPr>
                <w:color w:val="000000"/>
                <w:sz w:val="22"/>
                <w:szCs w:val="22"/>
                <w:lang w:bidi="ne-NP"/>
              </w:rPr>
            </w:pPr>
            <w:r w:rsidRPr="00D21137">
              <w:rPr>
                <w:color w:val="000000"/>
                <w:sz w:val="22"/>
                <w:szCs w:val="22"/>
                <w:lang w:bidi="ne-NP"/>
              </w:rPr>
              <w:t>6E-05</w:t>
            </w:r>
          </w:p>
        </w:tc>
        <w:tc>
          <w:tcPr>
            <w:tcW w:w="2694" w:type="dxa"/>
            <w:tcBorders>
              <w:top w:val="nil"/>
              <w:left w:val="nil"/>
              <w:bottom w:val="single" w:sz="4" w:space="0" w:color="AEAAAA"/>
              <w:right w:val="single" w:sz="4" w:space="0" w:color="AEAAAA"/>
            </w:tcBorders>
            <w:shd w:val="clear" w:color="auto" w:fill="auto"/>
            <w:noWrap/>
            <w:vAlign w:val="center"/>
            <w:hideMark/>
          </w:tcPr>
          <w:p w14:paraId="1D4DC16F" w14:textId="77777777" w:rsidR="00F33FC4" w:rsidRPr="00D21137" w:rsidRDefault="00F33FC4" w:rsidP="00D21137">
            <w:pPr>
              <w:spacing w:line="360" w:lineRule="auto"/>
              <w:rPr>
                <w:color w:val="000000"/>
                <w:sz w:val="22"/>
                <w:szCs w:val="22"/>
                <w:lang w:bidi="ne-NP"/>
              </w:rPr>
            </w:pPr>
            <w:r w:rsidRPr="00D21137">
              <w:rPr>
                <w:color w:val="000000"/>
                <w:sz w:val="22"/>
                <w:szCs w:val="22"/>
                <w:lang w:bidi="ne-NP"/>
              </w:rPr>
              <w:t>Oxidative stress</w:t>
            </w:r>
          </w:p>
        </w:tc>
        <w:tc>
          <w:tcPr>
            <w:tcW w:w="4556" w:type="dxa"/>
            <w:tcBorders>
              <w:top w:val="nil"/>
              <w:left w:val="nil"/>
              <w:bottom w:val="single" w:sz="4" w:space="0" w:color="AEAAAA"/>
              <w:right w:val="single" w:sz="4" w:space="0" w:color="AEAAAA"/>
            </w:tcBorders>
            <w:shd w:val="clear" w:color="auto" w:fill="auto"/>
            <w:vAlign w:val="center"/>
            <w:hideMark/>
          </w:tcPr>
          <w:p w14:paraId="4B028BD3" w14:textId="77777777" w:rsidR="00F33FC4" w:rsidRPr="00D21137" w:rsidRDefault="00F33FC4" w:rsidP="00D21137">
            <w:pPr>
              <w:spacing w:line="360" w:lineRule="auto"/>
              <w:rPr>
                <w:color w:val="000000"/>
                <w:sz w:val="22"/>
                <w:szCs w:val="22"/>
                <w:lang w:bidi="ne-NP"/>
              </w:rPr>
            </w:pPr>
            <w:r w:rsidRPr="00D21137">
              <w:rPr>
                <w:color w:val="000000"/>
                <w:sz w:val="22"/>
                <w:szCs w:val="22"/>
                <w:lang w:bidi="ne-NP"/>
              </w:rPr>
              <w:t xml:space="preserve">ferredoxin-type protein </w:t>
            </w:r>
            <w:proofErr w:type="spellStart"/>
            <w:r w:rsidRPr="00D21137">
              <w:rPr>
                <w:color w:val="000000"/>
                <w:sz w:val="22"/>
                <w:szCs w:val="22"/>
                <w:lang w:bidi="ne-NP"/>
              </w:rPr>
              <w:t>NapF</w:t>
            </w:r>
            <w:proofErr w:type="spellEnd"/>
          </w:p>
        </w:tc>
      </w:tr>
      <w:tr w:rsidR="00F33FC4" w:rsidRPr="00D21137" w14:paraId="6C847789" w14:textId="77777777" w:rsidTr="00D21137">
        <w:trPr>
          <w:trHeight w:val="600"/>
        </w:trPr>
        <w:tc>
          <w:tcPr>
            <w:tcW w:w="779" w:type="dxa"/>
            <w:tcBorders>
              <w:top w:val="nil"/>
              <w:left w:val="single" w:sz="4" w:space="0" w:color="AEAAAA"/>
              <w:bottom w:val="single" w:sz="4" w:space="0" w:color="AEAAAA"/>
              <w:right w:val="single" w:sz="4" w:space="0" w:color="AEAAAA"/>
            </w:tcBorders>
            <w:shd w:val="clear" w:color="auto" w:fill="auto"/>
            <w:noWrap/>
            <w:vAlign w:val="center"/>
            <w:hideMark/>
          </w:tcPr>
          <w:p w14:paraId="11533051" w14:textId="77777777" w:rsidR="00F33FC4" w:rsidRPr="00D21137" w:rsidRDefault="00F33FC4" w:rsidP="00D21137">
            <w:pPr>
              <w:spacing w:line="360" w:lineRule="auto"/>
              <w:rPr>
                <w:i/>
                <w:iCs/>
                <w:color w:val="000000"/>
                <w:sz w:val="22"/>
                <w:szCs w:val="22"/>
                <w:lang w:bidi="ne-NP"/>
              </w:rPr>
            </w:pPr>
            <w:proofErr w:type="spellStart"/>
            <w:r w:rsidRPr="00D21137">
              <w:rPr>
                <w:i/>
                <w:iCs/>
                <w:color w:val="000000"/>
                <w:sz w:val="22"/>
                <w:szCs w:val="22"/>
                <w:lang w:bidi="ne-NP"/>
              </w:rPr>
              <w:t>narG</w:t>
            </w:r>
            <w:proofErr w:type="spellEnd"/>
          </w:p>
        </w:tc>
        <w:tc>
          <w:tcPr>
            <w:tcW w:w="1162" w:type="dxa"/>
            <w:tcBorders>
              <w:top w:val="nil"/>
              <w:left w:val="nil"/>
              <w:bottom w:val="single" w:sz="4" w:space="0" w:color="AEAAAA"/>
              <w:right w:val="single" w:sz="4" w:space="0" w:color="AEAAAA"/>
            </w:tcBorders>
            <w:shd w:val="clear" w:color="auto" w:fill="auto"/>
            <w:noWrap/>
            <w:vAlign w:val="center"/>
            <w:hideMark/>
          </w:tcPr>
          <w:p w14:paraId="3F714554" w14:textId="77777777" w:rsidR="00F33FC4" w:rsidRPr="00D21137" w:rsidRDefault="00F33FC4" w:rsidP="00D21137">
            <w:pPr>
              <w:spacing w:line="360" w:lineRule="auto"/>
              <w:jc w:val="center"/>
              <w:rPr>
                <w:color w:val="000000"/>
                <w:sz w:val="22"/>
                <w:szCs w:val="22"/>
                <w:lang w:bidi="ne-NP"/>
              </w:rPr>
            </w:pPr>
            <w:r w:rsidRPr="00D21137">
              <w:rPr>
                <w:color w:val="000000"/>
                <w:sz w:val="22"/>
                <w:szCs w:val="22"/>
                <w:lang w:bidi="ne-NP"/>
              </w:rPr>
              <w:t>3.73</w:t>
            </w:r>
          </w:p>
        </w:tc>
        <w:tc>
          <w:tcPr>
            <w:tcW w:w="889" w:type="dxa"/>
            <w:tcBorders>
              <w:top w:val="nil"/>
              <w:left w:val="nil"/>
              <w:bottom w:val="single" w:sz="4" w:space="0" w:color="AEAAAA"/>
              <w:right w:val="single" w:sz="4" w:space="0" w:color="AEAAAA"/>
            </w:tcBorders>
            <w:shd w:val="clear" w:color="auto" w:fill="auto"/>
            <w:noWrap/>
            <w:vAlign w:val="center"/>
            <w:hideMark/>
          </w:tcPr>
          <w:p w14:paraId="777D804D" w14:textId="77777777" w:rsidR="00F33FC4" w:rsidRPr="00D21137" w:rsidRDefault="00F33FC4" w:rsidP="00D21137">
            <w:pPr>
              <w:spacing w:line="360" w:lineRule="auto"/>
              <w:jc w:val="center"/>
              <w:rPr>
                <w:color w:val="000000"/>
                <w:sz w:val="22"/>
                <w:szCs w:val="22"/>
                <w:lang w:bidi="ne-NP"/>
              </w:rPr>
            </w:pPr>
            <w:r w:rsidRPr="00D21137">
              <w:rPr>
                <w:color w:val="000000"/>
                <w:sz w:val="22"/>
                <w:szCs w:val="22"/>
                <w:lang w:bidi="ne-NP"/>
              </w:rPr>
              <w:t>4E-07</w:t>
            </w:r>
          </w:p>
        </w:tc>
        <w:tc>
          <w:tcPr>
            <w:tcW w:w="2694" w:type="dxa"/>
            <w:tcBorders>
              <w:top w:val="nil"/>
              <w:left w:val="nil"/>
              <w:bottom w:val="single" w:sz="4" w:space="0" w:color="AEAAAA"/>
              <w:right w:val="single" w:sz="4" w:space="0" w:color="AEAAAA"/>
            </w:tcBorders>
            <w:shd w:val="clear" w:color="auto" w:fill="auto"/>
            <w:noWrap/>
            <w:vAlign w:val="center"/>
            <w:hideMark/>
          </w:tcPr>
          <w:p w14:paraId="24B0138B" w14:textId="77777777" w:rsidR="00F33FC4" w:rsidRPr="00D21137" w:rsidRDefault="00F33FC4" w:rsidP="00D21137">
            <w:pPr>
              <w:spacing w:line="360" w:lineRule="auto"/>
              <w:rPr>
                <w:color w:val="000000"/>
                <w:sz w:val="22"/>
                <w:szCs w:val="22"/>
                <w:lang w:bidi="ne-NP"/>
              </w:rPr>
            </w:pPr>
            <w:r w:rsidRPr="00D21137">
              <w:rPr>
                <w:color w:val="000000"/>
                <w:sz w:val="22"/>
                <w:szCs w:val="22"/>
                <w:lang w:bidi="ne-NP"/>
              </w:rPr>
              <w:t>Nitrogen metabolism</w:t>
            </w:r>
          </w:p>
        </w:tc>
        <w:tc>
          <w:tcPr>
            <w:tcW w:w="4556" w:type="dxa"/>
            <w:tcBorders>
              <w:top w:val="nil"/>
              <w:left w:val="nil"/>
              <w:bottom w:val="single" w:sz="4" w:space="0" w:color="AEAAAA"/>
              <w:right w:val="single" w:sz="4" w:space="0" w:color="AEAAAA"/>
            </w:tcBorders>
            <w:shd w:val="clear" w:color="auto" w:fill="auto"/>
            <w:vAlign w:val="center"/>
            <w:hideMark/>
          </w:tcPr>
          <w:p w14:paraId="11EA81DB" w14:textId="77777777" w:rsidR="00F33FC4" w:rsidRPr="00D21137" w:rsidRDefault="00F33FC4" w:rsidP="00D21137">
            <w:pPr>
              <w:spacing w:line="360" w:lineRule="auto"/>
              <w:rPr>
                <w:color w:val="000000"/>
                <w:sz w:val="22"/>
                <w:szCs w:val="22"/>
                <w:lang w:bidi="ne-NP"/>
              </w:rPr>
            </w:pPr>
            <w:r w:rsidRPr="00D21137">
              <w:rPr>
                <w:color w:val="000000"/>
                <w:sz w:val="22"/>
                <w:szCs w:val="22"/>
                <w:lang w:bidi="ne-NP"/>
              </w:rPr>
              <w:t>nitrate reductase subunit alpha</w:t>
            </w:r>
          </w:p>
        </w:tc>
      </w:tr>
    </w:tbl>
    <w:p w14:paraId="7F8BDEB8" w14:textId="77777777" w:rsidR="00F33FC4" w:rsidRPr="00F33FC4" w:rsidRDefault="00F33FC4" w:rsidP="00F33FC4">
      <w:pPr>
        <w:spacing w:line="360" w:lineRule="auto"/>
        <w:rPr>
          <w:rFonts w:eastAsia="Calibri"/>
          <w:b/>
          <w:bCs/>
        </w:rPr>
      </w:pPr>
      <w:r w:rsidRPr="00F33FC4">
        <w:rPr>
          <w:rFonts w:eastAsia="Calibri"/>
          <w:b/>
          <w:bCs/>
        </w:rPr>
        <w:br w:type="page"/>
      </w:r>
    </w:p>
    <w:tbl>
      <w:tblPr>
        <w:tblpPr w:leftFromText="180" w:rightFromText="180" w:horzAnchor="margin" w:tblpY="853"/>
        <w:tblW w:w="8784" w:type="dxa"/>
        <w:tblLook w:val="04A0" w:firstRow="1" w:lastRow="0" w:firstColumn="1" w:lastColumn="0" w:noHBand="0" w:noVBand="1"/>
      </w:tblPr>
      <w:tblGrid>
        <w:gridCol w:w="767"/>
        <w:gridCol w:w="1162"/>
        <w:gridCol w:w="901"/>
        <w:gridCol w:w="2410"/>
        <w:gridCol w:w="3544"/>
      </w:tblGrid>
      <w:tr w:rsidR="00F33FC4" w:rsidRPr="00D21137" w14:paraId="5CEF499B" w14:textId="77777777" w:rsidTr="00D21137">
        <w:trPr>
          <w:trHeight w:val="720"/>
        </w:trPr>
        <w:tc>
          <w:tcPr>
            <w:tcW w:w="767"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33EC3826" w14:textId="77777777" w:rsidR="00F33FC4" w:rsidRPr="00D21137" w:rsidRDefault="00F33FC4" w:rsidP="00D21137">
            <w:pPr>
              <w:spacing w:line="360" w:lineRule="auto"/>
              <w:jc w:val="center"/>
              <w:rPr>
                <w:b/>
                <w:bCs/>
                <w:color w:val="000000"/>
                <w:sz w:val="22"/>
                <w:szCs w:val="22"/>
                <w:lang w:bidi="ne-NP"/>
              </w:rPr>
            </w:pPr>
            <w:r w:rsidRPr="00D21137">
              <w:rPr>
                <w:b/>
                <w:bCs/>
                <w:color w:val="000000"/>
                <w:sz w:val="22"/>
                <w:szCs w:val="22"/>
                <w:lang w:bidi="ne-NP"/>
              </w:rPr>
              <w:lastRenderedPageBreak/>
              <w:t>Gene</w:t>
            </w:r>
          </w:p>
        </w:tc>
        <w:tc>
          <w:tcPr>
            <w:tcW w:w="1162" w:type="dxa"/>
            <w:tcBorders>
              <w:top w:val="single" w:sz="4" w:space="0" w:color="000000"/>
              <w:left w:val="nil"/>
              <w:bottom w:val="single" w:sz="4" w:space="0" w:color="000000"/>
              <w:right w:val="single" w:sz="4" w:space="0" w:color="000000"/>
            </w:tcBorders>
            <w:shd w:val="clear" w:color="auto" w:fill="auto"/>
            <w:vAlign w:val="center"/>
            <w:hideMark/>
          </w:tcPr>
          <w:p w14:paraId="0832D4A9" w14:textId="77777777" w:rsidR="00F33FC4" w:rsidRPr="00D21137" w:rsidRDefault="00F33FC4" w:rsidP="00D21137">
            <w:pPr>
              <w:spacing w:line="360" w:lineRule="auto"/>
              <w:jc w:val="center"/>
              <w:rPr>
                <w:b/>
                <w:bCs/>
                <w:color w:val="000000"/>
                <w:sz w:val="22"/>
                <w:szCs w:val="22"/>
                <w:lang w:bidi="ne-NP"/>
              </w:rPr>
            </w:pPr>
            <w:r w:rsidRPr="00D21137">
              <w:rPr>
                <w:b/>
                <w:bCs/>
                <w:color w:val="000000"/>
                <w:sz w:val="22"/>
                <w:szCs w:val="22"/>
                <w:lang w:bidi="ne-NP"/>
              </w:rPr>
              <w:t>Log</w:t>
            </w:r>
            <w:r w:rsidRPr="00D21137">
              <w:rPr>
                <w:b/>
                <w:bCs/>
                <w:color w:val="000000"/>
                <w:sz w:val="22"/>
                <w:szCs w:val="22"/>
                <w:vertAlign w:val="subscript"/>
                <w:lang w:bidi="ne-NP"/>
              </w:rPr>
              <w:t>2</w:t>
            </w:r>
            <w:r w:rsidRPr="00D21137">
              <w:rPr>
                <w:b/>
                <w:bCs/>
                <w:color w:val="000000"/>
                <w:sz w:val="22"/>
                <w:szCs w:val="22"/>
                <w:lang w:bidi="ne-NP"/>
              </w:rPr>
              <w:t>Fold Change</w:t>
            </w:r>
          </w:p>
        </w:tc>
        <w:tc>
          <w:tcPr>
            <w:tcW w:w="901" w:type="dxa"/>
            <w:tcBorders>
              <w:top w:val="single" w:sz="4" w:space="0" w:color="000000"/>
              <w:left w:val="nil"/>
              <w:bottom w:val="single" w:sz="4" w:space="0" w:color="000000"/>
              <w:right w:val="single" w:sz="4" w:space="0" w:color="000000"/>
            </w:tcBorders>
            <w:shd w:val="clear" w:color="auto" w:fill="auto"/>
            <w:noWrap/>
            <w:vAlign w:val="center"/>
            <w:hideMark/>
          </w:tcPr>
          <w:p w14:paraId="21151C7B" w14:textId="77777777" w:rsidR="00F33FC4" w:rsidRPr="00D21137" w:rsidRDefault="00F33FC4" w:rsidP="00D21137">
            <w:pPr>
              <w:spacing w:line="360" w:lineRule="auto"/>
              <w:jc w:val="center"/>
              <w:rPr>
                <w:b/>
                <w:bCs/>
                <w:color w:val="000000"/>
                <w:sz w:val="22"/>
                <w:szCs w:val="22"/>
                <w:lang w:bidi="ne-NP"/>
              </w:rPr>
            </w:pPr>
            <w:r w:rsidRPr="00D21137">
              <w:rPr>
                <w:b/>
                <w:bCs/>
                <w:color w:val="000000"/>
                <w:sz w:val="22"/>
                <w:szCs w:val="22"/>
                <w:lang w:bidi="ne-NP"/>
              </w:rPr>
              <w:t>p-value</w:t>
            </w:r>
          </w:p>
        </w:tc>
        <w:tc>
          <w:tcPr>
            <w:tcW w:w="2410" w:type="dxa"/>
            <w:tcBorders>
              <w:top w:val="single" w:sz="4" w:space="0" w:color="000000"/>
              <w:left w:val="nil"/>
              <w:bottom w:val="single" w:sz="4" w:space="0" w:color="000000"/>
              <w:right w:val="single" w:sz="4" w:space="0" w:color="000000"/>
            </w:tcBorders>
            <w:shd w:val="clear" w:color="auto" w:fill="auto"/>
            <w:vAlign w:val="center"/>
            <w:hideMark/>
          </w:tcPr>
          <w:p w14:paraId="41F2604B" w14:textId="77777777" w:rsidR="00F33FC4" w:rsidRPr="00D21137" w:rsidRDefault="00F33FC4" w:rsidP="00D21137">
            <w:pPr>
              <w:spacing w:line="360" w:lineRule="auto"/>
              <w:rPr>
                <w:b/>
                <w:bCs/>
                <w:color w:val="000000"/>
                <w:sz w:val="22"/>
                <w:szCs w:val="22"/>
                <w:lang w:bidi="ne-NP"/>
              </w:rPr>
            </w:pPr>
            <w:r w:rsidRPr="00D21137">
              <w:rPr>
                <w:b/>
                <w:bCs/>
                <w:color w:val="000000"/>
                <w:sz w:val="22"/>
                <w:szCs w:val="22"/>
                <w:lang w:bidi="ne-NP"/>
              </w:rPr>
              <w:t>Functional category</w:t>
            </w:r>
          </w:p>
        </w:tc>
        <w:tc>
          <w:tcPr>
            <w:tcW w:w="3544" w:type="dxa"/>
            <w:tcBorders>
              <w:top w:val="single" w:sz="4" w:space="0" w:color="000000"/>
              <w:left w:val="nil"/>
              <w:bottom w:val="single" w:sz="4" w:space="0" w:color="000000"/>
              <w:right w:val="single" w:sz="4" w:space="0" w:color="000000"/>
            </w:tcBorders>
            <w:shd w:val="clear" w:color="auto" w:fill="auto"/>
            <w:vAlign w:val="center"/>
            <w:hideMark/>
          </w:tcPr>
          <w:p w14:paraId="0A64ED46" w14:textId="77777777" w:rsidR="00F33FC4" w:rsidRPr="00D21137" w:rsidRDefault="00F33FC4" w:rsidP="00D21137">
            <w:pPr>
              <w:spacing w:line="360" w:lineRule="auto"/>
              <w:jc w:val="center"/>
              <w:rPr>
                <w:b/>
                <w:bCs/>
                <w:color w:val="000000"/>
                <w:sz w:val="22"/>
                <w:szCs w:val="22"/>
                <w:lang w:bidi="ne-NP"/>
              </w:rPr>
            </w:pPr>
            <w:r w:rsidRPr="00D21137">
              <w:rPr>
                <w:b/>
                <w:bCs/>
                <w:color w:val="000000"/>
                <w:sz w:val="22"/>
                <w:szCs w:val="22"/>
                <w:lang w:bidi="ne-NP"/>
              </w:rPr>
              <w:t>Protein Description</w:t>
            </w:r>
          </w:p>
        </w:tc>
      </w:tr>
      <w:tr w:rsidR="00D21137" w:rsidRPr="00D21137" w14:paraId="0472BF4A" w14:textId="77777777" w:rsidTr="00D21137">
        <w:trPr>
          <w:trHeight w:val="720"/>
        </w:trPr>
        <w:tc>
          <w:tcPr>
            <w:tcW w:w="767" w:type="dxa"/>
            <w:tcBorders>
              <w:top w:val="single" w:sz="4" w:space="0" w:color="AEAAAA"/>
              <w:left w:val="single" w:sz="4" w:space="0" w:color="AEAAAA"/>
              <w:bottom w:val="single" w:sz="4" w:space="0" w:color="AEAAAA"/>
              <w:right w:val="single" w:sz="4" w:space="0" w:color="AEAAAA"/>
            </w:tcBorders>
            <w:shd w:val="clear" w:color="auto" w:fill="auto"/>
            <w:noWrap/>
            <w:vAlign w:val="center"/>
          </w:tcPr>
          <w:p w14:paraId="62E79B78" w14:textId="6FBA0ACF" w:rsidR="00D21137" w:rsidRPr="00D21137" w:rsidRDefault="00D21137" w:rsidP="00D21137">
            <w:pPr>
              <w:spacing w:line="360" w:lineRule="auto"/>
              <w:rPr>
                <w:i/>
                <w:iCs/>
                <w:color w:val="000000"/>
                <w:sz w:val="22"/>
                <w:szCs w:val="22"/>
                <w:lang w:bidi="ne-NP"/>
              </w:rPr>
            </w:pPr>
            <w:proofErr w:type="spellStart"/>
            <w:r w:rsidRPr="00D21137">
              <w:rPr>
                <w:i/>
                <w:iCs/>
                <w:color w:val="000000"/>
                <w:sz w:val="22"/>
                <w:szCs w:val="22"/>
                <w:lang w:bidi="ne-NP"/>
              </w:rPr>
              <w:t>narH</w:t>
            </w:r>
            <w:proofErr w:type="spellEnd"/>
          </w:p>
        </w:tc>
        <w:tc>
          <w:tcPr>
            <w:tcW w:w="1162" w:type="dxa"/>
            <w:tcBorders>
              <w:top w:val="single" w:sz="4" w:space="0" w:color="AEAAAA"/>
              <w:left w:val="nil"/>
              <w:bottom w:val="single" w:sz="4" w:space="0" w:color="AEAAAA"/>
              <w:right w:val="single" w:sz="4" w:space="0" w:color="AEAAAA"/>
            </w:tcBorders>
            <w:shd w:val="clear" w:color="auto" w:fill="auto"/>
            <w:noWrap/>
            <w:vAlign w:val="center"/>
          </w:tcPr>
          <w:p w14:paraId="6A443477" w14:textId="4F3DA35B" w:rsidR="00D21137" w:rsidRPr="00D21137" w:rsidRDefault="00D21137" w:rsidP="00D21137">
            <w:pPr>
              <w:spacing w:line="360" w:lineRule="auto"/>
              <w:jc w:val="center"/>
              <w:rPr>
                <w:color w:val="000000"/>
                <w:sz w:val="22"/>
                <w:szCs w:val="22"/>
                <w:lang w:bidi="ne-NP"/>
              </w:rPr>
            </w:pPr>
            <w:r w:rsidRPr="00D21137">
              <w:rPr>
                <w:color w:val="000000"/>
                <w:sz w:val="22"/>
                <w:szCs w:val="22"/>
                <w:lang w:bidi="ne-NP"/>
              </w:rPr>
              <w:t>1.78</w:t>
            </w:r>
          </w:p>
        </w:tc>
        <w:tc>
          <w:tcPr>
            <w:tcW w:w="901" w:type="dxa"/>
            <w:tcBorders>
              <w:top w:val="single" w:sz="4" w:space="0" w:color="AEAAAA"/>
              <w:left w:val="nil"/>
              <w:bottom w:val="single" w:sz="4" w:space="0" w:color="AEAAAA"/>
              <w:right w:val="single" w:sz="4" w:space="0" w:color="AEAAAA"/>
            </w:tcBorders>
            <w:shd w:val="clear" w:color="auto" w:fill="auto"/>
            <w:noWrap/>
            <w:vAlign w:val="center"/>
          </w:tcPr>
          <w:p w14:paraId="559DAC52" w14:textId="0AB0B327" w:rsidR="00D21137" w:rsidRPr="00D21137" w:rsidRDefault="00D21137" w:rsidP="00D21137">
            <w:pPr>
              <w:spacing w:line="360" w:lineRule="auto"/>
              <w:jc w:val="center"/>
              <w:rPr>
                <w:color w:val="000000"/>
                <w:sz w:val="22"/>
                <w:szCs w:val="22"/>
                <w:lang w:bidi="ne-NP"/>
              </w:rPr>
            </w:pPr>
            <w:r w:rsidRPr="00D21137">
              <w:rPr>
                <w:color w:val="000000"/>
                <w:sz w:val="22"/>
                <w:szCs w:val="22"/>
                <w:lang w:bidi="ne-NP"/>
              </w:rPr>
              <w:t>3E-04</w:t>
            </w:r>
          </w:p>
        </w:tc>
        <w:tc>
          <w:tcPr>
            <w:tcW w:w="2410" w:type="dxa"/>
            <w:tcBorders>
              <w:top w:val="single" w:sz="4" w:space="0" w:color="AEAAAA"/>
              <w:left w:val="nil"/>
              <w:bottom w:val="single" w:sz="4" w:space="0" w:color="AEAAAA"/>
              <w:right w:val="single" w:sz="4" w:space="0" w:color="AEAAAA"/>
            </w:tcBorders>
            <w:shd w:val="clear" w:color="auto" w:fill="auto"/>
            <w:noWrap/>
            <w:vAlign w:val="center"/>
          </w:tcPr>
          <w:p w14:paraId="1CE89FA1" w14:textId="37D59185" w:rsidR="00D21137" w:rsidRPr="00D21137" w:rsidRDefault="00D21137" w:rsidP="00D21137">
            <w:pPr>
              <w:spacing w:line="360" w:lineRule="auto"/>
              <w:rPr>
                <w:color w:val="000000"/>
                <w:sz w:val="22"/>
                <w:szCs w:val="22"/>
                <w:lang w:bidi="ne-NP"/>
              </w:rPr>
            </w:pPr>
            <w:r w:rsidRPr="00D21137">
              <w:rPr>
                <w:color w:val="000000"/>
                <w:sz w:val="22"/>
                <w:szCs w:val="22"/>
                <w:lang w:bidi="ne-NP"/>
              </w:rPr>
              <w:t>Nitrogen metabolism</w:t>
            </w:r>
          </w:p>
        </w:tc>
        <w:tc>
          <w:tcPr>
            <w:tcW w:w="3544" w:type="dxa"/>
            <w:tcBorders>
              <w:top w:val="single" w:sz="4" w:space="0" w:color="AEAAAA"/>
              <w:left w:val="nil"/>
              <w:bottom w:val="single" w:sz="4" w:space="0" w:color="AEAAAA"/>
              <w:right w:val="single" w:sz="4" w:space="0" w:color="AEAAAA"/>
            </w:tcBorders>
            <w:shd w:val="clear" w:color="auto" w:fill="auto"/>
            <w:vAlign w:val="center"/>
          </w:tcPr>
          <w:p w14:paraId="2340B52A" w14:textId="173C778E" w:rsidR="00D21137" w:rsidRPr="00D21137" w:rsidRDefault="00D21137" w:rsidP="00D21137">
            <w:pPr>
              <w:spacing w:line="360" w:lineRule="auto"/>
              <w:rPr>
                <w:color w:val="000000"/>
                <w:sz w:val="22"/>
                <w:szCs w:val="22"/>
                <w:lang w:bidi="ne-NP"/>
              </w:rPr>
            </w:pPr>
            <w:r w:rsidRPr="00D21137">
              <w:rPr>
                <w:color w:val="000000"/>
                <w:sz w:val="22"/>
                <w:szCs w:val="22"/>
                <w:lang w:bidi="ne-NP"/>
              </w:rPr>
              <w:t>nitrate reductase subunit beta</w:t>
            </w:r>
          </w:p>
        </w:tc>
      </w:tr>
      <w:tr w:rsidR="00D21137" w:rsidRPr="00D21137" w14:paraId="49F22A95" w14:textId="77777777" w:rsidTr="00D21137">
        <w:trPr>
          <w:trHeight w:val="720"/>
        </w:trPr>
        <w:tc>
          <w:tcPr>
            <w:tcW w:w="767" w:type="dxa"/>
            <w:tcBorders>
              <w:top w:val="single" w:sz="4" w:space="0" w:color="AEAAAA"/>
              <w:left w:val="single" w:sz="4" w:space="0" w:color="AEAAAA"/>
              <w:bottom w:val="single" w:sz="4" w:space="0" w:color="AEAAAA"/>
              <w:right w:val="single" w:sz="4" w:space="0" w:color="AEAAAA"/>
            </w:tcBorders>
            <w:shd w:val="clear" w:color="auto" w:fill="auto"/>
            <w:noWrap/>
            <w:vAlign w:val="center"/>
          </w:tcPr>
          <w:p w14:paraId="25CE48F1" w14:textId="3793F805" w:rsidR="00D21137" w:rsidRPr="00D21137" w:rsidRDefault="00D21137" w:rsidP="00D21137">
            <w:pPr>
              <w:spacing w:line="360" w:lineRule="auto"/>
              <w:rPr>
                <w:i/>
                <w:iCs/>
                <w:color w:val="000000"/>
                <w:sz w:val="22"/>
                <w:szCs w:val="22"/>
                <w:lang w:bidi="ne-NP"/>
              </w:rPr>
            </w:pPr>
            <w:proofErr w:type="spellStart"/>
            <w:r w:rsidRPr="00D21137">
              <w:rPr>
                <w:i/>
                <w:iCs/>
                <w:color w:val="000000"/>
                <w:sz w:val="22"/>
                <w:szCs w:val="22"/>
                <w:lang w:bidi="ne-NP"/>
              </w:rPr>
              <w:t>narK</w:t>
            </w:r>
            <w:proofErr w:type="spellEnd"/>
          </w:p>
        </w:tc>
        <w:tc>
          <w:tcPr>
            <w:tcW w:w="1162" w:type="dxa"/>
            <w:tcBorders>
              <w:top w:val="single" w:sz="4" w:space="0" w:color="AEAAAA"/>
              <w:left w:val="nil"/>
              <w:bottom w:val="single" w:sz="4" w:space="0" w:color="AEAAAA"/>
              <w:right w:val="single" w:sz="4" w:space="0" w:color="AEAAAA"/>
            </w:tcBorders>
            <w:shd w:val="clear" w:color="auto" w:fill="auto"/>
            <w:noWrap/>
            <w:vAlign w:val="center"/>
          </w:tcPr>
          <w:p w14:paraId="75D10516" w14:textId="429EA2E5" w:rsidR="00D21137" w:rsidRPr="00D21137" w:rsidRDefault="00D21137" w:rsidP="00D21137">
            <w:pPr>
              <w:spacing w:line="360" w:lineRule="auto"/>
              <w:jc w:val="center"/>
              <w:rPr>
                <w:color w:val="000000"/>
                <w:sz w:val="22"/>
                <w:szCs w:val="22"/>
                <w:lang w:bidi="ne-NP"/>
              </w:rPr>
            </w:pPr>
            <w:r w:rsidRPr="00D21137">
              <w:rPr>
                <w:color w:val="000000"/>
                <w:sz w:val="22"/>
                <w:szCs w:val="22"/>
                <w:lang w:bidi="ne-NP"/>
              </w:rPr>
              <w:t>3.51</w:t>
            </w:r>
          </w:p>
        </w:tc>
        <w:tc>
          <w:tcPr>
            <w:tcW w:w="901" w:type="dxa"/>
            <w:tcBorders>
              <w:top w:val="single" w:sz="4" w:space="0" w:color="AEAAAA"/>
              <w:left w:val="nil"/>
              <w:bottom w:val="single" w:sz="4" w:space="0" w:color="AEAAAA"/>
              <w:right w:val="single" w:sz="4" w:space="0" w:color="AEAAAA"/>
            </w:tcBorders>
            <w:shd w:val="clear" w:color="auto" w:fill="auto"/>
            <w:noWrap/>
            <w:vAlign w:val="center"/>
          </w:tcPr>
          <w:p w14:paraId="6EBD1E64" w14:textId="5ADC052E" w:rsidR="00D21137" w:rsidRPr="00D21137" w:rsidRDefault="00D21137" w:rsidP="00D21137">
            <w:pPr>
              <w:spacing w:line="360" w:lineRule="auto"/>
              <w:jc w:val="center"/>
              <w:rPr>
                <w:color w:val="000000"/>
                <w:sz w:val="22"/>
                <w:szCs w:val="22"/>
                <w:lang w:bidi="ne-NP"/>
              </w:rPr>
            </w:pPr>
            <w:r w:rsidRPr="00D21137">
              <w:rPr>
                <w:color w:val="000000"/>
                <w:sz w:val="22"/>
                <w:szCs w:val="22"/>
                <w:lang w:bidi="ne-NP"/>
              </w:rPr>
              <w:t>1E-07</w:t>
            </w:r>
          </w:p>
        </w:tc>
        <w:tc>
          <w:tcPr>
            <w:tcW w:w="2410" w:type="dxa"/>
            <w:tcBorders>
              <w:top w:val="single" w:sz="4" w:space="0" w:color="AEAAAA"/>
              <w:left w:val="nil"/>
              <w:bottom w:val="single" w:sz="4" w:space="0" w:color="AEAAAA"/>
              <w:right w:val="single" w:sz="4" w:space="0" w:color="AEAAAA"/>
            </w:tcBorders>
            <w:shd w:val="clear" w:color="auto" w:fill="auto"/>
            <w:noWrap/>
            <w:vAlign w:val="center"/>
          </w:tcPr>
          <w:p w14:paraId="6843D6D7" w14:textId="45BF9552" w:rsidR="00D21137" w:rsidRPr="00D21137" w:rsidRDefault="00D21137" w:rsidP="00D21137">
            <w:pPr>
              <w:spacing w:line="360" w:lineRule="auto"/>
              <w:rPr>
                <w:color w:val="000000"/>
                <w:sz w:val="22"/>
                <w:szCs w:val="22"/>
                <w:lang w:bidi="ne-NP"/>
              </w:rPr>
            </w:pPr>
            <w:r w:rsidRPr="00D21137">
              <w:rPr>
                <w:color w:val="000000"/>
                <w:sz w:val="22"/>
                <w:szCs w:val="22"/>
                <w:lang w:bidi="ne-NP"/>
              </w:rPr>
              <w:t>Nitrogen metabolism</w:t>
            </w:r>
          </w:p>
        </w:tc>
        <w:tc>
          <w:tcPr>
            <w:tcW w:w="3544" w:type="dxa"/>
            <w:tcBorders>
              <w:top w:val="single" w:sz="4" w:space="0" w:color="AEAAAA"/>
              <w:left w:val="nil"/>
              <w:bottom w:val="single" w:sz="4" w:space="0" w:color="AEAAAA"/>
              <w:right w:val="single" w:sz="4" w:space="0" w:color="AEAAAA"/>
            </w:tcBorders>
            <w:shd w:val="clear" w:color="auto" w:fill="auto"/>
            <w:vAlign w:val="center"/>
          </w:tcPr>
          <w:p w14:paraId="0D95E155" w14:textId="61D03BEF" w:rsidR="00D21137" w:rsidRPr="00D21137" w:rsidRDefault="00D21137" w:rsidP="00D21137">
            <w:pPr>
              <w:spacing w:line="360" w:lineRule="auto"/>
              <w:rPr>
                <w:color w:val="000000"/>
                <w:sz w:val="22"/>
                <w:szCs w:val="22"/>
                <w:lang w:bidi="ne-NP"/>
              </w:rPr>
            </w:pPr>
            <w:r w:rsidRPr="00D21137">
              <w:rPr>
                <w:color w:val="000000"/>
                <w:sz w:val="22"/>
                <w:szCs w:val="22"/>
                <w:lang w:bidi="ne-NP"/>
              </w:rPr>
              <w:t xml:space="preserve">nitrate transporter </w:t>
            </w:r>
            <w:proofErr w:type="spellStart"/>
            <w:r w:rsidRPr="00D21137">
              <w:rPr>
                <w:color w:val="000000"/>
                <w:sz w:val="22"/>
                <w:szCs w:val="22"/>
                <w:lang w:bidi="ne-NP"/>
              </w:rPr>
              <w:t>NarK</w:t>
            </w:r>
            <w:proofErr w:type="spellEnd"/>
          </w:p>
        </w:tc>
      </w:tr>
      <w:tr w:rsidR="00D21137" w:rsidRPr="00D21137" w14:paraId="610000AD" w14:textId="77777777" w:rsidTr="00D21137">
        <w:trPr>
          <w:trHeight w:val="720"/>
        </w:trPr>
        <w:tc>
          <w:tcPr>
            <w:tcW w:w="767" w:type="dxa"/>
            <w:tcBorders>
              <w:top w:val="nil"/>
              <w:left w:val="single" w:sz="4" w:space="0" w:color="AEAAAA"/>
              <w:bottom w:val="single" w:sz="4" w:space="0" w:color="AEAAAA"/>
              <w:right w:val="single" w:sz="4" w:space="0" w:color="AEAAAA"/>
            </w:tcBorders>
            <w:shd w:val="clear" w:color="auto" w:fill="auto"/>
            <w:noWrap/>
            <w:vAlign w:val="center"/>
            <w:hideMark/>
          </w:tcPr>
          <w:p w14:paraId="412121BF" w14:textId="77777777" w:rsidR="00D21137" w:rsidRPr="00D21137" w:rsidRDefault="00D21137" w:rsidP="00D21137">
            <w:pPr>
              <w:spacing w:line="360" w:lineRule="auto"/>
              <w:rPr>
                <w:i/>
                <w:iCs/>
                <w:color w:val="000000"/>
                <w:sz w:val="22"/>
                <w:szCs w:val="22"/>
                <w:lang w:bidi="ne-NP"/>
              </w:rPr>
            </w:pPr>
            <w:proofErr w:type="spellStart"/>
            <w:r w:rsidRPr="00D21137">
              <w:rPr>
                <w:i/>
                <w:iCs/>
                <w:color w:val="000000"/>
                <w:sz w:val="22"/>
                <w:szCs w:val="22"/>
                <w:lang w:bidi="ne-NP"/>
              </w:rPr>
              <w:t>nirB</w:t>
            </w:r>
            <w:proofErr w:type="spellEnd"/>
          </w:p>
        </w:tc>
        <w:tc>
          <w:tcPr>
            <w:tcW w:w="1162" w:type="dxa"/>
            <w:tcBorders>
              <w:top w:val="nil"/>
              <w:left w:val="nil"/>
              <w:bottom w:val="single" w:sz="4" w:space="0" w:color="AEAAAA"/>
              <w:right w:val="single" w:sz="4" w:space="0" w:color="AEAAAA"/>
            </w:tcBorders>
            <w:shd w:val="clear" w:color="auto" w:fill="auto"/>
            <w:noWrap/>
            <w:vAlign w:val="center"/>
            <w:hideMark/>
          </w:tcPr>
          <w:p w14:paraId="2F186824" w14:textId="77777777" w:rsidR="00D21137" w:rsidRPr="00D21137" w:rsidRDefault="00D21137" w:rsidP="00D21137">
            <w:pPr>
              <w:spacing w:line="360" w:lineRule="auto"/>
              <w:jc w:val="center"/>
              <w:rPr>
                <w:color w:val="000000"/>
                <w:sz w:val="22"/>
                <w:szCs w:val="22"/>
                <w:lang w:bidi="ne-NP"/>
              </w:rPr>
            </w:pPr>
            <w:r w:rsidRPr="00D21137">
              <w:rPr>
                <w:color w:val="000000"/>
                <w:sz w:val="22"/>
                <w:szCs w:val="22"/>
                <w:lang w:bidi="ne-NP"/>
              </w:rPr>
              <w:t>4.03</w:t>
            </w:r>
          </w:p>
        </w:tc>
        <w:tc>
          <w:tcPr>
            <w:tcW w:w="901" w:type="dxa"/>
            <w:tcBorders>
              <w:top w:val="nil"/>
              <w:left w:val="nil"/>
              <w:bottom w:val="single" w:sz="4" w:space="0" w:color="AEAAAA"/>
              <w:right w:val="single" w:sz="4" w:space="0" w:color="AEAAAA"/>
            </w:tcBorders>
            <w:shd w:val="clear" w:color="auto" w:fill="auto"/>
            <w:noWrap/>
            <w:vAlign w:val="center"/>
            <w:hideMark/>
          </w:tcPr>
          <w:p w14:paraId="565FF90E" w14:textId="77777777" w:rsidR="00D21137" w:rsidRPr="00D21137" w:rsidRDefault="00D21137" w:rsidP="00D21137">
            <w:pPr>
              <w:spacing w:line="360" w:lineRule="auto"/>
              <w:jc w:val="center"/>
              <w:rPr>
                <w:color w:val="000000"/>
                <w:sz w:val="22"/>
                <w:szCs w:val="22"/>
                <w:lang w:bidi="ne-NP"/>
              </w:rPr>
            </w:pPr>
            <w:r w:rsidRPr="00D21137">
              <w:rPr>
                <w:color w:val="000000"/>
                <w:sz w:val="22"/>
                <w:szCs w:val="22"/>
                <w:lang w:bidi="ne-NP"/>
              </w:rPr>
              <w:t>1E-06</w:t>
            </w:r>
          </w:p>
        </w:tc>
        <w:tc>
          <w:tcPr>
            <w:tcW w:w="2410" w:type="dxa"/>
            <w:tcBorders>
              <w:top w:val="nil"/>
              <w:left w:val="nil"/>
              <w:bottom w:val="single" w:sz="4" w:space="0" w:color="AEAAAA"/>
              <w:right w:val="single" w:sz="4" w:space="0" w:color="AEAAAA"/>
            </w:tcBorders>
            <w:shd w:val="clear" w:color="auto" w:fill="auto"/>
            <w:noWrap/>
            <w:vAlign w:val="center"/>
            <w:hideMark/>
          </w:tcPr>
          <w:p w14:paraId="3AE26EF8" w14:textId="77777777" w:rsidR="00D21137" w:rsidRPr="00D21137" w:rsidRDefault="00D21137" w:rsidP="00D21137">
            <w:pPr>
              <w:spacing w:line="360" w:lineRule="auto"/>
              <w:rPr>
                <w:color w:val="000000"/>
                <w:sz w:val="22"/>
                <w:szCs w:val="22"/>
                <w:lang w:bidi="ne-NP"/>
              </w:rPr>
            </w:pPr>
            <w:r w:rsidRPr="00D21137">
              <w:rPr>
                <w:color w:val="000000"/>
                <w:sz w:val="22"/>
                <w:szCs w:val="22"/>
                <w:lang w:bidi="ne-NP"/>
              </w:rPr>
              <w:t>Nitrogen metabolism</w:t>
            </w:r>
          </w:p>
        </w:tc>
        <w:tc>
          <w:tcPr>
            <w:tcW w:w="3544" w:type="dxa"/>
            <w:tcBorders>
              <w:top w:val="nil"/>
              <w:left w:val="nil"/>
              <w:bottom w:val="single" w:sz="4" w:space="0" w:color="AEAAAA"/>
              <w:right w:val="single" w:sz="4" w:space="0" w:color="AEAAAA"/>
            </w:tcBorders>
            <w:shd w:val="clear" w:color="auto" w:fill="auto"/>
            <w:vAlign w:val="center"/>
            <w:hideMark/>
          </w:tcPr>
          <w:p w14:paraId="1BC7F49E" w14:textId="77777777" w:rsidR="00D21137" w:rsidRPr="00D21137" w:rsidRDefault="00D21137" w:rsidP="00D21137">
            <w:pPr>
              <w:spacing w:line="360" w:lineRule="auto"/>
              <w:rPr>
                <w:color w:val="000000"/>
                <w:sz w:val="22"/>
                <w:szCs w:val="22"/>
                <w:lang w:bidi="ne-NP"/>
              </w:rPr>
            </w:pPr>
            <w:r w:rsidRPr="00D21137">
              <w:rPr>
                <w:color w:val="000000"/>
                <w:sz w:val="22"/>
                <w:szCs w:val="22"/>
                <w:lang w:bidi="ne-NP"/>
              </w:rPr>
              <w:t>NADPH-nitrite reductase large subunit</w:t>
            </w:r>
          </w:p>
        </w:tc>
      </w:tr>
      <w:tr w:rsidR="00D21137" w:rsidRPr="00D21137" w14:paraId="449F799F" w14:textId="77777777" w:rsidTr="00D21137">
        <w:trPr>
          <w:trHeight w:val="720"/>
        </w:trPr>
        <w:tc>
          <w:tcPr>
            <w:tcW w:w="767" w:type="dxa"/>
            <w:tcBorders>
              <w:top w:val="nil"/>
              <w:left w:val="single" w:sz="4" w:space="0" w:color="AEAAAA"/>
              <w:bottom w:val="single" w:sz="4" w:space="0" w:color="AEAAAA"/>
              <w:right w:val="single" w:sz="4" w:space="0" w:color="AEAAAA"/>
            </w:tcBorders>
            <w:shd w:val="clear" w:color="auto" w:fill="auto"/>
            <w:noWrap/>
            <w:vAlign w:val="center"/>
            <w:hideMark/>
          </w:tcPr>
          <w:p w14:paraId="5826DE4A" w14:textId="77777777" w:rsidR="00D21137" w:rsidRPr="00D21137" w:rsidRDefault="00D21137" w:rsidP="00D21137">
            <w:pPr>
              <w:spacing w:line="360" w:lineRule="auto"/>
              <w:rPr>
                <w:i/>
                <w:iCs/>
                <w:color w:val="000000"/>
                <w:sz w:val="22"/>
                <w:szCs w:val="22"/>
                <w:lang w:bidi="ne-NP"/>
              </w:rPr>
            </w:pPr>
            <w:proofErr w:type="spellStart"/>
            <w:r w:rsidRPr="00D21137">
              <w:rPr>
                <w:i/>
                <w:iCs/>
                <w:color w:val="000000"/>
                <w:sz w:val="22"/>
                <w:szCs w:val="22"/>
                <w:lang w:bidi="ne-NP"/>
              </w:rPr>
              <w:t>nrfA</w:t>
            </w:r>
            <w:proofErr w:type="spellEnd"/>
          </w:p>
        </w:tc>
        <w:tc>
          <w:tcPr>
            <w:tcW w:w="1162" w:type="dxa"/>
            <w:tcBorders>
              <w:top w:val="nil"/>
              <w:left w:val="nil"/>
              <w:bottom w:val="single" w:sz="4" w:space="0" w:color="AEAAAA"/>
              <w:right w:val="single" w:sz="4" w:space="0" w:color="AEAAAA"/>
            </w:tcBorders>
            <w:shd w:val="clear" w:color="auto" w:fill="auto"/>
            <w:noWrap/>
            <w:vAlign w:val="center"/>
            <w:hideMark/>
          </w:tcPr>
          <w:p w14:paraId="662A96DF" w14:textId="77777777" w:rsidR="00D21137" w:rsidRPr="00D21137" w:rsidRDefault="00D21137" w:rsidP="00D21137">
            <w:pPr>
              <w:spacing w:line="360" w:lineRule="auto"/>
              <w:jc w:val="center"/>
              <w:rPr>
                <w:color w:val="000000"/>
                <w:sz w:val="22"/>
                <w:szCs w:val="22"/>
                <w:lang w:bidi="ne-NP"/>
              </w:rPr>
            </w:pPr>
            <w:r w:rsidRPr="00D21137">
              <w:rPr>
                <w:color w:val="000000"/>
                <w:sz w:val="22"/>
                <w:szCs w:val="22"/>
                <w:lang w:bidi="ne-NP"/>
              </w:rPr>
              <w:t>2.85</w:t>
            </w:r>
          </w:p>
        </w:tc>
        <w:tc>
          <w:tcPr>
            <w:tcW w:w="901" w:type="dxa"/>
            <w:tcBorders>
              <w:top w:val="nil"/>
              <w:left w:val="nil"/>
              <w:bottom w:val="single" w:sz="4" w:space="0" w:color="AEAAAA"/>
              <w:right w:val="single" w:sz="4" w:space="0" w:color="AEAAAA"/>
            </w:tcBorders>
            <w:shd w:val="clear" w:color="auto" w:fill="auto"/>
            <w:noWrap/>
            <w:vAlign w:val="center"/>
            <w:hideMark/>
          </w:tcPr>
          <w:p w14:paraId="0AEAC8A0" w14:textId="77777777" w:rsidR="00D21137" w:rsidRPr="00D21137" w:rsidRDefault="00D21137" w:rsidP="00D21137">
            <w:pPr>
              <w:spacing w:line="360" w:lineRule="auto"/>
              <w:jc w:val="center"/>
              <w:rPr>
                <w:color w:val="000000"/>
                <w:sz w:val="22"/>
                <w:szCs w:val="22"/>
                <w:lang w:bidi="ne-NP"/>
              </w:rPr>
            </w:pPr>
            <w:r w:rsidRPr="00D21137">
              <w:rPr>
                <w:color w:val="000000"/>
                <w:sz w:val="22"/>
                <w:szCs w:val="22"/>
                <w:lang w:bidi="ne-NP"/>
              </w:rPr>
              <w:t>6E-08</w:t>
            </w:r>
          </w:p>
        </w:tc>
        <w:tc>
          <w:tcPr>
            <w:tcW w:w="2410" w:type="dxa"/>
            <w:tcBorders>
              <w:top w:val="nil"/>
              <w:left w:val="nil"/>
              <w:bottom w:val="single" w:sz="4" w:space="0" w:color="AEAAAA"/>
              <w:right w:val="single" w:sz="4" w:space="0" w:color="AEAAAA"/>
            </w:tcBorders>
            <w:shd w:val="clear" w:color="auto" w:fill="auto"/>
            <w:noWrap/>
            <w:vAlign w:val="center"/>
            <w:hideMark/>
          </w:tcPr>
          <w:p w14:paraId="6C1F4CE8" w14:textId="77777777" w:rsidR="00D21137" w:rsidRPr="00D21137" w:rsidRDefault="00D21137" w:rsidP="00D21137">
            <w:pPr>
              <w:spacing w:line="360" w:lineRule="auto"/>
              <w:rPr>
                <w:color w:val="000000"/>
                <w:sz w:val="22"/>
                <w:szCs w:val="22"/>
                <w:lang w:bidi="ne-NP"/>
              </w:rPr>
            </w:pPr>
            <w:r w:rsidRPr="00D21137">
              <w:rPr>
                <w:color w:val="000000"/>
                <w:sz w:val="22"/>
                <w:szCs w:val="22"/>
                <w:lang w:bidi="ne-NP"/>
              </w:rPr>
              <w:t>Nitrogen metabolism</w:t>
            </w:r>
          </w:p>
        </w:tc>
        <w:tc>
          <w:tcPr>
            <w:tcW w:w="3544" w:type="dxa"/>
            <w:tcBorders>
              <w:top w:val="nil"/>
              <w:left w:val="nil"/>
              <w:bottom w:val="single" w:sz="4" w:space="0" w:color="AEAAAA"/>
              <w:right w:val="single" w:sz="4" w:space="0" w:color="AEAAAA"/>
            </w:tcBorders>
            <w:shd w:val="clear" w:color="auto" w:fill="auto"/>
            <w:vAlign w:val="center"/>
            <w:hideMark/>
          </w:tcPr>
          <w:p w14:paraId="07D6559F" w14:textId="77777777" w:rsidR="00D21137" w:rsidRPr="00D21137" w:rsidRDefault="00D21137" w:rsidP="00D21137">
            <w:pPr>
              <w:spacing w:line="360" w:lineRule="auto"/>
              <w:rPr>
                <w:color w:val="000000"/>
                <w:sz w:val="22"/>
                <w:szCs w:val="22"/>
                <w:lang w:bidi="ne-NP"/>
              </w:rPr>
            </w:pPr>
            <w:r w:rsidRPr="00D21137">
              <w:rPr>
                <w:color w:val="000000"/>
                <w:sz w:val="22"/>
                <w:szCs w:val="22"/>
                <w:lang w:bidi="ne-NP"/>
              </w:rPr>
              <w:t>ammonia-forming nitrite reductase cytochrome C552 subunit</w:t>
            </w:r>
          </w:p>
        </w:tc>
      </w:tr>
      <w:tr w:rsidR="00D21137" w:rsidRPr="00D21137" w14:paraId="3297C9E9" w14:textId="77777777" w:rsidTr="00D21137">
        <w:trPr>
          <w:trHeight w:val="600"/>
        </w:trPr>
        <w:tc>
          <w:tcPr>
            <w:tcW w:w="767" w:type="dxa"/>
            <w:tcBorders>
              <w:top w:val="nil"/>
              <w:left w:val="single" w:sz="4" w:space="0" w:color="AEAAAA"/>
              <w:bottom w:val="single" w:sz="4" w:space="0" w:color="AEAAAA"/>
              <w:right w:val="single" w:sz="4" w:space="0" w:color="AEAAAA"/>
            </w:tcBorders>
            <w:shd w:val="clear" w:color="auto" w:fill="auto"/>
            <w:noWrap/>
            <w:vAlign w:val="center"/>
            <w:hideMark/>
          </w:tcPr>
          <w:p w14:paraId="35099FD4" w14:textId="77777777" w:rsidR="00D21137" w:rsidRPr="00D21137" w:rsidRDefault="00D21137" w:rsidP="00D21137">
            <w:pPr>
              <w:spacing w:line="360" w:lineRule="auto"/>
              <w:rPr>
                <w:i/>
                <w:iCs/>
                <w:color w:val="000000"/>
                <w:sz w:val="22"/>
                <w:szCs w:val="22"/>
                <w:lang w:bidi="ne-NP"/>
              </w:rPr>
            </w:pPr>
            <w:r w:rsidRPr="00D21137">
              <w:rPr>
                <w:i/>
                <w:iCs/>
                <w:color w:val="000000"/>
                <w:sz w:val="22"/>
                <w:szCs w:val="22"/>
                <w:lang w:bidi="ne-NP"/>
              </w:rPr>
              <w:t>sad</w:t>
            </w:r>
          </w:p>
        </w:tc>
        <w:tc>
          <w:tcPr>
            <w:tcW w:w="1162" w:type="dxa"/>
            <w:tcBorders>
              <w:top w:val="nil"/>
              <w:left w:val="nil"/>
              <w:bottom w:val="single" w:sz="4" w:space="0" w:color="AEAAAA"/>
              <w:right w:val="single" w:sz="4" w:space="0" w:color="AEAAAA"/>
            </w:tcBorders>
            <w:shd w:val="clear" w:color="auto" w:fill="auto"/>
            <w:noWrap/>
            <w:vAlign w:val="center"/>
            <w:hideMark/>
          </w:tcPr>
          <w:p w14:paraId="4D456467" w14:textId="77777777" w:rsidR="00D21137" w:rsidRPr="00D21137" w:rsidRDefault="00D21137" w:rsidP="00D21137">
            <w:pPr>
              <w:spacing w:line="360" w:lineRule="auto"/>
              <w:jc w:val="center"/>
              <w:rPr>
                <w:color w:val="000000"/>
                <w:sz w:val="22"/>
                <w:szCs w:val="22"/>
                <w:lang w:bidi="ne-NP"/>
              </w:rPr>
            </w:pPr>
            <w:r w:rsidRPr="00D21137">
              <w:rPr>
                <w:color w:val="000000"/>
                <w:sz w:val="22"/>
                <w:szCs w:val="22"/>
                <w:lang w:bidi="ne-NP"/>
              </w:rPr>
              <w:t>2.03</w:t>
            </w:r>
          </w:p>
        </w:tc>
        <w:tc>
          <w:tcPr>
            <w:tcW w:w="901" w:type="dxa"/>
            <w:tcBorders>
              <w:top w:val="nil"/>
              <w:left w:val="nil"/>
              <w:bottom w:val="single" w:sz="4" w:space="0" w:color="AEAAAA"/>
              <w:right w:val="single" w:sz="4" w:space="0" w:color="AEAAAA"/>
            </w:tcBorders>
            <w:shd w:val="clear" w:color="auto" w:fill="auto"/>
            <w:noWrap/>
            <w:vAlign w:val="center"/>
            <w:hideMark/>
          </w:tcPr>
          <w:p w14:paraId="7A299BD5" w14:textId="77777777" w:rsidR="00D21137" w:rsidRPr="00D21137" w:rsidRDefault="00D21137" w:rsidP="00D21137">
            <w:pPr>
              <w:spacing w:line="360" w:lineRule="auto"/>
              <w:jc w:val="center"/>
              <w:rPr>
                <w:color w:val="000000"/>
                <w:sz w:val="22"/>
                <w:szCs w:val="22"/>
                <w:lang w:bidi="ne-NP"/>
              </w:rPr>
            </w:pPr>
            <w:r w:rsidRPr="00D21137">
              <w:rPr>
                <w:color w:val="000000"/>
                <w:sz w:val="22"/>
                <w:szCs w:val="22"/>
                <w:lang w:bidi="ne-NP"/>
              </w:rPr>
              <w:t>2E-11</w:t>
            </w:r>
          </w:p>
        </w:tc>
        <w:tc>
          <w:tcPr>
            <w:tcW w:w="2410" w:type="dxa"/>
            <w:tcBorders>
              <w:top w:val="nil"/>
              <w:left w:val="nil"/>
              <w:bottom w:val="single" w:sz="4" w:space="0" w:color="AEAAAA"/>
              <w:right w:val="single" w:sz="4" w:space="0" w:color="AEAAAA"/>
            </w:tcBorders>
            <w:shd w:val="clear" w:color="auto" w:fill="auto"/>
            <w:vAlign w:val="center"/>
            <w:hideMark/>
          </w:tcPr>
          <w:p w14:paraId="294C211B" w14:textId="77777777" w:rsidR="00D21137" w:rsidRPr="00D21137" w:rsidRDefault="00D21137" w:rsidP="00D21137">
            <w:pPr>
              <w:spacing w:line="360" w:lineRule="auto"/>
              <w:rPr>
                <w:color w:val="000000"/>
                <w:sz w:val="22"/>
                <w:szCs w:val="22"/>
                <w:lang w:bidi="ne-NP"/>
              </w:rPr>
            </w:pPr>
            <w:r w:rsidRPr="00D21137">
              <w:rPr>
                <w:color w:val="000000"/>
                <w:sz w:val="22"/>
                <w:szCs w:val="22"/>
                <w:lang w:bidi="ne-NP"/>
              </w:rPr>
              <w:t>Nitrogen metabolism</w:t>
            </w:r>
          </w:p>
        </w:tc>
        <w:tc>
          <w:tcPr>
            <w:tcW w:w="3544" w:type="dxa"/>
            <w:tcBorders>
              <w:top w:val="nil"/>
              <w:left w:val="nil"/>
              <w:bottom w:val="single" w:sz="4" w:space="0" w:color="AEAAAA"/>
              <w:right w:val="single" w:sz="4" w:space="0" w:color="AEAAAA"/>
            </w:tcBorders>
            <w:shd w:val="clear" w:color="auto" w:fill="auto"/>
            <w:vAlign w:val="center"/>
            <w:hideMark/>
          </w:tcPr>
          <w:p w14:paraId="689EE3D8" w14:textId="77777777" w:rsidR="00D21137" w:rsidRPr="00D21137" w:rsidRDefault="00D21137" w:rsidP="00D21137">
            <w:pPr>
              <w:spacing w:line="360" w:lineRule="auto"/>
              <w:rPr>
                <w:color w:val="000000"/>
                <w:sz w:val="22"/>
                <w:szCs w:val="22"/>
                <w:lang w:bidi="ne-NP"/>
              </w:rPr>
            </w:pPr>
            <w:r w:rsidRPr="00D21137">
              <w:rPr>
                <w:color w:val="000000"/>
                <w:sz w:val="22"/>
                <w:szCs w:val="22"/>
                <w:lang w:bidi="ne-NP"/>
              </w:rPr>
              <w:t>succinate-semialdehyde dehydrogenase</w:t>
            </w:r>
          </w:p>
        </w:tc>
      </w:tr>
      <w:tr w:rsidR="00D21137" w:rsidRPr="00D21137" w14:paraId="10E4CDCC" w14:textId="77777777" w:rsidTr="00D21137">
        <w:trPr>
          <w:trHeight w:val="600"/>
        </w:trPr>
        <w:tc>
          <w:tcPr>
            <w:tcW w:w="767" w:type="dxa"/>
            <w:tcBorders>
              <w:top w:val="nil"/>
              <w:left w:val="single" w:sz="4" w:space="0" w:color="AEAAAA"/>
              <w:bottom w:val="single" w:sz="4" w:space="0" w:color="AEAAAA"/>
              <w:right w:val="single" w:sz="4" w:space="0" w:color="AEAAAA"/>
            </w:tcBorders>
            <w:shd w:val="clear" w:color="auto" w:fill="auto"/>
            <w:noWrap/>
            <w:vAlign w:val="center"/>
            <w:hideMark/>
          </w:tcPr>
          <w:p w14:paraId="0429AD77" w14:textId="77777777" w:rsidR="00D21137" w:rsidRPr="00D21137" w:rsidRDefault="00D21137" w:rsidP="00D21137">
            <w:pPr>
              <w:spacing w:line="360" w:lineRule="auto"/>
              <w:rPr>
                <w:i/>
                <w:iCs/>
                <w:color w:val="000000"/>
                <w:sz w:val="22"/>
                <w:szCs w:val="22"/>
                <w:lang w:bidi="ne-NP"/>
              </w:rPr>
            </w:pPr>
            <w:proofErr w:type="spellStart"/>
            <w:r w:rsidRPr="00D21137">
              <w:rPr>
                <w:i/>
                <w:iCs/>
                <w:color w:val="000000"/>
                <w:sz w:val="22"/>
                <w:szCs w:val="22"/>
                <w:lang w:bidi="ne-NP"/>
              </w:rPr>
              <w:t>ttdR</w:t>
            </w:r>
            <w:proofErr w:type="spellEnd"/>
          </w:p>
        </w:tc>
        <w:tc>
          <w:tcPr>
            <w:tcW w:w="1162" w:type="dxa"/>
            <w:tcBorders>
              <w:top w:val="nil"/>
              <w:left w:val="nil"/>
              <w:bottom w:val="single" w:sz="4" w:space="0" w:color="AEAAAA"/>
              <w:right w:val="single" w:sz="4" w:space="0" w:color="AEAAAA"/>
            </w:tcBorders>
            <w:shd w:val="clear" w:color="auto" w:fill="auto"/>
            <w:noWrap/>
            <w:vAlign w:val="center"/>
            <w:hideMark/>
          </w:tcPr>
          <w:p w14:paraId="4DF05C16" w14:textId="77777777" w:rsidR="00D21137" w:rsidRPr="00D21137" w:rsidRDefault="00D21137" w:rsidP="00D21137">
            <w:pPr>
              <w:spacing w:line="360" w:lineRule="auto"/>
              <w:jc w:val="center"/>
              <w:rPr>
                <w:color w:val="000000"/>
                <w:sz w:val="22"/>
                <w:szCs w:val="22"/>
                <w:lang w:bidi="ne-NP"/>
              </w:rPr>
            </w:pPr>
            <w:r w:rsidRPr="00D21137">
              <w:rPr>
                <w:color w:val="000000"/>
                <w:sz w:val="22"/>
                <w:szCs w:val="22"/>
                <w:lang w:bidi="ne-NP"/>
              </w:rPr>
              <w:t>2.62</w:t>
            </w:r>
          </w:p>
        </w:tc>
        <w:tc>
          <w:tcPr>
            <w:tcW w:w="901" w:type="dxa"/>
            <w:tcBorders>
              <w:top w:val="nil"/>
              <w:left w:val="nil"/>
              <w:bottom w:val="single" w:sz="4" w:space="0" w:color="AEAAAA"/>
              <w:right w:val="single" w:sz="4" w:space="0" w:color="AEAAAA"/>
            </w:tcBorders>
            <w:shd w:val="clear" w:color="auto" w:fill="auto"/>
            <w:noWrap/>
            <w:vAlign w:val="center"/>
            <w:hideMark/>
          </w:tcPr>
          <w:p w14:paraId="19099821" w14:textId="77777777" w:rsidR="00D21137" w:rsidRPr="00D21137" w:rsidRDefault="00D21137" w:rsidP="00D21137">
            <w:pPr>
              <w:spacing w:line="360" w:lineRule="auto"/>
              <w:jc w:val="center"/>
              <w:rPr>
                <w:color w:val="000000"/>
                <w:sz w:val="22"/>
                <w:szCs w:val="22"/>
                <w:lang w:bidi="ne-NP"/>
              </w:rPr>
            </w:pPr>
            <w:r w:rsidRPr="00D21137">
              <w:rPr>
                <w:color w:val="000000"/>
                <w:sz w:val="22"/>
                <w:szCs w:val="22"/>
                <w:lang w:bidi="ne-NP"/>
              </w:rPr>
              <w:t>3E-04</w:t>
            </w:r>
          </w:p>
        </w:tc>
        <w:tc>
          <w:tcPr>
            <w:tcW w:w="2410" w:type="dxa"/>
            <w:tcBorders>
              <w:top w:val="nil"/>
              <w:left w:val="nil"/>
              <w:bottom w:val="single" w:sz="4" w:space="0" w:color="AEAAAA"/>
              <w:right w:val="single" w:sz="4" w:space="0" w:color="AEAAAA"/>
            </w:tcBorders>
            <w:shd w:val="clear" w:color="auto" w:fill="auto"/>
            <w:vAlign w:val="center"/>
            <w:hideMark/>
          </w:tcPr>
          <w:p w14:paraId="201DDF31" w14:textId="77777777" w:rsidR="00D21137" w:rsidRPr="00D21137" w:rsidRDefault="00D21137" w:rsidP="00D21137">
            <w:pPr>
              <w:spacing w:line="360" w:lineRule="auto"/>
              <w:rPr>
                <w:color w:val="000000"/>
                <w:sz w:val="22"/>
                <w:szCs w:val="22"/>
                <w:lang w:bidi="ne-NP"/>
              </w:rPr>
            </w:pPr>
            <w:r w:rsidRPr="00D21137">
              <w:rPr>
                <w:color w:val="000000"/>
                <w:sz w:val="22"/>
                <w:szCs w:val="22"/>
                <w:lang w:bidi="ne-NP"/>
              </w:rPr>
              <w:t>Transcriptional regulator</w:t>
            </w:r>
          </w:p>
        </w:tc>
        <w:tc>
          <w:tcPr>
            <w:tcW w:w="3544" w:type="dxa"/>
            <w:tcBorders>
              <w:top w:val="nil"/>
              <w:left w:val="nil"/>
              <w:bottom w:val="single" w:sz="4" w:space="0" w:color="AEAAAA"/>
              <w:right w:val="single" w:sz="4" w:space="0" w:color="AEAAAA"/>
            </w:tcBorders>
            <w:shd w:val="clear" w:color="auto" w:fill="auto"/>
            <w:vAlign w:val="center"/>
            <w:hideMark/>
          </w:tcPr>
          <w:p w14:paraId="35080CEE" w14:textId="77777777" w:rsidR="00D21137" w:rsidRPr="00D21137" w:rsidRDefault="00D21137" w:rsidP="00D21137">
            <w:pPr>
              <w:spacing w:line="360" w:lineRule="auto"/>
              <w:rPr>
                <w:color w:val="000000"/>
                <w:sz w:val="22"/>
                <w:szCs w:val="22"/>
                <w:lang w:bidi="ne-NP"/>
              </w:rPr>
            </w:pPr>
            <w:r w:rsidRPr="00D21137">
              <w:rPr>
                <w:color w:val="000000"/>
                <w:sz w:val="22"/>
                <w:szCs w:val="22"/>
                <w:lang w:bidi="ne-NP"/>
              </w:rPr>
              <w:t xml:space="preserve">DNA-binding transcriptional activator </w:t>
            </w:r>
            <w:proofErr w:type="spellStart"/>
            <w:r w:rsidRPr="00D21137">
              <w:rPr>
                <w:color w:val="000000"/>
                <w:sz w:val="22"/>
                <w:szCs w:val="22"/>
                <w:lang w:bidi="ne-NP"/>
              </w:rPr>
              <w:t>TtdR</w:t>
            </w:r>
            <w:proofErr w:type="spellEnd"/>
          </w:p>
        </w:tc>
      </w:tr>
      <w:tr w:rsidR="00D21137" w:rsidRPr="00D21137" w14:paraId="6B67199D" w14:textId="77777777" w:rsidTr="00D21137">
        <w:trPr>
          <w:trHeight w:val="600"/>
        </w:trPr>
        <w:tc>
          <w:tcPr>
            <w:tcW w:w="767" w:type="dxa"/>
            <w:tcBorders>
              <w:top w:val="nil"/>
              <w:left w:val="single" w:sz="4" w:space="0" w:color="AEAAAA"/>
              <w:bottom w:val="single" w:sz="4" w:space="0" w:color="AEAAAA"/>
              <w:right w:val="single" w:sz="4" w:space="0" w:color="AEAAAA"/>
            </w:tcBorders>
            <w:shd w:val="clear" w:color="auto" w:fill="auto"/>
            <w:noWrap/>
            <w:vAlign w:val="center"/>
            <w:hideMark/>
          </w:tcPr>
          <w:p w14:paraId="34B7BB97" w14:textId="77777777" w:rsidR="00D21137" w:rsidRPr="00D21137" w:rsidRDefault="00D21137" w:rsidP="00D21137">
            <w:pPr>
              <w:spacing w:line="360" w:lineRule="auto"/>
              <w:rPr>
                <w:i/>
                <w:iCs/>
                <w:color w:val="000000"/>
                <w:sz w:val="22"/>
                <w:szCs w:val="22"/>
                <w:lang w:bidi="ne-NP"/>
              </w:rPr>
            </w:pPr>
            <w:proofErr w:type="spellStart"/>
            <w:r w:rsidRPr="00D21137">
              <w:rPr>
                <w:i/>
                <w:iCs/>
                <w:color w:val="000000"/>
                <w:sz w:val="22"/>
                <w:szCs w:val="22"/>
                <w:lang w:bidi="ne-NP"/>
              </w:rPr>
              <w:t>ubiU</w:t>
            </w:r>
            <w:proofErr w:type="spellEnd"/>
          </w:p>
        </w:tc>
        <w:tc>
          <w:tcPr>
            <w:tcW w:w="1162" w:type="dxa"/>
            <w:tcBorders>
              <w:top w:val="nil"/>
              <w:left w:val="nil"/>
              <w:bottom w:val="single" w:sz="4" w:space="0" w:color="AEAAAA"/>
              <w:right w:val="single" w:sz="4" w:space="0" w:color="AEAAAA"/>
            </w:tcBorders>
            <w:shd w:val="clear" w:color="auto" w:fill="auto"/>
            <w:noWrap/>
            <w:vAlign w:val="center"/>
            <w:hideMark/>
          </w:tcPr>
          <w:p w14:paraId="07A45757" w14:textId="77777777" w:rsidR="00D21137" w:rsidRPr="00D21137" w:rsidRDefault="00D21137" w:rsidP="00D21137">
            <w:pPr>
              <w:spacing w:line="360" w:lineRule="auto"/>
              <w:jc w:val="center"/>
              <w:rPr>
                <w:color w:val="000000"/>
                <w:sz w:val="22"/>
                <w:szCs w:val="22"/>
                <w:lang w:bidi="ne-NP"/>
              </w:rPr>
            </w:pPr>
            <w:r w:rsidRPr="00D21137">
              <w:rPr>
                <w:color w:val="000000"/>
                <w:sz w:val="22"/>
                <w:szCs w:val="22"/>
                <w:lang w:bidi="ne-NP"/>
              </w:rPr>
              <w:t>2.72</w:t>
            </w:r>
          </w:p>
        </w:tc>
        <w:tc>
          <w:tcPr>
            <w:tcW w:w="901" w:type="dxa"/>
            <w:tcBorders>
              <w:top w:val="nil"/>
              <w:left w:val="nil"/>
              <w:bottom w:val="single" w:sz="4" w:space="0" w:color="AEAAAA"/>
              <w:right w:val="single" w:sz="4" w:space="0" w:color="AEAAAA"/>
            </w:tcBorders>
            <w:shd w:val="clear" w:color="auto" w:fill="auto"/>
            <w:noWrap/>
            <w:vAlign w:val="center"/>
            <w:hideMark/>
          </w:tcPr>
          <w:p w14:paraId="46B76305" w14:textId="77777777" w:rsidR="00D21137" w:rsidRPr="00D21137" w:rsidRDefault="00D21137" w:rsidP="00D21137">
            <w:pPr>
              <w:spacing w:line="360" w:lineRule="auto"/>
              <w:jc w:val="center"/>
              <w:rPr>
                <w:color w:val="000000"/>
                <w:sz w:val="22"/>
                <w:szCs w:val="22"/>
                <w:lang w:bidi="ne-NP"/>
              </w:rPr>
            </w:pPr>
            <w:r w:rsidRPr="00D21137">
              <w:rPr>
                <w:color w:val="000000"/>
                <w:sz w:val="22"/>
                <w:szCs w:val="22"/>
                <w:lang w:bidi="ne-NP"/>
              </w:rPr>
              <w:t>2E-04</w:t>
            </w:r>
          </w:p>
        </w:tc>
        <w:tc>
          <w:tcPr>
            <w:tcW w:w="2410" w:type="dxa"/>
            <w:tcBorders>
              <w:top w:val="nil"/>
              <w:left w:val="nil"/>
              <w:bottom w:val="single" w:sz="4" w:space="0" w:color="AEAAAA"/>
              <w:right w:val="single" w:sz="4" w:space="0" w:color="AEAAAA"/>
            </w:tcBorders>
            <w:shd w:val="clear" w:color="auto" w:fill="auto"/>
            <w:vAlign w:val="center"/>
            <w:hideMark/>
          </w:tcPr>
          <w:p w14:paraId="045E9C6C" w14:textId="77777777" w:rsidR="00D21137" w:rsidRPr="00D21137" w:rsidRDefault="00D21137" w:rsidP="00D21137">
            <w:pPr>
              <w:spacing w:line="360" w:lineRule="auto"/>
              <w:rPr>
                <w:color w:val="000000"/>
                <w:sz w:val="22"/>
                <w:szCs w:val="22"/>
                <w:lang w:bidi="ne-NP"/>
              </w:rPr>
            </w:pPr>
            <w:r w:rsidRPr="00D21137">
              <w:rPr>
                <w:color w:val="000000"/>
                <w:sz w:val="22"/>
                <w:szCs w:val="22"/>
                <w:lang w:bidi="ne-NP"/>
              </w:rPr>
              <w:t>Metal ion binding</w:t>
            </w:r>
          </w:p>
        </w:tc>
        <w:tc>
          <w:tcPr>
            <w:tcW w:w="3544" w:type="dxa"/>
            <w:tcBorders>
              <w:top w:val="nil"/>
              <w:left w:val="nil"/>
              <w:bottom w:val="single" w:sz="4" w:space="0" w:color="AEAAAA"/>
              <w:right w:val="single" w:sz="4" w:space="0" w:color="AEAAAA"/>
            </w:tcBorders>
            <w:shd w:val="clear" w:color="auto" w:fill="auto"/>
            <w:vAlign w:val="center"/>
            <w:hideMark/>
          </w:tcPr>
          <w:p w14:paraId="3CA39A66" w14:textId="77777777" w:rsidR="00D21137" w:rsidRPr="00D21137" w:rsidRDefault="00D21137" w:rsidP="00D21137">
            <w:pPr>
              <w:spacing w:line="360" w:lineRule="auto"/>
              <w:rPr>
                <w:color w:val="000000"/>
                <w:sz w:val="22"/>
                <w:szCs w:val="22"/>
                <w:lang w:bidi="ne-NP"/>
              </w:rPr>
            </w:pPr>
            <w:r w:rsidRPr="00D21137">
              <w:rPr>
                <w:color w:val="000000"/>
                <w:sz w:val="22"/>
                <w:szCs w:val="22"/>
                <w:lang w:bidi="ne-NP"/>
              </w:rPr>
              <w:t>U32 family peptidase</w:t>
            </w:r>
          </w:p>
        </w:tc>
      </w:tr>
      <w:tr w:rsidR="00D21137" w:rsidRPr="00D21137" w14:paraId="0325FDCE" w14:textId="77777777" w:rsidTr="00D21137">
        <w:trPr>
          <w:trHeight w:val="600"/>
        </w:trPr>
        <w:tc>
          <w:tcPr>
            <w:tcW w:w="767" w:type="dxa"/>
            <w:tcBorders>
              <w:top w:val="nil"/>
              <w:left w:val="single" w:sz="4" w:space="0" w:color="AEAAAA"/>
              <w:bottom w:val="single" w:sz="4" w:space="0" w:color="AEAAAA"/>
              <w:right w:val="single" w:sz="4" w:space="0" w:color="AEAAAA"/>
            </w:tcBorders>
            <w:shd w:val="clear" w:color="auto" w:fill="auto"/>
            <w:noWrap/>
            <w:vAlign w:val="center"/>
            <w:hideMark/>
          </w:tcPr>
          <w:p w14:paraId="6D4E7EB7" w14:textId="77777777" w:rsidR="00D21137" w:rsidRPr="00D21137" w:rsidRDefault="00D21137" w:rsidP="00D21137">
            <w:pPr>
              <w:spacing w:line="360" w:lineRule="auto"/>
              <w:rPr>
                <w:i/>
                <w:iCs/>
                <w:color w:val="000000"/>
                <w:sz w:val="22"/>
                <w:szCs w:val="22"/>
                <w:lang w:bidi="ne-NP"/>
              </w:rPr>
            </w:pPr>
            <w:proofErr w:type="spellStart"/>
            <w:r w:rsidRPr="00D21137">
              <w:rPr>
                <w:i/>
                <w:iCs/>
                <w:color w:val="000000"/>
                <w:sz w:val="22"/>
                <w:szCs w:val="22"/>
                <w:lang w:bidi="ne-NP"/>
              </w:rPr>
              <w:t>uhpT</w:t>
            </w:r>
            <w:proofErr w:type="spellEnd"/>
          </w:p>
        </w:tc>
        <w:tc>
          <w:tcPr>
            <w:tcW w:w="1162" w:type="dxa"/>
            <w:tcBorders>
              <w:top w:val="nil"/>
              <w:left w:val="nil"/>
              <w:bottom w:val="single" w:sz="4" w:space="0" w:color="AEAAAA"/>
              <w:right w:val="single" w:sz="4" w:space="0" w:color="AEAAAA"/>
            </w:tcBorders>
            <w:shd w:val="clear" w:color="auto" w:fill="auto"/>
            <w:noWrap/>
            <w:vAlign w:val="center"/>
            <w:hideMark/>
          </w:tcPr>
          <w:p w14:paraId="776014DC" w14:textId="77777777" w:rsidR="00D21137" w:rsidRPr="00D21137" w:rsidRDefault="00D21137" w:rsidP="00D21137">
            <w:pPr>
              <w:spacing w:line="360" w:lineRule="auto"/>
              <w:jc w:val="center"/>
              <w:rPr>
                <w:color w:val="000000"/>
                <w:sz w:val="22"/>
                <w:szCs w:val="22"/>
                <w:lang w:bidi="ne-NP"/>
              </w:rPr>
            </w:pPr>
            <w:r w:rsidRPr="00D21137">
              <w:rPr>
                <w:color w:val="000000"/>
                <w:sz w:val="22"/>
                <w:szCs w:val="22"/>
                <w:lang w:bidi="ne-NP"/>
              </w:rPr>
              <w:t>1.75</w:t>
            </w:r>
          </w:p>
        </w:tc>
        <w:tc>
          <w:tcPr>
            <w:tcW w:w="901" w:type="dxa"/>
            <w:tcBorders>
              <w:top w:val="nil"/>
              <w:left w:val="nil"/>
              <w:bottom w:val="single" w:sz="4" w:space="0" w:color="AEAAAA"/>
              <w:right w:val="single" w:sz="4" w:space="0" w:color="AEAAAA"/>
            </w:tcBorders>
            <w:shd w:val="clear" w:color="auto" w:fill="auto"/>
            <w:noWrap/>
            <w:vAlign w:val="center"/>
            <w:hideMark/>
          </w:tcPr>
          <w:p w14:paraId="3C0D28CB" w14:textId="77777777" w:rsidR="00D21137" w:rsidRPr="00D21137" w:rsidRDefault="00D21137" w:rsidP="00D21137">
            <w:pPr>
              <w:spacing w:line="360" w:lineRule="auto"/>
              <w:jc w:val="center"/>
              <w:rPr>
                <w:color w:val="000000"/>
                <w:sz w:val="22"/>
                <w:szCs w:val="22"/>
                <w:lang w:bidi="ne-NP"/>
              </w:rPr>
            </w:pPr>
            <w:r w:rsidRPr="00D21137">
              <w:rPr>
                <w:color w:val="000000"/>
                <w:sz w:val="22"/>
                <w:szCs w:val="22"/>
                <w:lang w:bidi="ne-NP"/>
              </w:rPr>
              <w:t>3E-03</w:t>
            </w:r>
          </w:p>
        </w:tc>
        <w:tc>
          <w:tcPr>
            <w:tcW w:w="2410" w:type="dxa"/>
            <w:tcBorders>
              <w:top w:val="nil"/>
              <w:left w:val="nil"/>
              <w:bottom w:val="single" w:sz="4" w:space="0" w:color="AEAAAA"/>
              <w:right w:val="single" w:sz="4" w:space="0" w:color="AEAAAA"/>
            </w:tcBorders>
            <w:shd w:val="clear" w:color="auto" w:fill="auto"/>
            <w:vAlign w:val="center"/>
            <w:hideMark/>
          </w:tcPr>
          <w:p w14:paraId="5FE2CABC" w14:textId="77777777" w:rsidR="00D21137" w:rsidRPr="00D21137" w:rsidRDefault="00D21137" w:rsidP="00D21137">
            <w:pPr>
              <w:spacing w:line="360" w:lineRule="auto"/>
              <w:rPr>
                <w:color w:val="000000"/>
                <w:sz w:val="22"/>
                <w:szCs w:val="22"/>
                <w:lang w:bidi="ne-NP"/>
              </w:rPr>
            </w:pPr>
            <w:r w:rsidRPr="00D21137">
              <w:rPr>
                <w:color w:val="000000"/>
                <w:sz w:val="22"/>
                <w:szCs w:val="22"/>
                <w:lang w:bidi="ne-NP"/>
              </w:rPr>
              <w:t>Carbohydrate transport</w:t>
            </w:r>
          </w:p>
        </w:tc>
        <w:tc>
          <w:tcPr>
            <w:tcW w:w="3544" w:type="dxa"/>
            <w:tcBorders>
              <w:top w:val="nil"/>
              <w:left w:val="nil"/>
              <w:bottom w:val="single" w:sz="4" w:space="0" w:color="AEAAAA"/>
              <w:right w:val="single" w:sz="4" w:space="0" w:color="AEAAAA"/>
            </w:tcBorders>
            <w:shd w:val="clear" w:color="auto" w:fill="auto"/>
            <w:vAlign w:val="center"/>
            <w:hideMark/>
          </w:tcPr>
          <w:p w14:paraId="1A888A15" w14:textId="77777777" w:rsidR="00D21137" w:rsidRPr="00D21137" w:rsidRDefault="00D21137" w:rsidP="00D21137">
            <w:pPr>
              <w:spacing w:line="360" w:lineRule="auto"/>
              <w:rPr>
                <w:color w:val="000000"/>
                <w:sz w:val="22"/>
                <w:szCs w:val="22"/>
                <w:lang w:bidi="ne-NP"/>
              </w:rPr>
            </w:pPr>
            <w:r w:rsidRPr="00D21137">
              <w:rPr>
                <w:color w:val="000000"/>
                <w:sz w:val="22"/>
                <w:szCs w:val="22"/>
                <w:lang w:bidi="ne-NP"/>
              </w:rPr>
              <w:t>hexose-6-phosphate:phosphate antiporter</w:t>
            </w:r>
          </w:p>
        </w:tc>
      </w:tr>
      <w:tr w:rsidR="00D21137" w:rsidRPr="00D21137" w14:paraId="1304B1B2" w14:textId="77777777" w:rsidTr="00D21137">
        <w:trPr>
          <w:trHeight w:val="600"/>
        </w:trPr>
        <w:tc>
          <w:tcPr>
            <w:tcW w:w="767" w:type="dxa"/>
            <w:tcBorders>
              <w:top w:val="nil"/>
              <w:left w:val="single" w:sz="4" w:space="0" w:color="AEAAAA"/>
              <w:bottom w:val="single" w:sz="4" w:space="0" w:color="AEAAAA"/>
              <w:right w:val="single" w:sz="4" w:space="0" w:color="AEAAAA"/>
            </w:tcBorders>
            <w:shd w:val="clear" w:color="auto" w:fill="auto"/>
            <w:noWrap/>
            <w:vAlign w:val="center"/>
            <w:hideMark/>
          </w:tcPr>
          <w:p w14:paraId="638687D3" w14:textId="77777777" w:rsidR="00D21137" w:rsidRPr="00D21137" w:rsidRDefault="00D21137" w:rsidP="00D21137">
            <w:pPr>
              <w:spacing w:line="360" w:lineRule="auto"/>
              <w:rPr>
                <w:i/>
                <w:iCs/>
                <w:color w:val="000000"/>
                <w:sz w:val="22"/>
                <w:szCs w:val="22"/>
                <w:lang w:bidi="ne-NP"/>
              </w:rPr>
            </w:pPr>
            <w:proofErr w:type="spellStart"/>
            <w:r w:rsidRPr="00D21137">
              <w:rPr>
                <w:i/>
                <w:iCs/>
                <w:color w:val="000000"/>
                <w:sz w:val="22"/>
                <w:szCs w:val="22"/>
                <w:lang w:bidi="ne-NP"/>
              </w:rPr>
              <w:t>ycbJ</w:t>
            </w:r>
            <w:proofErr w:type="spellEnd"/>
          </w:p>
        </w:tc>
        <w:tc>
          <w:tcPr>
            <w:tcW w:w="1162" w:type="dxa"/>
            <w:tcBorders>
              <w:top w:val="nil"/>
              <w:left w:val="nil"/>
              <w:bottom w:val="single" w:sz="4" w:space="0" w:color="AEAAAA"/>
              <w:right w:val="single" w:sz="4" w:space="0" w:color="AEAAAA"/>
            </w:tcBorders>
            <w:shd w:val="clear" w:color="auto" w:fill="auto"/>
            <w:noWrap/>
            <w:vAlign w:val="center"/>
            <w:hideMark/>
          </w:tcPr>
          <w:p w14:paraId="3B158824" w14:textId="77777777" w:rsidR="00D21137" w:rsidRPr="00D21137" w:rsidRDefault="00D21137" w:rsidP="00D21137">
            <w:pPr>
              <w:spacing w:line="360" w:lineRule="auto"/>
              <w:jc w:val="center"/>
              <w:rPr>
                <w:color w:val="000000"/>
                <w:sz w:val="22"/>
                <w:szCs w:val="22"/>
                <w:lang w:bidi="ne-NP"/>
              </w:rPr>
            </w:pPr>
            <w:r w:rsidRPr="00D21137">
              <w:rPr>
                <w:color w:val="000000"/>
                <w:sz w:val="22"/>
                <w:szCs w:val="22"/>
                <w:lang w:bidi="ne-NP"/>
              </w:rPr>
              <w:t>2.37</w:t>
            </w:r>
          </w:p>
        </w:tc>
        <w:tc>
          <w:tcPr>
            <w:tcW w:w="901" w:type="dxa"/>
            <w:tcBorders>
              <w:top w:val="nil"/>
              <w:left w:val="nil"/>
              <w:bottom w:val="single" w:sz="4" w:space="0" w:color="AEAAAA"/>
              <w:right w:val="single" w:sz="4" w:space="0" w:color="AEAAAA"/>
            </w:tcBorders>
            <w:shd w:val="clear" w:color="auto" w:fill="auto"/>
            <w:noWrap/>
            <w:vAlign w:val="center"/>
            <w:hideMark/>
          </w:tcPr>
          <w:p w14:paraId="4414996E" w14:textId="77777777" w:rsidR="00D21137" w:rsidRPr="00D21137" w:rsidRDefault="00D21137" w:rsidP="00D21137">
            <w:pPr>
              <w:spacing w:line="360" w:lineRule="auto"/>
              <w:jc w:val="center"/>
              <w:rPr>
                <w:color w:val="000000"/>
                <w:sz w:val="22"/>
                <w:szCs w:val="22"/>
                <w:lang w:bidi="ne-NP"/>
              </w:rPr>
            </w:pPr>
            <w:r w:rsidRPr="00D21137">
              <w:rPr>
                <w:color w:val="000000"/>
                <w:sz w:val="22"/>
                <w:szCs w:val="22"/>
                <w:lang w:bidi="ne-NP"/>
              </w:rPr>
              <w:t>9E-05</w:t>
            </w:r>
          </w:p>
        </w:tc>
        <w:tc>
          <w:tcPr>
            <w:tcW w:w="2410" w:type="dxa"/>
            <w:tcBorders>
              <w:top w:val="nil"/>
              <w:left w:val="nil"/>
              <w:bottom w:val="single" w:sz="4" w:space="0" w:color="AEAAAA"/>
              <w:right w:val="single" w:sz="4" w:space="0" w:color="AEAAAA"/>
            </w:tcBorders>
            <w:shd w:val="clear" w:color="auto" w:fill="auto"/>
            <w:vAlign w:val="center"/>
            <w:hideMark/>
          </w:tcPr>
          <w:p w14:paraId="654EEE52" w14:textId="77777777" w:rsidR="00D21137" w:rsidRPr="00D21137" w:rsidRDefault="00D21137" w:rsidP="00D21137">
            <w:pPr>
              <w:spacing w:line="360" w:lineRule="auto"/>
              <w:rPr>
                <w:color w:val="000000"/>
                <w:sz w:val="22"/>
                <w:szCs w:val="22"/>
                <w:lang w:bidi="ne-NP"/>
              </w:rPr>
            </w:pPr>
            <w:r w:rsidRPr="00D21137">
              <w:rPr>
                <w:color w:val="000000"/>
                <w:sz w:val="22"/>
                <w:szCs w:val="22"/>
                <w:lang w:bidi="ne-NP"/>
              </w:rPr>
              <w:t>Biofilm and Oxidative stress</w:t>
            </w:r>
          </w:p>
        </w:tc>
        <w:tc>
          <w:tcPr>
            <w:tcW w:w="3544" w:type="dxa"/>
            <w:tcBorders>
              <w:top w:val="nil"/>
              <w:left w:val="nil"/>
              <w:bottom w:val="single" w:sz="4" w:space="0" w:color="AEAAAA"/>
              <w:right w:val="single" w:sz="4" w:space="0" w:color="AEAAAA"/>
            </w:tcBorders>
            <w:shd w:val="clear" w:color="auto" w:fill="auto"/>
            <w:vAlign w:val="center"/>
            <w:hideMark/>
          </w:tcPr>
          <w:p w14:paraId="2019A612" w14:textId="77777777" w:rsidR="00D21137" w:rsidRPr="00D21137" w:rsidRDefault="00D21137" w:rsidP="00D21137">
            <w:pPr>
              <w:spacing w:line="360" w:lineRule="auto"/>
              <w:rPr>
                <w:color w:val="000000"/>
                <w:sz w:val="22"/>
                <w:szCs w:val="22"/>
                <w:lang w:bidi="ne-NP"/>
              </w:rPr>
            </w:pPr>
            <w:proofErr w:type="spellStart"/>
            <w:r w:rsidRPr="00D21137">
              <w:rPr>
                <w:color w:val="000000"/>
                <w:sz w:val="22"/>
                <w:szCs w:val="22"/>
                <w:lang w:bidi="ne-NP"/>
              </w:rPr>
              <w:t>YcbJ</w:t>
            </w:r>
            <w:proofErr w:type="spellEnd"/>
            <w:r w:rsidRPr="00D21137">
              <w:rPr>
                <w:color w:val="000000"/>
                <w:sz w:val="22"/>
                <w:szCs w:val="22"/>
                <w:lang w:bidi="ne-NP"/>
              </w:rPr>
              <w:t xml:space="preserve"> family phosphotransferase</w:t>
            </w:r>
          </w:p>
        </w:tc>
      </w:tr>
      <w:tr w:rsidR="00D21137" w:rsidRPr="00D21137" w14:paraId="281C97DA" w14:textId="77777777" w:rsidTr="00D21137">
        <w:trPr>
          <w:trHeight w:val="600"/>
        </w:trPr>
        <w:tc>
          <w:tcPr>
            <w:tcW w:w="767" w:type="dxa"/>
            <w:tcBorders>
              <w:top w:val="nil"/>
              <w:left w:val="single" w:sz="4" w:space="0" w:color="AEAAAA"/>
              <w:bottom w:val="single" w:sz="4" w:space="0" w:color="AEAAAA"/>
              <w:right w:val="single" w:sz="4" w:space="0" w:color="AEAAAA"/>
            </w:tcBorders>
            <w:shd w:val="clear" w:color="auto" w:fill="auto"/>
            <w:noWrap/>
            <w:vAlign w:val="center"/>
            <w:hideMark/>
          </w:tcPr>
          <w:p w14:paraId="3621B323" w14:textId="77777777" w:rsidR="00D21137" w:rsidRPr="00D21137" w:rsidRDefault="00D21137" w:rsidP="00D21137">
            <w:pPr>
              <w:spacing w:line="360" w:lineRule="auto"/>
              <w:rPr>
                <w:i/>
                <w:iCs/>
                <w:color w:val="000000"/>
                <w:sz w:val="22"/>
                <w:szCs w:val="22"/>
                <w:lang w:bidi="ne-NP"/>
              </w:rPr>
            </w:pPr>
            <w:proofErr w:type="spellStart"/>
            <w:r w:rsidRPr="00D21137">
              <w:rPr>
                <w:i/>
                <w:iCs/>
                <w:color w:val="000000"/>
                <w:sz w:val="22"/>
                <w:szCs w:val="22"/>
                <w:lang w:bidi="ne-NP"/>
              </w:rPr>
              <w:t>ychH</w:t>
            </w:r>
            <w:proofErr w:type="spellEnd"/>
          </w:p>
        </w:tc>
        <w:tc>
          <w:tcPr>
            <w:tcW w:w="1162" w:type="dxa"/>
            <w:tcBorders>
              <w:top w:val="nil"/>
              <w:left w:val="nil"/>
              <w:bottom w:val="single" w:sz="4" w:space="0" w:color="AEAAAA"/>
              <w:right w:val="single" w:sz="4" w:space="0" w:color="AEAAAA"/>
            </w:tcBorders>
            <w:shd w:val="clear" w:color="auto" w:fill="auto"/>
            <w:noWrap/>
            <w:vAlign w:val="center"/>
            <w:hideMark/>
          </w:tcPr>
          <w:p w14:paraId="45E20567" w14:textId="77777777" w:rsidR="00D21137" w:rsidRPr="00D21137" w:rsidRDefault="00D21137" w:rsidP="00D21137">
            <w:pPr>
              <w:spacing w:line="360" w:lineRule="auto"/>
              <w:jc w:val="center"/>
              <w:rPr>
                <w:color w:val="000000"/>
                <w:sz w:val="22"/>
                <w:szCs w:val="22"/>
                <w:lang w:bidi="ne-NP"/>
              </w:rPr>
            </w:pPr>
            <w:r w:rsidRPr="00D21137">
              <w:rPr>
                <w:color w:val="000000"/>
                <w:sz w:val="22"/>
                <w:szCs w:val="22"/>
                <w:lang w:bidi="ne-NP"/>
              </w:rPr>
              <w:t>1.69</w:t>
            </w:r>
          </w:p>
        </w:tc>
        <w:tc>
          <w:tcPr>
            <w:tcW w:w="901" w:type="dxa"/>
            <w:tcBorders>
              <w:top w:val="nil"/>
              <w:left w:val="nil"/>
              <w:bottom w:val="single" w:sz="4" w:space="0" w:color="AEAAAA"/>
              <w:right w:val="single" w:sz="4" w:space="0" w:color="AEAAAA"/>
            </w:tcBorders>
            <w:shd w:val="clear" w:color="auto" w:fill="auto"/>
            <w:noWrap/>
            <w:vAlign w:val="center"/>
            <w:hideMark/>
          </w:tcPr>
          <w:p w14:paraId="0AF62965" w14:textId="77777777" w:rsidR="00D21137" w:rsidRPr="00D21137" w:rsidRDefault="00D21137" w:rsidP="00D21137">
            <w:pPr>
              <w:spacing w:line="360" w:lineRule="auto"/>
              <w:jc w:val="center"/>
              <w:rPr>
                <w:color w:val="000000"/>
                <w:sz w:val="22"/>
                <w:szCs w:val="22"/>
                <w:lang w:bidi="ne-NP"/>
              </w:rPr>
            </w:pPr>
            <w:r w:rsidRPr="00D21137">
              <w:rPr>
                <w:color w:val="000000"/>
                <w:sz w:val="22"/>
                <w:szCs w:val="22"/>
                <w:lang w:bidi="ne-NP"/>
              </w:rPr>
              <w:t>6E-04</w:t>
            </w:r>
          </w:p>
        </w:tc>
        <w:tc>
          <w:tcPr>
            <w:tcW w:w="2410" w:type="dxa"/>
            <w:tcBorders>
              <w:top w:val="nil"/>
              <w:left w:val="nil"/>
              <w:bottom w:val="single" w:sz="4" w:space="0" w:color="AEAAAA"/>
              <w:right w:val="single" w:sz="4" w:space="0" w:color="AEAAAA"/>
            </w:tcBorders>
            <w:shd w:val="clear" w:color="auto" w:fill="auto"/>
            <w:vAlign w:val="center"/>
            <w:hideMark/>
          </w:tcPr>
          <w:p w14:paraId="209ECD87" w14:textId="77777777" w:rsidR="00D21137" w:rsidRPr="00D21137" w:rsidRDefault="00D21137" w:rsidP="00D21137">
            <w:pPr>
              <w:spacing w:line="360" w:lineRule="auto"/>
              <w:rPr>
                <w:color w:val="000000"/>
                <w:sz w:val="22"/>
                <w:szCs w:val="22"/>
                <w:lang w:bidi="ne-NP"/>
              </w:rPr>
            </w:pPr>
            <w:r w:rsidRPr="00D21137">
              <w:rPr>
                <w:color w:val="000000"/>
                <w:sz w:val="22"/>
                <w:szCs w:val="22"/>
                <w:lang w:bidi="ne-NP"/>
              </w:rPr>
              <w:t>Biofilm and Oxidative stress</w:t>
            </w:r>
          </w:p>
        </w:tc>
        <w:tc>
          <w:tcPr>
            <w:tcW w:w="3544" w:type="dxa"/>
            <w:tcBorders>
              <w:top w:val="nil"/>
              <w:left w:val="nil"/>
              <w:bottom w:val="single" w:sz="4" w:space="0" w:color="AEAAAA"/>
              <w:right w:val="single" w:sz="4" w:space="0" w:color="AEAAAA"/>
            </w:tcBorders>
            <w:shd w:val="clear" w:color="auto" w:fill="auto"/>
            <w:vAlign w:val="center"/>
            <w:hideMark/>
          </w:tcPr>
          <w:p w14:paraId="073F729D" w14:textId="77777777" w:rsidR="00D21137" w:rsidRPr="00D21137" w:rsidRDefault="00D21137" w:rsidP="00D21137">
            <w:pPr>
              <w:spacing w:line="360" w:lineRule="auto"/>
              <w:rPr>
                <w:color w:val="000000"/>
                <w:sz w:val="22"/>
                <w:szCs w:val="22"/>
                <w:lang w:bidi="ne-NP"/>
              </w:rPr>
            </w:pPr>
            <w:r w:rsidRPr="00D21137">
              <w:rPr>
                <w:color w:val="000000"/>
                <w:sz w:val="22"/>
                <w:szCs w:val="22"/>
                <w:lang w:bidi="ne-NP"/>
              </w:rPr>
              <w:t xml:space="preserve">stress-induced protein </w:t>
            </w:r>
            <w:proofErr w:type="spellStart"/>
            <w:r w:rsidRPr="00D21137">
              <w:rPr>
                <w:color w:val="000000"/>
                <w:sz w:val="22"/>
                <w:szCs w:val="22"/>
                <w:lang w:bidi="ne-NP"/>
              </w:rPr>
              <w:t>YchH</w:t>
            </w:r>
            <w:proofErr w:type="spellEnd"/>
          </w:p>
        </w:tc>
      </w:tr>
      <w:tr w:rsidR="00D21137" w:rsidRPr="00D21137" w14:paraId="65EC18D3" w14:textId="77777777" w:rsidTr="00D21137">
        <w:trPr>
          <w:trHeight w:val="600"/>
        </w:trPr>
        <w:tc>
          <w:tcPr>
            <w:tcW w:w="767" w:type="dxa"/>
            <w:tcBorders>
              <w:top w:val="nil"/>
              <w:left w:val="single" w:sz="4" w:space="0" w:color="AEAAAA"/>
              <w:bottom w:val="single" w:sz="4" w:space="0" w:color="AEAAAA"/>
              <w:right w:val="single" w:sz="4" w:space="0" w:color="AEAAAA"/>
            </w:tcBorders>
            <w:shd w:val="clear" w:color="auto" w:fill="auto"/>
            <w:noWrap/>
            <w:vAlign w:val="center"/>
            <w:hideMark/>
          </w:tcPr>
          <w:p w14:paraId="6BFA3D1E" w14:textId="77777777" w:rsidR="00D21137" w:rsidRPr="00D21137" w:rsidRDefault="00D21137" w:rsidP="00D21137">
            <w:pPr>
              <w:spacing w:line="360" w:lineRule="auto"/>
              <w:rPr>
                <w:i/>
                <w:iCs/>
                <w:color w:val="000000"/>
                <w:sz w:val="22"/>
                <w:szCs w:val="22"/>
                <w:lang w:bidi="ne-NP"/>
              </w:rPr>
            </w:pPr>
            <w:proofErr w:type="spellStart"/>
            <w:r w:rsidRPr="00D21137">
              <w:rPr>
                <w:i/>
                <w:iCs/>
                <w:color w:val="000000"/>
                <w:sz w:val="22"/>
                <w:szCs w:val="22"/>
                <w:lang w:bidi="ne-NP"/>
              </w:rPr>
              <w:t>yddB</w:t>
            </w:r>
            <w:proofErr w:type="spellEnd"/>
          </w:p>
        </w:tc>
        <w:tc>
          <w:tcPr>
            <w:tcW w:w="1162" w:type="dxa"/>
            <w:tcBorders>
              <w:top w:val="nil"/>
              <w:left w:val="nil"/>
              <w:bottom w:val="single" w:sz="4" w:space="0" w:color="AEAAAA"/>
              <w:right w:val="single" w:sz="4" w:space="0" w:color="AEAAAA"/>
            </w:tcBorders>
            <w:shd w:val="clear" w:color="auto" w:fill="auto"/>
            <w:noWrap/>
            <w:vAlign w:val="center"/>
            <w:hideMark/>
          </w:tcPr>
          <w:p w14:paraId="7A078734" w14:textId="77777777" w:rsidR="00D21137" w:rsidRPr="00D21137" w:rsidRDefault="00D21137" w:rsidP="00D21137">
            <w:pPr>
              <w:spacing w:line="360" w:lineRule="auto"/>
              <w:jc w:val="center"/>
              <w:rPr>
                <w:color w:val="000000"/>
                <w:sz w:val="22"/>
                <w:szCs w:val="22"/>
                <w:lang w:bidi="ne-NP"/>
              </w:rPr>
            </w:pPr>
            <w:r w:rsidRPr="00D21137">
              <w:rPr>
                <w:color w:val="000000"/>
                <w:sz w:val="22"/>
                <w:szCs w:val="22"/>
                <w:lang w:bidi="ne-NP"/>
              </w:rPr>
              <w:t>3.81</w:t>
            </w:r>
          </w:p>
        </w:tc>
        <w:tc>
          <w:tcPr>
            <w:tcW w:w="901" w:type="dxa"/>
            <w:tcBorders>
              <w:top w:val="nil"/>
              <w:left w:val="nil"/>
              <w:bottom w:val="single" w:sz="4" w:space="0" w:color="AEAAAA"/>
              <w:right w:val="single" w:sz="4" w:space="0" w:color="AEAAAA"/>
            </w:tcBorders>
            <w:shd w:val="clear" w:color="auto" w:fill="auto"/>
            <w:noWrap/>
            <w:vAlign w:val="center"/>
            <w:hideMark/>
          </w:tcPr>
          <w:p w14:paraId="0DDAD7E5" w14:textId="77777777" w:rsidR="00D21137" w:rsidRPr="00D21137" w:rsidRDefault="00D21137" w:rsidP="00D21137">
            <w:pPr>
              <w:spacing w:line="360" w:lineRule="auto"/>
              <w:jc w:val="center"/>
              <w:rPr>
                <w:color w:val="000000"/>
                <w:sz w:val="22"/>
                <w:szCs w:val="22"/>
                <w:lang w:bidi="ne-NP"/>
              </w:rPr>
            </w:pPr>
            <w:r w:rsidRPr="00D21137">
              <w:rPr>
                <w:color w:val="000000"/>
                <w:sz w:val="22"/>
                <w:szCs w:val="22"/>
                <w:lang w:bidi="ne-NP"/>
              </w:rPr>
              <w:t>2E-03</w:t>
            </w:r>
          </w:p>
        </w:tc>
        <w:tc>
          <w:tcPr>
            <w:tcW w:w="2410" w:type="dxa"/>
            <w:tcBorders>
              <w:top w:val="nil"/>
              <w:left w:val="nil"/>
              <w:bottom w:val="single" w:sz="4" w:space="0" w:color="AEAAAA"/>
              <w:right w:val="single" w:sz="4" w:space="0" w:color="AEAAAA"/>
            </w:tcBorders>
            <w:shd w:val="clear" w:color="auto" w:fill="auto"/>
            <w:vAlign w:val="center"/>
            <w:hideMark/>
          </w:tcPr>
          <w:p w14:paraId="1F99255D" w14:textId="77777777" w:rsidR="00D21137" w:rsidRPr="00D21137" w:rsidRDefault="00D21137" w:rsidP="00D21137">
            <w:pPr>
              <w:spacing w:line="360" w:lineRule="auto"/>
              <w:rPr>
                <w:color w:val="000000"/>
                <w:sz w:val="22"/>
                <w:szCs w:val="22"/>
                <w:lang w:bidi="ne-NP"/>
              </w:rPr>
            </w:pPr>
            <w:r w:rsidRPr="00D21137">
              <w:rPr>
                <w:color w:val="000000"/>
                <w:sz w:val="22"/>
                <w:szCs w:val="22"/>
                <w:lang w:bidi="ne-NP"/>
              </w:rPr>
              <w:t>Iron transport</w:t>
            </w:r>
          </w:p>
        </w:tc>
        <w:tc>
          <w:tcPr>
            <w:tcW w:w="3544" w:type="dxa"/>
            <w:tcBorders>
              <w:top w:val="nil"/>
              <w:left w:val="nil"/>
              <w:bottom w:val="single" w:sz="4" w:space="0" w:color="AEAAAA"/>
              <w:right w:val="single" w:sz="4" w:space="0" w:color="AEAAAA"/>
            </w:tcBorders>
            <w:shd w:val="clear" w:color="auto" w:fill="auto"/>
            <w:vAlign w:val="center"/>
            <w:hideMark/>
          </w:tcPr>
          <w:p w14:paraId="513B2AF7" w14:textId="77777777" w:rsidR="00D21137" w:rsidRPr="00D21137" w:rsidRDefault="00D21137" w:rsidP="00D21137">
            <w:pPr>
              <w:spacing w:line="360" w:lineRule="auto"/>
              <w:rPr>
                <w:color w:val="000000"/>
                <w:sz w:val="22"/>
                <w:szCs w:val="22"/>
                <w:lang w:bidi="ne-NP"/>
              </w:rPr>
            </w:pPr>
            <w:proofErr w:type="spellStart"/>
            <w:r w:rsidRPr="00D21137">
              <w:rPr>
                <w:color w:val="000000"/>
                <w:sz w:val="22"/>
                <w:szCs w:val="22"/>
                <w:lang w:bidi="ne-NP"/>
              </w:rPr>
              <w:t>TonB</w:t>
            </w:r>
            <w:proofErr w:type="spellEnd"/>
            <w:r w:rsidRPr="00D21137">
              <w:rPr>
                <w:color w:val="000000"/>
                <w:sz w:val="22"/>
                <w:szCs w:val="22"/>
                <w:lang w:bidi="ne-NP"/>
              </w:rPr>
              <w:t>-dependent receptor plug domain-containing protein</w:t>
            </w:r>
          </w:p>
        </w:tc>
      </w:tr>
      <w:tr w:rsidR="00D21137" w:rsidRPr="00D21137" w14:paraId="73173B23" w14:textId="77777777" w:rsidTr="00D21137">
        <w:trPr>
          <w:trHeight w:val="600"/>
        </w:trPr>
        <w:tc>
          <w:tcPr>
            <w:tcW w:w="767" w:type="dxa"/>
            <w:tcBorders>
              <w:top w:val="nil"/>
              <w:left w:val="single" w:sz="4" w:space="0" w:color="AEAAAA"/>
              <w:bottom w:val="single" w:sz="4" w:space="0" w:color="AEAAAA"/>
              <w:right w:val="single" w:sz="4" w:space="0" w:color="AEAAAA"/>
            </w:tcBorders>
            <w:shd w:val="clear" w:color="auto" w:fill="auto"/>
            <w:noWrap/>
            <w:vAlign w:val="center"/>
            <w:hideMark/>
          </w:tcPr>
          <w:p w14:paraId="2D81415A" w14:textId="77777777" w:rsidR="00D21137" w:rsidRPr="00D21137" w:rsidRDefault="00D21137" w:rsidP="00D21137">
            <w:pPr>
              <w:spacing w:line="360" w:lineRule="auto"/>
              <w:rPr>
                <w:i/>
                <w:iCs/>
                <w:color w:val="000000"/>
                <w:sz w:val="22"/>
                <w:szCs w:val="22"/>
                <w:lang w:bidi="ne-NP"/>
              </w:rPr>
            </w:pPr>
            <w:proofErr w:type="spellStart"/>
            <w:r w:rsidRPr="00D21137">
              <w:rPr>
                <w:i/>
                <w:iCs/>
                <w:color w:val="000000"/>
                <w:sz w:val="22"/>
                <w:szCs w:val="22"/>
                <w:lang w:bidi="ne-NP"/>
              </w:rPr>
              <w:t>ygeV</w:t>
            </w:r>
            <w:proofErr w:type="spellEnd"/>
          </w:p>
        </w:tc>
        <w:tc>
          <w:tcPr>
            <w:tcW w:w="1162" w:type="dxa"/>
            <w:tcBorders>
              <w:top w:val="nil"/>
              <w:left w:val="nil"/>
              <w:bottom w:val="single" w:sz="4" w:space="0" w:color="AEAAAA"/>
              <w:right w:val="single" w:sz="4" w:space="0" w:color="AEAAAA"/>
            </w:tcBorders>
            <w:shd w:val="clear" w:color="auto" w:fill="auto"/>
            <w:noWrap/>
            <w:vAlign w:val="center"/>
            <w:hideMark/>
          </w:tcPr>
          <w:p w14:paraId="52B4E659" w14:textId="77777777" w:rsidR="00D21137" w:rsidRPr="00D21137" w:rsidRDefault="00D21137" w:rsidP="00D21137">
            <w:pPr>
              <w:spacing w:line="360" w:lineRule="auto"/>
              <w:jc w:val="center"/>
              <w:rPr>
                <w:color w:val="000000"/>
                <w:sz w:val="22"/>
                <w:szCs w:val="22"/>
                <w:lang w:bidi="ne-NP"/>
              </w:rPr>
            </w:pPr>
            <w:r w:rsidRPr="00D21137">
              <w:rPr>
                <w:color w:val="000000"/>
                <w:sz w:val="22"/>
                <w:szCs w:val="22"/>
                <w:lang w:bidi="ne-NP"/>
              </w:rPr>
              <w:t>1.88</w:t>
            </w:r>
          </w:p>
        </w:tc>
        <w:tc>
          <w:tcPr>
            <w:tcW w:w="901" w:type="dxa"/>
            <w:tcBorders>
              <w:top w:val="nil"/>
              <w:left w:val="nil"/>
              <w:bottom w:val="single" w:sz="4" w:space="0" w:color="AEAAAA"/>
              <w:right w:val="single" w:sz="4" w:space="0" w:color="AEAAAA"/>
            </w:tcBorders>
            <w:shd w:val="clear" w:color="auto" w:fill="auto"/>
            <w:noWrap/>
            <w:vAlign w:val="center"/>
            <w:hideMark/>
          </w:tcPr>
          <w:p w14:paraId="00F5B735" w14:textId="77777777" w:rsidR="00D21137" w:rsidRPr="00D21137" w:rsidRDefault="00D21137" w:rsidP="00D21137">
            <w:pPr>
              <w:spacing w:line="360" w:lineRule="auto"/>
              <w:jc w:val="center"/>
              <w:rPr>
                <w:color w:val="000000"/>
                <w:sz w:val="22"/>
                <w:szCs w:val="22"/>
                <w:lang w:bidi="ne-NP"/>
              </w:rPr>
            </w:pPr>
            <w:r w:rsidRPr="00D21137">
              <w:rPr>
                <w:color w:val="000000"/>
                <w:sz w:val="22"/>
                <w:szCs w:val="22"/>
                <w:lang w:bidi="ne-NP"/>
              </w:rPr>
              <w:t>2E-05</w:t>
            </w:r>
          </w:p>
        </w:tc>
        <w:tc>
          <w:tcPr>
            <w:tcW w:w="2410" w:type="dxa"/>
            <w:tcBorders>
              <w:top w:val="nil"/>
              <w:left w:val="nil"/>
              <w:bottom w:val="single" w:sz="4" w:space="0" w:color="AEAAAA"/>
              <w:right w:val="single" w:sz="4" w:space="0" w:color="AEAAAA"/>
            </w:tcBorders>
            <w:shd w:val="clear" w:color="auto" w:fill="auto"/>
            <w:vAlign w:val="center"/>
            <w:hideMark/>
          </w:tcPr>
          <w:p w14:paraId="6D821BAE" w14:textId="77777777" w:rsidR="00D21137" w:rsidRPr="00D21137" w:rsidRDefault="00D21137" w:rsidP="00D21137">
            <w:pPr>
              <w:spacing w:line="360" w:lineRule="auto"/>
              <w:rPr>
                <w:color w:val="000000"/>
                <w:sz w:val="22"/>
                <w:szCs w:val="22"/>
                <w:lang w:bidi="ne-NP"/>
              </w:rPr>
            </w:pPr>
            <w:r w:rsidRPr="00D21137">
              <w:rPr>
                <w:color w:val="000000"/>
                <w:sz w:val="22"/>
                <w:szCs w:val="22"/>
                <w:lang w:bidi="ne-NP"/>
              </w:rPr>
              <w:t>Transcriptional regulator</w:t>
            </w:r>
          </w:p>
        </w:tc>
        <w:tc>
          <w:tcPr>
            <w:tcW w:w="3544" w:type="dxa"/>
            <w:tcBorders>
              <w:top w:val="nil"/>
              <w:left w:val="nil"/>
              <w:bottom w:val="single" w:sz="4" w:space="0" w:color="AEAAAA"/>
              <w:right w:val="single" w:sz="4" w:space="0" w:color="AEAAAA"/>
            </w:tcBorders>
            <w:shd w:val="clear" w:color="auto" w:fill="auto"/>
            <w:vAlign w:val="center"/>
            <w:hideMark/>
          </w:tcPr>
          <w:p w14:paraId="336CE197" w14:textId="77777777" w:rsidR="00D21137" w:rsidRPr="00D21137" w:rsidRDefault="00D21137" w:rsidP="00D21137">
            <w:pPr>
              <w:spacing w:line="360" w:lineRule="auto"/>
              <w:rPr>
                <w:color w:val="000000"/>
                <w:sz w:val="22"/>
                <w:szCs w:val="22"/>
                <w:lang w:bidi="ne-NP"/>
              </w:rPr>
            </w:pPr>
            <w:r w:rsidRPr="00D21137">
              <w:rPr>
                <w:color w:val="000000"/>
                <w:sz w:val="22"/>
                <w:szCs w:val="22"/>
                <w:lang w:bidi="ne-NP"/>
              </w:rPr>
              <w:t xml:space="preserve">sigma-54-dependent </w:t>
            </w:r>
            <w:proofErr w:type="spellStart"/>
            <w:r w:rsidRPr="00D21137">
              <w:rPr>
                <w:color w:val="000000"/>
                <w:sz w:val="22"/>
                <w:szCs w:val="22"/>
                <w:lang w:bidi="ne-NP"/>
              </w:rPr>
              <w:t>Fis</w:t>
            </w:r>
            <w:proofErr w:type="spellEnd"/>
            <w:r w:rsidRPr="00D21137">
              <w:rPr>
                <w:color w:val="000000"/>
                <w:sz w:val="22"/>
                <w:szCs w:val="22"/>
                <w:lang w:bidi="ne-NP"/>
              </w:rPr>
              <w:t xml:space="preserve"> family transcriptional regulator</w:t>
            </w:r>
          </w:p>
        </w:tc>
      </w:tr>
      <w:tr w:rsidR="00D21137" w:rsidRPr="00D21137" w14:paraId="2B8C9FBC" w14:textId="77777777" w:rsidTr="00D21137">
        <w:trPr>
          <w:trHeight w:val="600"/>
        </w:trPr>
        <w:tc>
          <w:tcPr>
            <w:tcW w:w="767" w:type="dxa"/>
            <w:tcBorders>
              <w:top w:val="nil"/>
              <w:left w:val="single" w:sz="4" w:space="0" w:color="AEAAAA"/>
              <w:bottom w:val="single" w:sz="4" w:space="0" w:color="AEAAAA"/>
              <w:right w:val="single" w:sz="4" w:space="0" w:color="AEAAAA"/>
            </w:tcBorders>
            <w:shd w:val="clear" w:color="auto" w:fill="auto"/>
            <w:noWrap/>
            <w:vAlign w:val="center"/>
            <w:hideMark/>
          </w:tcPr>
          <w:p w14:paraId="5D44B363" w14:textId="77777777" w:rsidR="00D21137" w:rsidRPr="00D21137" w:rsidRDefault="00D21137" w:rsidP="00D21137">
            <w:pPr>
              <w:spacing w:line="360" w:lineRule="auto"/>
              <w:rPr>
                <w:i/>
                <w:iCs/>
                <w:color w:val="000000"/>
                <w:sz w:val="22"/>
                <w:szCs w:val="22"/>
                <w:lang w:bidi="ne-NP"/>
              </w:rPr>
            </w:pPr>
            <w:proofErr w:type="spellStart"/>
            <w:r w:rsidRPr="00D21137">
              <w:rPr>
                <w:i/>
                <w:iCs/>
                <w:color w:val="000000"/>
                <w:sz w:val="22"/>
                <w:szCs w:val="22"/>
                <w:lang w:bidi="ne-NP"/>
              </w:rPr>
              <w:t>yjjI</w:t>
            </w:r>
            <w:proofErr w:type="spellEnd"/>
          </w:p>
        </w:tc>
        <w:tc>
          <w:tcPr>
            <w:tcW w:w="1162" w:type="dxa"/>
            <w:tcBorders>
              <w:top w:val="nil"/>
              <w:left w:val="nil"/>
              <w:bottom w:val="single" w:sz="4" w:space="0" w:color="AEAAAA"/>
              <w:right w:val="single" w:sz="4" w:space="0" w:color="AEAAAA"/>
            </w:tcBorders>
            <w:shd w:val="clear" w:color="auto" w:fill="auto"/>
            <w:noWrap/>
            <w:vAlign w:val="center"/>
            <w:hideMark/>
          </w:tcPr>
          <w:p w14:paraId="2FA2B89A" w14:textId="77777777" w:rsidR="00D21137" w:rsidRPr="00D21137" w:rsidRDefault="00D21137" w:rsidP="00D21137">
            <w:pPr>
              <w:spacing w:line="360" w:lineRule="auto"/>
              <w:jc w:val="center"/>
              <w:rPr>
                <w:color w:val="000000"/>
                <w:sz w:val="22"/>
                <w:szCs w:val="22"/>
                <w:lang w:bidi="ne-NP"/>
              </w:rPr>
            </w:pPr>
            <w:r w:rsidRPr="00D21137">
              <w:rPr>
                <w:color w:val="000000"/>
                <w:sz w:val="22"/>
                <w:szCs w:val="22"/>
                <w:lang w:bidi="ne-NP"/>
              </w:rPr>
              <w:t>2.69</w:t>
            </w:r>
          </w:p>
        </w:tc>
        <w:tc>
          <w:tcPr>
            <w:tcW w:w="901" w:type="dxa"/>
            <w:tcBorders>
              <w:top w:val="nil"/>
              <w:left w:val="nil"/>
              <w:bottom w:val="single" w:sz="4" w:space="0" w:color="AEAAAA"/>
              <w:right w:val="single" w:sz="4" w:space="0" w:color="AEAAAA"/>
            </w:tcBorders>
            <w:shd w:val="clear" w:color="auto" w:fill="auto"/>
            <w:noWrap/>
            <w:vAlign w:val="center"/>
            <w:hideMark/>
          </w:tcPr>
          <w:p w14:paraId="1090CB68" w14:textId="77777777" w:rsidR="00D21137" w:rsidRPr="00D21137" w:rsidRDefault="00D21137" w:rsidP="00D21137">
            <w:pPr>
              <w:spacing w:line="360" w:lineRule="auto"/>
              <w:jc w:val="center"/>
              <w:rPr>
                <w:color w:val="000000"/>
                <w:sz w:val="22"/>
                <w:szCs w:val="22"/>
                <w:lang w:bidi="ne-NP"/>
              </w:rPr>
            </w:pPr>
            <w:r w:rsidRPr="00D21137">
              <w:rPr>
                <w:color w:val="000000"/>
                <w:sz w:val="22"/>
                <w:szCs w:val="22"/>
                <w:lang w:bidi="ne-NP"/>
              </w:rPr>
              <w:t>2E-05</w:t>
            </w:r>
          </w:p>
        </w:tc>
        <w:tc>
          <w:tcPr>
            <w:tcW w:w="2410" w:type="dxa"/>
            <w:tcBorders>
              <w:top w:val="nil"/>
              <w:left w:val="nil"/>
              <w:bottom w:val="single" w:sz="4" w:space="0" w:color="AEAAAA"/>
              <w:right w:val="single" w:sz="4" w:space="0" w:color="AEAAAA"/>
            </w:tcBorders>
            <w:shd w:val="clear" w:color="auto" w:fill="auto"/>
            <w:vAlign w:val="center"/>
            <w:hideMark/>
          </w:tcPr>
          <w:p w14:paraId="1DD817FF" w14:textId="77777777" w:rsidR="00D21137" w:rsidRPr="00D21137" w:rsidRDefault="00D21137" w:rsidP="00D21137">
            <w:pPr>
              <w:spacing w:line="360" w:lineRule="auto"/>
              <w:rPr>
                <w:color w:val="000000"/>
                <w:sz w:val="22"/>
                <w:szCs w:val="22"/>
                <w:lang w:bidi="ne-NP"/>
              </w:rPr>
            </w:pPr>
            <w:r w:rsidRPr="00D21137">
              <w:rPr>
                <w:color w:val="000000"/>
                <w:sz w:val="22"/>
                <w:szCs w:val="22"/>
                <w:lang w:bidi="ne-NP"/>
              </w:rPr>
              <w:t>Carbohydrate transport</w:t>
            </w:r>
          </w:p>
        </w:tc>
        <w:tc>
          <w:tcPr>
            <w:tcW w:w="3544" w:type="dxa"/>
            <w:tcBorders>
              <w:top w:val="nil"/>
              <w:left w:val="nil"/>
              <w:bottom w:val="single" w:sz="4" w:space="0" w:color="AEAAAA"/>
              <w:right w:val="single" w:sz="4" w:space="0" w:color="AEAAAA"/>
            </w:tcBorders>
            <w:shd w:val="clear" w:color="auto" w:fill="auto"/>
            <w:vAlign w:val="center"/>
            <w:hideMark/>
          </w:tcPr>
          <w:p w14:paraId="061D427E" w14:textId="77777777" w:rsidR="00D21137" w:rsidRPr="00D21137" w:rsidRDefault="00D21137" w:rsidP="00D21137">
            <w:pPr>
              <w:spacing w:line="360" w:lineRule="auto"/>
              <w:rPr>
                <w:color w:val="000000"/>
                <w:sz w:val="22"/>
                <w:szCs w:val="22"/>
                <w:lang w:bidi="ne-NP"/>
              </w:rPr>
            </w:pPr>
            <w:proofErr w:type="spellStart"/>
            <w:r w:rsidRPr="00D21137">
              <w:rPr>
                <w:color w:val="000000"/>
                <w:sz w:val="22"/>
                <w:szCs w:val="22"/>
                <w:lang w:bidi="ne-NP"/>
              </w:rPr>
              <w:t>YjjI</w:t>
            </w:r>
            <w:proofErr w:type="spellEnd"/>
            <w:r w:rsidRPr="00D21137">
              <w:rPr>
                <w:color w:val="000000"/>
                <w:sz w:val="22"/>
                <w:szCs w:val="22"/>
                <w:lang w:bidi="ne-NP"/>
              </w:rPr>
              <w:t xml:space="preserve"> family glycine radical enzyme</w:t>
            </w:r>
          </w:p>
        </w:tc>
      </w:tr>
    </w:tbl>
    <w:p w14:paraId="32364612" w14:textId="3E3AA42A" w:rsidR="00F33FC4" w:rsidRPr="00F33FC4" w:rsidRDefault="00F33FC4" w:rsidP="00D21137">
      <w:pPr>
        <w:spacing w:line="360" w:lineRule="auto"/>
        <w:rPr>
          <w:rFonts w:eastAsia="Calibri"/>
        </w:rPr>
      </w:pPr>
      <w:r w:rsidRPr="00D21137">
        <w:rPr>
          <w:rFonts w:eastAsia="Calibri"/>
          <w:sz w:val="22"/>
          <w:szCs w:val="22"/>
        </w:rPr>
        <w:t>Table 3.1. Continued</w:t>
      </w:r>
      <w:r w:rsidRPr="00F33FC4">
        <w:rPr>
          <w:rFonts w:eastAsia="Calibri"/>
        </w:rPr>
        <w:br w:type="page"/>
      </w:r>
      <w:r w:rsidR="007A5817">
        <w:rPr>
          <w:rFonts w:eastAsia="Calibri"/>
        </w:rPr>
        <w:lastRenderedPageBreak/>
        <w:tab/>
      </w:r>
      <w:r w:rsidRPr="00F33FC4">
        <w:rPr>
          <w:rFonts w:eastAsia="Calibri"/>
        </w:rPr>
        <w:t>Of the 239 downregulated genes, the most significant (1.5- log</w:t>
      </w:r>
      <w:r w:rsidRPr="00F33FC4">
        <w:rPr>
          <w:rFonts w:eastAsia="Calibri"/>
          <w:vertAlign w:val="subscript"/>
        </w:rPr>
        <w:t>2</w:t>
      </w:r>
      <w:r w:rsidRPr="00F33FC4">
        <w:rPr>
          <w:rFonts w:eastAsia="Calibri"/>
        </w:rPr>
        <w:t>fold change or more) were associated with the flagella and the heat shock chaperone (</w:t>
      </w:r>
      <w:proofErr w:type="spellStart"/>
      <w:r w:rsidRPr="00F33FC4">
        <w:rPr>
          <w:rFonts w:eastAsia="Calibri"/>
          <w:i/>
          <w:iCs/>
        </w:rPr>
        <w:t>ibpB</w:t>
      </w:r>
      <w:proofErr w:type="spellEnd"/>
      <w:r w:rsidRPr="00F33FC4">
        <w:rPr>
          <w:rFonts w:eastAsia="Calibri"/>
        </w:rPr>
        <w:t>) (Fig. 3.8A and B).</w:t>
      </w:r>
      <w:r w:rsidR="000725B7">
        <w:rPr>
          <w:rFonts w:eastAsia="Calibri"/>
        </w:rPr>
        <w:t xml:space="preserve"> </w:t>
      </w:r>
      <w:r w:rsidRPr="00F33FC4">
        <w:rPr>
          <w:rFonts w:eastAsia="Calibri"/>
        </w:rPr>
        <w:t xml:space="preserve">The other downregulated genes include </w:t>
      </w:r>
      <w:r w:rsidRPr="00F33FC4">
        <w:rPr>
          <w:rFonts w:eastAsia="Calibri"/>
          <w:i/>
          <w:iCs/>
        </w:rPr>
        <w:t>espR4</w:t>
      </w:r>
      <w:r w:rsidRPr="00F33FC4">
        <w:rPr>
          <w:rFonts w:eastAsia="Calibri"/>
        </w:rPr>
        <w:t xml:space="preserve"> that encodes a type 3 secretion system effector-like protein and </w:t>
      </w:r>
      <w:proofErr w:type="spellStart"/>
      <w:r w:rsidRPr="00F33FC4">
        <w:rPr>
          <w:rFonts w:eastAsia="Calibri"/>
        </w:rPr>
        <w:t>LdtC</w:t>
      </w:r>
      <w:proofErr w:type="spellEnd"/>
      <w:r w:rsidRPr="00F33FC4">
        <w:rPr>
          <w:rFonts w:eastAsia="Calibri"/>
        </w:rPr>
        <w:t xml:space="preserve"> (L,D-transpeptidase) that functions in peptidoglycan crosslinking. Several heat shock proteins such as </w:t>
      </w:r>
      <w:proofErr w:type="spellStart"/>
      <w:r w:rsidRPr="00F33FC4">
        <w:rPr>
          <w:rFonts w:eastAsia="Calibri"/>
        </w:rPr>
        <w:t>GroEL</w:t>
      </w:r>
      <w:proofErr w:type="spellEnd"/>
      <w:r w:rsidRPr="00F33FC4">
        <w:rPr>
          <w:rFonts w:eastAsia="Calibri"/>
        </w:rPr>
        <w:t xml:space="preserve">, </w:t>
      </w:r>
      <w:proofErr w:type="spellStart"/>
      <w:r w:rsidRPr="00F33FC4">
        <w:rPr>
          <w:rFonts w:eastAsia="Calibri"/>
        </w:rPr>
        <w:t>GroES</w:t>
      </w:r>
      <w:proofErr w:type="spellEnd"/>
      <w:r w:rsidRPr="00F33FC4">
        <w:rPr>
          <w:rFonts w:eastAsia="Calibri"/>
        </w:rPr>
        <w:t xml:space="preserve"> and </w:t>
      </w:r>
      <w:proofErr w:type="spellStart"/>
      <w:r w:rsidRPr="00F33FC4">
        <w:rPr>
          <w:rFonts w:eastAsia="Calibri"/>
        </w:rPr>
        <w:t>DnaK</w:t>
      </w:r>
      <w:proofErr w:type="spellEnd"/>
      <w:r w:rsidRPr="00F33FC4">
        <w:rPr>
          <w:rFonts w:eastAsia="Calibri"/>
        </w:rPr>
        <w:t xml:space="preserve"> have been reported to be induced by kanamycin </w:t>
      </w:r>
      <w:r w:rsidRPr="00F33FC4">
        <w:rPr>
          <w:rFonts w:eastAsia="Calibri"/>
          <w:noProof/>
        </w:rPr>
        <w:t>(24)</w:t>
      </w:r>
      <w:r w:rsidRPr="00F33FC4">
        <w:rPr>
          <w:rFonts w:eastAsia="Calibri"/>
        </w:rPr>
        <w:t>. The log</w:t>
      </w:r>
      <w:r w:rsidRPr="00F33FC4">
        <w:rPr>
          <w:rFonts w:eastAsia="Calibri"/>
          <w:vertAlign w:val="subscript"/>
        </w:rPr>
        <w:t>2</w:t>
      </w:r>
      <w:r w:rsidRPr="00F33FC4">
        <w:rPr>
          <w:rFonts w:eastAsia="Calibri"/>
        </w:rPr>
        <w:t xml:space="preserve">fold change for these and other heat shock proteins, however, are downregulated in the </w:t>
      </w:r>
      <w:proofErr w:type="spellStart"/>
      <w:r w:rsidRPr="00F33FC4">
        <w:rPr>
          <w:rFonts w:eastAsia="Calibri"/>
        </w:rPr>
        <w:t>pBR-</w:t>
      </w:r>
      <w:r w:rsidRPr="00F33FC4">
        <w:rPr>
          <w:rFonts w:eastAsia="Calibri"/>
          <w:i/>
          <w:iCs/>
        </w:rPr>
        <w:t>zor-orz</w:t>
      </w:r>
      <w:proofErr w:type="spellEnd"/>
      <w:r w:rsidRPr="00F33FC4">
        <w:rPr>
          <w:rFonts w:eastAsia="Calibri"/>
        </w:rPr>
        <w:t xml:space="preserve"> harboring cells (Fig. 3.8B). </w:t>
      </w:r>
    </w:p>
    <w:p w14:paraId="672AF475" w14:textId="5F0240FA" w:rsidR="00F33FC4" w:rsidRDefault="00F33FC4" w:rsidP="00F33FC4">
      <w:pPr>
        <w:spacing w:line="360" w:lineRule="auto"/>
        <w:ind w:firstLine="720"/>
        <w:rPr>
          <w:rFonts w:eastAsia="Calibri"/>
        </w:rPr>
      </w:pPr>
      <w:r w:rsidRPr="00F33FC4">
        <w:rPr>
          <w:rFonts w:eastAsia="Calibri"/>
        </w:rPr>
        <w:t xml:space="preserve">As flagellar associated genes were downregulated in cells harboring </w:t>
      </w:r>
      <w:proofErr w:type="spellStart"/>
      <w:r w:rsidRPr="00F33FC4">
        <w:rPr>
          <w:rFonts w:eastAsia="Calibri"/>
        </w:rPr>
        <w:t>pBR-</w:t>
      </w:r>
      <w:r w:rsidRPr="00F33FC4">
        <w:rPr>
          <w:rFonts w:eastAsia="Calibri"/>
          <w:i/>
          <w:iCs/>
        </w:rPr>
        <w:t>zor-orz</w:t>
      </w:r>
      <w:proofErr w:type="spellEnd"/>
      <w:r w:rsidRPr="00F33FC4">
        <w:rPr>
          <w:rFonts w:eastAsia="Calibri"/>
          <w:i/>
          <w:iCs/>
        </w:rPr>
        <w:t>,</w:t>
      </w:r>
      <w:r w:rsidRPr="00F33FC4">
        <w:rPr>
          <w:rFonts w:eastAsia="Calibri"/>
        </w:rPr>
        <w:t xml:space="preserve"> we tested if the presence of </w:t>
      </w:r>
      <w:proofErr w:type="spellStart"/>
      <w:r w:rsidRPr="00F33FC4">
        <w:rPr>
          <w:rFonts w:eastAsia="Calibri"/>
        </w:rPr>
        <w:t>pBR-</w:t>
      </w:r>
      <w:r w:rsidRPr="00F33FC4">
        <w:rPr>
          <w:rFonts w:eastAsia="Calibri"/>
          <w:i/>
          <w:iCs/>
        </w:rPr>
        <w:t>zor-orz</w:t>
      </w:r>
      <w:proofErr w:type="spellEnd"/>
      <w:r w:rsidRPr="00F33FC4">
        <w:rPr>
          <w:rFonts w:eastAsia="Calibri"/>
        </w:rPr>
        <w:t xml:space="preserve"> can impact motility of </w:t>
      </w:r>
      <w:r w:rsidRPr="00F33FC4">
        <w:rPr>
          <w:rFonts w:eastAsia="Calibri"/>
          <w:i/>
          <w:iCs/>
        </w:rPr>
        <w:t>E. coli</w:t>
      </w:r>
      <w:r w:rsidRPr="00F33FC4">
        <w:rPr>
          <w:rFonts w:eastAsia="Calibri"/>
        </w:rPr>
        <w:t xml:space="preserve"> MG1655. Although we saw a trend in decrease in the motility of the cells harboring </w:t>
      </w:r>
      <w:proofErr w:type="spellStart"/>
      <w:r w:rsidRPr="00F33FC4">
        <w:rPr>
          <w:rFonts w:eastAsia="Calibri"/>
        </w:rPr>
        <w:t>pBR-</w:t>
      </w:r>
      <w:r w:rsidRPr="00F33FC4">
        <w:rPr>
          <w:rFonts w:eastAsia="Calibri"/>
          <w:i/>
          <w:iCs/>
        </w:rPr>
        <w:t>zor-orz</w:t>
      </w:r>
      <w:proofErr w:type="spellEnd"/>
      <w:r w:rsidRPr="00F33FC4">
        <w:rPr>
          <w:rFonts w:eastAsia="Calibri"/>
        </w:rPr>
        <w:t xml:space="preserve">, it was not statistically significant (Fig. 3.9). Since the cells with </w:t>
      </w:r>
      <w:proofErr w:type="spellStart"/>
      <w:r w:rsidRPr="00F33FC4">
        <w:rPr>
          <w:rFonts w:eastAsia="Calibri"/>
        </w:rPr>
        <w:t>pBR-</w:t>
      </w:r>
      <w:r w:rsidRPr="00F33FC4">
        <w:rPr>
          <w:rFonts w:eastAsia="Calibri"/>
          <w:i/>
          <w:iCs/>
        </w:rPr>
        <w:t>zor-orz</w:t>
      </w:r>
      <w:proofErr w:type="spellEnd"/>
      <w:r w:rsidRPr="00F33FC4">
        <w:rPr>
          <w:rFonts w:eastAsia="Calibri"/>
        </w:rPr>
        <w:t xml:space="preserve"> grew better in presence of kanamycin compared to the cells with </w:t>
      </w:r>
      <w:proofErr w:type="spellStart"/>
      <w:r w:rsidRPr="00F33FC4">
        <w:rPr>
          <w:rFonts w:eastAsia="Calibri"/>
        </w:rPr>
        <w:t>pBR</w:t>
      </w:r>
      <w:proofErr w:type="spellEnd"/>
      <w:r w:rsidRPr="00F33FC4">
        <w:rPr>
          <w:rFonts w:eastAsia="Calibri"/>
        </w:rPr>
        <w:t xml:space="preserve"> </w:t>
      </w:r>
      <w:r w:rsidRPr="00F33FC4">
        <w:rPr>
          <w:rFonts w:eastAsia="Calibri"/>
          <w:noProof/>
        </w:rPr>
        <w:t>(18)</w:t>
      </w:r>
      <w:r w:rsidRPr="00F33FC4">
        <w:rPr>
          <w:rFonts w:eastAsia="Calibri"/>
        </w:rPr>
        <w:t xml:space="preserve">, motility testing of these cells with kanamycin was not comparable. </w:t>
      </w:r>
    </w:p>
    <w:p w14:paraId="7483A7A9" w14:textId="79C3ED5C" w:rsidR="00C3607D" w:rsidRDefault="00C3607D" w:rsidP="00F33FC4">
      <w:pPr>
        <w:spacing w:line="360" w:lineRule="auto"/>
        <w:ind w:firstLine="720"/>
        <w:rPr>
          <w:rFonts w:eastAsia="Calibri"/>
        </w:rPr>
      </w:pPr>
    </w:p>
    <w:p w14:paraId="0195251A" w14:textId="77777777" w:rsidR="00C3607D" w:rsidRPr="00F33FC4" w:rsidRDefault="00C3607D" w:rsidP="007A5817">
      <w:pPr>
        <w:numPr>
          <w:ilvl w:val="0"/>
          <w:numId w:val="26"/>
        </w:numPr>
        <w:spacing w:line="360" w:lineRule="auto"/>
        <w:ind w:left="0" w:firstLine="0"/>
        <w:contextualSpacing/>
        <w:rPr>
          <w:rFonts w:eastAsia="Calibri"/>
          <w:b/>
          <w:bCs/>
        </w:rPr>
      </w:pPr>
      <w:r w:rsidRPr="00F33FC4">
        <w:rPr>
          <w:rFonts w:eastAsia="Calibri"/>
          <w:b/>
          <w:bCs/>
        </w:rPr>
        <w:t>Discussion</w:t>
      </w:r>
    </w:p>
    <w:p w14:paraId="51BCF7CA" w14:textId="1377D260" w:rsidR="00C3607D" w:rsidRPr="00F33FC4" w:rsidRDefault="00C3607D" w:rsidP="007A5817">
      <w:pPr>
        <w:spacing w:line="360" w:lineRule="auto"/>
        <w:ind w:firstLine="720"/>
        <w:contextualSpacing/>
        <w:rPr>
          <w:rFonts w:eastAsia="Calibri"/>
          <w:b/>
          <w:bCs/>
        </w:rPr>
      </w:pPr>
      <w:r w:rsidRPr="00F33FC4">
        <w:rPr>
          <w:rFonts w:eastAsia="Calibri"/>
        </w:rPr>
        <w:t xml:space="preserve">Though several aspects of type I toxin systems have been examined, a paucity of research has addressed the global impact for these toxins. We determined that neither deletion of the chromosomal copy of the </w:t>
      </w:r>
      <w:proofErr w:type="spellStart"/>
      <w:r w:rsidRPr="00F33FC4">
        <w:rPr>
          <w:rFonts w:eastAsia="Calibri"/>
          <w:i/>
          <w:iCs/>
        </w:rPr>
        <w:t>zor-orz</w:t>
      </w:r>
      <w:proofErr w:type="spellEnd"/>
      <w:r w:rsidRPr="00F33FC4">
        <w:rPr>
          <w:rFonts w:eastAsia="Calibri"/>
        </w:rPr>
        <w:t xml:space="preserve"> locus nor the amplification of locus copy number resulted in altered growth of </w:t>
      </w:r>
      <w:r w:rsidRPr="00F33FC4">
        <w:rPr>
          <w:rFonts w:eastAsia="Calibri"/>
          <w:i/>
          <w:iCs/>
        </w:rPr>
        <w:t>E. coli</w:t>
      </w:r>
      <w:r w:rsidRPr="00F33FC4">
        <w:rPr>
          <w:rFonts w:eastAsia="Calibri"/>
        </w:rPr>
        <w:t xml:space="preserve"> EDL933 in the conditions tested (LB, M9 supplemented with glucose, fructose or glucose and fumarate, Fig. 3.2 </w:t>
      </w:r>
      <w:r w:rsidRPr="00F33FC4">
        <w:rPr>
          <w:rFonts w:eastAsia="Calibri"/>
          <w:noProof/>
        </w:rPr>
        <w:t>(18)</w:t>
      </w:r>
      <w:r w:rsidRPr="00F33FC4">
        <w:rPr>
          <w:rFonts w:eastAsia="Calibri"/>
        </w:rPr>
        <w:t xml:space="preserve">). However, cells harboring </w:t>
      </w:r>
      <w:proofErr w:type="spellStart"/>
      <w:r w:rsidRPr="00F33FC4">
        <w:rPr>
          <w:rFonts w:eastAsia="Calibri"/>
        </w:rPr>
        <w:t>pBR-</w:t>
      </w:r>
      <w:r w:rsidRPr="00F33FC4">
        <w:rPr>
          <w:rFonts w:eastAsia="Calibri"/>
          <w:i/>
          <w:iCs/>
        </w:rPr>
        <w:t>zor-orz</w:t>
      </w:r>
      <w:proofErr w:type="spellEnd"/>
      <w:r w:rsidRPr="00F33FC4">
        <w:rPr>
          <w:rFonts w:eastAsia="Calibri"/>
        </w:rPr>
        <w:t xml:space="preserve"> grew significantly better in the presence of, or subsequent to being challenged with aminoglycoside antibiotics such as kanamycin (Fig. 3.3,</w:t>
      </w:r>
      <w:r w:rsidRPr="00F33FC4">
        <w:rPr>
          <w:rFonts w:eastAsia="Calibri"/>
          <w:noProof/>
        </w:rPr>
        <w:t xml:space="preserve"> (18)</w:t>
      </w:r>
      <w:r w:rsidRPr="00F33FC4">
        <w:rPr>
          <w:rFonts w:eastAsia="Calibri"/>
        </w:rPr>
        <w:t>). Therefore, to better understand the global processes that contribute to this improved growth, we challenged cells, grown to exponential phase, with kanamycin and examined the primary transcriptional response to the antibiotic.</w:t>
      </w:r>
    </w:p>
    <w:p w14:paraId="6C75E312" w14:textId="77777777" w:rsidR="00C3607D" w:rsidRPr="00F33FC4" w:rsidRDefault="00C3607D" w:rsidP="00F33FC4">
      <w:pPr>
        <w:spacing w:line="360" w:lineRule="auto"/>
        <w:ind w:firstLine="720"/>
        <w:rPr>
          <w:rFonts w:eastAsia="Calibri"/>
        </w:rPr>
      </w:pPr>
    </w:p>
    <w:p w14:paraId="75F11720" w14:textId="77777777" w:rsidR="00F33FC4" w:rsidRPr="00F33FC4" w:rsidRDefault="00F33FC4" w:rsidP="00F33FC4">
      <w:pPr>
        <w:spacing w:line="360" w:lineRule="auto"/>
        <w:ind w:left="284"/>
        <w:rPr>
          <w:rFonts w:eastAsia="Calibri"/>
        </w:rPr>
      </w:pPr>
      <w:r w:rsidRPr="00F33FC4">
        <w:rPr>
          <w:rFonts w:eastAsia="Calibri"/>
          <w:b/>
          <w:bCs/>
        </w:rPr>
        <w:br w:type="page"/>
      </w:r>
    </w:p>
    <w:p w14:paraId="3D1112AC" w14:textId="77777777" w:rsidR="00F33FC4" w:rsidRPr="00F33FC4" w:rsidRDefault="00F33FC4" w:rsidP="00F33FC4">
      <w:pPr>
        <w:spacing w:line="360" w:lineRule="auto"/>
        <w:ind w:left="284" w:firstLine="720"/>
        <w:rPr>
          <w:rFonts w:eastAsia="Calibri"/>
        </w:rPr>
      </w:pPr>
      <w:r w:rsidRPr="00F33FC4">
        <w:rPr>
          <w:rFonts w:eastAsia="Calibri"/>
          <w:b/>
          <w:bCs/>
          <w:noProof/>
        </w:rPr>
        <w:lastRenderedPageBreak/>
        <w:drawing>
          <wp:anchor distT="0" distB="0" distL="114300" distR="114300" simplePos="0" relativeHeight="251717632" behindDoc="0" locked="0" layoutInCell="1" allowOverlap="1" wp14:anchorId="05BF0F7A" wp14:editId="0DC17B9D">
            <wp:simplePos x="0" y="0"/>
            <wp:positionH relativeFrom="column">
              <wp:posOffset>1099820</wp:posOffset>
            </wp:positionH>
            <wp:positionV relativeFrom="paragraph">
              <wp:posOffset>262255</wp:posOffset>
            </wp:positionV>
            <wp:extent cx="4125192" cy="4097867"/>
            <wp:effectExtent l="0" t="0" r="2540" b="4445"/>
            <wp:wrapTopAndBottom/>
            <wp:docPr id="86" name="Picture 8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10;&#10;Description automatically generated"/>
                    <pic:cNvPicPr/>
                  </pic:nvPicPr>
                  <pic:blipFill>
                    <a:blip r:embed="rId33" cstate="print">
                      <a:extLst>
                        <a:ext uri="{28A0092B-C50C-407E-A947-70E740481C1C}">
                          <a14:useLocalDpi xmlns:a14="http://schemas.microsoft.com/office/drawing/2010/main" val="0"/>
                        </a:ext>
                      </a:extLst>
                    </a:blip>
                    <a:stretch>
                      <a:fillRect/>
                    </a:stretch>
                  </pic:blipFill>
                  <pic:spPr>
                    <a:xfrm>
                      <a:off x="0" y="0"/>
                      <a:ext cx="4125192" cy="4097867"/>
                    </a:xfrm>
                    <a:prstGeom prst="rect">
                      <a:avLst/>
                    </a:prstGeom>
                  </pic:spPr>
                </pic:pic>
              </a:graphicData>
            </a:graphic>
            <wp14:sizeRelH relativeFrom="page">
              <wp14:pctWidth>0</wp14:pctWidth>
            </wp14:sizeRelH>
            <wp14:sizeRelV relativeFrom="page">
              <wp14:pctHeight>0</wp14:pctHeight>
            </wp14:sizeRelV>
          </wp:anchor>
        </w:drawing>
      </w:r>
    </w:p>
    <w:p w14:paraId="530627A0" w14:textId="77777777" w:rsidR="00F33FC4" w:rsidRPr="00F33FC4" w:rsidRDefault="00F33FC4" w:rsidP="00F33FC4">
      <w:pPr>
        <w:spacing w:line="360" w:lineRule="auto"/>
        <w:ind w:left="284" w:firstLine="720"/>
        <w:rPr>
          <w:rFonts w:eastAsia="Calibri"/>
        </w:rPr>
      </w:pPr>
      <w:r w:rsidRPr="00F33FC4">
        <w:rPr>
          <w:rFonts w:ascii="Calibri" w:eastAsia="Calibri" w:hAnsi="Calibri" w:cs="Mangal"/>
          <w:noProof/>
        </w:rPr>
        <mc:AlternateContent>
          <mc:Choice Requires="wps">
            <w:drawing>
              <wp:anchor distT="0" distB="0" distL="114300" distR="114300" simplePos="0" relativeHeight="251718656" behindDoc="0" locked="0" layoutInCell="1" allowOverlap="1" wp14:anchorId="52AFE3AA" wp14:editId="40BDE259">
                <wp:simplePos x="0" y="0"/>
                <wp:positionH relativeFrom="column">
                  <wp:posOffset>145415</wp:posOffset>
                </wp:positionH>
                <wp:positionV relativeFrom="paragraph">
                  <wp:posOffset>4435475</wp:posOffset>
                </wp:positionV>
                <wp:extent cx="5437505" cy="635"/>
                <wp:effectExtent l="0" t="0" r="0" b="1270"/>
                <wp:wrapTopAndBottom/>
                <wp:docPr id="78" name="Text Box 78"/>
                <wp:cNvGraphicFramePr/>
                <a:graphic xmlns:a="http://schemas.openxmlformats.org/drawingml/2006/main">
                  <a:graphicData uri="http://schemas.microsoft.com/office/word/2010/wordprocessingShape">
                    <wps:wsp>
                      <wps:cNvSpPr txBox="1"/>
                      <wps:spPr>
                        <a:xfrm>
                          <a:off x="0" y="0"/>
                          <a:ext cx="5437505" cy="635"/>
                        </a:xfrm>
                        <a:prstGeom prst="rect">
                          <a:avLst/>
                        </a:prstGeom>
                        <a:solidFill>
                          <a:prstClr val="white"/>
                        </a:solidFill>
                        <a:ln>
                          <a:noFill/>
                        </a:ln>
                      </wps:spPr>
                      <wps:txbx>
                        <w:txbxContent>
                          <w:p w14:paraId="1E42B4CB" w14:textId="77777777" w:rsidR="00F33FC4" w:rsidRPr="00F12873" w:rsidRDefault="00F33FC4" w:rsidP="00F33FC4">
                            <w:pPr>
                              <w:pStyle w:val="Caption"/>
                              <w:rPr>
                                <w:i/>
                                <w:iCs w:val="0"/>
                                <w:sz w:val="22"/>
                                <w:szCs w:val="22"/>
                              </w:rPr>
                            </w:pPr>
                            <w:r w:rsidRPr="00F12873">
                              <w:rPr>
                                <w:iCs w:val="0"/>
                                <w:sz w:val="22"/>
                                <w:szCs w:val="22"/>
                              </w:rPr>
                              <w:t xml:space="preserve">Figure </w:t>
                            </w:r>
                            <w:r>
                              <w:rPr>
                                <w:iCs w:val="0"/>
                                <w:sz w:val="22"/>
                                <w:szCs w:val="22"/>
                              </w:rPr>
                              <w:t xml:space="preserve">3.6. Network analysis of upregulated genes using </w:t>
                            </w:r>
                            <w:proofErr w:type="spellStart"/>
                            <w:r>
                              <w:rPr>
                                <w:iCs w:val="0"/>
                                <w:sz w:val="22"/>
                                <w:szCs w:val="22"/>
                              </w:rPr>
                              <w:t>cytoscape</w:t>
                            </w:r>
                            <w:proofErr w:type="spellEnd"/>
                            <w:r>
                              <w:rPr>
                                <w:iCs w:val="0"/>
                                <w:sz w:val="22"/>
                                <w:szCs w:val="22"/>
                              </w:rPr>
                              <w:t xml:space="preserve"> (v.3.8.2) with maximum additional interactions of 10. The split donut around the node indicates the enrichment pathways identified.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52AFE3AA" id="Text Box 78" o:spid="_x0000_s1046" type="#_x0000_t202" style="position:absolute;left:0;text-align:left;margin-left:11.45pt;margin-top:349.25pt;width:428.15pt;height:.05pt;z-index:251718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" stroked="f">
                <v:textbox style="mso-fit-shape-to-text:t" inset="0,0,0,0">
                  <w:txbxContent>
                    <w:p w14:paraId="1E42B4CB" w14:textId="77777777" w:rsidR="00F33FC4" w:rsidRPr="00F12873" w:rsidRDefault="00F33FC4" w:rsidP="00F33FC4">
                      <w:pPr>
                        <w:pStyle w:val="Caption"/>
                        <w:rPr>
                          <w:i/>
                          <w:iCs w:val="0"/>
                          <w:sz w:val="22"/>
                          <w:szCs w:val="22"/>
                        </w:rPr>
                      </w:pPr>
                      <w:r w:rsidRPr="00F12873">
                        <w:rPr>
                          <w:iCs w:val="0"/>
                          <w:sz w:val="22"/>
                          <w:szCs w:val="22"/>
                        </w:rPr>
                        <w:t xml:space="preserve">Figure </w:t>
                      </w:r>
                      <w:r>
                        <w:rPr>
                          <w:iCs w:val="0"/>
                          <w:sz w:val="22"/>
                          <w:szCs w:val="22"/>
                        </w:rPr>
                        <w:t xml:space="preserve">3.6. Network analysis of upregulated genes using </w:t>
                      </w:r>
                      <w:proofErr w:type="spellStart"/>
                      <w:r>
                        <w:rPr>
                          <w:iCs w:val="0"/>
                          <w:sz w:val="22"/>
                          <w:szCs w:val="22"/>
                        </w:rPr>
                        <w:t>cytoscape</w:t>
                      </w:r>
                      <w:proofErr w:type="spellEnd"/>
                      <w:r>
                        <w:rPr>
                          <w:iCs w:val="0"/>
                          <w:sz w:val="22"/>
                          <w:szCs w:val="22"/>
                        </w:rPr>
                        <w:t xml:space="preserve"> (v.3.8.2) with maximum additional interactions of 10. The split donut around the node indicates the enrichment pathways identified. </w:t>
                      </w:r>
                    </w:p>
                  </w:txbxContent>
                </v:textbox>
                <w10:wrap type="topAndBottom"/>
              </v:shape>
            </w:pict>
          </mc:Fallback>
        </mc:AlternateContent>
      </w:r>
      <w:r w:rsidRPr="00F33FC4">
        <w:rPr>
          <w:rFonts w:eastAsia="Calibri"/>
        </w:rPr>
        <w:br w:type="page"/>
      </w:r>
    </w:p>
    <w:p w14:paraId="2E2B087B" w14:textId="77777777" w:rsidR="00F33FC4" w:rsidRPr="00F33FC4" w:rsidRDefault="00F33FC4" w:rsidP="00F33FC4">
      <w:pPr>
        <w:spacing w:line="360" w:lineRule="auto"/>
        <w:rPr>
          <w:rFonts w:eastAsia="Calibri"/>
        </w:rPr>
      </w:pPr>
      <w:r w:rsidRPr="00F33FC4">
        <w:rPr>
          <w:rFonts w:eastAsia="Calibri"/>
          <w:noProof/>
        </w:rPr>
        <w:lastRenderedPageBreak/>
        <w:drawing>
          <wp:anchor distT="0" distB="0" distL="114300" distR="114300" simplePos="0" relativeHeight="251714560" behindDoc="0" locked="0" layoutInCell="1" allowOverlap="1" wp14:anchorId="4FA15842" wp14:editId="7BC3B357">
            <wp:simplePos x="0" y="0"/>
            <wp:positionH relativeFrom="column">
              <wp:posOffset>456348</wp:posOffset>
            </wp:positionH>
            <wp:positionV relativeFrom="paragraph">
              <wp:posOffset>380311</wp:posOffset>
            </wp:positionV>
            <wp:extent cx="4945380" cy="6036310"/>
            <wp:effectExtent l="0" t="0" r="0" b="0"/>
            <wp:wrapTopAndBottom/>
            <wp:docPr id="87" name="Picture 8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Diagram&#10;&#10;Description automatically generated"/>
                    <pic:cNvPicPr/>
                  </pic:nvPicPr>
                  <pic:blipFill>
                    <a:blip r:embed="rId34" cstate="print">
                      <a:extLst>
                        <a:ext uri="{28A0092B-C50C-407E-A947-70E740481C1C}">
                          <a14:useLocalDpi xmlns:a14="http://schemas.microsoft.com/office/drawing/2010/main" val="0"/>
                        </a:ext>
                      </a:extLst>
                    </a:blip>
                    <a:stretch>
                      <a:fillRect/>
                    </a:stretch>
                  </pic:blipFill>
                  <pic:spPr>
                    <a:xfrm>
                      <a:off x="0" y="0"/>
                      <a:ext cx="4945380" cy="6036310"/>
                    </a:xfrm>
                    <a:prstGeom prst="rect">
                      <a:avLst/>
                    </a:prstGeom>
                  </pic:spPr>
                </pic:pic>
              </a:graphicData>
            </a:graphic>
            <wp14:sizeRelH relativeFrom="page">
              <wp14:pctWidth>0</wp14:pctWidth>
            </wp14:sizeRelH>
            <wp14:sizeRelV relativeFrom="page">
              <wp14:pctHeight>0</wp14:pctHeight>
            </wp14:sizeRelV>
          </wp:anchor>
        </w:drawing>
      </w:r>
    </w:p>
    <w:p w14:paraId="43F12AFA" w14:textId="77777777" w:rsidR="00F33FC4" w:rsidRPr="00F33FC4" w:rsidRDefault="00F33FC4" w:rsidP="00F33FC4">
      <w:pPr>
        <w:spacing w:line="360" w:lineRule="auto"/>
        <w:ind w:left="284" w:firstLine="720"/>
        <w:rPr>
          <w:rFonts w:eastAsia="Calibri"/>
        </w:rPr>
      </w:pPr>
      <w:r w:rsidRPr="00F33FC4">
        <w:rPr>
          <w:rFonts w:ascii="Calibri" w:eastAsia="Calibri" w:hAnsi="Calibri" w:cs="Mangal"/>
          <w:noProof/>
        </w:rPr>
        <mc:AlternateContent>
          <mc:Choice Requires="wps">
            <w:drawing>
              <wp:anchor distT="0" distB="0" distL="114300" distR="114300" simplePos="0" relativeHeight="251715584" behindDoc="0" locked="0" layoutInCell="1" allowOverlap="1" wp14:anchorId="1DC408DE" wp14:editId="0494F4A9">
                <wp:simplePos x="0" y="0"/>
                <wp:positionH relativeFrom="column">
                  <wp:posOffset>116205</wp:posOffset>
                </wp:positionH>
                <wp:positionV relativeFrom="paragraph">
                  <wp:posOffset>6361430</wp:posOffset>
                </wp:positionV>
                <wp:extent cx="5457190" cy="635"/>
                <wp:effectExtent l="0" t="0" r="3810" b="1270"/>
                <wp:wrapTopAndBottom/>
                <wp:docPr id="79" name="Text Box 79"/>
                <wp:cNvGraphicFramePr/>
                <a:graphic xmlns:a="http://schemas.openxmlformats.org/drawingml/2006/main">
                  <a:graphicData uri="http://schemas.microsoft.com/office/word/2010/wordprocessingShape">
                    <wps:wsp>
                      <wps:cNvSpPr txBox="1"/>
                      <wps:spPr>
                        <a:xfrm>
                          <a:off x="0" y="0"/>
                          <a:ext cx="5457190" cy="635"/>
                        </a:xfrm>
                        <a:prstGeom prst="rect">
                          <a:avLst/>
                        </a:prstGeom>
                        <a:solidFill>
                          <a:prstClr val="white"/>
                        </a:solidFill>
                        <a:ln>
                          <a:noFill/>
                        </a:ln>
                      </wps:spPr>
                      <wps:txbx>
                        <w:txbxContent>
                          <w:p w14:paraId="001E9EF3" w14:textId="77777777" w:rsidR="00F33FC4" w:rsidRPr="00F12873" w:rsidRDefault="00F33FC4" w:rsidP="00F33FC4">
                            <w:pPr>
                              <w:pStyle w:val="Caption"/>
                              <w:rPr>
                                <w:i/>
                                <w:iCs w:val="0"/>
                                <w:sz w:val="22"/>
                                <w:szCs w:val="22"/>
                              </w:rPr>
                            </w:pPr>
                            <w:r w:rsidRPr="00F12873">
                              <w:rPr>
                                <w:iCs w:val="0"/>
                                <w:sz w:val="22"/>
                                <w:szCs w:val="22"/>
                              </w:rPr>
                              <w:t xml:space="preserve">Figure </w:t>
                            </w:r>
                            <w:r>
                              <w:rPr>
                                <w:iCs w:val="0"/>
                                <w:sz w:val="22"/>
                                <w:szCs w:val="22"/>
                              </w:rPr>
                              <w:t xml:space="preserve">3.7. Network analysis of downregulated genes using </w:t>
                            </w:r>
                            <w:proofErr w:type="spellStart"/>
                            <w:r>
                              <w:rPr>
                                <w:iCs w:val="0"/>
                                <w:sz w:val="22"/>
                                <w:szCs w:val="22"/>
                              </w:rPr>
                              <w:t>cytoscape</w:t>
                            </w:r>
                            <w:proofErr w:type="spellEnd"/>
                            <w:r>
                              <w:rPr>
                                <w:iCs w:val="0"/>
                                <w:sz w:val="22"/>
                                <w:szCs w:val="22"/>
                              </w:rPr>
                              <w:t xml:space="preserve"> (v.3.8.2) with maximum additional interactions of 5. The split donut around the node indicates the enrichment pathways identified.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DC408DE" id="Text Box 79" o:spid="_x0000_s1047" type="#_x0000_t202" style="position:absolute;left:0;text-align:left;margin-left:9.15pt;margin-top:500.9pt;width:429.7pt;height:.05pt;z-index:251715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" stroked="f">
                <v:textbox style="mso-fit-shape-to-text:t" inset="0,0,0,0">
                  <w:txbxContent>
                    <w:p w14:paraId="001E9EF3" w14:textId="77777777" w:rsidR="00F33FC4" w:rsidRPr="00F12873" w:rsidRDefault="00F33FC4" w:rsidP="00F33FC4">
                      <w:pPr>
                        <w:pStyle w:val="Caption"/>
                        <w:rPr>
                          <w:i/>
                          <w:iCs w:val="0"/>
                          <w:sz w:val="22"/>
                          <w:szCs w:val="22"/>
                        </w:rPr>
                      </w:pPr>
                      <w:r w:rsidRPr="00F12873">
                        <w:rPr>
                          <w:iCs w:val="0"/>
                          <w:sz w:val="22"/>
                          <w:szCs w:val="22"/>
                        </w:rPr>
                        <w:t xml:space="preserve">Figure </w:t>
                      </w:r>
                      <w:r>
                        <w:rPr>
                          <w:iCs w:val="0"/>
                          <w:sz w:val="22"/>
                          <w:szCs w:val="22"/>
                        </w:rPr>
                        <w:t xml:space="preserve">3.7. Network analysis of downregulated genes using </w:t>
                      </w:r>
                      <w:proofErr w:type="spellStart"/>
                      <w:r>
                        <w:rPr>
                          <w:iCs w:val="0"/>
                          <w:sz w:val="22"/>
                          <w:szCs w:val="22"/>
                        </w:rPr>
                        <w:t>cytoscape</w:t>
                      </w:r>
                      <w:proofErr w:type="spellEnd"/>
                      <w:r>
                        <w:rPr>
                          <w:iCs w:val="0"/>
                          <w:sz w:val="22"/>
                          <w:szCs w:val="22"/>
                        </w:rPr>
                        <w:t xml:space="preserve"> (v.3.8.2) with maximum additional interactions of 5. The split donut around the node indicates the enrichment pathways identified. </w:t>
                      </w:r>
                    </w:p>
                  </w:txbxContent>
                </v:textbox>
                <w10:wrap type="topAndBottom"/>
              </v:shape>
            </w:pict>
          </mc:Fallback>
        </mc:AlternateContent>
      </w:r>
      <w:r w:rsidRPr="00F33FC4">
        <w:rPr>
          <w:rFonts w:eastAsia="Calibri"/>
        </w:rPr>
        <w:br w:type="page"/>
      </w:r>
    </w:p>
    <w:p w14:paraId="160A9FED" w14:textId="77777777" w:rsidR="00F33FC4" w:rsidRPr="00F33FC4" w:rsidRDefault="00F33FC4" w:rsidP="00F33FC4">
      <w:pPr>
        <w:spacing w:line="360" w:lineRule="auto"/>
        <w:rPr>
          <w:rFonts w:eastAsia="Calibri"/>
          <w:b/>
          <w:bCs/>
        </w:rPr>
      </w:pPr>
      <w:r w:rsidRPr="00F33FC4">
        <w:rPr>
          <w:rFonts w:ascii="Calibri" w:eastAsia="Calibri" w:hAnsi="Calibri" w:cs="Mangal"/>
          <w:noProof/>
        </w:rPr>
        <w:lastRenderedPageBreak/>
        <mc:AlternateContent>
          <mc:Choice Requires="wps">
            <w:drawing>
              <wp:anchor distT="0" distB="0" distL="114300" distR="114300" simplePos="0" relativeHeight="251709440" behindDoc="0" locked="0" layoutInCell="1" allowOverlap="1" wp14:anchorId="617A99DC" wp14:editId="376D7C0B">
                <wp:simplePos x="0" y="0"/>
                <wp:positionH relativeFrom="column">
                  <wp:posOffset>495935</wp:posOffset>
                </wp:positionH>
                <wp:positionV relativeFrom="paragraph">
                  <wp:posOffset>6322695</wp:posOffset>
                </wp:positionV>
                <wp:extent cx="5457190" cy="635"/>
                <wp:effectExtent l="0" t="0" r="3810" b="1270"/>
                <wp:wrapTopAndBottom/>
                <wp:docPr id="21" name="Text Box 21"/>
                <wp:cNvGraphicFramePr/>
                <a:graphic xmlns:a="http://schemas.openxmlformats.org/drawingml/2006/main">
                  <a:graphicData uri="http://schemas.microsoft.com/office/word/2010/wordprocessingShape">
                    <wps:wsp>
                      <wps:cNvSpPr txBox="1"/>
                      <wps:spPr>
                        <a:xfrm>
                          <a:off x="0" y="0"/>
                          <a:ext cx="5457190" cy="635"/>
                        </a:xfrm>
                        <a:prstGeom prst="rect">
                          <a:avLst/>
                        </a:prstGeom>
                        <a:solidFill>
                          <a:prstClr val="white"/>
                        </a:solidFill>
                        <a:ln>
                          <a:noFill/>
                        </a:ln>
                      </wps:spPr>
                      <wps:txbx>
                        <w:txbxContent>
                          <w:p w14:paraId="31C48388" w14:textId="77777777" w:rsidR="00F33FC4" w:rsidRPr="00F12873" w:rsidRDefault="00F33FC4" w:rsidP="00F33FC4">
                            <w:pPr>
                              <w:pStyle w:val="Caption"/>
                              <w:rPr>
                                <w:i/>
                                <w:iCs w:val="0"/>
                                <w:sz w:val="22"/>
                                <w:szCs w:val="22"/>
                              </w:rPr>
                            </w:pPr>
                            <w:r w:rsidRPr="00F12873">
                              <w:rPr>
                                <w:iCs w:val="0"/>
                                <w:sz w:val="22"/>
                                <w:szCs w:val="22"/>
                              </w:rPr>
                              <w:t xml:space="preserve">Figure </w:t>
                            </w:r>
                            <w:r>
                              <w:rPr>
                                <w:iCs w:val="0"/>
                                <w:sz w:val="22"/>
                                <w:szCs w:val="22"/>
                              </w:rPr>
                              <w:t>3.8. Genes that are significantly downregulated.  At least 1.5-log</w:t>
                            </w:r>
                            <w:r w:rsidRPr="00502050">
                              <w:rPr>
                                <w:iCs w:val="0"/>
                                <w:sz w:val="22"/>
                                <w:szCs w:val="22"/>
                                <w:vertAlign w:val="subscript"/>
                              </w:rPr>
                              <w:t>2</w:t>
                            </w:r>
                            <w:r>
                              <w:rPr>
                                <w:iCs w:val="0"/>
                                <w:sz w:val="22"/>
                                <w:szCs w:val="22"/>
                              </w:rPr>
                              <w:t>fold (A), Flagella associated genes indicated in red box. Genes related to heat shock response that are significantly downregulated (B)</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617A99DC" id="Text Box 21" o:spid="_x0000_s1048" type="#_x0000_t202" style="position:absolute;margin-left:39.05pt;margin-top:497.85pt;width:429.7pt;height:.05pt;z-index:2517094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" stroked="f">
                <v:textbox style="mso-fit-shape-to-text:t" inset="0,0,0,0">
                  <w:txbxContent>
                    <w:p w14:paraId="31C48388" w14:textId="77777777" w:rsidR="00F33FC4" w:rsidRPr="00F12873" w:rsidRDefault="00F33FC4" w:rsidP="00F33FC4">
                      <w:pPr>
                        <w:pStyle w:val="Caption"/>
                        <w:rPr>
                          <w:i/>
                          <w:iCs w:val="0"/>
                          <w:sz w:val="22"/>
                          <w:szCs w:val="22"/>
                        </w:rPr>
                      </w:pPr>
                      <w:r w:rsidRPr="00F12873">
                        <w:rPr>
                          <w:iCs w:val="0"/>
                          <w:sz w:val="22"/>
                          <w:szCs w:val="22"/>
                        </w:rPr>
                        <w:t xml:space="preserve">Figure </w:t>
                      </w:r>
                      <w:r>
                        <w:rPr>
                          <w:iCs w:val="0"/>
                          <w:sz w:val="22"/>
                          <w:szCs w:val="22"/>
                        </w:rPr>
                        <w:t>3.8. Genes that are significantly downregulated.  At least 1.5-log</w:t>
                      </w:r>
                      <w:r w:rsidRPr="00502050">
                        <w:rPr>
                          <w:iCs w:val="0"/>
                          <w:sz w:val="22"/>
                          <w:szCs w:val="22"/>
                          <w:vertAlign w:val="subscript"/>
                        </w:rPr>
                        <w:t>2</w:t>
                      </w:r>
                      <w:r>
                        <w:rPr>
                          <w:iCs w:val="0"/>
                          <w:sz w:val="22"/>
                          <w:szCs w:val="22"/>
                        </w:rPr>
                        <w:t>fold (A), Flagella associated genes indicated in red box. Genes related to heat shock response that are significantly downregulated (B)</w:t>
                      </w:r>
                    </w:p>
                  </w:txbxContent>
                </v:textbox>
                <w10:wrap type="topAndBottom"/>
              </v:shape>
            </w:pict>
          </mc:Fallback>
        </mc:AlternateContent>
      </w:r>
      <w:r w:rsidRPr="00F33FC4">
        <w:rPr>
          <w:rFonts w:eastAsia="Calibri"/>
          <w:b/>
          <w:bCs/>
          <w:noProof/>
        </w:rPr>
        <w:drawing>
          <wp:anchor distT="0" distB="0" distL="114300" distR="114300" simplePos="0" relativeHeight="251719680" behindDoc="0" locked="0" layoutInCell="1" allowOverlap="1" wp14:anchorId="7E3C73C8" wp14:editId="7032ABED">
            <wp:simplePos x="0" y="0"/>
            <wp:positionH relativeFrom="column">
              <wp:posOffset>631771</wp:posOffset>
            </wp:positionH>
            <wp:positionV relativeFrom="paragraph">
              <wp:posOffset>106923</wp:posOffset>
            </wp:positionV>
            <wp:extent cx="4766945" cy="5917565"/>
            <wp:effectExtent l="0" t="0" r="0" b="0"/>
            <wp:wrapTopAndBottom/>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extLst>
                        <a:ext uri="{28A0092B-C50C-407E-A947-70E740481C1C}">
                          <a14:useLocalDpi xmlns:a14="http://schemas.microsoft.com/office/drawing/2010/main" val="0"/>
                        </a:ext>
                      </a:extLst>
                    </a:blip>
                    <a:stretch>
                      <a:fillRect/>
                    </a:stretch>
                  </pic:blipFill>
                  <pic:spPr>
                    <a:xfrm>
                      <a:off x="0" y="0"/>
                      <a:ext cx="4766945" cy="5917565"/>
                    </a:xfrm>
                    <a:prstGeom prst="rect">
                      <a:avLst/>
                    </a:prstGeom>
                  </pic:spPr>
                </pic:pic>
              </a:graphicData>
            </a:graphic>
            <wp14:sizeRelH relativeFrom="page">
              <wp14:pctWidth>0</wp14:pctWidth>
            </wp14:sizeRelH>
            <wp14:sizeRelV relativeFrom="page">
              <wp14:pctHeight>0</wp14:pctHeight>
            </wp14:sizeRelV>
          </wp:anchor>
        </w:drawing>
      </w:r>
    </w:p>
    <w:p w14:paraId="30A5F82D" w14:textId="77777777" w:rsidR="00F33FC4" w:rsidRPr="00F33FC4" w:rsidRDefault="00F33FC4" w:rsidP="00F33FC4">
      <w:pPr>
        <w:spacing w:line="360" w:lineRule="auto"/>
        <w:ind w:left="284" w:firstLine="720"/>
        <w:rPr>
          <w:rFonts w:eastAsia="Calibri"/>
          <w:b/>
          <w:bCs/>
        </w:rPr>
      </w:pPr>
      <w:r w:rsidRPr="00F33FC4">
        <w:rPr>
          <w:rFonts w:eastAsia="Calibri"/>
          <w:b/>
          <w:bCs/>
        </w:rPr>
        <w:br w:type="page"/>
      </w:r>
    </w:p>
    <w:p w14:paraId="6A2EAF36" w14:textId="6C8D518E" w:rsidR="00F33FC4" w:rsidRPr="00F33FC4" w:rsidRDefault="00D21137" w:rsidP="00F33FC4">
      <w:pPr>
        <w:spacing w:line="360" w:lineRule="auto"/>
        <w:ind w:left="284" w:firstLine="720"/>
        <w:rPr>
          <w:rFonts w:eastAsia="Calibri"/>
          <w:b/>
          <w:bCs/>
        </w:rPr>
      </w:pPr>
      <w:r w:rsidRPr="00D21137">
        <w:rPr>
          <w:rFonts w:eastAsia="Calibri"/>
          <w:b/>
          <w:bCs/>
        </w:rPr>
        <w:lastRenderedPageBreak/>
        <w:drawing>
          <wp:anchor distT="0" distB="0" distL="114300" distR="114300" simplePos="0" relativeHeight="251787264" behindDoc="0" locked="0" layoutInCell="1" allowOverlap="1" wp14:anchorId="6DBE5E35" wp14:editId="02B51D38">
            <wp:simplePos x="0" y="0"/>
            <wp:positionH relativeFrom="column">
              <wp:posOffset>443614</wp:posOffset>
            </wp:positionH>
            <wp:positionV relativeFrom="paragraph">
              <wp:posOffset>62865</wp:posOffset>
            </wp:positionV>
            <wp:extent cx="5069840" cy="2935605"/>
            <wp:effectExtent l="0" t="0" r="0" b="0"/>
            <wp:wrapTopAndBottom/>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extLst>
                        <a:ext uri="{28A0092B-C50C-407E-A947-70E740481C1C}">
                          <a14:useLocalDpi xmlns:a14="http://schemas.microsoft.com/office/drawing/2010/main" val="0"/>
                        </a:ext>
                      </a:extLst>
                    </a:blip>
                    <a:stretch>
                      <a:fillRect/>
                    </a:stretch>
                  </pic:blipFill>
                  <pic:spPr>
                    <a:xfrm>
                      <a:off x="0" y="0"/>
                      <a:ext cx="5069840" cy="2935605"/>
                    </a:xfrm>
                    <a:prstGeom prst="rect">
                      <a:avLst/>
                    </a:prstGeom>
                  </pic:spPr>
                </pic:pic>
              </a:graphicData>
            </a:graphic>
            <wp14:sizeRelH relativeFrom="page">
              <wp14:pctWidth>0</wp14:pctWidth>
            </wp14:sizeRelH>
            <wp14:sizeRelV relativeFrom="page">
              <wp14:pctHeight>0</wp14:pctHeight>
            </wp14:sizeRelV>
          </wp:anchor>
        </w:drawing>
      </w:r>
      <w:r w:rsidR="00F33FC4" w:rsidRPr="00F33FC4">
        <w:rPr>
          <w:rFonts w:ascii="Calibri" w:eastAsia="Calibri" w:hAnsi="Calibri" w:cs="Mangal"/>
          <w:noProof/>
        </w:rPr>
        <mc:AlternateContent>
          <mc:Choice Requires="wps">
            <w:drawing>
              <wp:anchor distT="0" distB="0" distL="114300" distR="114300" simplePos="0" relativeHeight="251716608" behindDoc="0" locked="0" layoutInCell="1" allowOverlap="1" wp14:anchorId="62FA8F11" wp14:editId="0326626F">
                <wp:simplePos x="0" y="0"/>
                <wp:positionH relativeFrom="column">
                  <wp:posOffset>495935</wp:posOffset>
                </wp:positionH>
                <wp:positionV relativeFrom="paragraph">
                  <wp:posOffset>3093085</wp:posOffset>
                </wp:positionV>
                <wp:extent cx="5349875" cy="635"/>
                <wp:effectExtent l="0" t="0" r="0" b="1270"/>
                <wp:wrapTopAndBottom/>
                <wp:docPr id="80" name="Text Box 80"/>
                <wp:cNvGraphicFramePr/>
                <a:graphic xmlns:a="http://schemas.openxmlformats.org/drawingml/2006/main">
                  <a:graphicData uri="http://schemas.microsoft.com/office/word/2010/wordprocessingShape">
                    <wps:wsp>
                      <wps:cNvSpPr txBox="1"/>
                      <wps:spPr>
                        <a:xfrm>
                          <a:off x="0" y="0"/>
                          <a:ext cx="5349875" cy="635"/>
                        </a:xfrm>
                        <a:prstGeom prst="rect">
                          <a:avLst/>
                        </a:prstGeom>
                        <a:solidFill>
                          <a:prstClr val="white"/>
                        </a:solidFill>
                        <a:ln>
                          <a:noFill/>
                        </a:ln>
                      </wps:spPr>
                      <wps:txbx>
                        <w:txbxContent>
                          <w:p w14:paraId="5AF6B52C" w14:textId="3EB8CBE2" w:rsidR="00F33FC4" w:rsidRPr="00F12873" w:rsidRDefault="00F33FC4" w:rsidP="00F33FC4">
                            <w:pPr>
                              <w:pStyle w:val="Caption"/>
                              <w:rPr>
                                <w:i/>
                                <w:iCs w:val="0"/>
                                <w:sz w:val="22"/>
                                <w:szCs w:val="22"/>
                              </w:rPr>
                            </w:pPr>
                            <w:r w:rsidRPr="00F12873">
                              <w:rPr>
                                <w:iCs w:val="0"/>
                                <w:sz w:val="22"/>
                                <w:szCs w:val="22"/>
                              </w:rPr>
                              <w:t xml:space="preserve">Figure </w:t>
                            </w:r>
                            <w:r>
                              <w:rPr>
                                <w:iCs w:val="0"/>
                                <w:sz w:val="22"/>
                                <w:szCs w:val="22"/>
                              </w:rPr>
                              <w:t xml:space="preserve">3.9. Motility of the </w:t>
                            </w:r>
                            <w:r w:rsidRPr="005278EE">
                              <w:rPr>
                                <w:i/>
                                <w:iCs w:val="0"/>
                                <w:sz w:val="22"/>
                                <w:szCs w:val="22"/>
                              </w:rPr>
                              <w:t xml:space="preserve">E. coli </w:t>
                            </w:r>
                            <w:r>
                              <w:rPr>
                                <w:iCs w:val="0"/>
                                <w:sz w:val="22"/>
                                <w:szCs w:val="22"/>
                              </w:rPr>
                              <w:t xml:space="preserve">MG1655 with </w:t>
                            </w:r>
                            <w:proofErr w:type="spellStart"/>
                            <w:r>
                              <w:rPr>
                                <w:iCs w:val="0"/>
                                <w:sz w:val="22"/>
                                <w:szCs w:val="22"/>
                              </w:rPr>
                              <w:t>pBR</w:t>
                            </w:r>
                            <w:proofErr w:type="spellEnd"/>
                            <w:r>
                              <w:rPr>
                                <w:iCs w:val="0"/>
                                <w:sz w:val="22"/>
                                <w:szCs w:val="22"/>
                              </w:rPr>
                              <w:t xml:space="preserve"> or </w:t>
                            </w:r>
                            <w:proofErr w:type="spellStart"/>
                            <w:r>
                              <w:rPr>
                                <w:iCs w:val="0"/>
                                <w:sz w:val="22"/>
                                <w:szCs w:val="22"/>
                              </w:rPr>
                              <w:t>pBR-</w:t>
                            </w:r>
                            <w:r w:rsidRPr="00F24DF8">
                              <w:rPr>
                                <w:i/>
                                <w:iCs w:val="0"/>
                                <w:sz w:val="22"/>
                                <w:szCs w:val="22"/>
                              </w:rPr>
                              <w:t>zor-orz</w:t>
                            </w:r>
                            <w:proofErr w:type="spellEnd"/>
                            <w:r>
                              <w:rPr>
                                <w:iCs w:val="0"/>
                                <w:sz w:val="22"/>
                                <w:szCs w:val="22"/>
                              </w:rPr>
                              <w:t xml:space="preserve">. Diameter of the colony on 0.3% LB medium (with 100 µg/ml ampicillin to maintain plasmids) was measured at indicated time points. </w:t>
                            </w:r>
                            <w:r w:rsidR="005278EE">
                              <w:rPr>
                                <w:color w:val="000000"/>
                                <w:spacing w:val="-4"/>
                                <w:kern w:val="1"/>
                                <w:sz w:val="22"/>
                                <w:szCs w:val="22"/>
                              </w:rPr>
                              <w:t>S</w:t>
                            </w:r>
                            <w:r w:rsidR="005278EE" w:rsidRPr="005F3E8F">
                              <w:rPr>
                                <w:color w:val="000000"/>
                                <w:spacing w:val="-4"/>
                                <w:kern w:val="1"/>
                                <w:sz w:val="22"/>
                                <w:szCs w:val="22"/>
                              </w:rPr>
                              <w:t xml:space="preserve">hown are mean </w:t>
                            </w:r>
                            <w:r w:rsidR="005278EE" w:rsidRPr="005F3E8F">
                              <w:rPr>
                                <w:color w:val="000000"/>
                                <w:spacing w:val="-4"/>
                                <w:kern w:val="1"/>
                                <w:sz w:val="22"/>
                                <w:szCs w:val="22"/>
                              </w:rPr>
                              <w:sym w:font="Symbol" w:char="F0B1"/>
                            </w:r>
                            <w:r w:rsidR="005278EE" w:rsidRPr="005F3E8F">
                              <w:rPr>
                                <w:color w:val="000000"/>
                                <w:spacing w:val="-4"/>
                                <w:kern w:val="1"/>
                                <w:sz w:val="22"/>
                                <w:szCs w:val="22"/>
                              </w:rPr>
                              <w:t xml:space="preserve"> SD. The </w:t>
                            </w:r>
                            <w:r w:rsidR="005278EE" w:rsidRPr="005F3E8F">
                              <w:rPr>
                                <w:i/>
                                <w:color w:val="000000"/>
                                <w:spacing w:val="-4"/>
                                <w:kern w:val="1"/>
                                <w:sz w:val="22"/>
                                <w:szCs w:val="22"/>
                              </w:rPr>
                              <w:t>p</w:t>
                            </w:r>
                            <w:r w:rsidR="005278EE" w:rsidRPr="005F3E8F">
                              <w:rPr>
                                <w:color w:val="000000"/>
                                <w:spacing w:val="-4"/>
                                <w:kern w:val="1"/>
                                <w:sz w:val="22"/>
                                <w:szCs w:val="22"/>
                              </w:rPr>
                              <w:t xml:space="preserve"> values were calculated using a multiple unpaired </w:t>
                            </w:r>
                            <w:r w:rsidR="005278EE" w:rsidRPr="005F3E8F">
                              <w:rPr>
                                <w:i/>
                                <w:color w:val="000000"/>
                                <w:spacing w:val="-4"/>
                                <w:kern w:val="1"/>
                                <w:sz w:val="22"/>
                                <w:szCs w:val="22"/>
                              </w:rPr>
                              <w:t>t</w:t>
                            </w:r>
                            <w:r w:rsidR="005278EE" w:rsidRPr="005F3E8F">
                              <w:rPr>
                                <w:color w:val="000000"/>
                                <w:spacing w:val="-4"/>
                                <w:kern w:val="1"/>
                                <w:sz w:val="22"/>
                                <w:szCs w:val="22"/>
                              </w:rPr>
                              <w:t xml:space="preserve"> test with Welch correction (ns, not significant</w:t>
                            </w:r>
                            <w:r w:rsidR="005278EE">
                              <w:rPr>
                                <w:color w:val="000000"/>
                                <w:spacing w:val="-4"/>
                                <w:kern w:val="1"/>
                                <w:sz w:val="22"/>
                                <w:szCs w:val="22"/>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62FA8F11" id="_x0000_t202" coordsize="21600,21600" o:spt="202" path="m,l,21600r21600,l21600,xe">
                <v:stroke joinstyle="miter"/>
                <v:path gradientshapeok="t" o:connecttype="rect"/>
              </v:shapetype>
              <v:shape id="Text Box 80" o:spid="_x0000_s1049" type="#_x0000_t202" style="position:absolute;left:0;text-align:left;margin-left:39.05pt;margin-top:243.55pt;width:421.25pt;height:.05pt;z-index:251716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" stroked="f">
                <v:textbox style="mso-fit-shape-to-text:t" inset="0,0,0,0">
                  <w:txbxContent>
                    <w:p w14:paraId="5AF6B52C" w14:textId="3EB8CBE2" w:rsidR="00F33FC4" w:rsidRPr="00F12873" w:rsidRDefault="00F33FC4" w:rsidP="00F33FC4">
                      <w:pPr>
                        <w:pStyle w:val="Caption"/>
                        <w:rPr>
                          <w:i/>
                          <w:iCs w:val="0"/>
                          <w:sz w:val="22"/>
                          <w:szCs w:val="22"/>
                        </w:rPr>
                      </w:pPr>
                      <w:r w:rsidRPr="00F12873">
                        <w:rPr>
                          <w:iCs w:val="0"/>
                          <w:sz w:val="22"/>
                          <w:szCs w:val="22"/>
                        </w:rPr>
                        <w:t xml:space="preserve">Figure </w:t>
                      </w:r>
                      <w:r>
                        <w:rPr>
                          <w:iCs w:val="0"/>
                          <w:sz w:val="22"/>
                          <w:szCs w:val="22"/>
                        </w:rPr>
                        <w:t xml:space="preserve">3.9. Motility of the </w:t>
                      </w:r>
                      <w:r w:rsidRPr="005278EE">
                        <w:rPr>
                          <w:i/>
                          <w:iCs w:val="0"/>
                          <w:sz w:val="22"/>
                          <w:szCs w:val="22"/>
                        </w:rPr>
                        <w:t xml:space="preserve">E. coli </w:t>
                      </w:r>
                      <w:r>
                        <w:rPr>
                          <w:iCs w:val="0"/>
                          <w:sz w:val="22"/>
                          <w:szCs w:val="22"/>
                        </w:rPr>
                        <w:t xml:space="preserve">MG1655 with </w:t>
                      </w:r>
                      <w:proofErr w:type="spellStart"/>
                      <w:r>
                        <w:rPr>
                          <w:iCs w:val="0"/>
                          <w:sz w:val="22"/>
                          <w:szCs w:val="22"/>
                        </w:rPr>
                        <w:t>pBR</w:t>
                      </w:r>
                      <w:proofErr w:type="spellEnd"/>
                      <w:r>
                        <w:rPr>
                          <w:iCs w:val="0"/>
                          <w:sz w:val="22"/>
                          <w:szCs w:val="22"/>
                        </w:rPr>
                        <w:t xml:space="preserve"> or </w:t>
                      </w:r>
                      <w:proofErr w:type="spellStart"/>
                      <w:r>
                        <w:rPr>
                          <w:iCs w:val="0"/>
                          <w:sz w:val="22"/>
                          <w:szCs w:val="22"/>
                        </w:rPr>
                        <w:t>pBR-</w:t>
                      </w:r>
                      <w:r w:rsidRPr="00F24DF8">
                        <w:rPr>
                          <w:i/>
                          <w:iCs w:val="0"/>
                          <w:sz w:val="22"/>
                          <w:szCs w:val="22"/>
                        </w:rPr>
                        <w:t>zor-orz</w:t>
                      </w:r>
                      <w:proofErr w:type="spellEnd"/>
                      <w:r>
                        <w:rPr>
                          <w:iCs w:val="0"/>
                          <w:sz w:val="22"/>
                          <w:szCs w:val="22"/>
                        </w:rPr>
                        <w:t xml:space="preserve">. Diameter of the colony on 0.3% LB medium (with 100 µg/ml ampicillin to maintain plasmids) was measured at indicated time points. </w:t>
                      </w:r>
                      <w:r w:rsidR="005278EE">
                        <w:rPr>
                          <w:color w:val="000000"/>
                          <w:spacing w:val="-4"/>
                          <w:kern w:val="1"/>
                          <w:sz w:val="22"/>
                          <w:szCs w:val="22"/>
                        </w:rPr>
                        <w:t>S</w:t>
                      </w:r>
                      <w:r w:rsidR="005278EE" w:rsidRPr="005F3E8F">
                        <w:rPr>
                          <w:color w:val="000000"/>
                          <w:spacing w:val="-4"/>
                          <w:kern w:val="1"/>
                          <w:sz w:val="22"/>
                          <w:szCs w:val="22"/>
                        </w:rPr>
                        <w:t xml:space="preserve">hown are mean </w:t>
                      </w:r>
                      <w:r w:rsidR="005278EE" w:rsidRPr="005F3E8F">
                        <w:rPr>
                          <w:color w:val="000000"/>
                          <w:spacing w:val="-4"/>
                          <w:kern w:val="1"/>
                          <w:sz w:val="22"/>
                          <w:szCs w:val="22"/>
                        </w:rPr>
                        <w:sym w:font="Symbol" w:char="F0B1"/>
                      </w:r>
                      <w:r w:rsidR="005278EE" w:rsidRPr="005F3E8F">
                        <w:rPr>
                          <w:color w:val="000000"/>
                          <w:spacing w:val="-4"/>
                          <w:kern w:val="1"/>
                          <w:sz w:val="22"/>
                          <w:szCs w:val="22"/>
                        </w:rPr>
                        <w:t xml:space="preserve"> SD. The </w:t>
                      </w:r>
                      <w:r w:rsidR="005278EE" w:rsidRPr="005F3E8F">
                        <w:rPr>
                          <w:i/>
                          <w:color w:val="000000"/>
                          <w:spacing w:val="-4"/>
                          <w:kern w:val="1"/>
                          <w:sz w:val="22"/>
                          <w:szCs w:val="22"/>
                        </w:rPr>
                        <w:t>p</w:t>
                      </w:r>
                      <w:r w:rsidR="005278EE" w:rsidRPr="005F3E8F">
                        <w:rPr>
                          <w:color w:val="000000"/>
                          <w:spacing w:val="-4"/>
                          <w:kern w:val="1"/>
                          <w:sz w:val="22"/>
                          <w:szCs w:val="22"/>
                        </w:rPr>
                        <w:t xml:space="preserve"> values were calculated using a multiple unpaired </w:t>
                      </w:r>
                      <w:r w:rsidR="005278EE" w:rsidRPr="005F3E8F">
                        <w:rPr>
                          <w:i/>
                          <w:color w:val="000000"/>
                          <w:spacing w:val="-4"/>
                          <w:kern w:val="1"/>
                          <w:sz w:val="22"/>
                          <w:szCs w:val="22"/>
                        </w:rPr>
                        <w:t>t</w:t>
                      </w:r>
                      <w:r w:rsidR="005278EE" w:rsidRPr="005F3E8F">
                        <w:rPr>
                          <w:color w:val="000000"/>
                          <w:spacing w:val="-4"/>
                          <w:kern w:val="1"/>
                          <w:sz w:val="22"/>
                          <w:szCs w:val="22"/>
                        </w:rPr>
                        <w:t xml:space="preserve"> test with Welch correction (ns, not significant</w:t>
                      </w:r>
                      <w:r w:rsidR="005278EE">
                        <w:rPr>
                          <w:color w:val="000000"/>
                          <w:spacing w:val="-4"/>
                          <w:kern w:val="1"/>
                          <w:sz w:val="22"/>
                          <w:szCs w:val="22"/>
                        </w:rPr>
                        <w:t>).</w:t>
                      </w:r>
                    </w:p>
                  </w:txbxContent>
                </v:textbox>
                <w10:wrap type="topAndBottom"/>
              </v:shape>
            </w:pict>
          </mc:Fallback>
        </mc:AlternateContent>
      </w:r>
      <w:r w:rsidR="00F33FC4" w:rsidRPr="00F33FC4">
        <w:rPr>
          <w:rFonts w:eastAsia="Calibri"/>
          <w:b/>
          <w:bCs/>
        </w:rPr>
        <w:br w:type="page"/>
      </w:r>
    </w:p>
    <w:p w14:paraId="2F6C19E7" w14:textId="77777777" w:rsidR="00F33FC4" w:rsidRPr="00F33FC4" w:rsidRDefault="00F33FC4" w:rsidP="007A5817">
      <w:pPr>
        <w:spacing w:line="360" w:lineRule="auto"/>
        <w:ind w:firstLine="720"/>
        <w:rPr>
          <w:rFonts w:eastAsia="Calibri"/>
        </w:rPr>
      </w:pPr>
      <w:r w:rsidRPr="00F33FC4">
        <w:rPr>
          <w:rFonts w:eastAsia="Calibri"/>
        </w:rPr>
        <w:lastRenderedPageBreak/>
        <w:t xml:space="preserve">The significant downregulation of flagella-associated genes along with the upregulation of anaerobic respiration indicated that the cells were minimizing ATP requiring processes (motility), while simultaneously using alternate ATP generating mechanisms. Overexpression of </w:t>
      </w:r>
      <w:proofErr w:type="spellStart"/>
      <w:r w:rsidRPr="00F33FC4">
        <w:rPr>
          <w:rFonts w:eastAsia="Calibri"/>
        </w:rPr>
        <w:t>ZorO</w:t>
      </w:r>
      <w:proofErr w:type="spellEnd"/>
      <w:r w:rsidRPr="00F33FC4">
        <w:rPr>
          <w:rFonts w:eastAsia="Calibri"/>
        </w:rPr>
        <w:t xml:space="preserve"> abundantly indicates cellular ATP level depletion within 15 and 30 minutes of overexpression </w:t>
      </w:r>
      <w:r w:rsidRPr="00F33FC4">
        <w:rPr>
          <w:rFonts w:eastAsia="Calibri"/>
          <w:noProof/>
        </w:rPr>
        <w:t>(18,25)</w:t>
      </w:r>
      <w:r w:rsidRPr="00F33FC4">
        <w:rPr>
          <w:rFonts w:eastAsia="Calibri"/>
        </w:rPr>
        <w:t xml:space="preserve"> however, differences in ATP levels were not observed between cells harboring the control plasmid or </w:t>
      </w:r>
      <w:proofErr w:type="spellStart"/>
      <w:r w:rsidRPr="00F33FC4">
        <w:rPr>
          <w:rFonts w:eastAsia="Calibri"/>
        </w:rPr>
        <w:t>pBR</w:t>
      </w:r>
      <w:r w:rsidRPr="00F33FC4">
        <w:rPr>
          <w:rFonts w:eastAsia="Calibri"/>
          <w:i/>
          <w:iCs/>
        </w:rPr>
        <w:t>-zor-orz</w:t>
      </w:r>
      <w:proofErr w:type="spellEnd"/>
      <w:r w:rsidRPr="00F33FC4">
        <w:rPr>
          <w:rFonts w:eastAsia="Calibri"/>
        </w:rPr>
        <w:t xml:space="preserve"> after 1 hour of 4 µg/ml kanamycin treatment compared to the empty vector in the EDL933</w:t>
      </w:r>
      <w:r w:rsidRPr="00F33FC4">
        <w:rPr>
          <w:rFonts w:eastAsia="Calibri"/>
          <w:i/>
          <w:iCs/>
        </w:rPr>
        <w:t>-</w:t>
      </w:r>
      <w:r w:rsidRPr="00F33FC4">
        <w:rPr>
          <w:rFonts w:eastAsia="Calibri"/>
          <w:i/>
          <w:iCs/>
        </w:rPr>
        <w:sym w:font="Symbol" w:char="F044"/>
      </w:r>
      <w:proofErr w:type="spellStart"/>
      <w:r w:rsidRPr="00F33FC4">
        <w:rPr>
          <w:rFonts w:eastAsia="Calibri"/>
          <w:i/>
          <w:iCs/>
        </w:rPr>
        <w:t>zor-orz</w:t>
      </w:r>
      <w:proofErr w:type="spellEnd"/>
      <w:r w:rsidRPr="00F33FC4">
        <w:rPr>
          <w:rFonts w:eastAsia="Calibri"/>
        </w:rPr>
        <w:t xml:space="preserve"> strain </w:t>
      </w:r>
      <w:r w:rsidRPr="00F33FC4">
        <w:rPr>
          <w:rFonts w:eastAsia="Calibri"/>
          <w:noProof/>
        </w:rPr>
        <w:t>(18)</w:t>
      </w:r>
      <w:r w:rsidRPr="00F33FC4">
        <w:rPr>
          <w:rFonts w:eastAsia="Calibri"/>
        </w:rPr>
        <w:t xml:space="preserve">. This suggests that the impact on ATP during overexpression might be occurring at the chromosomal level in a less pronounced manner which could not be resolved by the previously used luciferase-based ATP assay. Similarly, while we observed a trend of decreased motility of </w:t>
      </w:r>
      <w:r w:rsidRPr="00F33FC4">
        <w:rPr>
          <w:rFonts w:eastAsia="Calibri"/>
          <w:i/>
          <w:iCs/>
        </w:rPr>
        <w:t>E. coli</w:t>
      </w:r>
      <w:r w:rsidRPr="00F33FC4">
        <w:rPr>
          <w:rFonts w:eastAsia="Calibri"/>
        </w:rPr>
        <w:t xml:space="preserve"> cells with </w:t>
      </w:r>
      <w:proofErr w:type="spellStart"/>
      <w:r w:rsidRPr="00F33FC4">
        <w:rPr>
          <w:rFonts w:eastAsia="Calibri"/>
        </w:rPr>
        <w:t>pBR</w:t>
      </w:r>
      <w:r w:rsidRPr="00F33FC4">
        <w:rPr>
          <w:rFonts w:eastAsia="Calibri"/>
          <w:i/>
          <w:iCs/>
        </w:rPr>
        <w:t>-zor-orz</w:t>
      </w:r>
      <w:proofErr w:type="spellEnd"/>
      <w:r w:rsidRPr="00F33FC4">
        <w:rPr>
          <w:rFonts w:eastAsia="Calibri"/>
          <w:i/>
          <w:iCs/>
        </w:rPr>
        <w:t xml:space="preserve"> </w:t>
      </w:r>
      <w:r w:rsidRPr="00F33FC4">
        <w:rPr>
          <w:rFonts w:eastAsia="Calibri"/>
        </w:rPr>
        <w:t>in LB medium with ampicillin, it was not statistically significant. These results suggest the presence of subtle effects on cellular physiology, with preference for the downregulation of flagellar genes.</w:t>
      </w:r>
    </w:p>
    <w:p w14:paraId="612A8629" w14:textId="77777777" w:rsidR="00F33FC4" w:rsidRPr="00F33FC4" w:rsidRDefault="00F33FC4" w:rsidP="007A5817">
      <w:pPr>
        <w:spacing w:line="360" w:lineRule="auto"/>
        <w:ind w:firstLine="720"/>
        <w:rPr>
          <w:rFonts w:eastAsia="Calibri"/>
        </w:rPr>
      </w:pPr>
      <w:r w:rsidRPr="00F33FC4">
        <w:rPr>
          <w:rFonts w:eastAsia="Calibri"/>
        </w:rPr>
        <w:t xml:space="preserve">The upregulation of nitrogen metabolism genes </w:t>
      </w:r>
      <w:proofErr w:type="spellStart"/>
      <w:r w:rsidRPr="00F33FC4">
        <w:rPr>
          <w:rFonts w:eastAsia="Calibri"/>
          <w:i/>
          <w:iCs/>
        </w:rPr>
        <w:t>narG</w:t>
      </w:r>
      <w:proofErr w:type="spellEnd"/>
      <w:r w:rsidRPr="00F33FC4">
        <w:rPr>
          <w:rFonts w:eastAsia="Calibri"/>
          <w:i/>
          <w:iCs/>
        </w:rPr>
        <w:t xml:space="preserve">, </w:t>
      </w:r>
      <w:proofErr w:type="spellStart"/>
      <w:r w:rsidRPr="00F33FC4">
        <w:rPr>
          <w:rFonts w:eastAsia="Calibri"/>
          <w:i/>
          <w:iCs/>
        </w:rPr>
        <w:t>narH</w:t>
      </w:r>
      <w:proofErr w:type="spellEnd"/>
      <w:r w:rsidRPr="00F33FC4">
        <w:rPr>
          <w:rFonts w:eastAsia="Calibri"/>
          <w:i/>
          <w:iCs/>
        </w:rPr>
        <w:t xml:space="preserve">, </w:t>
      </w:r>
      <w:r w:rsidRPr="00F33FC4">
        <w:rPr>
          <w:rFonts w:eastAsia="Calibri"/>
        </w:rPr>
        <w:t>and</w:t>
      </w:r>
      <w:r w:rsidRPr="00F33FC4">
        <w:rPr>
          <w:rFonts w:eastAsia="Calibri"/>
          <w:i/>
          <w:iCs/>
        </w:rPr>
        <w:t xml:space="preserve"> nark </w:t>
      </w:r>
      <w:r w:rsidRPr="00F33FC4">
        <w:rPr>
          <w:rFonts w:eastAsia="Calibri"/>
          <w:iCs/>
        </w:rPr>
        <w:t>indicated the occurrence of the reduction of nitrate to nitrite, together with further reduction</w:t>
      </w:r>
      <w:r w:rsidRPr="00F33FC4">
        <w:rPr>
          <w:rFonts w:eastAsia="Calibri"/>
        </w:rPr>
        <w:t xml:space="preserve"> to ammonia by </w:t>
      </w:r>
      <w:proofErr w:type="spellStart"/>
      <w:r w:rsidRPr="00F33FC4">
        <w:rPr>
          <w:rFonts w:eastAsia="Calibri"/>
          <w:i/>
          <w:iCs/>
        </w:rPr>
        <w:t>nirB</w:t>
      </w:r>
      <w:proofErr w:type="spellEnd"/>
      <w:r w:rsidRPr="00F33FC4">
        <w:rPr>
          <w:rFonts w:eastAsia="Calibri"/>
        </w:rPr>
        <w:t xml:space="preserve">. This ammonia can be then used for the </w:t>
      </w:r>
      <w:proofErr w:type="spellStart"/>
      <w:r w:rsidRPr="00F33FC4">
        <w:rPr>
          <w:rFonts w:eastAsia="Calibri"/>
        </w:rPr>
        <w:t>the</w:t>
      </w:r>
      <w:proofErr w:type="spellEnd"/>
      <w:r w:rsidRPr="00F33FC4">
        <w:rPr>
          <w:rFonts w:eastAsia="Calibri"/>
        </w:rPr>
        <w:t xml:space="preserve"> biosynthesis of arginine, glutamine, and glutamate. Similarly, other amino acid biosynthesis genes such as </w:t>
      </w:r>
      <w:proofErr w:type="spellStart"/>
      <w:r w:rsidRPr="00F33FC4">
        <w:rPr>
          <w:rFonts w:eastAsia="Calibri"/>
          <w:i/>
          <w:iCs/>
        </w:rPr>
        <w:t>lysA</w:t>
      </w:r>
      <w:proofErr w:type="spellEnd"/>
      <w:r w:rsidRPr="00F33FC4">
        <w:rPr>
          <w:rFonts w:eastAsia="Calibri"/>
        </w:rPr>
        <w:t xml:space="preserve"> (lysine biosynthesis) and </w:t>
      </w:r>
      <w:proofErr w:type="spellStart"/>
      <w:r w:rsidRPr="00F33FC4">
        <w:rPr>
          <w:rFonts w:eastAsia="Calibri"/>
          <w:i/>
          <w:iCs/>
        </w:rPr>
        <w:t>ilvC</w:t>
      </w:r>
      <w:proofErr w:type="spellEnd"/>
      <w:r w:rsidRPr="00F33FC4">
        <w:rPr>
          <w:rFonts w:eastAsia="Calibri"/>
        </w:rPr>
        <w:t xml:space="preserve"> (Isoleucine biosynthesis) were also upregulated. This suggests that unlike cells with an incorporated </w:t>
      </w:r>
      <w:proofErr w:type="spellStart"/>
      <w:r w:rsidRPr="00F33FC4">
        <w:rPr>
          <w:rFonts w:eastAsia="Calibri"/>
        </w:rPr>
        <w:t>pBR</w:t>
      </w:r>
      <w:proofErr w:type="spellEnd"/>
      <w:r w:rsidRPr="00F33FC4">
        <w:rPr>
          <w:rFonts w:eastAsia="Calibri"/>
        </w:rPr>
        <w:t xml:space="preserve"> empty vector, the translational inhibition effect of kanamycin is not present in cells with </w:t>
      </w:r>
      <w:proofErr w:type="spellStart"/>
      <w:r w:rsidRPr="00F33FC4">
        <w:rPr>
          <w:rFonts w:eastAsia="Calibri"/>
        </w:rPr>
        <w:t>pBR-</w:t>
      </w:r>
      <w:r w:rsidRPr="00F33FC4">
        <w:rPr>
          <w:rFonts w:eastAsia="Calibri"/>
          <w:i/>
          <w:iCs/>
        </w:rPr>
        <w:t>zor-orz</w:t>
      </w:r>
      <w:proofErr w:type="spellEnd"/>
      <w:r w:rsidRPr="00F33FC4">
        <w:rPr>
          <w:rFonts w:eastAsia="Calibri"/>
        </w:rPr>
        <w:t xml:space="preserve">. </w:t>
      </w:r>
    </w:p>
    <w:p w14:paraId="3769CB88" w14:textId="77777777" w:rsidR="00F33FC4" w:rsidRPr="00F33FC4" w:rsidRDefault="00F33FC4" w:rsidP="007A5817">
      <w:pPr>
        <w:spacing w:line="360" w:lineRule="auto"/>
        <w:ind w:firstLine="720"/>
        <w:rPr>
          <w:rFonts w:eastAsia="Calibri"/>
        </w:rPr>
      </w:pPr>
      <w:r w:rsidRPr="00F33FC4">
        <w:rPr>
          <w:rFonts w:eastAsia="Calibri"/>
        </w:rPr>
        <w:t xml:space="preserve">Aminoglycoside antibiotics cause the misfolding of newly synthesized proteins. As a result, bacteria use heat shock proteins and chaperones as an early defense mechanism to protect cells from these antibiotics </w:t>
      </w:r>
      <w:r w:rsidRPr="00F33FC4">
        <w:rPr>
          <w:rFonts w:eastAsia="Calibri"/>
          <w:noProof/>
        </w:rPr>
        <w:t>(26)</w:t>
      </w:r>
      <w:r w:rsidRPr="00F33FC4">
        <w:rPr>
          <w:rFonts w:eastAsia="Calibri"/>
        </w:rPr>
        <w:t xml:space="preserve">. However, our observations indicated that heat shock proteins and chaperones were downregulated in the </w:t>
      </w:r>
      <w:proofErr w:type="spellStart"/>
      <w:r w:rsidRPr="00F33FC4">
        <w:rPr>
          <w:rFonts w:eastAsia="Calibri"/>
        </w:rPr>
        <w:t>pBR-</w:t>
      </w:r>
      <w:r w:rsidRPr="00F33FC4">
        <w:rPr>
          <w:rFonts w:eastAsia="Calibri"/>
          <w:i/>
          <w:iCs/>
        </w:rPr>
        <w:t>zor-orz</w:t>
      </w:r>
      <w:proofErr w:type="spellEnd"/>
      <w:r w:rsidRPr="00F33FC4">
        <w:rPr>
          <w:rFonts w:eastAsia="Calibri"/>
        </w:rPr>
        <w:t xml:space="preserve"> cells, suggesting a decreased incidence of misfolded proteins compared to the empty vector cells. This demonstrated that the </w:t>
      </w:r>
      <w:proofErr w:type="spellStart"/>
      <w:r w:rsidRPr="00F33FC4">
        <w:rPr>
          <w:rFonts w:eastAsia="Calibri"/>
          <w:i/>
          <w:iCs/>
        </w:rPr>
        <w:t>zor-orz</w:t>
      </w:r>
      <w:proofErr w:type="spellEnd"/>
      <w:r w:rsidRPr="00F33FC4">
        <w:rPr>
          <w:rFonts w:eastAsia="Calibri"/>
        </w:rPr>
        <w:t xml:space="preserve"> locus functions to either prevent the entry of kanamycin into the cell or rapidly exports it before it can impact the process of translation. To distinguish this, we attempted to quantify the extracellular kanamycin using mass spectrometry, with spent medium, after kanamycin treatment of cells with </w:t>
      </w:r>
      <w:proofErr w:type="spellStart"/>
      <w:r w:rsidRPr="00F33FC4">
        <w:rPr>
          <w:rFonts w:eastAsia="Calibri"/>
        </w:rPr>
        <w:lastRenderedPageBreak/>
        <w:t>pBR</w:t>
      </w:r>
      <w:proofErr w:type="spellEnd"/>
      <w:r w:rsidRPr="00F33FC4">
        <w:rPr>
          <w:rFonts w:eastAsia="Calibri"/>
        </w:rPr>
        <w:t xml:space="preserve"> or </w:t>
      </w:r>
      <w:proofErr w:type="spellStart"/>
      <w:r w:rsidRPr="00F33FC4">
        <w:rPr>
          <w:rFonts w:eastAsia="Calibri"/>
        </w:rPr>
        <w:t>pBR-</w:t>
      </w:r>
      <w:r w:rsidRPr="00F33FC4">
        <w:rPr>
          <w:rFonts w:eastAsia="Calibri"/>
          <w:i/>
          <w:iCs/>
        </w:rPr>
        <w:t>zor-orz</w:t>
      </w:r>
      <w:proofErr w:type="spellEnd"/>
      <w:r w:rsidRPr="00F33FC4">
        <w:rPr>
          <w:rFonts w:eastAsia="Calibri"/>
        </w:rPr>
        <w:t xml:space="preserve">. However, we were unable to detect any significant difference likely because the kanamycin concentration was very low (&lt; 0.01nM) in these samples. </w:t>
      </w:r>
    </w:p>
    <w:p w14:paraId="70B1E4D0" w14:textId="77777777" w:rsidR="00F33FC4" w:rsidRPr="00F33FC4" w:rsidRDefault="00F33FC4" w:rsidP="007A5817">
      <w:pPr>
        <w:spacing w:line="360" w:lineRule="auto"/>
        <w:ind w:firstLine="720"/>
        <w:rPr>
          <w:rFonts w:ascii="Calibri" w:eastAsia="Calibri" w:hAnsi="Calibri" w:cs="Mangal"/>
        </w:rPr>
      </w:pPr>
      <w:r w:rsidRPr="00F33FC4">
        <w:rPr>
          <w:rFonts w:eastAsia="Calibri"/>
        </w:rPr>
        <w:t xml:space="preserve">Altogether, our data indicate that the presence of the </w:t>
      </w:r>
      <w:proofErr w:type="spellStart"/>
      <w:r w:rsidRPr="00F33FC4">
        <w:rPr>
          <w:rFonts w:eastAsia="Calibri"/>
        </w:rPr>
        <w:t>pBR-</w:t>
      </w:r>
      <w:r w:rsidRPr="00F33FC4">
        <w:rPr>
          <w:rFonts w:eastAsia="Calibri"/>
          <w:i/>
          <w:iCs/>
        </w:rPr>
        <w:t>zor-orz</w:t>
      </w:r>
      <w:proofErr w:type="spellEnd"/>
      <w:r w:rsidRPr="00F33FC4">
        <w:rPr>
          <w:rFonts w:eastAsia="Calibri"/>
        </w:rPr>
        <w:t xml:space="preserve"> plasmid can offer cellular protection from kanamycin-induced protein misfolding and helps cells to grow in the presence of very minimal concentrations of antibiotics. Amplification of the </w:t>
      </w:r>
      <w:proofErr w:type="spellStart"/>
      <w:r w:rsidRPr="00F33FC4">
        <w:rPr>
          <w:rFonts w:eastAsia="Calibri"/>
          <w:i/>
          <w:iCs/>
        </w:rPr>
        <w:t>zor-orz</w:t>
      </w:r>
      <w:proofErr w:type="spellEnd"/>
      <w:r w:rsidRPr="00F33FC4">
        <w:rPr>
          <w:rFonts w:eastAsia="Calibri"/>
        </w:rPr>
        <w:t xml:space="preserve"> locus in plasmids has helped identify the function of cellular growth improvements in aminoglycoside antibiotics </w:t>
      </w:r>
      <w:r w:rsidRPr="00F33FC4">
        <w:rPr>
          <w:rFonts w:eastAsia="Calibri"/>
          <w:noProof/>
        </w:rPr>
        <w:t>(18)</w:t>
      </w:r>
      <w:r w:rsidRPr="00F33FC4">
        <w:rPr>
          <w:rFonts w:eastAsia="Calibri"/>
        </w:rPr>
        <w:t xml:space="preserve">. Although, the use of native regulatory elements of </w:t>
      </w:r>
      <w:proofErr w:type="spellStart"/>
      <w:r w:rsidRPr="00F33FC4">
        <w:rPr>
          <w:rFonts w:eastAsia="Calibri"/>
          <w:i/>
          <w:iCs/>
        </w:rPr>
        <w:t>zor-orz</w:t>
      </w:r>
      <w:proofErr w:type="spellEnd"/>
      <w:r w:rsidRPr="00F33FC4">
        <w:rPr>
          <w:rFonts w:eastAsia="Calibri"/>
        </w:rPr>
        <w:t xml:space="preserve"> in the plasmid is more similar to native physiological induction conditions, compared to the use of the overexpression system, it is important to determine the mechanistic impacts of the </w:t>
      </w:r>
      <w:proofErr w:type="spellStart"/>
      <w:r w:rsidRPr="00F33FC4">
        <w:rPr>
          <w:rFonts w:eastAsia="Calibri"/>
          <w:i/>
          <w:iCs/>
        </w:rPr>
        <w:t>zor-orz</w:t>
      </w:r>
      <w:proofErr w:type="spellEnd"/>
      <w:r w:rsidRPr="00F33FC4">
        <w:rPr>
          <w:rFonts w:eastAsia="Calibri"/>
        </w:rPr>
        <w:t xml:space="preserve"> locus at the chromosomal expression level. Based on transcriptomic comparison, future experiments can focus on investigating the effects of nitrogen limitation, oxygen, and temperature on the growth of bacterial strains that possess different variations or a deletion of the </w:t>
      </w:r>
      <w:proofErr w:type="spellStart"/>
      <w:r w:rsidRPr="00F33FC4">
        <w:rPr>
          <w:rFonts w:eastAsia="Calibri"/>
          <w:i/>
          <w:iCs/>
        </w:rPr>
        <w:t>zor-orz</w:t>
      </w:r>
      <w:proofErr w:type="spellEnd"/>
      <w:r w:rsidRPr="00F33FC4">
        <w:rPr>
          <w:rFonts w:eastAsia="Calibri"/>
        </w:rPr>
        <w:t xml:space="preserve"> locus.</w:t>
      </w:r>
    </w:p>
    <w:p w14:paraId="73A3F98B" w14:textId="77777777" w:rsidR="00F33FC4" w:rsidRPr="00F33FC4" w:rsidRDefault="00F33FC4" w:rsidP="00F33FC4">
      <w:pPr>
        <w:spacing w:line="360" w:lineRule="auto"/>
        <w:ind w:left="568" w:firstLine="720"/>
        <w:rPr>
          <w:rFonts w:eastAsia="Calibri"/>
        </w:rPr>
      </w:pPr>
      <w:r w:rsidRPr="00F33FC4">
        <w:rPr>
          <w:rFonts w:eastAsia="Calibri"/>
        </w:rPr>
        <w:br w:type="page"/>
      </w:r>
    </w:p>
    <w:p w14:paraId="74A93E9B" w14:textId="77777777" w:rsidR="00F33FC4" w:rsidRPr="00F33FC4" w:rsidRDefault="00F33FC4" w:rsidP="00F33FC4">
      <w:pPr>
        <w:spacing w:line="360" w:lineRule="auto"/>
        <w:rPr>
          <w:rFonts w:eastAsia="Calibri"/>
        </w:rPr>
      </w:pPr>
    </w:p>
    <w:p w14:paraId="1BD3BCEB" w14:textId="6B2E765F" w:rsidR="00F33FC4" w:rsidRPr="00F33FC4" w:rsidRDefault="00194719" w:rsidP="00F33FC4">
      <w:pPr>
        <w:spacing w:line="360" w:lineRule="auto"/>
        <w:rPr>
          <w:rFonts w:eastAsia="Calibri"/>
          <w:b/>
          <w:bCs/>
        </w:rPr>
      </w:pPr>
      <w:r w:rsidRPr="00194719">
        <w:rPr>
          <w:rFonts w:eastAsia="Calibri"/>
          <w:b/>
          <w:bCs/>
        </w:rPr>
        <w:t>References</w:t>
      </w:r>
    </w:p>
    <w:p w14:paraId="2503398C" w14:textId="77777777" w:rsidR="00F33FC4" w:rsidRPr="00F33FC4" w:rsidRDefault="00F33FC4" w:rsidP="00F33FC4">
      <w:pPr>
        <w:widowControl w:val="0"/>
        <w:autoSpaceDE w:val="0"/>
        <w:autoSpaceDN w:val="0"/>
        <w:adjustRightInd w:val="0"/>
        <w:spacing w:line="360" w:lineRule="auto"/>
        <w:ind w:left="284" w:firstLine="720"/>
        <w:rPr>
          <w:rFonts w:eastAsia="Calibri"/>
          <w:noProof/>
        </w:rPr>
      </w:pPr>
    </w:p>
    <w:p w14:paraId="07C36FDA"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1. </w:t>
      </w:r>
      <w:r w:rsidRPr="00F33FC4">
        <w:rPr>
          <w:rFonts w:eastAsia="Calibri"/>
          <w:noProof/>
        </w:rPr>
        <w:tab/>
        <w:t xml:space="preserve">Unterholzner SJ, Poppenberger B, Rozhon W. Toxin-antitoxin systems: Biology, identification, and application. Mob Genet Elements. 2013 Sep 1;3(5):e26219. </w:t>
      </w:r>
    </w:p>
    <w:p w14:paraId="6FA6B650"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2. </w:t>
      </w:r>
      <w:r w:rsidRPr="00F33FC4">
        <w:rPr>
          <w:rFonts w:eastAsia="Calibri"/>
          <w:noProof/>
        </w:rPr>
        <w:tab/>
        <w:t xml:space="preserve">Harms A, Brodersen DE, Mitarai N, Gerdes K. Toxins, targets, and triggers: an overview of toxin-antitoxin biology. Mol Cell. 2018 Jun 7;70(5):768–84. </w:t>
      </w:r>
    </w:p>
    <w:p w14:paraId="69AD1D23"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3. </w:t>
      </w:r>
      <w:r w:rsidRPr="00F33FC4">
        <w:rPr>
          <w:rFonts w:eastAsia="Calibri"/>
          <w:noProof/>
        </w:rPr>
        <w:tab/>
        <w:t xml:space="preserve">Yamaguchi Y, Park J-H, Inouye M. Toxin-antitoxin systems in bacteria and archaea. Annu Rev Genet. 2011;45:61–79. </w:t>
      </w:r>
    </w:p>
    <w:p w14:paraId="3143AE25"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4. </w:t>
      </w:r>
      <w:r w:rsidRPr="00F33FC4">
        <w:rPr>
          <w:rFonts w:eastAsia="Calibri"/>
          <w:noProof/>
        </w:rPr>
        <w:tab/>
        <w:t xml:space="preserve">Page R, Peti W. Toxin-antitoxin systems in bacterial growth arrest and persistence. Nat Chem Biol. 2016 Apr;12(4):208–14. </w:t>
      </w:r>
    </w:p>
    <w:p w14:paraId="0C7C8089"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5. </w:t>
      </w:r>
      <w:r w:rsidRPr="00F33FC4">
        <w:rPr>
          <w:rFonts w:eastAsia="Calibri"/>
          <w:noProof/>
        </w:rPr>
        <w:tab/>
        <w:t xml:space="preserve">Brantl S. Bacterial type I toxin-antitoxin systems. RNA Biol. 2012 Dec 1;9(12):1488–90. </w:t>
      </w:r>
    </w:p>
    <w:p w14:paraId="1F5BB900"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6. </w:t>
      </w:r>
      <w:r w:rsidRPr="00F33FC4">
        <w:rPr>
          <w:rFonts w:eastAsia="Calibri"/>
          <w:noProof/>
        </w:rPr>
        <w:tab/>
        <w:t xml:space="preserve">Wen J, Fozo EM. sRNA antitoxins: more than one way to repress a toxin. Toxins (Basel). 2014 Aug 4;6(8):2310–35. </w:t>
      </w:r>
    </w:p>
    <w:p w14:paraId="1CD4F571"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7. </w:t>
      </w:r>
      <w:r w:rsidRPr="00F33FC4">
        <w:rPr>
          <w:rFonts w:eastAsia="Calibri"/>
          <w:noProof/>
        </w:rPr>
        <w:tab/>
        <w:t xml:space="preserve">Weaver K. The fst/ldr family of type I TA system toxins: potential roles in stress response, metabolism and pathogenesis. Toxins (Basel). 2020 Jul 25;12(8). </w:t>
      </w:r>
    </w:p>
    <w:p w14:paraId="30D8AB9F"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8. </w:t>
      </w:r>
      <w:r w:rsidRPr="00F33FC4">
        <w:rPr>
          <w:rFonts w:eastAsia="Calibri"/>
          <w:noProof/>
        </w:rPr>
        <w:tab/>
        <w:t xml:space="preserve">Müller P, Jahn N, Ring C, Maiwald C, Neubert R, Meißner C, et al. A multistress responsive type I toxin-antitoxin system: </w:t>
      </w:r>
      <w:r w:rsidRPr="00F33FC4">
        <w:rPr>
          <w:rFonts w:eastAsia="Calibri"/>
          <w:i/>
          <w:iCs/>
          <w:noProof/>
        </w:rPr>
        <w:t>bsrE/SR5</w:t>
      </w:r>
      <w:r w:rsidRPr="00F33FC4">
        <w:rPr>
          <w:rFonts w:eastAsia="Calibri"/>
          <w:noProof/>
        </w:rPr>
        <w:t xml:space="preserve"> from the </w:t>
      </w:r>
      <w:r w:rsidRPr="00F33FC4">
        <w:rPr>
          <w:rFonts w:eastAsia="Calibri"/>
          <w:i/>
          <w:iCs/>
          <w:noProof/>
        </w:rPr>
        <w:t>B. subtilis</w:t>
      </w:r>
      <w:r w:rsidRPr="00F33FC4">
        <w:rPr>
          <w:rFonts w:eastAsia="Calibri"/>
          <w:noProof/>
        </w:rPr>
        <w:t xml:space="preserve"> chromosome. RNA Biol. 2016 May 3;13(5):511–23. </w:t>
      </w:r>
    </w:p>
    <w:p w14:paraId="033CB5C0"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9. </w:t>
      </w:r>
      <w:r w:rsidRPr="00F33FC4">
        <w:rPr>
          <w:rFonts w:eastAsia="Calibri"/>
          <w:noProof/>
        </w:rPr>
        <w:tab/>
        <w:t xml:space="preserve">Fozo EM, Makarova KS, Shabalina SA, Yutin N, Koonin EV, Storz G. Abundance of type I toxin-antitoxin systems in bacteria: searches for new candidates and discovery of novel families. Nucleic Acids Res. 2010 Jun;38(11):3743–59. </w:t>
      </w:r>
    </w:p>
    <w:p w14:paraId="4B154910"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10. </w:t>
      </w:r>
      <w:r w:rsidRPr="00F33FC4">
        <w:rPr>
          <w:rFonts w:eastAsia="Calibri"/>
          <w:noProof/>
        </w:rPr>
        <w:tab/>
        <w:t xml:space="preserve">Tsilibaris V, Maenhaut-Michel G, Mine N, Van Melderen L. What is the benefit to </w:t>
      </w:r>
      <w:r w:rsidRPr="00F33FC4">
        <w:rPr>
          <w:rFonts w:eastAsia="Calibri"/>
          <w:i/>
          <w:iCs/>
          <w:noProof/>
        </w:rPr>
        <w:t>Escherichia coli</w:t>
      </w:r>
      <w:r w:rsidRPr="00F33FC4">
        <w:rPr>
          <w:rFonts w:eastAsia="Calibri"/>
          <w:noProof/>
        </w:rPr>
        <w:t xml:space="preserve"> of having multiple toxin-antitoxin systems in its genome? J Bacteriol. 2007 Sep;189(17):6101–8. </w:t>
      </w:r>
    </w:p>
    <w:p w14:paraId="0AA0BB24"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11. </w:t>
      </w:r>
      <w:r w:rsidRPr="00F33FC4">
        <w:rPr>
          <w:rFonts w:eastAsia="Calibri"/>
          <w:noProof/>
        </w:rPr>
        <w:tab/>
        <w:t xml:space="preserve">Goormaghtigh F, Fraikin N, Putrinš M, Hallaert T, Hauryliuk V, Garcia-Pino A, et al. Reassessing the role of type II toxin-antitoxin systems in formation of </w:t>
      </w:r>
      <w:r w:rsidRPr="00F33FC4">
        <w:rPr>
          <w:rFonts w:eastAsia="Calibri"/>
          <w:i/>
          <w:iCs/>
          <w:noProof/>
        </w:rPr>
        <w:t>Escherichia coli</w:t>
      </w:r>
      <w:r w:rsidRPr="00F33FC4">
        <w:rPr>
          <w:rFonts w:eastAsia="Calibri"/>
          <w:noProof/>
        </w:rPr>
        <w:t xml:space="preserve"> Type II persister cells. MBio. 2018 Jun 12;9(3). </w:t>
      </w:r>
    </w:p>
    <w:p w14:paraId="533813C4"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12. </w:t>
      </w:r>
      <w:r w:rsidRPr="00F33FC4">
        <w:rPr>
          <w:rFonts w:eastAsia="Calibri"/>
          <w:noProof/>
        </w:rPr>
        <w:tab/>
        <w:t xml:space="preserve">Andresen L, Martínez-Burgo Y, Nilsson Zangelin J, Rizvanovic A, Holmqvist E. </w:t>
      </w:r>
      <w:r w:rsidRPr="00F33FC4">
        <w:rPr>
          <w:rFonts w:eastAsia="Calibri"/>
          <w:noProof/>
        </w:rPr>
        <w:lastRenderedPageBreak/>
        <w:t xml:space="preserve">The small toxic </w:t>
      </w:r>
      <w:r w:rsidRPr="00F33FC4">
        <w:rPr>
          <w:rFonts w:eastAsia="Calibri"/>
          <w:i/>
          <w:iCs/>
          <w:noProof/>
        </w:rPr>
        <w:t>Salmonella</w:t>
      </w:r>
      <w:r w:rsidRPr="00F33FC4">
        <w:rPr>
          <w:rFonts w:eastAsia="Calibri"/>
          <w:noProof/>
        </w:rPr>
        <w:t xml:space="preserve"> protein TimP targets the cytoplasmic membrane and is repressed by the small RNA TimR. MBio. 2020 Nov 10;11(6). </w:t>
      </w:r>
    </w:p>
    <w:p w14:paraId="295B2F2E"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13. </w:t>
      </w:r>
      <w:r w:rsidRPr="00F33FC4">
        <w:rPr>
          <w:rFonts w:eastAsia="Calibri"/>
          <w:noProof/>
        </w:rPr>
        <w:tab/>
        <w:t xml:space="preserve">Kawano M, Oshima T, Kasai H, Mori H. Molecular characterization of long direct repeat (LDR) sequences expressing a stable mRNA encoding for a 35-amino-acid cell-killing peptide and a cis-encoded small antisense RNA in </w:t>
      </w:r>
      <w:r w:rsidRPr="00F33FC4">
        <w:rPr>
          <w:rFonts w:eastAsia="Calibri"/>
          <w:i/>
          <w:iCs/>
          <w:noProof/>
        </w:rPr>
        <w:t>Escherichia coli</w:t>
      </w:r>
      <w:r w:rsidRPr="00F33FC4">
        <w:rPr>
          <w:rFonts w:eastAsia="Calibri"/>
          <w:noProof/>
        </w:rPr>
        <w:t xml:space="preserve">. Mol Microbiol. 2002 Jul;45(2):333–49. </w:t>
      </w:r>
    </w:p>
    <w:p w14:paraId="2A2DBD8C"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14. </w:t>
      </w:r>
      <w:r w:rsidRPr="00F33FC4">
        <w:rPr>
          <w:rFonts w:eastAsia="Calibri"/>
          <w:noProof/>
        </w:rPr>
        <w:tab/>
        <w:t xml:space="preserve">Fozo EM, Kawano M, Fontaine F, Kaya Y, Mendieta KS, Jones KL, et al. Repression of small toxic protein synthesis by the Sib and OhsC small RNAs. Mol Microbiol. 2008 Dec;70(5):1076–93. </w:t>
      </w:r>
    </w:p>
    <w:p w14:paraId="37CD626D"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15. </w:t>
      </w:r>
      <w:r w:rsidRPr="00F33FC4">
        <w:rPr>
          <w:rFonts w:eastAsia="Calibri"/>
          <w:noProof/>
        </w:rPr>
        <w:tab/>
        <w:t xml:space="preserve">Peng J, Triplett LR, Sundin GW. Activation of metabolic and stress responses during subtoxic expression of the type I toxin Hok in </w:t>
      </w:r>
      <w:r w:rsidRPr="00F33FC4">
        <w:rPr>
          <w:rFonts w:eastAsia="Calibri"/>
          <w:i/>
          <w:iCs/>
          <w:noProof/>
        </w:rPr>
        <w:t>Erwinia amylovora</w:t>
      </w:r>
      <w:r w:rsidRPr="00F33FC4">
        <w:rPr>
          <w:rFonts w:eastAsia="Calibri"/>
          <w:noProof/>
        </w:rPr>
        <w:t xml:space="preserve">. BMC Genomics. 2021 Jan 22;22(1):74. </w:t>
      </w:r>
    </w:p>
    <w:p w14:paraId="5D45BCC6"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16. </w:t>
      </w:r>
      <w:r w:rsidRPr="00F33FC4">
        <w:rPr>
          <w:rFonts w:eastAsia="Calibri"/>
          <w:noProof/>
        </w:rPr>
        <w:tab/>
        <w:t xml:space="preserve">Chlebicka K, Bonar E, Suder P, Ostyn E, Felden B, Wladyka B, et al. Impacts of the type i toxin-antitoxin system, SprG1/SprF1, on </w:t>
      </w:r>
      <w:r w:rsidRPr="00F33FC4">
        <w:rPr>
          <w:rFonts w:eastAsia="Calibri"/>
          <w:i/>
          <w:iCs/>
          <w:noProof/>
        </w:rPr>
        <w:t>Staphylococcus aureus</w:t>
      </w:r>
      <w:r w:rsidRPr="00F33FC4">
        <w:rPr>
          <w:rFonts w:eastAsia="Calibri"/>
          <w:noProof/>
        </w:rPr>
        <w:t xml:space="preserve"> Gene Expression. Genes (Basel). 2021 May 18;12(5). </w:t>
      </w:r>
    </w:p>
    <w:p w14:paraId="5767D537"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17. </w:t>
      </w:r>
      <w:r w:rsidRPr="00F33FC4">
        <w:rPr>
          <w:rFonts w:eastAsia="Calibri"/>
          <w:noProof/>
        </w:rPr>
        <w:tab/>
        <w:t xml:space="preserve">Wen J, Won D, Fozo EM. The ZorO-OrzO type I toxin-antitoxin locus: repression by the OrzO antitoxin. Nucleic Acids Res. 2014 Feb;42(3):1930–46. </w:t>
      </w:r>
    </w:p>
    <w:p w14:paraId="456B7E4A"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18. </w:t>
      </w:r>
      <w:r w:rsidRPr="00F33FC4">
        <w:rPr>
          <w:rFonts w:eastAsia="Calibri"/>
          <w:noProof/>
        </w:rPr>
        <w:tab/>
        <w:t xml:space="preserve">Bogati B, Wadsworth N, Barrera F, Fozo EM. Improved growth of </w:t>
      </w:r>
      <w:r w:rsidRPr="00F33FC4">
        <w:rPr>
          <w:rFonts w:eastAsia="Calibri"/>
          <w:i/>
          <w:iCs/>
          <w:noProof/>
        </w:rPr>
        <w:t>Escherichia coli</w:t>
      </w:r>
      <w:r w:rsidRPr="00F33FC4">
        <w:rPr>
          <w:rFonts w:eastAsia="Calibri"/>
          <w:noProof/>
        </w:rPr>
        <w:t xml:space="preserve"> in aminoglycoside antibiotics by the </w:t>
      </w:r>
      <w:r w:rsidRPr="00F33FC4">
        <w:rPr>
          <w:rFonts w:eastAsia="Calibri"/>
          <w:i/>
          <w:iCs/>
          <w:noProof/>
        </w:rPr>
        <w:t>zor-orz</w:t>
      </w:r>
      <w:r w:rsidRPr="00F33FC4">
        <w:rPr>
          <w:rFonts w:eastAsia="Calibri"/>
          <w:noProof/>
        </w:rPr>
        <w:t xml:space="preserve"> toxin-antitoxin system. J Bacteriol. 2021 Sep 27;JB0040721. </w:t>
      </w:r>
    </w:p>
    <w:p w14:paraId="47D8B885"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19. </w:t>
      </w:r>
      <w:r w:rsidRPr="00F33FC4">
        <w:rPr>
          <w:rFonts w:eastAsia="Calibri"/>
          <w:noProof/>
        </w:rPr>
        <w:tab/>
        <w:t xml:space="preserve">Yalamanchili HK, Wan Y-W, Liu Z. Data analysis pipeline for rna-seq experiments: from differential expression to cryptic splicing. Curr Protoc Bioinformatics. 2017 Sep 13;59:11.15.1-11.15.21. </w:t>
      </w:r>
    </w:p>
    <w:p w14:paraId="602BA5C6"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20. </w:t>
      </w:r>
      <w:r w:rsidRPr="00F33FC4">
        <w:rPr>
          <w:rFonts w:eastAsia="Calibri"/>
          <w:noProof/>
        </w:rPr>
        <w:tab/>
        <w:t xml:space="preserve">Amato SM, Orman MA, Brynildsen MP. Metabolic control of persister formation in </w:t>
      </w:r>
      <w:r w:rsidRPr="00F33FC4">
        <w:rPr>
          <w:rFonts w:eastAsia="Calibri"/>
          <w:i/>
          <w:iCs/>
          <w:noProof/>
        </w:rPr>
        <w:t>Escherichia coli</w:t>
      </w:r>
      <w:r w:rsidRPr="00F33FC4">
        <w:rPr>
          <w:rFonts w:eastAsia="Calibri"/>
          <w:noProof/>
        </w:rPr>
        <w:t xml:space="preserve">. Mol Cell. 2013 May 23;50(4):475–87. </w:t>
      </w:r>
    </w:p>
    <w:p w14:paraId="05838682"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21. </w:t>
      </w:r>
      <w:r w:rsidRPr="00F33FC4">
        <w:rPr>
          <w:rFonts w:eastAsia="Calibri"/>
          <w:noProof/>
        </w:rPr>
        <w:tab/>
        <w:t xml:space="preserve">Kim J-S, Wood TK. Tolerant, growing cells from nutrient shifts are not persister cells. MBio. 2017 Apr 18;8(2). </w:t>
      </w:r>
    </w:p>
    <w:p w14:paraId="21CBDA15"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22. </w:t>
      </w:r>
      <w:r w:rsidRPr="00F33FC4">
        <w:rPr>
          <w:rFonts w:eastAsia="Calibri"/>
          <w:noProof/>
        </w:rPr>
        <w:tab/>
        <w:t xml:space="preserve">Martin RM, Dearth SP, LeCleir GR, Campagna SR, Fozo EM, Zinser ER, et al. Microcystin-LR does not induce alterations to transcriptomic or metabolomic profiles of a model heterotrophic bacterium. PLoS One. 2017 Dec </w:t>
      </w:r>
      <w:r w:rsidRPr="00F33FC4">
        <w:rPr>
          <w:rFonts w:eastAsia="Calibri"/>
          <w:noProof/>
        </w:rPr>
        <w:lastRenderedPageBreak/>
        <w:t xml:space="preserve">14;12(12):e0189608. </w:t>
      </w:r>
    </w:p>
    <w:p w14:paraId="247A1B97"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23. </w:t>
      </w:r>
      <w:r w:rsidRPr="00F33FC4">
        <w:rPr>
          <w:rFonts w:eastAsia="Calibri"/>
          <w:noProof/>
        </w:rPr>
        <w:tab/>
        <w:t xml:space="preserve">Zhou K, Zhou L, Lim Q ’En, Zou R, Stephanopoulos G, Too H-P. Novel reference genes for quantifying transcriptional responses of </w:t>
      </w:r>
      <w:r w:rsidRPr="00F33FC4">
        <w:rPr>
          <w:rFonts w:eastAsia="Calibri"/>
          <w:i/>
          <w:iCs/>
          <w:noProof/>
        </w:rPr>
        <w:t>Escherichia coli</w:t>
      </w:r>
      <w:r w:rsidRPr="00F33FC4">
        <w:rPr>
          <w:rFonts w:eastAsia="Calibri"/>
          <w:noProof/>
        </w:rPr>
        <w:t xml:space="preserve"> to protein overexpression by quantitative PCR. BMC Mol Biol. 2011 Apr 23;12:18. </w:t>
      </w:r>
    </w:p>
    <w:p w14:paraId="7B814007" w14:textId="77777777" w:rsidR="00F33FC4" w:rsidRPr="00F33FC4" w:rsidRDefault="00F33FC4" w:rsidP="00F33FC4">
      <w:pPr>
        <w:widowControl w:val="0"/>
        <w:autoSpaceDE w:val="0"/>
        <w:autoSpaceDN w:val="0"/>
        <w:adjustRightInd w:val="0"/>
        <w:spacing w:line="360" w:lineRule="auto"/>
        <w:ind w:left="720" w:hanging="720"/>
        <w:rPr>
          <w:rFonts w:eastAsia="Calibri"/>
          <w:noProof/>
        </w:rPr>
      </w:pPr>
      <w:r w:rsidRPr="00F33FC4">
        <w:rPr>
          <w:rFonts w:eastAsia="Calibri"/>
          <w:noProof/>
        </w:rPr>
        <w:t xml:space="preserve">24. </w:t>
      </w:r>
      <w:r w:rsidRPr="00F33FC4">
        <w:rPr>
          <w:rFonts w:eastAsia="Calibri"/>
          <w:noProof/>
        </w:rPr>
        <w:tab/>
        <w:t xml:space="preserve">VanBogelen RA, Neidhardt FC. Ribosomes as sensors of heat and cold shock in </w:t>
      </w:r>
      <w:r w:rsidRPr="00F33FC4">
        <w:rPr>
          <w:rFonts w:eastAsia="Calibri"/>
          <w:i/>
          <w:iCs/>
          <w:noProof/>
        </w:rPr>
        <w:t>Escherichia coli.</w:t>
      </w:r>
      <w:r w:rsidRPr="00F33FC4">
        <w:rPr>
          <w:rFonts w:eastAsia="Calibri"/>
          <w:noProof/>
        </w:rPr>
        <w:t xml:space="preserve"> Proc Natl Acad Sci USA. 1990 Aug;87(15):5589–93. </w:t>
      </w:r>
    </w:p>
    <w:p w14:paraId="28823405"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25. </w:t>
      </w:r>
      <w:r w:rsidRPr="00F33FC4">
        <w:rPr>
          <w:rFonts w:eastAsia="Calibri"/>
          <w:noProof/>
        </w:rPr>
        <w:tab/>
        <w:t xml:space="preserve">Otsuka Y, Ishikawa T, Takahashi C, Masuda M. A short peptide derived from the ZorO toxin functions as an effective antimicrobial. Toxins (Basel). 2019 Jul 4;11(7). </w:t>
      </w:r>
    </w:p>
    <w:p w14:paraId="261277D0" w14:textId="77777777" w:rsidR="00F33FC4" w:rsidRPr="00F33FC4" w:rsidRDefault="00F33FC4" w:rsidP="00F33FC4">
      <w:pPr>
        <w:widowControl w:val="0"/>
        <w:autoSpaceDE w:val="0"/>
        <w:autoSpaceDN w:val="0"/>
        <w:adjustRightInd w:val="0"/>
        <w:spacing w:line="360" w:lineRule="auto"/>
        <w:ind w:left="560" w:hanging="560"/>
        <w:rPr>
          <w:rFonts w:eastAsia="Calibri"/>
          <w:noProof/>
        </w:rPr>
      </w:pPr>
      <w:r w:rsidRPr="00F33FC4">
        <w:rPr>
          <w:rFonts w:eastAsia="Calibri"/>
          <w:noProof/>
        </w:rPr>
        <w:t xml:space="preserve">26. </w:t>
      </w:r>
      <w:r w:rsidRPr="00F33FC4">
        <w:rPr>
          <w:rFonts w:eastAsia="Calibri"/>
          <w:noProof/>
        </w:rPr>
        <w:tab/>
        <w:t xml:space="preserve">Goltermann L, Good L, Bentin T. Chaperonins fight aminoglycoside-induced protein misfolding and promote short-term tolerance in </w:t>
      </w:r>
      <w:r w:rsidRPr="00F33FC4">
        <w:rPr>
          <w:rFonts w:eastAsia="Calibri"/>
          <w:i/>
          <w:iCs/>
          <w:noProof/>
        </w:rPr>
        <w:t>Escherichia coli</w:t>
      </w:r>
      <w:r w:rsidRPr="00F33FC4">
        <w:rPr>
          <w:rFonts w:eastAsia="Calibri"/>
          <w:noProof/>
        </w:rPr>
        <w:t xml:space="preserve">. J Biol Chem. 2013 Apr 12;288(15):10483–9. </w:t>
      </w:r>
    </w:p>
    <w:p w14:paraId="2D8B31CB" w14:textId="77777777" w:rsidR="00F33FC4" w:rsidRPr="00F33FC4" w:rsidRDefault="00F33FC4" w:rsidP="00F33FC4">
      <w:pPr>
        <w:widowControl w:val="0"/>
        <w:autoSpaceDE w:val="0"/>
        <w:autoSpaceDN w:val="0"/>
        <w:adjustRightInd w:val="0"/>
        <w:spacing w:line="360" w:lineRule="auto"/>
        <w:ind w:left="284" w:firstLine="720"/>
        <w:rPr>
          <w:rFonts w:ascii="Calibri" w:eastAsia="Calibri" w:hAnsi="Calibri" w:cs="Mangal"/>
        </w:rPr>
      </w:pPr>
    </w:p>
    <w:p w14:paraId="5001FA4F" w14:textId="77777777" w:rsidR="00F33FC4" w:rsidRPr="00F33FC4" w:rsidRDefault="00F33FC4" w:rsidP="00F33FC4">
      <w:pPr>
        <w:spacing w:line="360" w:lineRule="auto"/>
        <w:ind w:left="284" w:firstLine="720"/>
        <w:rPr>
          <w:rFonts w:eastAsia="Calibri"/>
          <w:szCs w:val="21"/>
          <w:lang w:val="en-NP" w:bidi="ne-NP"/>
        </w:rPr>
      </w:pPr>
    </w:p>
    <w:p w14:paraId="263A4B81" w14:textId="20CF857B" w:rsidR="00F33FC4" w:rsidRDefault="00F33FC4" w:rsidP="007A5817">
      <w:pPr>
        <w:spacing w:line="360" w:lineRule="auto"/>
        <w:jc w:val="center"/>
        <w:rPr>
          <w:rFonts w:eastAsia="MS Mincho"/>
          <w:b/>
          <w:bCs/>
        </w:rPr>
      </w:pPr>
      <w:r>
        <w:rPr>
          <w:b/>
          <w:caps/>
          <w:color w:val="000000" w:themeColor="text1"/>
          <w:sz w:val="28"/>
          <w:szCs w:val="28"/>
        </w:rPr>
        <w:br w:type="page"/>
      </w:r>
      <w:r w:rsidRPr="00F33FC4">
        <w:rPr>
          <w:rFonts w:eastAsia="MS Mincho"/>
          <w:b/>
          <w:bCs/>
        </w:rPr>
        <w:lastRenderedPageBreak/>
        <w:t>CHAPTER IV</w:t>
      </w:r>
    </w:p>
    <w:p w14:paraId="54408E0F" w14:textId="77777777" w:rsidR="007A5817" w:rsidRPr="007A5817" w:rsidRDefault="007A5817" w:rsidP="007A5817">
      <w:pPr>
        <w:spacing w:line="360" w:lineRule="auto"/>
        <w:jc w:val="center"/>
        <w:rPr>
          <w:b/>
          <w:caps/>
          <w:color w:val="000000" w:themeColor="text1"/>
          <w:sz w:val="28"/>
          <w:szCs w:val="28"/>
        </w:rPr>
      </w:pPr>
    </w:p>
    <w:p w14:paraId="256F5308" w14:textId="77777777" w:rsidR="00F33FC4" w:rsidRPr="00F33FC4" w:rsidRDefault="00F33FC4" w:rsidP="007A5817">
      <w:pPr>
        <w:spacing w:line="360" w:lineRule="auto"/>
        <w:jc w:val="center"/>
        <w:rPr>
          <w:rFonts w:eastAsia="MS Mincho"/>
          <w:b/>
          <w:bCs/>
        </w:rPr>
      </w:pPr>
      <w:r w:rsidRPr="00F33FC4">
        <w:rPr>
          <w:rFonts w:eastAsia="MS Mincho"/>
          <w:b/>
          <w:bCs/>
        </w:rPr>
        <w:t xml:space="preserve">Role of charged amino acid residues in </w:t>
      </w:r>
      <w:proofErr w:type="spellStart"/>
      <w:r w:rsidRPr="00F33FC4">
        <w:rPr>
          <w:rFonts w:eastAsia="MS Mincho"/>
          <w:b/>
          <w:bCs/>
        </w:rPr>
        <w:t>ZorO</w:t>
      </w:r>
      <w:proofErr w:type="spellEnd"/>
      <w:r w:rsidRPr="00F33FC4">
        <w:rPr>
          <w:rFonts w:eastAsia="MS Mincho"/>
          <w:b/>
          <w:bCs/>
        </w:rPr>
        <w:t xml:space="preserve"> mediated toxicity and bacterial growth in presence of kanamycin</w:t>
      </w:r>
    </w:p>
    <w:p w14:paraId="3AD1121A" w14:textId="77777777" w:rsidR="00F33FC4" w:rsidRPr="00F33FC4" w:rsidRDefault="00F33FC4" w:rsidP="00F33FC4">
      <w:pPr>
        <w:spacing w:line="360" w:lineRule="auto"/>
        <w:jc w:val="center"/>
        <w:rPr>
          <w:rFonts w:eastAsia="MS Mincho"/>
          <w:b/>
          <w:bCs/>
        </w:rPr>
      </w:pPr>
    </w:p>
    <w:p w14:paraId="01B05221" w14:textId="77777777" w:rsidR="00F33FC4" w:rsidRPr="00F33FC4" w:rsidRDefault="00F33FC4" w:rsidP="00F33FC4">
      <w:pPr>
        <w:rPr>
          <w:rFonts w:eastAsia="MS Mincho"/>
          <w:b/>
          <w:bCs/>
        </w:rPr>
      </w:pPr>
      <w:r w:rsidRPr="00F33FC4">
        <w:rPr>
          <w:rFonts w:eastAsia="MS Mincho"/>
          <w:b/>
          <w:bCs/>
        </w:rPr>
        <w:br w:type="page"/>
      </w:r>
    </w:p>
    <w:p w14:paraId="644B77EE" w14:textId="77777777" w:rsidR="00F33FC4" w:rsidRPr="00F33FC4" w:rsidRDefault="00F33FC4" w:rsidP="00F33FC4">
      <w:pPr>
        <w:spacing w:line="360" w:lineRule="auto"/>
        <w:rPr>
          <w:rFonts w:eastAsia="MS Mincho"/>
          <w:b/>
          <w:bCs/>
        </w:rPr>
      </w:pPr>
      <w:r w:rsidRPr="00F33FC4">
        <w:rPr>
          <w:rFonts w:eastAsia="MS Mincho"/>
          <w:b/>
          <w:bCs/>
        </w:rPr>
        <w:lastRenderedPageBreak/>
        <w:t>Publication note</w:t>
      </w:r>
    </w:p>
    <w:p w14:paraId="3E44CB4B" w14:textId="77777777" w:rsidR="00F33FC4" w:rsidRPr="00F33FC4" w:rsidRDefault="00F33FC4" w:rsidP="00F33FC4">
      <w:pPr>
        <w:spacing w:line="360" w:lineRule="auto"/>
        <w:rPr>
          <w:rFonts w:eastAsia="MS Mincho"/>
        </w:rPr>
      </w:pPr>
      <w:r w:rsidRPr="00F33FC4">
        <w:rPr>
          <w:rFonts w:eastAsia="MS Mincho"/>
        </w:rPr>
        <w:t>This chapter is currently not under review; however, it will be submitted in the future.</w:t>
      </w:r>
    </w:p>
    <w:p w14:paraId="7037C0F4" w14:textId="77777777" w:rsidR="00F33FC4" w:rsidRPr="00F33FC4" w:rsidRDefault="00F33FC4" w:rsidP="00F33FC4">
      <w:pPr>
        <w:spacing w:line="360" w:lineRule="auto"/>
        <w:rPr>
          <w:rFonts w:eastAsia="MS Mincho"/>
          <w:b/>
          <w:bCs/>
        </w:rPr>
      </w:pPr>
    </w:p>
    <w:p w14:paraId="25F24023" w14:textId="77777777" w:rsidR="00F33FC4" w:rsidRPr="00F33FC4" w:rsidRDefault="00F33FC4" w:rsidP="00F33FC4">
      <w:pPr>
        <w:spacing w:line="360" w:lineRule="auto"/>
        <w:rPr>
          <w:rFonts w:eastAsia="Calibri"/>
        </w:rPr>
      </w:pPr>
      <w:r w:rsidRPr="00F33FC4">
        <w:rPr>
          <w:rFonts w:eastAsia="Calibri"/>
        </w:rPr>
        <w:t xml:space="preserve">Mutant constructions, western blot analysis, flow cytometry analysis, ATP assays and growth curves were performed by Bikash Bogati. </w:t>
      </w:r>
      <w:proofErr w:type="spellStart"/>
      <w:r w:rsidRPr="00F33FC4">
        <w:rPr>
          <w:rFonts w:eastAsia="Calibri"/>
        </w:rPr>
        <w:t>Oana</w:t>
      </w:r>
      <w:proofErr w:type="spellEnd"/>
      <w:r w:rsidRPr="00F33FC4">
        <w:rPr>
          <w:rFonts w:eastAsia="Calibri"/>
        </w:rPr>
        <w:t xml:space="preserve"> </w:t>
      </w:r>
      <w:proofErr w:type="spellStart"/>
      <w:r w:rsidRPr="00F33FC4">
        <w:rPr>
          <w:rFonts w:eastAsia="Calibri"/>
        </w:rPr>
        <w:t>Stoiculescu</w:t>
      </w:r>
      <w:proofErr w:type="spellEnd"/>
      <w:r w:rsidRPr="00F33FC4">
        <w:rPr>
          <w:rFonts w:eastAsia="Calibri"/>
        </w:rPr>
        <w:t xml:space="preserve"> and Thomas Nipper made the point mutants of the </w:t>
      </w:r>
      <w:proofErr w:type="spellStart"/>
      <w:r w:rsidRPr="00F33FC4">
        <w:rPr>
          <w:rFonts w:eastAsia="Calibri"/>
          <w:i/>
          <w:iCs/>
        </w:rPr>
        <w:t>zorO</w:t>
      </w:r>
      <w:proofErr w:type="spellEnd"/>
      <w:r w:rsidRPr="00F33FC4">
        <w:rPr>
          <w:rFonts w:eastAsia="Calibri"/>
        </w:rPr>
        <w:t xml:space="preserve"> to study the role of charged amino acid residues and performed preliminary experiments on the effects of the point mutants of </w:t>
      </w:r>
      <w:proofErr w:type="spellStart"/>
      <w:r w:rsidRPr="00F33FC4">
        <w:rPr>
          <w:rFonts w:eastAsia="Calibri"/>
        </w:rPr>
        <w:t>ZorO</w:t>
      </w:r>
      <w:proofErr w:type="spellEnd"/>
      <w:r w:rsidRPr="00F33FC4">
        <w:rPr>
          <w:rFonts w:eastAsia="Calibri"/>
        </w:rPr>
        <w:t xml:space="preserve"> on cell growth inhibition. The </w:t>
      </w:r>
      <w:proofErr w:type="spellStart"/>
      <w:r w:rsidRPr="00F33FC4">
        <w:rPr>
          <w:rFonts w:eastAsia="Calibri"/>
        </w:rPr>
        <w:t>pBR</w:t>
      </w:r>
      <w:proofErr w:type="spellEnd"/>
      <w:r w:rsidRPr="00F33FC4">
        <w:rPr>
          <w:rFonts w:eastAsia="Calibri"/>
        </w:rPr>
        <w:t xml:space="preserve"> based constructs and chromosomal mutants of </w:t>
      </w:r>
      <w:proofErr w:type="spellStart"/>
      <w:r w:rsidRPr="00F33FC4">
        <w:rPr>
          <w:rFonts w:eastAsia="Calibri"/>
          <w:i/>
          <w:iCs/>
        </w:rPr>
        <w:t>zorO</w:t>
      </w:r>
      <w:proofErr w:type="spellEnd"/>
      <w:r w:rsidRPr="00F33FC4">
        <w:rPr>
          <w:rFonts w:eastAsia="Calibri"/>
          <w:i/>
          <w:iCs/>
        </w:rPr>
        <w:t xml:space="preserve"> </w:t>
      </w:r>
      <w:r w:rsidRPr="00F33FC4">
        <w:rPr>
          <w:rFonts w:eastAsia="Calibri"/>
        </w:rPr>
        <w:t xml:space="preserve">were made by Bikash Bogati. Bikash Bogati and Elizabeth M. </w:t>
      </w:r>
      <w:proofErr w:type="spellStart"/>
      <w:r w:rsidRPr="00F33FC4">
        <w:rPr>
          <w:rFonts w:eastAsia="Calibri"/>
        </w:rPr>
        <w:t>Fozo</w:t>
      </w:r>
      <w:proofErr w:type="spellEnd"/>
      <w:r w:rsidRPr="00F33FC4">
        <w:rPr>
          <w:rFonts w:eastAsia="Calibri"/>
        </w:rPr>
        <w:t xml:space="preserve"> wrote the manuscript. </w:t>
      </w:r>
    </w:p>
    <w:p w14:paraId="59933CFB" w14:textId="77777777" w:rsidR="00F33FC4" w:rsidRPr="00F33FC4" w:rsidRDefault="00F33FC4" w:rsidP="00F33FC4">
      <w:pPr>
        <w:spacing w:line="360" w:lineRule="auto"/>
        <w:rPr>
          <w:rFonts w:eastAsia="MS Mincho"/>
          <w:b/>
          <w:bCs/>
        </w:rPr>
      </w:pPr>
      <w:r w:rsidRPr="00F33FC4">
        <w:rPr>
          <w:rFonts w:eastAsia="MS Mincho"/>
          <w:b/>
          <w:bCs/>
        </w:rPr>
        <w:br w:type="page"/>
      </w:r>
    </w:p>
    <w:p w14:paraId="009740DB" w14:textId="77777777" w:rsidR="00F33FC4" w:rsidRPr="00F33FC4" w:rsidRDefault="00F33FC4" w:rsidP="00F33FC4">
      <w:pPr>
        <w:spacing w:line="360" w:lineRule="auto"/>
        <w:rPr>
          <w:rFonts w:eastAsia="MS Mincho"/>
          <w:b/>
          <w:bCs/>
        </w:rPr>
      </w:pPr>
      <w:r w:rsidRPr="00F33FC4">
        <w:rPr>
          <w:rFonts w:eastAsia="MS Mincho"/>
          <w:b/>
          <w:bCs/>
        </w:rPr>
        <w:lastRenderedPageBreak/>
        <w:t>Abstract</w:t>
      </w:r>
    </w:p>
    <w:p w14:paraId="459FB29A" w14:textId="4B96AF23" w:rsidR="00F33FC4" w:rsidRPr="00F33FC4" w:rsidRDefault="00F33FC4" w:rsidP="007A5817">
      <w:pPr>
        <w:spacing w:line="360" w:lineRule="auto"/>
        <w:ind w:firstLine="720"/>
        <w:rPr>
          <w:rFonts w:eastAsia="MS Mincho"/>
        </w:rPr>
      </w:pPr>
      <w:r w:rsidRPr="00F33FC4">
        <w:rPr>
          <w:rFonts w:eastAsia="MS Mincho"/>
        </w:rPr>
        <w:t xml:space="preserve">Many type I toxin-antitoxin systems encode a small, hydrophobic protein with several charged residues distributed across the sequence of the toxin protein. While some of the membrane targeting type I toxins have been shown to form pores in the membrane and affect membrane potential and cellular ATP levels, the role of the specific charged amino acid residues has been studied for only a few toxins. Herein, we use ectopic overexpression after mutating the codons encoding charged amino acids within </w:t>
      </w:r>
      <w:proofErr w:type="spellStart"/>
      <w:r w:rsidRPr="00F33FC4">
        <w:rPr>
          <w:rFonts w:eastAsia="MS Mincho"/>
          <w:i/>
          <w:iCs/>
        </w:rPr>
        <w:t>zorO</w:t>
      </w:r>
      <w:proofErr w:type="spellEnd"/>
      <w:r w:rsidRPr="00F33FC4">
        <w:rPr>
          <w:rFonts w:eastAsia="MS Mincho"/>
          <w:iCs/>
        </w:rPr>
        <w:t>. These codon mutations were conducted in order</w:t>
      </w:r>
      <w:r w:rsidRPr="00F33FC4">
        <w:rPr>
          <w:rFonts w:eastAsia="MS Mincho"/>
        </w:rPr>
        <w:t xml:space="preserve"> to study their impacts on growth inhibition, membrane depolarization, ATP depletion, and the localization of this small protein. We found that the charged residues are critical for </w:t>
      </w:r>
      <w:proofErr w:type="spellStart"/>
      <w:r w:rsidRPr="00F33FC4">
        <w:rPr>
          <w:rFonts w:eastAsia="MS Mincho"/>
        </w:rPr>
        <w:t>ZorO</w:t>
      </w:r>
      <w:proofErr w:type="spellEnd"/>
      <w:r w:rsidRPr="00F33FC4">
        <w:rPr>
          <w:rFonts w:eastAsia="MS Mincho"/>
        </w:rPr>
        <w:t xml:space="preserve"> mediated toxicity and that altering a single charged amino acid can completely abolish cells from the effects of </w:t>
      </w:r>
      <w:proofErr w:type="spellStart"/>
      <w:r w:rsidRPr="00F33FC4">
        <w:rPr>
          <w:rFonts w:eastAsia="MS Mincho"/>
        </w:rPr>
        <w:t>ZorO</w:t>
      </w:r>
      <w:proofErr w:type="spellEnd"/>
      <w:r w:rsidRPr="00F33FC4">
        <w:rPr>
          <w:rFonts w:eastAsia="MS Mincho"/>
        </w:rPr>
        <w:t xml:space="preserve">. In addition to localization to the membrane, as seen with wild-type </w:t>
      </w:r>
      <w:proofErr w:type="spellStart"/>
      <w:r w:rsidRPr="00F33FC4">
        <w:rPr>
          <w:rFonts w:eastAsia="MS Mincho"/>
        </w:rPr>
        <w:t>ZorO</w:t>
      </w:r>
      <w:proofErr w:type="spellEnd"/>
      <w:r w:rsidRPr="00F33FC4">
        <w:rPr>
          <w:rFonts w:eastAsia="MS Mincho"/>
        </w:rPr>
        <w:t xml:space="preserve">, cells overexpressing the non-toxic mutants accumulated the protein within the membrane and cytoplasm. Previously, we noted that amplification of the </w:t>
      </w:r>
      <w:proofErr w:type="spellStart"/>
      <w:r w:rsidRPr="00F33FC4">
        <w:rPr>
          <w:rFonts w:eastAsia="MS Mincho"/>
          <w:i/>
          <w:iCs/>
        </w:rPr>
        <w:t>zor-orz</w:t>
      </w:r>
      <w:proofErr w:type="spellEnd"/>
      <w:r w:rsidRPr="00F33FC4">
        <w:rPr>
          <w:rFonts w:eastAsia="MS Mincho"/>
        </w:rPr>
        <w:t xml:space="preserve"> locus (consisting of both the </w:t>
      </w:r>
      <w:proofErr w:type="spellStart"/>
      <w:r w:rsidRPr="00F33FC4">
        <w:rPr>
          <w:rFonts w:eastAsia="MS Mincho"/>
          <w:i/>
          <w:iCs/>
        </w:rPr>
        <w:t>zorO-orzO</w:t>
      </w:r>
      <w:proofErr w:type="spellEnd"/>
      <w:r w:rsidRPr="00F33FC4">
        <w:rPr>
          <w:rFonts w:eastAsia="MS Mincho"/>
        </w:rPr>
        <w:t xml:space="preserve"> and </w:t>
      </w:r>
      <w:proofErr w:type="spellStart"/>
      <w:r w:rsidRPr="00F33FC4">
        <w:rPr>
          <w:rFonts w:eastAsia="MS Mincho"/>
          <w:i/>
          <w:iCs/>
        </w:rPr>
        <w:t>zorP-orzP</w:t>
      </w:r>
      <w:proofErr w:type="spellEnd"/>
      <w:r w:rsidRPr="00F33FC4">
        <w:rPr>
          <w:rFonts w:eastAsia="MS Mincho"/>
        </w:rPr>
        <w:t xml:space="preserve"> toxin-antitoxin pairs) resulted in increased resistance to kanamycin. Within, we also verified that the improved growth in kanamycin could be imparted with multiple copies of the </w:t>
      </w:r>
      <w:proofErr w:type="spellStart"/>
      <w:r w:rsidRPr="00F33FC4">
        <w:rPr>
          <w:rFonts w:eastAsia="MS Mincho"/>
          <w:i/>
          <w:iCs/>
        </w:rPr>
        <w:t>zorO-orzO</w:t>
      </w:r>
      <w:proofErr w:type="spellEnd"/>
      <w:r w:rsidRPr="00F33FC4">
        <w:rPr>
          <w:rFonts w:eastAsia="MS Mincho"/>
          <w:iCs/>
        </w:rPr>
        <w:t xml:space="preserve"> gene pair</w:t>
      </w:r>
      <w:r w:rsidRPr="00F33FC4">
        <w:rPr>
          <w:rFonts w:eastAsia="MS Mincho"/>
        </w:rPr>
        <w:t>. When the arginine at the 23</w:t>
      </w:r>
      <w:r w:rsidRPr="00F33FC4">
        <w:rPr>
          <w:rFonts w:eastAsia="MS Mincho"/>
          <w:vertAlign w:val="superscript"/>
        </w:rPr>
        <w:t>rd</w:t>
      </w:r>
      <w:r w:rsidRPr="00F33FC4">
        <w:rPr>
          <w:rFonts w:eastAsia="MS Mincho"/>
        </w:rPr>
        <w:t xml:space="preserve"> position was replaced with leucine, which is nontoxic via overexpression analysis, multiple copies of </w:t>
      </w:r>
      <w:r w:rsidRPr="00F33FC4">
        <w:rPr>
          <w:rFonts w:eastAsia="MS Mincho"/>
          <w:i/>
          <w:iCs/>
        </w:rPr>
        <w:t xml:space="preserve">zorOR23L-orzO </w:t>
      </w:r>
      <w:r w:rsidRPr="00F33FC4">
        <w:rPr>
          <w:rFonts w:eastAsia="MS Mincho"/>
        </w:rPr>
        <w:t xml:space="preserve">continued to confer growth advantage in the presence of kanamycin. The chromosomal copy of the </w:t>
      </w:r>
      <w:proofErr w:type="spellStart"/>
      <w:r w:rsidRPr="00F33FC4">
        <w:rPr>
          <w:rFonts w:eastAsia="MS Mincho"/>
          <w:i/>
          <w:iCs/>
        </w:rPr>
        <w:t>zorO-orzO</w:t>
      </w:r>
      <w:proofErr w:type="spellEnd"/>
      <w:r w:rsidRPr="00F33FC4">
        <w:rPr>
          <w:rFonts w:eastAsia="MS Mincho"/>
        </w:rPr>
        <w:t xml:space="preserve"> locus in </w:t>
      </w:r>
      <w:r w:rsidRPr="00F33FC4">
        <w:rPr>
          <w:rFonts w:eastAsia="MS Mincho"/>
          <w:i/>
          <w:iCs/>
        </w:rPr>
        <w:t>E. coli</w:t>
      </w:r>
      <w:r w:rsidRPr="00F33FC4">
        <w:rPr>
          <w:rFonts w:eastAsia="MS Mincho"/>
        </w:rPr>
        <w:t xml:space="preserve"> MG1655, however did not improve growth in the presence of kanamycin. Surprisingly, removal of the antitoxin </w:t>
      </w:r>
      <w:proofErr w:type="spellStart"/>
      <w:r w:rsidRPr="00F33FC4">
        <w:rPr>
          <w:rFonts w:eastAsia="MS Mincho"/>
          <w:i/>
          <w:iCs/>
        </w:rPr>
        <w:t>orzO</w:t>
      </w:r>
      <w:proofErr w:type="spellEnd"/>
      <w:r w:rsidRPr="00F33FC4">
        <w:rPr>
          <w:rFonts w:eastAsia="MS Mincho"/>
        </w:rPr>
        <w:t xml:space="preserve"> and/or the first 28 nucleotides of </w:t>
      </w:r>
      <w:proofErr w:type="spellStart"/>
      <w:r w:rsidRPr="00F33FC4">
        <w:rPr>
          <w:rFonts w:eastAsia="MS Mincho"/>
          <w:i/>
          <w:iCs/>
        </w:rPr>
        <w:t>zorO</w:t>
      </w:r>
      <w:proofErr w:type="spellEnd"/>
      <w:r w:rsidRPr="00F33FC4">
        <w:rPr>
          <w:rFonts w:eastAsia="MS Mincho"/>
        </w:rPr>
        <w:t xml:space="preserve"> from the </w:t>
      </w:r>
      <w:proofErr w:type="spellStart"/>
      <w:r w:rsidRPr="00F33FC4">
        <w:rPr>
          <w:rFonts w:eastAsia="MS Mincho"/>
          <w:i/>
          <w:iCs/>
        </w:rPr>
        <w:t>zorO-orzO</w:t>
      </w:r>
      <w:proofErr w:type="spellEnd"/>
      <w:r w:rsidRPr="00F33FC4">
        <w:rPr>
          <w:rFonts w:eastAsia="MS Mincho"/>
        </w:rPr>
        <w:t xml:space="preserve"> gene pair did not show growth difference in LB or LB with kanamycin. This indicated that increasing the </w:t>
      </w:r>
      <w:proofErr w:type="spellStart"/>
      <w:r w:rsidRPr="00F33FC4">
        <w:rPr>
          <w:rFonts w:eastAsia="MS Mincho"/>
        </w:rPr>
        <w:t>ZorO</w:t>
      </w:r>
      <w:proofErr w:type="spellEnd"/>
      <w:r w:rsidRPr="00F33FC4">
        <w:rPr>
          <w:rFonts w:eastAsia="MS Mincho"/>
        </w:rPr>
        <w:t xml:space="preserve"> translation by deleting translation repression elements did not necessarily improve the </w:t>
      </w:r>
      <w:proofErr w:type="spellStart"/>
      <w:r w:rsidRPr="00F33FC4">
        <w:rPr>
          <w:rFonts w:eastAsia="MS Mincho"/>
          <w:i/>
          <w:iCs/>
        </w:rPr>
        <w:t>zorO-orzO</w:t>
      </w:r>
      <w:proofErr w:type="spellEnd"/>
      <w:r w:rsidRPr="00F33FC4">
        <w:rPr>
          <w:rFonts w:eastAsia="MS Mincho"/>
        </w:rPr>
        <w:t xml:space="preserve"> mediated growth in presence of aminoglycosides. While charged residues in the </w:t>
      </w:r>
      <w:proofErr w:type="spellStart"/>
      <w:r w:rsidRPr="00F33FC4">
        <w:rPr>
          <w:rFonts w:eastAsia="MS Mincho"/>
        </w:rPr>
        <w:t>ZorO</w:t>
      </w:r>
      <w:proofErr w:type="spellEnd"/>
      <w:r w:rsidRPr="00F33FC4">
        <w:rPr>
          <w:rFonts w:eastAsia="MS Mincho"/>
        </w:rPr>
        <w:t xml:space="preserve"> sequence are important for its toxicity, the non-toxic mutant still improves growth in the presence of kanamycin, thus suggesting a more complex nature of the </w:t>
      </w:r>
      <w:proofErr w:type="spellStart"/>
      <w:r w:rsidRPr="00F33FC4">
        <w:rPr>
          <w:rFonts w:eastAsia="MS Mincho"/>
          <w:i/>
          <w:iCs/>
        </w:rPr>
        <w:t>zorO-orzO</w:t>
      </w:r>
      <w:proofErr w:type="spellEnd"/>
      <w:r w:rsidRPr="00F33FC4">
        <w:rPr>
          <w:rFonts w:eastAsia="MS Mincho"/>
        </w:rPr>
        <w:t xml:space="preserve"> gene pair function than previously suggested.</w:t>
      </w:r>
    </w:p>
    <w:p w14:paraId="1A939BC2" w14:textId="77777777" w:rsidR="00F33FC4" w:rsidRPr="00F33FC4" w:rsidRDefault="00F33FC4" w:rsidP="00F33FC4">
      <w:pPr>
        <w:spacing w:line="360" w:lineRule="auto"/>
        <w:rPr>
          <w:rFonts w:eastAsia="MS Mincho"/>
          <w:b/>
          <w:bCs/>
        </w:rPr>
      </w:pPr>
      <w:r w:rsidRPr="00F33FC4">
        <w:rPr>
          <w:rFonts w:eastAsia="MS Mincho"/>
          <w:b/>
          <w:bCs/>
        </w:rPr>
        <w:br w:type="page"/>
      </w:r>
    </w:p>
    <w:p w14:paraId="2BCB304D" w14:textId="77777777" w:rsidR="00F33FC4" w:rsidRPr="00F33FC4" w:rsidRDefault="00F33FC4" w:rsidP="00F33FC4">
      <w:pPr>
        <w:spacing w:line="360" w:lineRule="auto"/>
        <w:rPr>
          <w:rFonts w:eastAsia="MS Mincho"/>
          <w:b/>
          <w:bCs/>
        </w:rPr>
      </w:pPr>
      <w:r w:rsidRPr="00F33FC4">
        <w:rPr>
          <w:rFonts w:eastAsia="MS Mincho"/>
          <w:b/>
          <w:bCs/>
        </w:rPr>
        <w:lastRenderedPageBreak/>
        <w:t>I. Introduction</w:t>
      </w:r>
    </w:p>
    <w:p w14:paraId="2D08D71C" w14:textId="77777777" w:rsidR="00F33FC4" w:rsidRPr="00F33FC4" w:rsidRDefault="00F33FC4" w:rsidP="007A5817">
      <w:pPr>
        <w:spacing w:line="360" w:lineRule="auto"/>
        <w:ind w:firstLine="720"/>
        <w:rPr>
          <w:rFonts w:eastAsia="MS Mincho"/>
        </w:rPr>
      </w:pPr>
      <w:r w:rsidRPr="00F33FC4">
        <w:rPr>
          <w:rFonts w:eastAsia="MS Mincho"/>
        </w:rPr>
        <w:t xml:space="preserve">First identified in plasmids, type I toxin-antitoxin (TA) systems are also found in bacterial chromosomes. The toxin gene encodes for a small protein (usually less than 60 amino acids) and the antitoxin gene encodes for a small RNA (sRNA). While overexpression of the toxin often results in growth inhibition and cell lysis, co-expression of the sRNA neutralizes the toxicity. This is achieved by sRNA complementary base pairing with the toxin-encoding mRNA and subsequent prevention of toxin translation </w:t>
      </w:r>
      <w:r w:rsidRPr="00F33FC4">
        <w:rPr>
          <w:rFonts w:eastAsia="MS Mincho"/>
          <w:noProof/>
        </w:rPr>
        <w:t>(1,2)</w:t>
      </w:r>
      <w:r w:rsidRPr="00F33FC4">
        <w:rPr>
          <w:rFonts w:eastAsia="MS Mincho"/>
        </w:rPr>
        <w:t>. Despite their small size, overexpression studies indicate that not all type I toxins impact cells via the same mechanism.</w:t>
      </w:r>
    </w:p>
    <w:p w14:paraId="47311E8B" w14:textId="77777777" w:rsidR="00F33FC4" w:rsidRPr="00F33FC4" w:rsidRDefault="00F33FC4" w:rsidP="00F33FC4">
      <w:pPr>
        <w:spacing w:line="360" w:lineRule="auto"/>
        <w:ind w:firstLine="720"/>
        <w:rPr>
          <w:rFonts w:eastAsia="MS Mincho"/>
        </w:rPr>
      </w:pPr>
      <w:r w:rsidRPr="00F33FC4">
        <w:rPr>
          <w:rFonts w:eastAsia="MS Mincho"/>
        </w:rPr>
        <w:t xml:space="preserve"> Some type I toxins have cellular targets such as RNA (</w:t>
      </w:r>
      <w:proofErr w:type="spellStart"/>
      <w:r w:rsidRPr="00F33FC4">
        <w:rPr>
          <w:rFonts w:eastAsia="MS Mincho"/>
        </w:rPr>
        <w:t>SymE</w:t>
      </w:r>
      <w:proofErr w:type="spellEnd"/>
      <w:r w:rsidRPr="00F33FC4">
        <w:rPr>
          <w:rFonts w:eastAsia="MS Mincho"/>
        </w:rPr>
        <w:t>) and DNA (</w:t>
      </w:r>
      <w:proofErr w:type="spellStart"/>
      <w:r w:rsidRPr="00F33FC4">
        <w:rPr>
          <w:rFonts w:eastAsia="MS Mincho"/>
        </w:rPr>
        <w:t>RalR</w:t>
      </w:r>
      <w:proofErr w:type="spellEnd"/>
      <w:r w:rsidRPr="00F33FC4">
        <w:rPr>
          <w:rFonts w:eastAsia="MS Mincho"/>
        </w:rPr>
        <w:t xml:space="preserve">), whereas several others have been either experimentally validated to localize to the bacterial inner membrane or have a predicted alpha helix structure </w:t>
      </w:r>
      <w:r w:rsidRPr="00F33FC4">
        <w:rPr>
          <w:rFonts w:eastAsia="MS Mincho"/>
          <w:noProof/>
        </w:rPr>
        <w:t>(3–5)</w:t>
      </w:r>
      <w:r w:rsidRPr="00F33FC4">
        <w:rPr>
          <w:rFonts w:eastAsia="MS Mincho"/>
        </w:rPr>
        <w:t xml:space="preserve">. Pore formation after membrane localization has been established for the </w:t>
      </w:r>
      <w:proofErr w:type="spellStart"/>
      <w:r w:rsidRPr="00F33FC4">
        <w:rPr>
          <w:rFonts w:eastAsia="MS Mincho"/>
          <w:i/>
          <w:iCs/>
        </w:rPr>
        <w:t>hokB</w:t>
      </w:r>
      <w:proofErr w:type="spellEnd"/>
      <w:r w:rsidRPr="00F33FC4">
        <w:rPr>
          <w:rFonts w:eastAsia="MS Mincho"/>
          <w:i/>
          <w:iCs/>
        </w:rPr>
        <w:t>/</w:t>
      </w:r>
      <w:proofErr w:type="spellStart"/>
      <w:r w:rsidRPr="00F33FC4">
        <w:rPr>
          <w:rFonts w:eastAsia="MS Mincho"/>
          <w:i/>
          <w:iCs/>
        </w:rPr>
        <w:t>sokB</w:t>
      </w:r>
      <w:proofErr w:type="spellEnd"/>
      <w:r w:rsidRPr="00F33FC4">
        <w:rPr>
          <w:rFonts w:eastAsia="MS Mincho"/>
        </w:rPr>
        <w:t xml:space="preserve"> and </w:t>
      </w:r>
      <w:proofErr w:type="spellStart"/>
      <w:r w:rsidRPr="00F33FC4">
        <w:rPr>
          <w:rFonts w:eastAsia="MS Mincho"/>
          <w:i/>
          <w:iCs/>
        </w:rPr>
        <w:t>tisB</w:t>
      </w:r>
      <w:proofErr w:type="spellEnd"/>
      <w:r w:rsidRPr="00F33FC4">
        <w:rPr>
          <w:rFonts w:eastAsia="MS Mincho"/>
          <w:i/>
          <w:iCs/>
        </w:rPr>
        <w:t>/istR1</w:t>
      </w:r>
      <w:r w:rsidRPr="00F33FC4">
        <w:rPr>
          <w:rFonts w:eastAsia="MS Mincho"/>
        </w:rPr>
        <w:t xml:space="preserve"> TA systems </w:t>
      </w:r>
      <w:r w:rsidRPr="00F33FC4">
        <w:rPr>
          <w:rFonts w:eastAsia="MS Mincho"/>
          <w:noProof/>
        </w:rPr>
        <w:t>(6,7)</w:t>
      </w:r>
      <w:r w:rsidRPr="00F33FC4">
        <w:rPr>
          <w:rFonts w:eastAsia="MS Mincho"/>
        </w:rPr>
        <w:t xml:space="preserve">. The 49 amino acid </w:t>
      </w:r>
      <w:proofErr w:type="spellStart"/>
      <w:r w:rsidRPr="00F33FC4">
        <w:rPr>
          <w:rFonts w:eastAsia="MS Mincho"/>
        </w:rPr>
        <w:t>HokB</w:t>
      </w:r>
      <w:proofErr w:type="spellEnd"/>
      <w:r w:rsidRPr="00F33FC4">
        <w:rPr>
          <w:rFonts w:eastAsia="MS Mincho"/>
        </w:rPr>
        <w:t xml:space="preserve"> forms a dimer via disulfide interactions between the cysteine residues at the 46</w:t>
      </w:r>
      <w:r w:rsidRPr="00F33FC4">
        <w:rPr>
          <w:rFonts w:eastAsia="MS Mincho"/>
          <w:vertAlign w:val="superscript"/>
        </w:rPr>
        <w:t>th</w:t>
      </w:r>
      <w:r w:rsidRPr="00F33FC4">
        <w:rPr>
          <w:rFonts w:eastAsia="MS Mincho"/>
        </w:rPr>
        <w:t xml:space="preserve"> position of two </w:t>
      </w:r>
      <w:proofErr w:type="spellStart"/>
      <w:r w:rsidRPr="00F33FC4">
        <w:rPr>
          <w:rFonts w:eastAsia="MS Mincho"/>
        </w:rPr>
        <w:t>HokB</w:t>
      </w:r>
      <w:proofErr w:type="spellEnd"/>
      <w:r w:rsidRPr="00F33FC4">
        <w:rPr>
          <w:rFonts w:eastAsia="MS Mincho"/>
        </w:rPr>
        <w:t xml:space="preserve"> proteins </w:t>
      </w:r>
      <w:r w:rsidRPr="00F33FC4">
        <w:rPr>
          <w:rFonts w:eastAsia="MS Mincho"/>
          <w:noProof/>
        </w:rPr>
        <w:t>(8)</w:t>
      </w:r>
      <w:r w:rsidRPr="00F33FC4">
        <w:rPr>
          <w:rFonts w:eastAsia="MS Mincho"/>
        </w:rPr>
        <w:t xml:space="preserve">. This not only affects the membrane potential but also results in leakage of ATP from the cell </w:t>
      </w:r>
      <w:r w:rsidRPr="00F33FC4">
        <w:rPr>
          <w:rFonts w:eastAsia="MS Mincho"/>
          <w:noProof/>
        </w:rPr>
        <w:t>(6)</w:t>
      </w:r>
      <w:r w:rsidRPr="00F33FC4">
        <w:rPr>
          <w:rFonts w:eastAsia="MS Mincho"/>
        </w:rPr>
        <w:t xml:space="preserve">. Ectopic overexpression of </w:t>
      </w:r>
      <w:proofErr w:type="spellStart"/>
      <w:r w:rsidRPr="00F33FC4">
        <w:rPr>
          <w:rFonts w:eastAsia="MS Mincho"/>
        </w:rPr>
        <w:t>HokB</w:t>
      </w:r>
      <w:proofErr w:type="spellEnd"/>
      <w:r w:rsidRPr="00F33FC4">
        <w:rPr>
          <w:rFonts w:eastAsia="MS Mincho"/>
        </w:rPr>
        <w:t xml:space="preserve"> in </w:t>
      </w:r>
      <w:r w:rsidRPr="00F33FC4">
        <w:rPr>
          <w:rFonts w:eastAsia="MS Mincho"/>
          <w:i/>
          <w:iCs/>
        </w:rPr>
        <w:t>E. coli</w:t>
      </w:r>
      <w:r w:rsidRPr="00F33FC4">
        <w:rPr>
          <w:rFonts w:eastAsia="MS Mincho"/>
        </w:rPr>
        <w:t xml:space="preserve"> functions in persistence against the antibiotics tobramycin and ofloxacin, which is linked to reduced membrane potential and ATP levels </w:t>
      </w:r>
      <w:r w:rsidRPr="00F33FC4">
        <w:rPr>
          <w:rFonts w:eastAsia="MS Mincho"/>
          <w:noProof/>
        </w:rPr>
        <w:t>(9)</w:t>
      </w:r>
      <w:r w:rsidRPr="00F33FC4">
        <w:rPr>
          <w:rFonts w:eastAsia="MS Mincho"/>
        </w:rPr>
        <w:t xml:space="preserve">. Using a combination of </w:t>
      </w:r>
      <w:r w:rsidRPr="00F33FC4">
        <w:rPr>
          <w:rFonts w:eastAsia="MS Mincho"/>
          <w:i/>
          <w:iCs/>
        </w:rPr>
        <w:t>in vitro</w:t>
      </w:r>
      <w:r w:rsidRPr="00F33FC4">
        <w:rPr>
          <w:rFonts w:eastAsia="MS Mincho"/>
        </w:rPr>
        <w:t xml:space="preserve"> and </w:t>
      </w:r>
      <w:r w:rsidRPr="00F33FC4">
        <w:rPr>
          <w:rFonts w:eastAsia="MS Mincho"/>
          <w:i/>
          <w:iCs/>
        </w:rPr>
        <w:t>in vivo</w:t>
      </w:r>
      <w:r w:rsidRPr="00F33FC4">
        <w:rPr>
          <w:rFonts w:eastAsia="MS Mincho"/>
        </w:rPr>
        <w:t xml:space="preserve"> tools, the 29 amino acid </w:t>
      </w:r>
      <w:proofErr w:type="spellStart"/>
      <w:r w:rsidRPr="00F33FC4">
        <w:rPr>
          <w:rFonts w:eastAsia="MS Mincho"/>
        </w:rPr>
        <w:t>TisB</w:t>
      </w:r>
      <w:proofErr w:type="spellEnd"/>
      <w:r w:rsidRPr="00F33FC4">
        <w:rPr>
          <w:rFonts w:eastAsia="MS Mincho"/>
        </w:rPr>
        <w:t xml:space="preserve"> toxin has been shown to form a dimer-of-dimers giving rise to a tetrameric charged zipper structure permitting ion conductance </w:t>
      </w:r>
      <w:r w:rsidRPr="00F33FC4">
        <w:rPr>
          <w:rFonts w:eastAsia="MS Mincho"/>
          <w:noProof/>
        </w:rPr>
        <w:t>(7,10)</w:t>
      </w:r>
      <w:r w:rsidRPr="00F33FC4">
        <w:rPr>
          <w:rFonts w:eastAsia="MS Mincho"/>
        </w:rPr>
        <w:t xml:space="preserve">. This results in membrane depolarization and affects cellular ATP levels, leading the cell into a transient dormancy </w:t>
      </w:r>
      <w:r w:rsidRPr="00F33FC4">
        <w:rPr>
          <w:rFonts w:eastAsia="MS Mincho"/>
          <w:noProof/>
        </w:rPr>
        <w:t>(11)</w:t>
      </w:r>
      <w:r w:rsidRPr="00F33FC4">
        <w:rPr>
          <w:rFonts w:eastAsia="MS Mincho"/>
        </w:rPr>
        <w:t xml:space="preserve">. </w:t>
      </w:r>
      <w:proofErr w:type="spellStart"/>
      <w:r w:rsidRPr="00F33FC4">
        <w:rPr>
          <w:rFonts w:eastAsia="MS Mincho"/>
        </w:rPr>
        <w:t>TisB</w:t>
      </w:r>
      <w:proofErr w:type="spellEnd"/>
      <w:r w:rsidRPr="00F33FC4">
        <w:rPr>
          <w:rFonts w:eastAsia="MS Mincho"/>
        </w:rPr>
        <w:t xml:space="preserve"> transcription occurs in DNA damaging conditions as it is normally repressed by a SOS response regulator (</w:t>
      </w:r>
      <w:proofErr w:type="spellStart"/>
      <w:r w:rsidRPr="00F33FC4">
        <w:rPr>
          <w:rFonts w:eastAsia="MS Mincho"/>
        </w:rPr>
        <w:t>LexA</w:t>
      </w:r>
      <w:proofErr w:type="spellEnd"/>
      <w:r w:rsidRPr="00F33FC4">
        <w:rPr>
          <w:rFonts w:eastAsia="MS Mincho"/>
        </w:rPr>
        <w:t xml:space="preserve">); thus, it is speculated that </w:t>
      </w:r>
      <w:proofErr w:type="spellStart"/>
      <w:r w:rsidRPr="00F33FC4">
        <w:rPr>
          <w:rFonts w:eastAsia="MS Mincho"/>
        </w:rPr>
        <w:t>TisB</w:t>
      </w:r>
      <w:proofErr w:type="spellEnd"/>
      <w:r w:rsidRPr="00F33FC4">
        <w:rPr>
          <w:rFonts w:eastAsia="MS Mincho"/>
        </w:rPr>
        <w:t xml:space="preserve"> production during SOS is needed to allow the cell time to repair DNA damage before replicating DNA </w:t>
      </w:r>
      <w:r w:rsidRPr="00F33FC4">
        <w:rPr>
          <w:rFonts w:eastAsia="MS Mincho"/>
          <w:noProof/>
        </w:rPr>
        <w:t>(12)</w:t>
      </w:r>
      <w:r w:rsidRPr="00F33FC4">
        <w:rPr>
          <w:rFonts w:eastAsia="MS Mincho"/>
        </w:rPr>
        <w:t xml:space="preserve">. Significant increase in persistence against ciprofloxacin (fluoroquinolone), ampicillin (beta-lactam) and streptomycin (aminoglycoside) is observed with chromosomal level </w:t>
      </w:r>
      <w:proofErr w:type="spellStart"/>
      <w:r w:rsidRPr="00F33FC4">
        <w:rPr>
          <w:rFonts w:eastAsia="MS Mincho"/>
        </w:rPr>
        <w:t>TisB</w:t>
      </w:r>
      <w:proofErr w:type="spellEnd"/>
      <w:r w:rsidRPr="00F33FC4">
        <w:rPr>
          <w:rFonts w:eastAsia="MS Mincho"/>
        </w:rPr>
        <w:t xml:space="preserve"> expression in an antitoxin (IstR1) deleted strains </w:t>
      </w:r>
      <w:r w:rsidRPr="00F33FC4">
        <w:rPr>
          <w:rFonts w:eastAsia="MS Mincho"/>
          <w:noProof/>
        </w:rPr>
        <w:t>(13)</w:t>
      </w:r>
      <w:r w:rsidRPr="00F33FC4">
        <w:rPr>
          <w:rFonts w:eastAsia="MS Mincho"/>
        </w:rPr>
        <w:t xml:space="preserve">. </w:t>
      </w:r>
    </w:p>
    <w:p w14:paraId="426D9E60" w14:textId="77777777" w:rsidR="00F33FC4" w:rsidRPr="00F33FC4" w:rsidRDefault="00F33FC4" w:rsidP="00F33FC4">
      <w:pPr>
        <w:spacing w:line="360" w:lineRule="auto"/>
        <w:ind w:firstLine="720"/>
        <w:rPr>
          <w:rFonts w:eastAsia="MS Mincho"/>
        </w:rPr>
      </w:pPr>
      <w:r w:rsidRPr="00F33FC4">
        <w:rPr>
          <w:rFonts w:eastAsia="MS Mincho"/>
        </w:rPr>
        <w:t xml:space="preserve">Apart from type I toxins, overexpression of </w:t>
      </w:r>
      <w:r w:rsidRPr="00F33FC4">
        <w:rPr>
          <w:rFonts w:eastAsia="MS Mincho"/>
          <w:i/>
          <w:iCs/>
        </w:rPr>
        <w:t>de novo</w:t>
      </w:r>
      <w:r w:rsidRPr="00F33FC4">
        <w:rPr>
          <w:rFonts w:eastAsia="MS Mincho"/>
        </w:rPr>
        <w:t xml:space="preserve"> synthesized small hydrophobic proteins has been shown to cause membrane depolarization and affect </w:t>
      </w:r>
      <w:r w:rsidRPr="00F33FC4">
        <w:rPr>
          <w:rFonts w:eastAsia="MS Mincho"/>
        </w:rPr>
        <w:lastRenderedPageBreak/>
        <w:t xml:space="preserve">aminoglycoside uptake resulting in an increase in the minimum inhibitory concentration (MIC) for those antibiotics in </w:t>
      </w:r>
      <w:r w:rsidRPr="00F33FC4">
        <w:rPr>
          <w:rFonts w:eastAsia="MS Mincho"/>
          <w:i/>
          <w:iCs/>
        </w:rPr>
        <w:t>E. coli</w:t>
      </w:r>
      <w:r w:rsidRPr="00F33FC4">
        <w:rPr>
          <w:rFonts w:eastAsia="MS Mincho"/>
        </w:rPr>
        <w:t xml:space="preserve"> </w:t>
      </w:r>
      <w:r w:rsidRPr="00F33FC4">
        <w:rPr>
          <w:rFonts w:eastAsia="MS Mincho"/>
          <w:noProof/>
        </w:rPr>
        <w:t>(14)</w:t>
      </w:r>
      <w:r w:rsidRPr="00F33FC4">
        <w:rPr>
          <w:rFonts w:eastAsia="MS Mincho"/>
        </w:rPr>
        <w:t xml:space="preserve">. Despite their effect on membrane depolarization, </w:t>
      </w:r>
      <w:proofErr w:type="spellStart"/>
      <w:r w:rsidRPr="00F33FC4">
        <w:rPr>
          <w:rFonts w:eastAsia="MS Mincho"/>
        </w:rPr>
        <w:t>IbsC</w:t>
      </w:r>
      <w:proofErr w:type="spellEnd"/>
      <w:r w:rsidRPr="00F33FC4">
        <w:rPr>
          <w:rFonts w:eastAsia="MS Mincho"/>
        </w:rPr>
        <w:t xml:space="preserve"> and </w:t>
      </w:r>
      <w:proofErr w:type="spellStart"/>
      <w:r w:rsidRPr="00F33FC4">
        <w:rPr>
          <w:rFonts w:eastAsia="MS Mincho"/>
        </w:rPr>
        <w:t>LdrD</w:t>
      </w:r>
      <w:proofErr w:type="spellEnd"/>
      <w:r w:rsidRPr="00F33FC4">
        <w:rPr>
          <w:rFonts w:eastAsia="MS Mincho"/>
        </w:rPr>
        <w:t xml:space="preserve"> toxin overexpression, both of which impact cellular growth </w:t>
      </w:r>
      <w:r w:rsidRPr="00F33FC4">
        <w:rPr>
          <w:rFonts w:eastAsia="MS Mincho"/>
          <w:noProof/>
        </w:rPr>
        <w:t>(15,16)</w:t>
      </w:r>
      <w:r w:rsidRPr="00F33FC4">
        <w:rPr>
          <w:rFonts w:eastAsia="MS Mincho"/>
        </w:rPr>
        <w:t xml:space="preserve">, did not result in an increased MIC against aminoglycosides </w:t>
      </w:r>
      <w:r w:rsidRPr="00F33FC4">
        <w:rPr>
          <w:rFonts w:eastAsia="MS Mincho"/>
          <w:noProof/>
        </w:rPr>
        <w:t>(14)</w:t>
      </w:r>
      <w:r w:rsidRPr="00F33FC4">
        <w:rPr>
          <w:rFonts w:eastAsia="MS Mincho"/>
        </w:rPr>
        <w:t xml:space="preserve">. </w:t>
      </w:r>
    </w:p>
    <w:p w14:paraId="0261A797" w14:textId="33487DA3" w:rsidR="00F33FC4" w:rsidRPr="00F33FC4" w:rsidRDefault="00F33FC4" w:rsidP="00F33FC4">
      <w:pPr>
        <w:spacing w:line="360" w:lineRule="auto"/>
        <w:rPr>
          <w:rFonts w:eastAsia="MS Mincho"/>
        </w:rPr>
      </w:pPr>
      <w:r w:rsidRPr="00F33FC4">
        <w:rPr>
          <w:rFonts w:eastAsia="MS Mincho"/>
        </w:rPr>
        <w:tab/>
        <w:t xml:space="preserve">While many type I toxins are predicted to localize to the cytoplasmic membrane, there are variations in the predicted orientations within the membrane and the length of the predicted transmembrane domain </w:t>
      </w:r>
      <w:r w:rsidRPr="00F33FC4">
        <w:rPr>
          <w:rFonts w:eastAsia="MS Mincho"/>
          <w:noProof/>
        </w:rPr>
        <w:t>(5)</w:t>
      </w:r>
      <w:r w:rsidRPr="00F33FC4">
        <w:rPr>
          <w:rFonts w:eastAsia="MS Mincho"/>
        </w:rPr>
        <w:t xml:space="preserve">. Many membrane-associated type I toxins have a global positive charge </w:t>
      </w:r>
      <w:r w:rsidRPr="00F33FC4">
        <w:rPr>
          <w:rFonts w:eastAsia="MS Mincho"/>
          <w:noProof/>
        </w:rPr>
        <w:t>(5)</w:t>
      </w:r>
      <w:r w:rsidRPr="00F33FC4">
        <w:rPr>
          <w:rFonts w:eastAsia="MS Mincho"/>
        </w:rPr>
        <w:t xml:space="preserve">, which can play an important role in binding to the negatively charged bacterial membrane and/or with interactions to other proteins. For some toxins, both positively and negatively charged amino acid residues are distributed within the toxin sequence. For the toxin </w:t>
      </w:r>
      <w:proofErr w:type="spellStart"/>
      <w:r w:rsidRPr="00F33FC4">
        <w:rPr>
          <w:rFonts w:eastAsia="MS Mincho"/>
        </w:rPr>
        <w:t>TisB</w:t>
      </w:r>
      <w:proofErr w:type="spellEnd"/>
      <w:r w:rsidRPr="00F33FC4">
        <w:rPr>
          <w:rFonts w:eastAsia="MS Mincho"/>
        </w:rPr>
        <w:t>, the charged amino acids ha</w:t>
      </w:r>
      <w:r w:rsidR="005278EE">
        <w:rPr>
          <w:rFonts w:eastAsia="MS Mincho"/>
        </w:rPr>
        <w:t>ve</w:t>
      </w:r>
      <w:r w:rsidRPr="00F33FC4">
        <w:rPr>
          <w:rFonts w:eastAsia="MS Mincho"/>
        </w:rPr>
        <w:t xml:space="preserve"> been observed to lead to the formation of self-dimers and tetramers that form small pores in the membrane </w:t>
      </w:r>
      <w:r w:rsidRPr="00F33FC4">
        <w:rPr>
          <w:rFonts w:eastAsia="MS Mincho"/>
          <w:noProof/>
        </w:rPr>
        <w:t>(7)</w:t>
      </w:r>
      <w:r w:rsidRPr="00F33FC4">
        <w:rPr>
          <w:rFonts w:eastAsia="MS Mincho"/>
        </w:rPr>
        <w:t>. Some other toxins will associate with the membrane upon high overexpression, but their primary effects are likely not the membrane.</w:t>
      </w:r>
      <w:r w:rsidR="000725B7">
        <w:rPr>
          <w:rFonts w:eastAsia="MS Mincho"/>
        </w:rPr>
        <w:t xml:space="preserve"> </w:t>
      </w:r>
      <w:r w:rsidRPr="00F33FC4">
        <w:rPr>
          <w:rFonts w:eastAsia="MS Mincho"/>
        </w:rPr>
        <w:t xml:space="preserve">For example, severe overexpression of </w:t>
      </w:r>
      <w:proofErr w:type="spellStart"/>
      <w:r w:rsidRPr="00F33FC4">
        <w:rPr>
          <w:rFonts w:eastAsia="MS Mincho"/>
        </w:rPr>
        <w:t>Fst</w:t>
      </w:r>
      <w:proofErr w:type="spellEnd"/>
      <w:r w:rsidR="000725B7">
        <w:rPr>
          <w:rFonts w:eastAsia="MS Mincho"/>
        </w:rPr>
        <w:t xml:space="preserve"> </w:t>
      </w:r>
      <w:r w:rsidRPr="00F33FC4">
        <w:rPr>
          <w:rFonts w:eastAsia="MS Mincho"/>
        </w:rPr>
        <w:t xml:space="preserve">results in the toxin localizing to the membrane, but the primary effect is nucleic acid condensation </w:t>
      </w:r>
      <w:r w:rsidRPr="00F33FC4">
        <w:rPr>
          <w:rFonts w:eastAsia="MS Mincho"/>
          <w:noProof/>
        </w:rPr>
        <w:t>(20,21)</w:t>
      </w:r>
      <w:r w:rsidRPr="00F33FC4">
        <w:rPr>
          <w:rFonts w:eastAsia="MS Mincho"/>
        </w:rPr>
        <w:t xml:space="preserve">. It is therefore important to distinguish whether toxins function by acting on the bacterial membrane or if the membrane associated phenotypes are the result of saturating membranes with an overproduction of small, hydrophobic proteins. </w:t>
      </w:r>
    </w:p>
    <w:p w14:paraId="7766EFBE" w14:textId="08182023" w:rsidR="00F33FC4" w:rsidRPr="00F33FC4" w:rsidRDefault="00F33FC4" w:rsidP="00F33FC4">
      <w:pPr>
        <w:spacing w:line="360" w:lineRule="auto"/>
        <w:ind w:firstLine="720"/>
        <w:rPr>
          <w:rFonts w:eastAsia="MS Mincho"/>
        </w:rPr>
      </w:pPr>
      <w:proofErr w:type="spellStart"/>
      <w:r w:rsidRPr="00F33FC4">
        <w:rPr>
          <w:rFonts w:eastAsia="MS Mincho"/>
        </w:rPr>
        <w:t>ZorO</w:t>
      </w:r>
      <w:proofErr w:type="spellEnd"/>
      <w:r w:rsidRPr="00F33FC4">
        <w:rPr>
          <w:rFonts w:eastAsia="MS Mincho"/>
        </w:rPr>
        <w:t xml:space="preserve"> is the toxin component of a bacterial type I TA system, </w:t>
      </w:r>
      <w:proofErr w:type="spellStart"/>
      <w:r w:rsidRPr="00F33FC4">
        <w:rPr>
          <w:rFonts w:eastAsia="MS Mincho"/>
          <w:i/>
          <w:iCs/>
        </w:rPr>
        <w:t>zorO-orzO</w:t>
      </w:r>
      <w:proofErr w:type="spellEnd"/>
      <w:r w:rsidRPr="00F33FC4">
        <w:rPr>
          <w:rFonts w:eastAsia="MS Mincho"/>
        </w:rPr>
        <w:t xml:space="preserve">, first identified in the chromosome of </w:t>
      </w:r>
      <w:r w:rsidRPr="00F33FC4">
        <w:rPr>
          <w:rFonts w:eastAsia="MS Mincho"/>
          <w:i/>
          <w:iCs/>
        </w:rPr>
        <w:t xml:space="preserve">Escherichia coli </w:t>
      </w:r>
      <w:r w:rsidRPr="00F33FC4">
        <w:rPr>
          <w:rFonts w:eastAsia="MS Mincho"/>
        </w:rPr>
        <w:t>O157:H7</w:t>
      </w:r>
      <w:r w:rsidRPr="00F33FC4">
        <w:rPr>
          <w:rFonts w:eastAsia="MS Mincho"/>
          <w:i/>
          <w:iCs/>
        </w:rPr>
        <w:t xml:space="preserve"> </w:t>
      </w:r>
      <w:r w:rsidRPr="00F33FC4">
        <w:rPr>
          <w:rFonts w:eastAsia="MS Mincho"/>
        </w:rPr>
        <w:t xml:space="preserve">EDL933 </w:t>
      </w:r>
      <w:r w:rsidRPr="00F33FC4">
        <w:rPr>
          <w:rFonts w:eastAsia="MS Mincho"/>
          <w:noProof/>
        </w:rPr>
        <w:t>(17,18)</w:t>
      </w:r>
      <w:r w:rsidRPr="00F33FC4">
        <w:rPr>
          <w:rFonts w:eastAsia="MS Mincho"/>
          <w:i/>
          <w:iCs/>
        </w:rPr>
        <w:t>.</w:t>
      </w:r>
      <w:r w:rsidRPr="00F33FC4">
        <w:rPr>
          <w:rFonts w:eastAsia="MS Mincho"/>
        </w:rPr>
        <w:t xml:space="preserve"> It is located in a region known as the </w:t>
      </w:r>
      <w:proofErr w:type="spellStart"/>
      <w:r w:rsidRPr="00F33FC4">
        <w:rPr>
          <w:rFonts w:eastAsia="MS Mincho"/>
          <w:i/>
          <w:iCs/>
        </w:rPr>
        <w:t>zor-orz</w:t>
      </w:r>
      <w:proofErr w:type="spellEnd"/>
      <w:r w:rsidRPr="00F33FC4">
        <w:rPr>
          <w:rFonts w:eastAsia="MS Mincho"/>
        </w:rPr>
        <w:t xml:space="preserve"> locus, which encodes, in tandem, a second highly homologous </w:t>
      </w:r>
      <w:r w:rsidRPr="00F33FC4">
        <w:rPr>
          <w:rFonts w:eastAsia="MS Mincho"/>
          <w:color w:val="000000"/>
        </w:rPr>
        <w:t xml:space="preserve">type I TA gene pair </w:t>
      </w:r>
      <w:proofErr w:type="spellStart"/>
      <w:r w:rsidRPr="00F33FC4">
        <w:rPr>
          <w:rFonts w:eastAsia="MS Mincho"/>
          <w:i/>
          <w:iCs/>
          <w:color w:val="000000"/>
        </w:rPr>
        <w:t>zorP-orzP</w:t>
      </w:r>
      <w:proofErr w:type="spellEnd"/>
      <w:r w:rsidRPr="00F33FC4">
        <w:rPr>
          <w:rFonts w:eastAsia="MS Mincho"/>
          <w:i/>
          <w:iCs/>
          <w:color w:val="000000"/>
        </w:rPr>
        <w:t xml:space="preserve"> </w:t>
      </w:r>
      <w:r w:rsidRPr="00F33FC4">
        <w:rPr>
          <w:rFonts w:eastAsia="MS Mincho"/>
          <w:iCs/>
          <w:noProof/>
          <w:color w:val="000000"/>
        </w:rPr>
        <w:t>(17,18)</w:t>
      </w:r>
      <w:r w:rsidRPr="00F33FC4">
        <w:rPr>
          <w:rFonts w:eastAsia="MS Mincho"/>
          <w:color w:val="000000"/>
        </w:rPr>
        <w:t xml:space="preserve">. </w:t>
      </w:r>
      <w:r w:rsidRPr="00F33FC4">
        <w:rPr>
          <w:rFonts w:eastAsia="MS Mincho"/>
        </w:rPr>
        <w:t xml:space="preserve">The small protein </w:t>
      </w:r>
      <w:proofErr w:type="spellStart"/>
      <w:r w:rsidRPr="00F33FC4">
        <w:rPr>
          <w:rFonts w:eastAsia="MS Mincho"/>
        </w:rPr>
        <w:t>ZorO</w:t>
      </w:r>
      <w:proofErr w:type="spellEnd"/>
      <w:r w:rsidRPr="00F33FC4">
        <w:rPr>
          <w:rFonts w:eastAsia="MS Mincho"/>
        </w:rPr>
        <w:t xml:space="preserve"> localizes to the bacterial inner membrane </w:t>
      </w:r>
      <w:r w:rsidRPr="00F33FC4">
        <w:rPr>
          <w:rFonts w:eastAsia="MS Mincho"/>
          <w:noProof/>
        </w:rPr>
        <w:t>(25)</w:t>
      </w:r>
      <w:r w:rsidRPr="00F33FC4">
        <w:rPr>
          <w:rFonts w:eastAsia="MS Mincho"/>
        </w:rPr>
        <w:t xml:space="preserve">. </w:t>
      </w:r>
      <w:proofErr w:type="spellStart"/>
      <w:r w:rsidRPr="00F33FC4">
        <w:rPr>
          <w:rFonts w:eastAsia="MS Mincho"/>
        </w:rPr>
        <w:t>ZorO</w:t>
      </w:r>
      <w:proofErr w:type="spellEnd"/>
      <w:r w:rsidRPr="00F33FC4">
        <w:rPr>
          <w:rFonts w:eastAsia="MS Mincho"/>
        </w:rPr>
        <w:t xml:space="preserve"> translation is regulated by a sRNA, </w:t>
      </w:r>
      <w:proofErr w:type="spellStart"/>
      <w:r w:rsidRPr="00F33FC4">
        <w:rPr>
          <w:rFonts w:eastAsia="MS Mincho"/>
        </w:rPr>
        <w:t>OrzO</w:t>
      </w:r>
      <w:proofErr w:type="spellEnd"/>
      <w:r w:rsidRPr="00F33FC4">
        <w:rPr>
          <w:rFonts w:eastAsia="MS Mincho"/>
        </w:rPr>
        <w:t xml:space="preserve">, via complementary base pairing with the </w:t>
      </w:r>
      <w:proofErr w:type="spellStart"/>
      <w:r w:rsidRPr="00F33FC4">
        <w:rPr>
          <w:rFonts w:eastAsia="MS Mincho"/>
          <w:i/>
          <w:iCs/>
        </w:rPr>
        <w:t>zorO</w:t>
      </w:r>
      <w:proofErr w:type="spellEnd"/>
      <w:r w:rsidRPr="00F33FC4">
        <w:rPr>
          <w:rFonts w:eastAsia="MS Mincho"/>
        </w:rPr>
        <w:t xml:space="preserve"> mRNA, </w:t>
      </w:r>
      <w:r w:rsidR="005278EE" w:rsidRPr="00F33FC4">
        <w:rPr>
          <w:rFonts w:eastAsia="MS Mincho"/>
        </w:rPr>
        <w:t>and</w:t>
      </w:r>
      <w:r w:rsidRPr="00F33FC4">
        <w:rPr>
          <w:rFonts w:eastAsia="MS Mincho"/>
        </w:rPr>
        <w:t xml:space="preserve"> by secondary structure formed within its own long 5’ untranslated region (UTR) within its mRNA </w:t>
      </w:r>
      <w:r w:rsidRPr="00F33FC4">
        <w:rPr>
          <w:rFonts w:eastAsia="MS Mincho"/>
          <w:noProof/>
        </w:rPr>
        <w:t>(17,26)</w:t>
      </w:r>
      <w:r w:rsidRPr="00F33FC4">
        <w:rPr>
          <w:rFonts w:eastAsia="MS Mincho"/>
        </w:rPr>
        <w:t xml:space="preserve">. Ectopic overexpression of </w:t>
      </w:r>
      <w:proofErr w:type="spellStart"/>
      <w:r w:rsidRPr="00F33FC4">
        <w:rPr>
          <w:rFonts w:eastAsia="MS Mincho"/>
          <w:i/>
          <w:iCs/>
        </w:rPr>
        <w:t>zorO</w:t>
      </w:r>
      <w:proofErr w:type="spellEnd"/>
      <w:r w:rsidRPr="00F33FC4">
        <w:rPr>
          <w:rFonts w:eastAsia="MS Mincho"/>
        </w:rPr>
        <w:t xml:space="preserve"> using plasmids results in growth stasis, membrane depolarization, and ATP depletion in </w:t>
      </w:r>
      <w:r w:rsidRPr="00F33FC4">
        <w:rPr>
          <w:rFonts w:eastAsia="MS Mincho"/>
          <w:i/>
          <w:iCs/>
        </w:rPr>
        <w:t>E. coli</w:t>
      </w:r>
      <w:r w:rsidRPr="00F33FC4">
        <w:rPr>
          <w:rFonts w:eastAsia="MS Mincho"/>
        </w:rPr>
        <w:t xml:space="preserve"> MG1655 (which does not naturally encoding </w:t>
      </w:r>
      <w:proofErr w:type="spellStart"/>
      <w:r w:rsidRPr="00F33FC4">
        <w:rPr>
          <w:rFonts w:eastAsia="MS Mincho"/>
          <w:i/>
          <w:iCs/>
        </w:rPr>
        <w:t>zorO</w:t>
      </w:r>
      <w:proofErr w:type="spellEnd"/>
      <w:r w:rsidRPr="00F33FC4">
        <w:rPr>
          <w:rFonts w:eastAsia="MS Mincho"/>
        </w:rPr>
        <w:t xml:space="preserve"> gene) without a significant impact on bacterial gross morphology </w:t>
      </w:r>
      <w:r w:rsidRPr="00F33FC4">
        <w:rPr>
          <w:rFonts w:eastAsia="MS Mincho"/>
          <w:noProof/>
        </w:rPr>
        <w:t>(19)</w:t>
      </w:r>
      <w:r w:rsidRPr="00F33FC4">
        <w:rPr>
          <w:rFonts w:eastAsia="MS Mincho"/>
        </w:rPr>
        <w:t xml:space="preserve">. Although toxic when overproduced, we observed that cells with multiple copies of the entire </w:t>
      </w:r>
      <w:proofErr w:type="spellStart"/>
      <w:r w:rsidRPr="00F33FC4">
        <w:rPr>
          <w:rFonts w:eastAsia="MS Mincho"/>
          <w:i/>
          <w:iCs/>
        </w:rPr>
        <w:t>zor-</w:t>
      </w:r>
      <w:r w:rsidRPr="00F33FC4">
        <w:rPr>
          <w:rFonts w:eastAsia="MS Mincho"/>
          <w:i/>
          <w:iCs/>
        </w:rPr>
        <w:lastRenderedPageBreak/>
        <w:t>orz</w:t>
      </w:r>
      <w:proofErr w:type="spellEnd"/>
      <w:r w:rsidRPr="00F33FC4">
        <w:rPr>
          <w:rFonts w:eastAsia="MS Mincho"/>
        </w:rPr>
        <w:t xml:space="preserve"> locus (including the toxins, antitoxins and their native promoter elements) were able to grow significantly better in aminoglycosides </w:t>
      </w:r>
      <w:r w:rsidRPr="00F33FC4">
        <w:rPr>
          <w:rFonts w:eastAsia="MS Mincho"/>
          <w:noProof/>
        </w:rPr>
        <w:t>(19)</w:t>
      </w:r>
      <w:r w:rsidRPr="00F33FC4">
        <w:rPr>
          <w:rFonts w:eastAsia="MS Mincho"/>
        </w:rPr>
        <w:t>.</w:t>
      </w:r>
    </w:p>
    <w:p w14:paraId="43084C74" w14:textId="105EA158" w:rsidR="00F33FC4" w:rsidRPr="00F33FC4" w:rsidRDefault="00F33FC4" w:rsidP="00F33FC4">
      <w:pPr>
        <w:spacing w:line="360" w:lineRule="auto"/>
        <w:ind w:firstLine="720"/>
        <w:rPr>
          <w:rFonts w:eastAsia="MS Mincho"/>
        </w:rPr>
      </w:pPr>
      <w:r w:rsidRPr="00F33FC4">
        <w:rPr>
          <w:rFonts w:eastAsia="MS Mincho"/>
        </w:rPr>
        <w:t xml:space="preserve">To determine the amino acid residues involved in both toxic and beneficial effects of </w:t>
      </w:r>
      <w:proofErr w:type="spellStart"/>
      <w:r w:rsidRPr="00F33FC4">
        <w:rPr>
          <w:rFonts w:eastAsia="MS Mincho"/>
        </w:rPr>
        <w:t>ZorO</w:t>
      </w:r>
      <w:proofErr w:type="spellEnd"/>
      <w:r w:rsidRPr="00F33FC4">
        <w:rPr>
          <w:rFonts w:eastAsia="MS Mincho"/>
        </w:rPr>
        <w:t xml:space="preserve"> production, we overexpressed mutants of </w:t>
      </w:r>
      <w:proofErr w:type="spellStart"/>
      <w:r w:rsidR="00F871C2">
        <w:rPr>
          <w:rFonts w:eastAsia="MS Mincho"/>
        </w:rPr>
        <w:t>Z</w:t>
      </w:r>
      <w:r w:rsidRPr="00F33FC4">
        <w:rPr>
          <w:rFonts w:eastAsia="MS Mincho"/>
        </w:rPr>
        <w:t>orO</w:t>
      </w:r>
      <w:proofErr w:type="spellEnd"/>
      <w:r w:rsidRPr="00F33FC4">
        <w:rPr>
          <w:rFonts w:eastAsia="MS Mincho"/>
        </w:rPr>
        <w:t xml:space="preserve"> and identified key amino acids that conferred toxicity. We found that changes in several positively charged or negatively charged amino acids either decreased or completely abolished </w:t>
      </w:r>
      <w:proofErr w:type="spellStart"/>
      <w:r w:rsidRPr="00F33FC4">
        <w:rPr>
          <w:rFonts w:eastAsia="MS Mincho"/>
        </w:rPr>
        <w:t>ZorO</w:t>
      </w:r>
      <w:proofErr w:type="spellEnd"/>
      <w:r w:rsidRPr="00F33FC4">
        <w:rPr>
          <w:rFonts w:eastAsia="MS Mincho"/>
        </w:rPr>
        <w:t xml:space="preserve"> toxicity. We also observed the impact of these point mutations on </w:t>
      </w:r>
      <w:proofErr w:type="spellStart"/>
      <w:r w:rsidRPr="00F33FC4">
        <w:rPr>
          <w:rFonts w:eastAsia="MS Mincho"/>
        </w:rPr>
        <w:t>ZorO</w:t>
      </w:r>
      <w:proofErr w:type="spellEnd"/>
      <w:r w:rsidRPr="00F33FC4">
        <w:rPr>
          <w:rFonts w:eastAsia="MS Mincho"/>
        </w:rPr>
        <w:t xml:space="preserve"> localization. Furthermore, we studied how these mutations alter the growth of the cells in aminoglycoside antibiotics utilizing a medium copy plasmid and chromosomal strains integrated with </w:t>
      </w:r>
      <w:proofErr w:type="spellStart"/>
      <w:r w:rsidRPr="00F33FC4">
        <w:rPr>
          <w:rFonts w:eastAsia="MS Mincho"/>
          <w:i/>
          <w:iCs/>
        </w:rPr>
        <w:t>zorO-orzO</w:t>
      </w:r>
      <w:proofErr w:type="spellEnd"/>
      <w:r w:rsidRPr="00F33FC4">
        <w:rPr>
          <w:rFonts w:eastAsia="MS Mincho"/>
        </w:rPr>
        <w:t xml:space="preserve"> variants. </w:t>
      </w:r>
    </w:p>
    <w:p w14:paraId="3069D56F" w14:textId="77777777" w:rsidR="00F33FC4" w:rsidRPr="00F33FC4" w:rsidRDefault="00F33FC4" w:rsidP="00F33FC4">
      <w:pPr>
        <w:spacing w:line="360" w:lineRule="auto"/>
        <w:rPr>
          <w:rFonts w:eastAsia="MS Mincho"/>
        </w:rPr>
      </w:pPr>
    </w:p>
    <w:p w14:paraId="672DCE40" w14:textId="77777777" w:rsidR="00F33FC4" w:rsidRPr="00F33FC4" w:rsidRDefault="00F33FC4" w:rsidP="00F33FC4">
      <w:pPr>
        <w:spacing w:line="360" w:lineRule="auto"/>
        <w:rPr>
          <w:rFonts w:eastAsia="MS Mincho"/>
          <w:b/>
          <w:bCs/>
        </w:rPr>
      </w:pPr>
      <w:r w:rsidRPr="00F33FC4">
        <w:rPr>
          <w:rFonts w:eastAsia="MS Mincho"/>
          <w:b/>
          <w:bCs/>
        </w:rPr>
        <w:t>II. Materials and Methods</w:t>
      </w:r>
    </w:p>
    <w:p w14:paraId="634E5FAA" w14:textId="77777777" w:rsidR="00F33FC4" w:rsidRPr="00F33FC4" w:rsidRDefault="00F33FC4" w:rsidP="00F33FC4">
      <w:pPr>
        <w:spacing w:line="360" w:lineRule="auto"/>
        <w:rPr>
          <w:rFonts w:eastAsia="MS Mincho"/>
        </w:rPr>
      </w:pPr>
      <w:r w:rsidRPr="00F33FC4">
        <w:rPr>
          <w:rFonts w:eastAsia="MS Mincho"/>
          <w:b/>
          <w:bCs/>
        </w:rPr>
        <w:t>Bacterial strains and plasmids</w:t>
      </w:r>
      <w:r w:rsidRPr="00F33FC4">
        <w:rPr>
          <w:rFonts w:eastAsia="MS Mincho"/>
        </w:rPr>
        <w:t xml:space="preserve"> All bacterial strains and plasmids used in this study are listed in Table 4.1. The sequences of all oligonucleotides are listed in Table 4.2.</w:t>
      </w:r>
    </w:p>
    <w:p w14:paraId="50B8E49C" w14:textId="77777777" w:rsidR="00F33FC4" w:rsidRPr="00F33FC4" w:rsidRDefault="00F33FC4" w:rsidP="00F33FC4">
      <w:pPr>
        <w:spacing w:line="360" w:lineRule="auto"/>
        <w:rPr>
          <w:rFonts w:eastAsia="MS Mincho"/>
          <w:b/>
        </w:rPr>
      </w:pPr>
    </w:p>
    <w:p w14:paraId="60270511" w14:textId="77777777" w:rsidR="00F33FC4" w:rsidRPr="00F33FC4" w:rsidRDefault="00F33FC4" w:rsidP="00F33FC4">
      <w:pPr>
        <w:spacing w:line="360" w:lineRule="auto"/>
        <w:rPr>
          <w:rFonts w:eastAsia="MS Mincho"/>
        </w:rPr>
      </w:pPr>
      <w:r w:rsidRPr="00F33FC4">
        <w:rPr>
          <w:rFonts w:eastAsia="MS Mincho"/>
          <w:b/>
        </w:rPr>
        <w:t>Growth conditions.</w:t>
      </w:r>
      <w:r w:rsidRPr="00F33FC4">
        <w:rPr>
          <w:rFonts w:eastAsia="MS Mincho"/>
          <w:i/>
        </w:rPr>
        <w:t xml:space="preserve"> Overproduction studies. </w:t>
      </w:r>
      <w:r w:rsidRPr="00F33FC4">
        <w:rPr>
          <w:rFonts w:eastAsia="MS Mincho"/>
        </w:rPr>
        <w:t xml:space="preserve">Cultures for overproduction of </w:t>
      </w:r>
      <w:proofErr w:type="spellStart"/>
      <w:r w:rsidRPr="00F33FC4">
        <w:rPr>
          <w:rFonts w:eastAsia="MS Mincho"/>
        </w:rPr>
        <w:t>ZorO</w:t>
      </w:r>
      <w:proofErr w:type="spellEnd"/>
      <w:r w:rsidRPr="00F33FC4">
        <w:rPr>
          <w:rFonts w:eastAsia="MS Mincho"/>
        </w:rPr>
        <w:t xml:space="preserve"> and the specific mutants were grown as described previously (17). Briefly, </w:t>
      </w:r>
      <w:r w:rsidRPr="00F33FC4">
        <w:rPr>
          <w:rFonts w:eastAsia="MS Mincho"/>
          <w:i/>
          <w:iCs/>
        </w:rPr>
        <w:t>E. coli</w:t>
      </w:r>
      <w:r w:rsidRPr="00F33FC4">
        <w:rPr>
          <w:rFonts w:eastAsia="MS Mincho"/>
        </w:rPr>
        <w:t xml:space="preserve"> UTK007, a derivative of MG1655 with constitutive </w:t>
      </w:r>
      <w:proofErr w:type="spellStart"/>
      <w:r w:rsidRPr="00F33FC4">
        <w:rPr>
          <w:rFonts w:eastAsia="MS Mincho"/>
          <w:i/>
          <w:iCs/>
        </w:rPr>
        <w:t>araE</w:t>
      </w:r>
      <w:proofErr w:type="spellEnd"/>
      <w:r w:rsidRPr="00F33FC4">
        <w:rPr>
          <w:rFonts w:eastAsia="MS Mincho"/>
        </w:rPr>
        <w:t xml:space="preserve">, was transformed fresh (not older than 10 days) with the indicated plasmid derivatives of pAZ3 using electroporation (17). The resulting transformants were grown overnight in 5 mL of LB medium (with 25 </w:t>
      </w:r>
      <w:r w:rsidRPr="00F33FC4">
        <w:rPr>
          <w:rFonts w:eastAsia="MS Mincho"/>
        </w:rPr>
        <w:sym w:font="Symbol" w:char="F06D"/>
      </w:r>
      <w:r w:rsidRPr="00F33FC4">
        <w:rPr>
          <w:rFonts w:eastAsia="MS Mincho"/>
        </w:rPr>
        <w:t>g/ml chloramphenicol final concentration) at 37</w:t>
      </w:r>
      <w:r w:rsidRPr="00F33FC4">
        <w:rPr>
          <w:rFonts w:eastAsia="MS Mincho"/>
          <w:vertAlign w:val="superscript"/>
        </w:rPr>
        <w:t>o</w:t>
      </w:r>
      <w:r w:rsidRPr="00F33FC4">
        <w:rPr>
          <w:rFonts w:eastAsia="MS Mincho"/>
        </w:rPr>
        <w:t>C with shaking and diluted to an OD</w:t>
      </w:r>
      <w:r w:rsidRPr="00F33FC4">
        <w:rPr>
          <w:rFonts w:eastAsia="MS Mincho"/>
          <w:vertAlign w:val="subscript"/>
        </w:rPr>
        <w:t>600</w:t>
      </w:r>
      <w:r w:rsidRPr="00F33FC4">
        <w:rPr>
          <w:rFonts w:eastAsia="MS Mincho"/>
        </w:rPr>
        <w:t xml:space="preserve"> of 0.01. At an OD</w:t>
      </w:r>
      <w:r w:rsidRPr="00F33FC4">
        <w:rPr>
          <w:rFonts w:eastAsia="MS Mincho"/>
          <w:vertAlign w:val="subscript"/>
        </w:rPr>
        <w:t>600</w:t>
      </w:r>
      <w:r w:rsidRPr="00F33FC4">
        <w:rPr>
          <w:rFonts w:eastAsia="MS Mincho"/>
        </w:rPr>
        <w:t xml:space="preserve"> of ~ 0.3, arabinose was added to final concentrations of 13.32 mM (0.2%) or 3.33 </w:t>
      </w:r>
      <w:r w:rsidRPr="00F33FC4">
        <w:rPr>
          <w:rFonts w:eastAsia="MS Mincho"/>
        </w:rPr>
        <w:sym w:font="Symbol" w:char="F06D"/>
      </w:r>
      <w:r w:rsidRPr="00F33FC4">
        <w:rPr>
          <w:rFonts w:eastAsia="MS Mincho"/>
        </w:rPr>
        <w:t xml:space="preserve">M (0.00005%) as indicated in the text. </w:t>
      </w:r>
      <w:r w:rsidRPr="00F33FC4">
        <w:rPr>
          <w:rFonts w:eastAsia="MS Mincho"/>
          <w:i/>
          <w:iCs/>
        </w:rPr>
        <w:t xml:space="preserve">E. coli </w:t>
      </w:r>
      <w:r w:rsidRPr="00F33FC4">
        <w:rPr>
          <w:rFonts w:eastAsia="MS Mincho"/>
        </w:rPr>
        <w:t>UTK007 carrying empty vector (pAZ3) or uninduced (no arabinose) were used as controls. OD</w:t>
      </w:r>
      <w:r w:rsidRPr="00F33FC4">
        <w:rPr>
          <w:rFonts w:eastAsia="MS Mincho"/>
          <w:vertAlign w:val="subscript"/>
        </w:rPr>
        <w:t>600</w:t>
      </w:r>
      <w:r w:rsidRPr="00F33FC4">
        <w:rPr>
          <w:rFonts w:eastAsia="MS Mincho"/>
        </w:rPr>
        <w:t xml:space="preserve"> was measured and cells were harvested after 30 mins of overexpression. Averages </w:t>
      </w:r>
      <w:r w:rsidRPr="00F33FC4">
        <w:rPr>
          <w:rFonts w:eastAsia="MS Mincho"/>
        </w:rPr>
        <w:sym w:font="Symbol" w:char="F0B1"/>
      </w:r>
      <w:r w:rsidRPr="00F33FC4">
        <w:rPr>
          <w:rFonts w:eastAsia="MS Mincho"/>
        </w:rPr>
        <w:t xml:space="preserve"> standard deviations for a minimum of three replicates are shown.</w:t>
      </w:r>
    </w:p>
    <w:p w14:paraId="53FA598E" w14:textId="77777777" w:rsidR="00F33FC4" w:rsidRPr="00F33FC4" w:rsidRDefault="00F33FC4" w:rsidP="00F33FC4">
      <w:pPr>
        <w:spacing w:line="360" w:lineRule="auto"/>
        <w:rPr>
          <w:rFonts w:eastAsia="MS Mincho"/>
        </w:rPr>
      </w:pPr>
      <w:r w:rsidRPr="00F33FC4">
        <w:rPr>
          <w:rFonts w:eastAsia="MS Mincho"/>
          <w:i/>
        </w:rPr>
        <w:t xml:space="preserve">Microplate growth curves. </w:t>
      </w:r>
      <w:r w:rsidRPr="00F33FC4">
        <w:rPr>
          <w:rFonts w:eastAsia="MS Mincho"/>
        </w:rPr>
        <w:t xml:space="preserve">Overnight cultures were grown in LB medium. Ampicillin (100 </w:t>
      </w:r>
      <w:r w:rsidRPr="00F33FC4">
        <w:rPr>
          <w:rFonts w:eastAsia="MS Mincho"/>
        </w:rPr>
        <w:sym w:font="Symbol" w:char="F06D"/>
      </w:r>
      <w:r w:rsidRPr="00F33FC4">
        <w:rPr>
          <w:rFonts w:eastAsia="MS Mincho"/>
        </w:rPr>
        <w:t xml:space="preserve">g/ml final concentration) was added when testing cells transformed with pBR322 (27) or </w:t>
      </w:r>
      <w:proofErr w:type="spellStart"/>
      <w:r w:rsidRPr="00F33FC4">
        <w:rPr>
          <w:rFonts w:eastAsia="MS Mincho"/>
        </w:rPr>
        <w:t>pBR-</w:t>
      </w:r>
      <w:r w:rsidRPr="00F33FC4">
        <w:rPr>
          <w:rFonts w:eastAsia="MS Mincho"/>
          <w:i/>
          <w:iCs/>
        </w:rPr>
        <w:t>zor-orz</w:t>
      </w:r>
      <w:proofErr w:type="spellEnd"/>
      <w:r w:rsidRPr="00F33FC4">
        <w:rPr>
          <w:rFonts w:eastAsia="MS Mincho"/>
          <w:i/>
          <w:iCs/>
        </w:rPr>
        <w:t xml:space="preserve"> </w:t>
      </w:r>
      <w:r w:rsidRPr="00F33FC4">
        <w:rPr>
          <w:rFonts w:eastAsia="MS Mincho"/>
          <w:iCs/>
          <w:noProof/>
        </w:rPr>
        <w:t>(19)</w:t>
      </w:r>
      <w:r w:rsidRPr="00F33FC4">
        <w:rPr>
          <w:rFonts w:eastAsia="MS Mincho"/>
          <w:i/>
          <w:iCs/>
        </w:rPr>
        <w:t xml:space="preserve">. </w:t>
      </w:r>
      <w:r w:rsidRPr="00F33FC4">
        <w:rPr>
          <w:rFonts w:eastAsia="MS Mincho"/>
        </w:rPr>
        <w:t>Overnight cultures were diluted to an OD</w:t>
      </w:r>
      <w:r w:rsidRPr="00F33FC4">
        <w:rPr>
          <w:rFonts w:eastAsia="MS Mincho"/>
          <w:vertAlign w:val="subscript"/>
        </w:rPr>
        <w:t xml:space="preserve">600 </w:t>
      </w:r>
      <w:r w:rsidRPr="00F33FC4">
        <w:rPr>
          <w:rFonts w:eastAsia="MS Mincho"/>
        </w:rPr>
        <w:t>of 0.2 in 1 mL growth medium. A 96 well microplate was prepared by adding 190</w:t>
      </w:r>
      <w:r w:rsidRPr="00F33FC4">
        <w:rPr>
          <w:rFonts w:eastAsia="MS Mincho"/>
        </w:rPr>
        <w:sym w:font="Symbol" w:char="F06D"/>
      </w:r>
      <w:r w:rsidRPr="00F33FC4">
        <w:rPr>
          <w:rFonts w:eastAsia="MS Mincho"/>
        </w:rPr>
        <w:t xml:space="preserve">l of the culture media (LB) </w:t>
      </w:r>
      <w:r w:rsidRPr="00F33FC4">
        <w:rPr>
          <w:rFonts w:eastAsia="MS Mincho"/>
        </w:rPr>
        <w:lastRenderedPageBreak/>
        <w:t xml:space="preserve">containing the antibiotics as indicated. Then 10 </w:t>
      </w:r>
      <w:r w:rsidRPr="00F33FC4">
        <w:rPr>
          <w:rFonts w:eastAsia="MS Mincho"/>
        </w:rPr>
        <w:sym w:font="Symbol" w:char="F06D"/>
      </w:r>
      <w:r w:rsidRPr="00F33FC4">
        <w:rPr>
          <w:rFonts w:eastAsia="MS Mincho"/>
        </w:rPr>
        <w:t>l of 0.2 OD</w:t>
      </w:r>
      <w:r w:rsidRPr="00F33FC4">
        <w:rPr>
          <w:rFonts w:eastAsia="MS Mincho"/>
          <w:vertAlign w:val="subscript"/>
        </w:rPr>
        <w:t xml:space="preserve">600 </w:t>
      </w:r>
      <w:r w:rsidRPr="00F33FC4">
        <w:rPr>
          <w:rFonts w:eastAsia="MS Mincho"/>
        </w:rPr>
        <w:t xml:space="preserve">culture (diluted in sterile medium from overnight culture) was added to obtain a 200 </w:t>
      </w:r>
      <w:r w:rsidRPr="00F33FC4">
        <w:rPr>
          <w:rFonts w:eastAsia="MS Mincho"/>
        </w:rPr>
        <w:sym w:font="Symbol" w:char="F06D"/>
      </w:r>
      <w:r w:rsidRPr="00F33FC4">
        <w:rPr>
          <w:rFonts w:eastAsia="MS Mincho"/>
        </w:rPr>
        <w:t>l total volume of a 0.01 OD</w:t>
      </w:r>
      <w:r w:rsidRPr="00F33FC4">
        <w:rPr>
          <w:rFonts w:eastAsia="MS Mincho"/>
          <w:vertAlign w:val="subscript"/>
        </w:rPr>
        <w:t>600</w:t>
      </w:r>
      <w:r w:rsidRPr="00F33FC4">
        <w:rPr>
          <w:rFonts w:eastAsia="MS Mincho"/>
        </w:rPr>
        <w:t xml:space="preserve"> culture. Absorbance was recorded on a Gen5</w:t>
      </w:r>
      <w:r w:rsidRPr="00F33FC4">
        <w:rPr>
          <w:rFonts w:eastAsia="MS Mincho"/>
          <w:vertAlign w:val="superscript"/>
        </w:rPr>
        <w:t>TM</w:t>
      </w:r>
      <w:r w:rsidRPr="00F33FC4">
        <w:rPr>
          <w:rFonts w:eastAsia="MS Mincho"/>
        </w:rPr>
        <w:t xml:space="preserve"> Microplate reader (</w:t>
      </w:r>
      <w:proofErr w:type="spellStart"/>
      <w:r w:rsidRPr="00F33FC4">
        <w:rPr>
          <w:rFonts w:eastAsia="MS Mincho"/>
        </w:rPr>
        <w:t>BioTek</w:t>
      </w:r>
      <w:proofErr w:type="spellEnd"/>
      <w:r w:rsidRPr="00F33FC4">
        <w:rPr>
          <w:rFonts w:eastAsia="MS Mincho"/>
        </w:rPr>
        <w:t xml:space="preserve"> Instruments, Inc.) every 30 min after a 15 sec of shaking for 24 </w:t>
      </w:r>
      <w:proofErr w:type="spellStart"/>
      <w:r w:rsidRPr="00F33FC4">
        <w:rPr>
          <w:rFonts w:eastAsia="MS Mincho"/>
        </w:rPr>
        <w:t>hrs</w:t>
      </w:r>
      <w:proofErr w:type="spellEnd"/>
      <w:r w:rsidRPr="00F33FC4">
        <w:rPr>
          <w:rFonts w:eastAsia="MS Mincho"/>
        </w:rPr>
        <w:t xml:space="preserve"> at 37</w:t>
      </w:r>
      <w:r w:rsidRPr="00F33FC4">
        <w:rPr>
          <w:rFonts w:eastAsia="MS Mincho"/>
          <w:vertAlign w:val="superscript"/>
        </w:rPr>
        <w:t>o</w:t>
      </w:r>
      <w:r w:rsidRPr="00F33FC4">
        <w:rPr>
          <w:rFonts w:eastAsia="MS Mincho"/>
        </w:rPr>
        <w:t xml:space="preserve">C. Shown are averages </w:t>
      </w:r>
      <w:r w:rsidRPr="00F33FC4">
        <w:rPr>
          <w:rFonts w:eastAsia="MS Mincho"/>
        </w:rPr>
        <w:sym w:font="Symbol" w:char="F0B1"/>
      </w:r>
      <w:r w:rsidRPr="00F33FC4">
        <w:rPr>
          <w:rFonts w:eastAsia="MS Mincho"/>
        </w:rPr>
        <w:t xml:space="preserve"> standard deviations for a minimum of three replicates. </w:t>
      </w:r>
    </w:p>
    <w:p w14:paraId="464A8A81" w14:textId="77777777" w:rsidR="00F33FC4" w:rsidRPr="00F33FC4" w:rsidRDefault="00F33FC4" w:rsidP="00F33FC4">
      <w:pPr>
        <w:spacing w:line="360" w:lineRule="auto"/>
        <w:rPr>
          <w:rFonts w:eastAsia="MS Mincho"/>
        </w:rPr>
      </w:pPr>
    </w:p>
    <w:p w14:paraId="34B0629C" w14:textId="77777777" w:rsidR="00F33FC4" w:rsidRPr="00F33FC4" w:rsidRDefault="00F33FC4" w:rsidP="00F33FC4">
      <w:pPr>
        <w:spacing w:line="360" w:lineRule="auto"/>
        <w:rPr>
          <w:rFonts w:eastAsia="MS Mincho"/>
        </w:rPr>
      </w:pPr>
      <w:r w:rsidRPr="00F33FC4">
        <w:rPr>
          <w:rFonts w:eastAsia="MS Mincho"/>
          <w:b/>
          <w:bCs/>
        </w:rPr>
        <w:t>Plasmid construction</w:t>
      </w:r>
      <w:r w:rsidRPr="00F33FC4">
        <w:rPr>
          <w:rFonts w:eastAsia="MS Mincho"/>
        </w:rPr>
        <w:t>. Specific point mutants were created by site directed mutagenesis of the pAZ3-FLAG-</w:t>
      </w:r>
      <w:r w:rsidRPr="00F33FC4">
        <w:rPr>
          <w:rFonts w:eastAsia="MS Mincho"/>
          <w:i/>
          <w:iCs/>
        </w:rPr>
        <w:t>zorO</w:t>
      </w:r>
      <w:r w:rsidRPr="00F33FC4">
        <w:rPr>
          <w:rFonts w:eastAsia="MS Mincho"/>
        </w:rPr>
        <w:t xml:space="preserve"> plasmid as previously described </w:t>
      </w:r>
      <w:r w:rsidRPr="00F33FC4">
        <w:rPr>
          <w:rFonts w:eastAsia="MS Mincho"/>
          <w:noProof/>
        </w:rPr>
        <w:t>(17)</w:t>
      </w:r>
      <w:r w:rsidRPr="00F33FC4">
        <w:rPr>
          <w:rFonts w:eastAsia="MS Mincho"/>
        </w:rPr>
        <w:t xml:space="preserve"> using the indicated oligonucleotides whose sequences are available in Table 4.2. Briefly, plasmids amplified with indicated oligonucleotides were </w:t>
      </w:r>
      <w:proofErr w:type="spellStart"/>
      <w:r w:rsidRPr="00F33FC4">
        <w:rPr>
          <w:rFonts w:eastAsia="MS Mincho"/>
        </w:rPr>
        <w:t>DpnI</w:t>
      </w:r>
      <w:proofErr w:type="spellEnd"/>
      <w:r w:rsidRPr="00F33FC4">
        <w:rPr>
          <w:rFonts w:eastAsia="MS Mincho"/>
        </w:rPr>
        <w:t xml:space="preserve"> digested, purified, and transformed into </w:t>
      </w:r>
      <w:r w:rsidRPr="00F33FC4">
        <w:rPr>
          <w:rFonts w:eastAsia="MS Mincho"/>
          <w:i/>
          <w:iCs/>
        </w:rPr>
        <w:t xml:space="preserve">E. coli </w:t>
      </w:r>
      <w:r w:rsidRPr="00F33FC4">
        <w:rPr>
          <w:rFonts w:eastAsia="MS Mincho"/>
        </w:rPr>
        <w:t>TOP10 cells. Plasmid DNA was extracted and confirmed via sequencing.</w:t>
      </w:r>
    </w:p>
    <w:p w14:paraId="6DC3DC27" w14:textId="77777777" w:rsidR="00F33FC4" w:rsidRPr="00F33FC4" w:rsidRDefault="00F33FC4" w:rsidP="00F33FC4">
      <w:pPr>
        <w:spacing w:line="360" w:lineRule="auto"/>
        <w:ind w:firstLine="720"/>
        <w:rPr>
          <w:rFonts w:eastAsia="MS Mincho"/>
        </w:rPr>
      </w:pPr>
      <w:r w:rsidRPr="00F33FC4">
        <w:rPr>
          <w:rFonts w:eastAsia="MS Mincho"/>
        </w:rPr>
        <w:t xml:space="preserve">The pBR322 derived plasmids were constructed by using Gibson assembly. The inserts were amplified using the indicated oligonucleotides whose sequences are available in Table 4.2. The insert for </w:t>
      </w:r>
      <w:proofErr w:type="spellStart"/>
      <w:r w:rsidRPr="00F33FC4">
        <w:rPr>
          <w:rFonts w:eastAsia="MS Mincho"/>
        </w:rPr>
        <w:t>pBR-</w:t>
      </w:r>
      <w:r w:rsidRPr="00F33FC4">
        <w:rPr>
          <w:rFonts w:eastAsia="MS Mincho"/>
          <w:i/>
          <w:iCs/>
        </w:rPr>
        <w:t>zorO-orzO</w:t>
      </w:r>
      <w:proofErr w:type="spellEnd"/>
      <w:r w:rsidRPr="00F33FC4">
        <w:rPr>
          <w:rFonts w:eastAsia="MS Mincho"/>
        </w:rPr>
        <w:t xml:space="preserve"> was amplified from the </w:t>
      </w:r>
      <w:r w:rsidRPr="00F33FC4">
        <w:rPr>
          <w:rFonts w:eastAsia="MS Mincho"/>
          <w:i/>
          <w:iCs/>
        </w:rPr>
        <w:t>E. coli</w:t>
      </w:r>
      <w:r w:rsidRPr="00F33FC4">
        <w:rPr>
          <w:rFonts w:eastAsia="MS Mincho"/>
        </w:rPr>
        <w:t xml:space="preserve"> O157:H7 DNA and for Δ28-FLAG-</w:t>
      </w:r>
      <w:r w:rsidRPr="00F33FC4">
        <w:rPr>
          <w:rFonts w:eastAsia="MS Mincho"/>
          <w:i/>
          <w:iCs/>
        </w:rPr>
        <w:t>zorO</w:t>
      </w:r>
      <w:r w:rsidRPr="00F33FC4">
        <w:rPr>
          <w:rFonts w:eastAsia="MS Mincho"/>
        </w:rPr>
        <w:t xml:space="preserve"> was amplified from EDL933- Δ28-FLAG-</w:t>
      </w:r>
      <w:r w:rsidRPr="00F33FC4">
        <w:rPr>
          <w:rFonts w:eastAsia="MS Mincho"/>
          <w:i/>
          <w:iCs/>
        </w:rPr>
        <w:t>zorO.</w:t>
      </w:r>
    </w:p>
    <w:p w14:paraId="0DE1AA13" w14:textId="628F4A84" w:rsidR="00F33FC4" w:rsidRDefault="00F33FC4" w:rsidP="00F33FC4">
      <w:pPr>
        <w:spacing w:line="360" w:lineRule="auto"/>
        <w:rPr>
          <w:rFonts w:eastAsia="MS Mincho"/>
        </w:rPr>
      </w:pPr>
      <w:r w:rsidRPr="00F33FC4">
        <w:rPr>
          <w:rFonts w:eastAsia="MS Mincho"/>
        </w:rPr>
        <w:t>The R23L and AAG mutant of the pBR-Δ28-F-</w:t>
      </w:r>
      <w:r w:rsidRPr="00F33FC4">
        <w:rPr>
          <w:rFonts w:eastAsia="MS Mincho"/>
          <w:i/>
          <w:iCs/>
        </w:rPr>
        <w:t>zorO</w:t>
      </w:r>
      <w:r w:rsidRPr="00F33FC4">
        <w:rPr>
          <w:rFonts w:eastAsia="MS Mincho"/>
        </w:rPr>
        <w:t xml:space="preserve"> plasmids were constructed by performing site directed mutagenesis of the pBR-Δ28-F-</w:t>
      </w:r>
      <w:r w:rsidRPr="00F33FC4">
        <w:rPr>
          <w:rFonts w:eastAsia="MS Mincho"/>
          <w:i/>
          <w:iCs/>
        </w:rPr>
        <w:t>zorO</w:t>
      </w:r>
      <w:r w:rsidRPr="00F33FC4">
        <w:rPr>
          <w:rFonts w:eastAsia="MS Mincho"/>
        </w:rPr>
        <w:t xml:space="preserve"> plasmid.</w:t>
      </w:r>
    </w:p>
    <w:p w14:paraId="2E2A9D1F" w14:textId="33DA68B5" w:rsidR="007A5817" w:rsidRDefault="007A5817" w:rsidP="00F33FC4">
      <w:pPr>
        <w:spacing w:line="360" w:lineRule="auto"/>
        <w:rPr>
          <w:rFonts w:eastAsia="MS Mincho"/>
        </w:rPr>
      </w:pPr>
    </w:p>
    <w:p w14:paraId="5CEFB54E" w14:textId="1BC9BC9F" w:rsidR="007A5817" w:rsidRPr="00F33FC4" w:rsidRDefault="007A5817" w:rsidP="00F33FC4">
      <w:pPr>
        <w:spacing w:line="360" w:lineRule="auto"/>
        <w:rPr>
          <w:rFonts w:eastAsia="MS Mincho"/>
        </w:rPr>
      </w:pPr>
      <w:r w:rsidRPr="00F33FC4">
        <w:rPr>
          <w:rFonts w:eastAsia="MS Mincho"/>
          <w:b/>
        </w:rPr>
        <w:t>Membrane depolarization assay.</w:t>
      </w:r>
      <w:r w:rsidRPr="00F33FC4">
        <w:rPr>
          <w:rFonts w:eastAsia="MS Mincho"/>
        </w:rPr>
        <w:t xml:space="preserve"> Membrane depolarization assays were performed as described previously </w:t>
      </w:r>
      <w:r w:rsidRPr="00F33FC4">
        <w:rPr>
          <w:rFonts w:eastAsia="MS Mincho"/>
          <w:noProof/>
          <w:sz w:val="22"/>
          <w:szCs w:val="22"/>
        </w:rPr>
        <w:t>(19)</w:t>
      </w:r>
      <w:r w:rsidRPr="00F33FC4">
        <w:rPr>
          <w:rFonts w:eastAsia="MS Mincho"/>
        </w:rPr>
        <w:t xml:space="preserve">. Membrane potential sensitive dye Bis-(1,3-dibtylbarbituric acid) </w:t>
      </w:r>
      <w:proofErr w:type="spellStart"/>
      <w:r w:rsidRPr="00F33FC4">
        <w:rPr>
          <w:rFonts w:eastAsia="MS Mincho"/>
        </w:rPr>
        <w:t>trimethine</w:t>
      </w:r>
      <w:proofErr w:type="spellEnd"/>
      <w:r w:rsidRPr="00F33FC4">
        <w:rPr>
          <w:rFonts w:eastAsia="MS Mincho"/>
        </w:rPr>
        <w:t xml:space="preserve"> </w:t>
      </w:r>
      <w:proofErr w:type="spellStart"/>
      <w:r w:rsidRPr="00F33FC4">
        <w:rPr>
          <w:rFonts w:eastAsia="MS Mincho"/>
        </w:rPr>
        <w:t>oxonol</w:t>
      </w:r>
      <w:proofErr w:type="spellEnd"/>
      <w:r w:rsidRPr="00F33FC4">
        <w:rPr>
          <w:rFonts w:eastAsia="MS Mincho"/>
        </w:rPr>
        <w:t xml:space="preserve"> (DiBAC</w:t>
      </w:r>
      <w:r w:rsidRPr="00F33FC4">
        <w:rPr>
          <w:rFonts w:eastAsia="MS Mincho"/>
          <w:vertAlign w:val="subscript"/>
        </w:rPr>
        <w:t>4</w:t>
      </w:r>
      <w:r w:rsidRPr="00F33FC4">
        <w:rPr>
          <w:rFonts w:eastAsia="MS Mincho"/>
        </w:rPr>
        <w:t xml:space="preserve">-3; Invitrogen TM) was used to determine the effect of </w:t>
      </w:r>
      <w:proofErr w:type="spellStart"/>
      <w:r w:rsidRPr="00F33FC4">
        <w:rPr>
          <w:rFonts w:eastAsia="MS Mincho"/>
        </w:rPr>
        <w:t>ZorO</w:t>
      </w:r>
      <w:proofErr w:type="spellEnd"/>
      <w:r w:rsidRPr="00F33FC4">
        <w:rPr>
          <w:rFonts w:eastAsia="MS Mincho"/>
        </w:rPr>
        <w:t xml:space="preserve"> production on membrane depolarization. A 25 mg/mL stock solution was prepared in dimethyl sulfoxide. At indicated time points, 50-100 </w:t>
      </w:r>
      <w:r w:rsidRPr="00F33FC4">
        <w:rPr>
          <w:rFonts w:eastAsia="MS Mincho"/>
        </w:rPr>
        <w:sym w:font="Symbol" w:char="F06D"/>
      </w:r>
      <w:r w:rsidRPr="00F33FC4">
        <w:rPr>
          <w:rFonts w:eastAsia="MS Mincho"/>
        </w:rPr>
        <w:t>l of culture was taken, flooded with 4ml 1X phosphate buffer saline (PBS) and centrifuged for 10 min at 4</w:t>
      </w:r>
      <w:r w:rsidRPr="00F33FC4">
        <w:rPr>
          <w:rFonts w:eastAsia="MS Mincho"/>
          <w:vertAlign w:val="superscript"/>
        </w:rPr>
        <w:t>o</w:t>
      </w:r>
      <w:r w:rsidRPr="00F33FC4">
        <w:rPr>
          <w:rFonts w:eastAsia="MS Mincho"/>
        </w:rPr>
        <w:t>C.</w:t>
      </w:r>
      <w:r w:rsidRPr="007A5817">
        <w:rPr>
          <w:rFonts w:eastAsia="MS Mincho"/>
        </w:rPr>
        <w:t xml:space="preserve"> </w:t>
      </w:r>
      <w:r w:rsidRPr="00F33FC4">
        <w:rPr>
          <w:rFonts w:eastAsia="MS Mincho"/>
        </w:rPr>
        <w:t>Cells were resuspended in 1 ml PBS and stained with DiBAC</w:t>
      </w:r>
      <w:r w:rsidRPr="00F33FC4">
        <w:rPr>
          <w:rFonts w:eastAsia="MS Mincho"/>
          <w:vertAlign w:val="subscript"/>
        </w:rPr>
        <w:t>4</w:t>
      </w:r>
      <w:r w:rsidRPr="00F33FC4">
        <w:rPr>
          <w:rFonts w:eastAsia="MS Mincho"/>
        </w:rPr>
        <w:t xml:space="preserve">-3 (10 </w:t>
      </w:r>
      <w:r w:rsidRPr="00F33FC4">
        <w:rPr>
          <w:rFonts w:eastAsia="MS Mincho"/>
        </w:rPr>
        <w:sym w:font="Symbol" w:char="F06D"/>
      </w:r>
      <w:r w:rsidRPr="00F33FC4">
        <w:rPr>
          <w:rFonts w:eastAsia="MS Mincho"/>
        </w:rPr>
        <w:t>g/ml final concentration) for 20 min in the dark.</w:t>
      </w:r>
      <w:r w:rsidRPr="007A5817">
        <w:rPr>
          <w:rFonts w:eastAsia="MS Mincho"/>
        </w:rPr>
        <w:t xml:space="preserve"> </w:t>
      </w:r>
      <w:r w:rsidRPr="00F33FC4">
        <w:rPr>
          <w:rFonts w:eastAsia="MS Mincho"/>
        </w:rPr>
        <w:t xml:space="preserve">After washing with 1x PBS twice, cells were re-suspended in 0.5 ml of 1x PBS and analyzed by flow cytometry in an LSR II flow cytometer (Becton </w:t>
      </w:r>
    </w:p>
    <w:p w14:paraId="25464F94" w14:textId="77777777" w:rsidR="00F33FC4" w:rsidRPr="00F33FC4" w:rsidRDefault="00F33FC4" w:rsidP="00F33FC4">
      <w:pPr>
        <w:rPr>
          <w:rFonts w:eastAsia="MS Mincho"/>
        </w:rPr>
      </w:pPr>
      <w:r w:rsidRPr="00F33FC4">
        <w:rPr>
          <w:rFonts w:eastAsia="MS Mincho"/>
        </w:rPr>
        <w:br w:type="page"/>
      </w:r>
    </w:p>
    <w:p w14:paraId="1567AED8" w14:textId="77777777" w:rsidR="00F33FC4" w:rsidRPr="00F33FC4" w:rsidRDefault="00F33FC4" w:rsidP="00F33FC4">
      <w:pPr>
        <w:rPr>
          <w:rFonts w:eastAsia="MS Mincho"/>
          <w:sz w:val="22"/>
          <w:szCs w:val="22"/>
        </w:rPr>
      </w:pPr>
      <w:r w:rsidRPr="00F33FC4">
        <w:rPr>
          <w:rFonts w:eastAsia="MS Mincho"/>
          <w:sz w:val="22"/>
          <w:szCs w:val="22"/>
        </w:rPr>
        <w:lastRenderedPageBreak/>
        <w:t>Table 4.1. Bacterial strains and plasmids used in this study</w:t>
      </w:r>
    </w:p>
    <w:tbl>
      <w:tblPr>
        <w:tblStyle w:val="TableGrid3"/>
        <w:tblpPr w:leftFromText="180" w:rightFromText="180" w:vertAnchor="page" w:horzAnchor="margin" w:tblpXSpec="center" w:tblpY="2327"/>
        <w:tblW w:w="93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20" w:firstRow="1" w:lastRow="0" w:firstColumn="0" w:lastColumn="0" w:noHBand="0" w:noVBand="1"/>
      </w:tblPr>
      <w:tblGrid>
        <w:gridCol w:w="2186"/>
        <w:gridCol w:w="3059"/>
        <w:gridCol w:w="1965"/>
        <w:gridCol w:w="2129"/>
      </w:tblGrid>
      <w:tr w:rsidR="00F33FC4" w:rsidRPr="00F33FC4" w14:paraId="25108231" w14:textId="77777777" w:rsidTr="006408A7">
        <w:trPr>
          <w:trHeight w:val="377"/>
        </w:trPr>
        <w:tc>
          <w:tcPr>
            <w:tcW w:w="2186" w:type="dxa"/>
            <w:tcBorders>
              <w:top w:val="single" w:sz="4" w:space="0" w:color="auto"/>
              <w:bottom w:val="single" w:sz="4" w:space="0" w:color="auto"/>
            </w:tcBorders>
            <w:vAlign w:val="center"/>
          </w:tcPr>
          <w:p w14:paraId="45AB5249" w14:textId="77777777" w:rsidR="00F33FC4" w:rsidRPr="00F33FC4" w:rsidRDefault="00F33FC4" w:rsidP="00F33FC4">
            <w:pPr>
              <w:spacing w:line="480" w:lineRule="auto"/>
              <w:rPr>
                <w:rFonts w:ascii="Calibri" w:hAnsi="Calibri"/>
                <w:sz w:val="22"/>
                <w:szCs w:val="22"/>
              </w:rPr>
            </w:pPr>
            <w:r w:rsidRPr="00F33FC4">
              <w:rPr>
                <w:rFonts w:ascii="Calibri" w:hAnsi="Calibri"/>
                <w:sz w:val="22"/>
                <w:szCs w:val="22"/>
              </w:rPr>
              <w:t>Strain or plasmid</w:t>
            </w:r>
          </w:p>
        </w:tc>
        <w:tc>
          <w:tcPr>
            <w:tcW w:w="3059" w:type="dxa"/>
            <w:tcBorders>
              <w:top w:val="single" w:sz="4" w:space="0" w:color="auto"/>
              <w:bottom w:val="single" w:sz="4" w:space="0" w:color="auto"/>
            </w:tcBorders>
            <w:vAlign w:val="center"/>
          </w:tcPr>
          <w:p w14:paraId="58808EBD" w14:textId="77777777" w:rsidR="00F33FC4" w:rsidRPr="00F33FC4" w:rsidRDefault="00F33FC4" w:rsidP="00F33FC4">
            <w:pPr>
              <w:spacing w:line="480" w:lineRule="auto"/>
              <w:rPr>
                <w:rFonts w:ascii="Calibri" w:hAnsi="Calibri"/>
                <w:sz w:val="22"/>
                <w:szCs w:val="22"/>
              </w:rPr>
            </w:pPr>
            <w:r w:rsidRPr="00F33FC4">
              <w:rPr>
                <w:rFonts w:ascii="Calibri" w:hAnsi="Calibri"/>
                <w:sz w:val="22"/>
                <w:szCs w:val="22"/>
              </w:rPr>
              <w:t>Relevant characteristics</w:t>
            </w:r>
          </w:p>
        </w:tc>
        <w:tc>
          <w:tcPr>
            <w:tcW w:w="1965" w:type="dxa"/>
            <w:tcBorders>
              <w:top w:val="single" w:sz="4" w:space="0" w:color="auto"/>
              <w:bottom w:val="single" w:sz="4" w:space="0" w:color="auto"/>
            </w:tcBorders>
            <w:vAlign w:val="center"/>
          </w:tcPr>
          <w:p w14:paraId="56F0C8CB" w14:textId="77777777" w:rsidR="00F33FC4" w:rsidRPr="00F33FC4" w:rsidRDefault="00F33FC4" w:rsidP="00F33FC4">
            <w:pPr>
              <w:spacing w:line="480" w:lineRule="auto"/>
              <w:rPr>
                <w:rFonts w:ascii="Calibri" w:hAnsi="Calibri"/>
                <w:sz w:val="22"/>
                <w:szCs w:val="22"/>
              </w:rPr>
            </w:pPr>
            <w:r w:rsidRPr="00F33FC4">
              <w:rPr>
                <w:rFonts w:ascii="Calibri" w:hAnsi="Calibri"/>
                <w:sz w:val="22"/>
                <w:szCs w:val="22"/>
              </w:rPr>
              <w:t>Source</w:t>
            </w:r>
          </w:p>
        </w:tc>
        <w:tc>
          <w:tcPr>
            <w:tcW w:w="2129" w:type="dxa"/>
            <w:tcBorders>
              <w:top w:val="single" w:sz="4" w:space="0" w:color="auto"/>
              <w:bottom w:val="single" w:sz="4" w:space="0" w:color="auto"/>
            </w:tcBorders>
            <w:vAlign w:val="center"/>
          </w:tcPr>
          <w:p w14:paraId="6E53EF4E" w14:textId="77777777" w:rsidR="00F33FC4" w:rsidRPr="00F33FC4" w:rsidRDefault="00F33FC4" w:rsidP="00F33FC4">
            <w:pPr>
              <w:spacing w:line="480" w:lineRule="auto"/>
              <w:rPr>
                <w:rFonts w:ascii="Calibri" w:hAnsi="Calibri"/>
                <w:sz w:val="22"/>
                <w:szCs w:val="22"/>
              </w:rPr>
            </w:pPr>
            <w:r w:rsidRPr="00F33FC4">
              <w:rPr>
                <w:rFonts w:ascii="Calibri" w:hAnsi="Calibri"/>
                <w:sz w:val="22"/>
                <w:szCs w:val="22"/>
              </w:rPr>
              <w:t>Primers</w:t>
            </w:r>
          </w:p>
        </w:tc>
      </w:tr>
      <w:tr w:rsidR="00F33FC4" w:rsidRPr="00F33FC4" w14:paraId="2F7B36D1" w14:textId="77777777" w:rsidTr="006408A7">
        <w:trPr>
          <w:trHeight w:val="397"/>
        </w:trPr>
        <w:tc>
          <w:tcPr>
            <w:tcW w:w="2186" w:type="dxa"/>
            <w:tcBorders>
              <w:top w:val="single" w:sz="4" w:space="0" w:color="auto"/>
            </w:tcBorders>
          </w:tcPr>
          <w:p w14:paraId="055F5936" w14:textId="77777777" w:rsidR="00F33FC4" w:rsidRPr="00F33FC4" w:rsidRDefault="00F33FC4" w:rsidP="00F33FC4">
            <w:pPr>
              <w:spacing w:line="480" w:lineRule="auto"/>
              <w:rPr>
                <w:rFonts w:ascii="Calibri" w:hAnsi="Calibri"/>
                <w:sz w:val="22"/>
                <w:szCs w:val="22"/>
                <w:u w:val="single"/>
              </w:rPr>
            </w:pPr>
            <w:r w:rsidRPr="00F33FC4">
              <w:rPr>
                <w:rFonts w:ascii="Calibri" w:hAnsi="Calibri"/>
                <w:sz w:val="22"/>
                <w:szCs w:val="22"/>
                <w:u w:val="single"/>
              </w:rPr>
              <w:t>Bacterial strains</w:t>
            </w:r>
          </w:p>
        </w:tc>
        <w:tc>
          <w:tcPr>
            <w:tcW w:w="3059" w:type="dxa"/>
            <w:tcBorders>
              <w:top w:val="single" w:sz="4" w:space="0" w:color="auto"/>
            </w:tcBorders>
            <w:vAlign w:val="center"/>
          </w:tcPr>
          <w:p w14:paraId="35EE2411" w14:textId="77777777" w:rsidR="00F33FC4" w:rsidRPr="00F33FC4" w:rsidRDefault="00F33FC4" w:rsidP="00F33FC4">
            <w:pPr>
              <w:spacing w:line="480" w:lineRule="auto"/>
              <w:rPr>
                <w:rFonts w:ascii="Calibri" w:hAnsi="Calibri"/>
                <w:sz w:val="22"/>
                <w:szCs w:val="22"/>
              </w:rPr>
            </w:pPr>
          </w:p>
        </w:tc>
        <w:tc>
          <w:tcPr>
            <w:tcW w:w="1965" w:type="dxa"/>
            <w:tcBorders>
              <w:top w:val="single" w:sz="4" w:space="0" w:color="auto"/>
            </w:tcBorders>
            <w:vAlign w:val="center"/>
          </w:tcPr>
          <w:p w14:paraId="0BEA638A" w14:textId="77777777" w:rsidR="00F33FC4" w:rsidRPr="00F33FC4" w:rsidRDefault="00F33FC4" w:rsidP="00F33FC4">
            <w:pPr>
              <w:spacing w:line="480" w:lineRule="auto"/>
              <w:rPr>
                <w:rFonts w:ascii="Calibri" w:hAnsi="Calibri"/>
                <w:sz w:val="22"/>
                <w:szCs w:val="22"/>
              </w:rPr>
            </w:pPr>
          </w:p>
        </w:tc>
        <w:tc>
          <w:tcPr>
            <w:tcW w:w="2129" w:type="dxa"/>
            <w:tcBorders>
              <w:top w:val="single" w:sz="4" w:space="0" w:color="auto"/>
            </w:tcBorders>
          </w:tcPr>
          <w:p w14:paraId="39F963EC" w14:textId="77777777" w:rsidR="00F33FC4" w:rsidRPr="00F33FC4" w:rsidRDefault="00F33FC4" w:rsidP="00F33FC4">
            <w:pPr>
              <w:spacing w:line="480" w:lineRule="auto"/>
              <w:rPr>
                <w:rFonts w:ascii="Calibri" w:hAnsi="Calibri"/>
                <w:sz w:val="22"/>
                <w:szCs w:val="22"/>
              </w:rPr>
            </w:pPr>
          </w:p>
        </w:tc>
      </w:tr>
      <w:tr w:rsidR="00F33FC4" w:rsidRPr="00F33FC4" w14:paraId="5F74C6CD" w14:textId="77777777" w:rsidTr="006408A7">
        <w:trPr>
          <w:trHeight w:val="377"/>
        </w:trPr>
        <w:tc>
          <w:tcPr>
            <w:tcW w:w="2186" w:type="dxa"/>
          </w:tcPr>
          <w:p w14:paraId="24F2C0DA" w14:textId="77777777" w:rsidR="00F33FC4" w:rsidRPr="00F33FC4" w:rsidRDefault="00F33FC4" w:rsidP="00F33FC4">
            <w:pPr>
              <w:spacing w:line="480" w:lineRule="auto"/>
              <w:rPr>
                <w:rFonts w:ascii="Calibri" w:hAnsi="Calibri"/>
                <w:sz w:val="22"/>
                <w:szCs w:val="22"/>
              </w:rPr>
            </w:pPr>
            <w:r w:rsidRPr="00F33FC4">
              <w:rPr>
                <w:rFonts w:ascii="Calibri" w:hAnsi="Calibri"/>
                <w:i/>
                <w:sz w:val="22"/>
                <w:szCs w:val="22"/>
              </w:rPr>
              <w:t>E. coli</w:t>
            </w:r>
            <w:r w:rsidRPr="00F33FC4">
              <w:rPr>
                <w:rFonts w:ascii="Calibri" w:hAnsi="Calibri"/>
                <w:sz w:val="22"/>
                <w:szCs w:val="22"/>
              </w:rPr>
              <w:t xml:space="preserve"> MG1655</w:t>
            </w:r>
          </w:p>
        </w:tc>
        <w:tc>
          <w:tcPr>
            <w:tcW w:w="3059" w:type="dxa"/>
            <w:vAlign w:val="center"/>
          </w:tcPr>
          <w:p w14:paraId="0FDD2545" w14:textId="77777777" w:rsidR="00F33FC4" w:rsidRPr="00F33FC4" w:rsidRDefault="00F33FC4" w:rsidP="00F33FC4">
            <w:pPr>
              <w:spacing w:line="480" w:lineRule="auto"/>
              <w:rPr>
                <w:rFonts w:ascii="Calibri" w:hAnsi="Calibri"/>
                <w:sz w:val="22"/>
                <w:szCs w:val="22"/>
              </w:rPr>
            </w:pPr>
            <w:r w:rsidRPr="00F33FC4">
              <w:rPr>
                <w:rFonts w:ascii="Calibri" w:hAnsi="Calibri"/>
                <w:i/>
                <w:sz w:val="22"/>
                <w:szCs w:val="22"/>
              </w:rPr>
              <w:t>E. coli</w:t>
            </w:r>
            <w:r w:rsidRPr="00F33FC4">
              <w:rPr>
                <w:rFonts w:ascii="Calibri" w:hAnsi="Calibri"/>
                <w:sz w:val="22"/>
                <w:szCs w:val="22"/>
              </w:rPr>
              <w:t xml:space="preserve"> F</w:t>
            </w:r>
            <w:r w:rsidRPr="00F33FC4">
              <w:rPr>
                <w:rFonts w:ascii="Calibri" w:hAnsi="Calibri"/>
                <w:sz w:val="22"/>
                <w:szCs w:val="22"/>
                <w:vertAlign w:val="superscript"/>
              </w:rPr>
              <w:t xml:space="preserve">- </w:t>
            </w:r>
            <w:r w:rsidRPr="00F33FC4">
              <w:rPr>
                <w:rFonts w:ascii="Calibri" w:hAnsi="Calibri"/>
                <w:sz w:val="22"/>
                <w:szCs w:val="22"/>
              </w:rPr>
              <w:sym w:font="Symbol" w:char="F06C"/>
            </w:r>
            <w:r w:rsidRPr="00F33FC4">
              <w:rPr>
                <w:rFonts w:ascii="Calibri" w:hAnsi="Calibri"/>
                <w:sz w:val="22"/>
                <w:szCs w:val="22"/>
                <w:vertAlign w:val="superscript"/>
              </w:rPr>
              <w:t>-</w:t>
            </w:r>
            <w:r w:rsidRPr="00F33FC4">
              <w:rPr>
                <w:rFonts w:ascii="Calibri" w:hAnsi="Calibri"/>
                <w:sz w:val="22"/>
                <w:szCs w:val="22"/>
              </w:rPr>
              <w:t xml:space="preserve"> </w:t>
            </w:r>
            <w:proofErr w:type="spellStart"/>
            <w:r w:rsidRPr="00F33FC4">
              <w:rPr>
                <w:rFonts w:ascii="Calibri" w:hAnsi="Calibri"/>
                <w:i/>
                <w:sz w:val="22"/>
                <w:szCs w:val="22"/>
              </w:rPr>
              <w:t>ilvG</w:t>
            </w:r>
            <w:proofErr w:type="spellEnd"/>
            <w:r w:rsidRPr="00F33FC4">
              <w:rPr>
                <w:rFonts w:ascii="Calibri" w:hAnsi="Calibri"/>
                <w:sz w:val="22"/>
                <w:szCs w:val="22"/>
                <w:vertAlign w:val="superscript"/>
              </w:rPr>
              <w:t xml:space="preserve">- </w:t>
            </w:r>
            <w:r w:rsidRPr="00F33FC4">
              <w:rPr>
                <w:rFonts w:ascii="Calibri" w:hAnsi="Calibri"/>
                <w:i/>
                <w:sz w:val="22"/>
                <w:szCs w:val="22"/>
              </w:rPr>
              <w:t>rfb-</w:t>
            </w:r>
            <w:r w:rsidRPr="00F33FC4">
              <w:rPr>
                <w:rFonts w:ascii="Calibri" w:hAnsi="Calibri"/>
                <w:sz w:val="22"/>
                <w:szCs w:val="22"/>
              </w:rPr>
              <w:t xml:space="preserve">50 </w:t>
            </w:r>
            <w:r w:rsidRPr="00F33FC4">
              <w:rPr>
                <w:rFonts w:ascii="Calibri" w:hAnsi="Calibri"/>
                <w:i/>
                <w:sz w:val="22"/>
                <w:szCs w:val="22"/>
              </w:rPr>
              <w:t>rph</w:t>
            </w:r>
            <w:r w:rsidRPr="00F33FC4">
              <w:rPr>
                <w:rFonts w:ascii="Calibri" w:hAnsi="Calibri"/>
                <w:sz w:val="22"/>
                <w:szCs w:val="22"/>
              </w:rPr>
              <w:t>-1</w:t>
            </w:r>
          </w:p>
        </w:tc>
        <w:tc>
          <w:tcPr>
            <w:tcW w:w="1965" w:type="dxa"/>
            <w:vAlign w:val="center"/>
          </w:tcPr>
          <w:p w14:paraId="31EB72C7" w14:textId="77777777" w:rsidR="00F33FC4" w:rsidRPr="00F33FC4" w:rsidRDefault="00F33FC4" w:rsidP="00F33FC4">
            <w:pPr>
              <w:spacing w:line="480" w:lineRule="auto"/>
              <w:rPr>
                <w:rFonts w:ascii="Calibri" w:hAnsi="Calibri"/>
                <w:sz w:val="22"/>
                <w:szCs w:val="22"/>
              </w:rPr>
            </w:pPr>
            <w:r w:rsidRPr="00F33FC4">
              <w:rPr>
                <w:rFonts w:ascii="Calibri" w:hAnsi="Calibri"/>
                <w:sz w:val="22"/>
                <w:szCs w:val="22"/>
              </w:rPr>
              <w:t>Lab stock</w:t>
            </w:r>
          </w:p>
        </w:tc>
        <w:tc>
          <w:tcPr>
            <w:tcW w:w="2129" w:type="dxa"/>
          </w:tcPr>
          <w:p w14:paraId="309F044D" w14:textId="77777777" w:rsidR="00F33FC4" w:rsidRPr="00F33FC4" w:rsidRDefault="00F33FC4" w:rsidP="00F33FC4">
            <w:pPr>
              <w:spacing w:line="480" w:lineRule="auto"/>
              <w:rPr>
                <w:rFonts w:ascii="Calibri" w:hAnsi="Calibri"/>
                <w:sz w:val="22"/>
                <w:szCs w:val="22"/>
              </w:rPr>
            </w:pPr>
          </w:p>
        </w:tc>
      </w:tr>
      <w:tr w:rsidR="00F33FC4" w:rsidRPr="00F33FC4" w14:paraId="57B72CCE" w14:textId="77777777" w:rsidTr="006408A7">
        <w:trPr>
          <w:trHeight w:val="397"/>
        </w:trPr>
        <w:tc>
          <w:tcPr>
            <w:tcW w:w="2186" w:type="dxa"/>
          </w:tcPr>
          <w:p w14:paraId="1DFB9598" w14:textId="77777777" w:rsidR="00F33FC4" w:rsidRPr="00F33FC4" w:rsidRDefault="00F33FC4" w:rsidP="00F33FC4">
            <w:pPr>
              <w:spacing w:line="480" w:lineRule="auto"/>
              <w:rPr>
                <w:rFonts w:ascii="Calibri" w:hAnsi="Calibri"/>
                <w:sz w:val="22"/>
                <w:szCs w:val="22"/>
              </w:rPr>
            </w:pPr>
            <w:r w:rsidRPr="00F33FC4">
              <w:rPr>
                <w:rFonts w:ascii="Calibri" w:hAnsi="Calibri"/>
                <w:i/>
                <w:iCs/>
                <w:sz w:val="22"/>
                <w:szCs w:val="22"/>
              </w:rPr>
              <w:t>E. coli</w:t>
            </w:r>
            <w:r w:rsidRPr="00F33FC4">
              <w:rPr>
                <w:rFonts w:ascii="Calibri" w:hAnsi="Calibri"/>
                <w:sz w:val="22"/>
                <w:szCs w:val="22"/>
              </w:rPr>
              <w:t xml:space="preserve"> Top10</w:t>
            </w:r>
          </w:p>
        </w:tc>
        <w:tc>
          <w:tcPr>
            <w:tcW w:w="3059" w:type="dxa"/>
            <w:vAlign w:val="center"/>
          </w:tcPr>
          <w:p w14:paraId="57A6AA01" w14:textId="77777777" w:rsidR="00F33FC4" w:rsidRPr="00F33FC4" w:rsidRDefault="00F33FC4" w:rsidP="00F33FC4">
            <w:pPr>
              <w:spacing w:line="480" w:lineRule="auto"/>
              <w:rPr>
                <w:rFonts w:ascii="Calibri" w:hAnsi="Calibri"/>
                <w:sz w:val="22"/>
                <w:szCs w:val="22"/>
              </w:rPr>
            </w:pPr>
            <w:r w:rsidRPr="00F33FC4">
              <w:rPr>
                <w:rFonts w:ascii="Calibri" w:hAnsi="Calibri"/>
                <w:sz w:val="22"/>
                <w:szCs w:val="22"/>
              </w:rPr>
              <w:t>Cloning vector</w:t>
            </w:r>
          </w:p>
        </w:tc>
        <w:tc>
          <w:tcPr>
            <w:tcW w:w="1965" w:type="dxa"/>
            <w:vAlign w:val="center"/>
          </w:tcPr>
          <w:p w14:paraId="2FD4D4A3" w14:textId="77777777" w:rsidR="00F33FC4" w:rsidRPr="00F33FC4" w:rsidRDefault="00F33FC4" w:rsidP="00F33FC4">
            <w:pPr>
              <w:spacing w:line="480" w:lineRule="auto"/>
              <w:rPr>
                <w:rFonts w:ascii="Calibri" w:hAnsi="Calibri"/>
                <w:sz w:val="22"/>
                <w:szCs w:val="22"/>
              </w:rPr>
            </w:pPr>
            <w:r w:rsidRPr="00F33FC4">
              <w:rPr>
                <w:rFonts w:ascii="Calibri" w:hAnsi="Calibri"/>
                <w:sz w:val="22"/>
                <w:szCs w:val="22"/>
              </w:rPr>
              <w:t>Lab stock</w:t>
            </w:r>
          </w:p>
        </w:tc>
        <w:tc>
          <w:tcPr>
            <w:tcW w:w="2129" w:type="dxa"/>
          </w:tcPr>
          <w:p w14:paraId="12EE36C0" w14:textId="77777777" w:rsidR="00F33FC4" w:rsidRPr="00F33FC4" w:rsidRDefault="00F33FC4" w:rsidP="00F33FC4">
            <w:pPr>
              <w:spacing w:line="480" w:lineRule="auto"/>
              <w:rPr>
                <w:rFonts w:ascii="Calibri" w:hAnsi="Calibri"/>
                <w:sz w:val="22"/>
                <w:szCs w:val="22"/>
              </w:rPr>
            </w:pPr>
          </w:p>
        </w:tc>
      </w:tr>
      <w:tr w:rsidR="00F33FC4" w:rsidRPr="00F33FC4" w14:paraId="7D6252C0" w14:textId="77777777" w:rsidTr="006408A7">
        <w:trPr>
          <w:trHeight w:val="397"/>
        </w:trPr>
        <w:tc>
          <w:tcPr>
            <w:tcW w:w="2186" w:type="dxa"/>
          </w:tcPr>
          <w:p w14:paraId="293EB87F" w14:textId="77777777" w:rsidR="00F33FC4" w:rsidRPr="00F33FC4" w:rsidRDefault="00F33FC4" w:rsidP="00F33FC4">
            <w:pPr>
              <w:spacing w:line="480" w:lineRule="auto"/>
              <w:rPr>
                <w:rFonts w:ascii="Calibri" w:hAnsi="Calibri"/>
                <w:sz w:val="22"/>
                <w:szCs w:val="22"/>
              </w:rPr>
            </w:pPr>
            <w:r w:rsidRPr="00F33FC4">
              <w:rPr>
                <w:rFonts w:ascii="Calibri" w:hAnsi="Calibri"/>
                <w:sz w:val="22"/>
                <w:szCs w:val="22"/>
              </w:rPr>
              <w:t>UTK007</w:t>
            </w:r>
          </w:p>
        </w:tc>
        <w:tc>
          <w:tcPr>
            <w:tcW w:w="3059" w:type="dxa"/>
            <w:vAlign w:val="center"/>
          </w:tcPr>
          <w:p w14:paraId="6638BBEC" w14:textId="77777777" w:rsidR="00F33FC4" w:rsidRPr="00F33FC4" w:rsidRDefault="00F33FC4" w:rsidP="00F33FC4">
            <w:pPr>
              <w:spacing w:line="480" w:lineRule="auto"/>
              <w:rPr>
                <w:rFonts w:ascii="Calibri" w:hAnsi="Calibri"/>
                <w:sz w:val="22"/>
                <w:szCs w:val="22"/>
              </w:rPr>
            </w:pPr>
            <w:r w:rsidRPr="00F33FC4">
              <w:rPr>
                <w:rFonts w:ascii="Calibri" w:hAnsi="Calibri"/>
                <w:sz w:val="22"/>
                <w:szCs w:val="22"/>
              </w:rPr>
              <w:t>DJ480 PCP-</w:t>
            </w:r>
            <w:proofErr w:type="spellStart"/>
            <w:r w:rsidRPr="00F33FC4">
              <w:rPr>
                <w:rFonts w:ascii="Calibri" w:hAnsi="Calibri"/>
                <w:i/>
                <w:iCs/>
                <w:sz w:val="22"/>
                <w:szCs w:val="22"/>
              </w:rPr>
              <w:t>araE</w:t>
            </w:r>
            <w:proofErr w:type="spellEnd"/>
          </w:p>
        </w:tc>
        <w:tc>
          <w:tcPr>
            <w:tcW w:w="1965" w:type="dxa"/>
            <w:vAlign w:val="center"/>
          </w:tcPr>
          <w:p w14:paraId="298E3A22" w14:textId="77777777" w:rsidR="00F33FC4" w:rsidRPr="00F33FC4" w:rsidRDefault="00F33FC4" w:rsidP="00F33FC4">
            <w:pPr>
              <w:spacing w:line="480" w:lineRule="auto"/>
              <w:rPr>
                <w:rFonts w:ascii="Calibri" w:hAnsi="Calibri"/>
                <w:sz w:val="22"/>
                <w:szCs w:val="22"/>
              </w:rPr>
            </w:pPr>
            <w:r w:rsidRPr="00F33FC4">
              <w:rPr>
                <w:rFonts w:ascii="Calibri" w:hAnsi="Calibri"/>
                <w:sz w:val="22"/>
                <w:szCs w:val="22"/>
              </w:rPr>
              <w:t>Lab stock</w:t>
            </w:r>
          </w:p>
        </w:tc>
        <w:tc>
          <w:tcPr>
            <w:tcW w:w="2129" w:type="dxa"/>
          </w:tcPr>
          <w:p w14:paraId="5058E552" w14:textId="77777777" w:rsidR="00F33FC4" w:rsidRPr="00F33FC4" w:rsidRDefault="00F33FC4" w:rsidP="00F33FC4">
            <w:pPr>
              <w:spacing w:line="480" w:lineRule="auto"/>
              <w:rPr>
                <w:rFonts w:ascii="Calibri" w:hAnsi="Calibri"/>
                <w:sz w:val="22"/>
                <w:szCs w:val="22"/>
              </w:rPr>
            </w:pPr>
          </w:p>
        </w:tc>
      </w:tr>
      <w:tr w:rsidR="00F33FC4" w:rsidRPr="00F33FC4" w14:paraId="7F485198" w14:textId="77777777" w:rsidTr="006408A7">
        <w:trPr>
          <w:trHeight w:val="397"/>
        </w:trPr>
        <w:tc>
          <w:tcPr>
            <w:tcW w:w="2186" w:type="dxa"/>
          </w:tcPr>
          <w:p w14:paraId="400D9965" w14:textId="77777777" w:rsidR="00F33FC4" w:rsidRPr="00F33FC4" w:rsidRDefault="00F33FC4" w:rsidP="00F33FC4">
            <w:pPr>
              <w:spacing w:line="480" w:lineRule="auto"/>
              <w:rPr>
                <w:rFonts w:ascii="Calibri" w:hAnsi="Calibri"/>
                <w:sz w:val="22"/>
                <w:szCs w:val="22"/>
              </w:rPr>
            </w:pPr>
            <w:r w:rsidRPr="00F33FC4">
              <w:rPr>
                <w:rFonts w:ascii="Calibri" w:hAnsi="Calibri"/>
                <w:sz w:val="22"/>
                <w:szCs w:val="22"/>
              </w:rPr>
              <w:t>UTK102</w:t>
            </w:r>
          </w:p>
        </w:tc>
        <w:tc>
          <w:tcPr>
            <w:tcW w:w="3059" w:type="dxa"/>
            <w:vAlign w:val="center"/>
          </w:tcPr>
          <w:p w14:paraId="64C28517" w14:textId="77777777" w:rsidR="00F33FC4" w:rsidRPr="00F33FC4" w:rsidRDefault="00F33FC4" w:rsidP="00F33FC4">
            <w:pPr>
              <w:spacing w:line="480" w:lineRule="auto"/>
              <w:rPr>
                <w:rFonts w:ascii="Calibri" w:hAnsi="Calibri"/>
                <w:sz w:val="22"/>
                <w:szCs w:val="22"/>
              </w:rPr>
            </w:pPr>
            <w:r w:rsidRPr="00F33FC4">
              <w:rPr>
                <w:rFonts w:ascii="Calibri" w:hAnsi="Calibri"/>
                <w:sz w:val="22"/>
                <w:szCs w:val="22"/>
              </w:rPr>
              <w:t>UTK007-</w:t>
            </w:r>
            <w:r w:rsidRPr="00F33FC4">
              <w:rPr>
                <w:rFonts w:ascii="Calibri" w:hAnsi="Calibri"/>
                <w:i/>
                <w:iCs/>
                <w:sz w:val="22"/>
                <w:szCs w:val="22"/>
              </w:rPr>
              <w:t>lepB</w:t>
            </w:r>
            <w:r w:rsidRPr="00F33FC4">
              <w:rPr>
                <w:rFonts w:ascii="Calibri" w:hAnsi="Calibri"/>
                <w:sz w:val="22"/>
                <w:szCs w:val="22"/>
              </w:rPr>
              <w:t>-SPA</w:t>
            </w:r>
          </w:p>
        </w:tc>
        <w:tc>
          <w:tcPr>
            <w:tcW w:w="1965" w:type="dxa"/>
            <w:vAlign w:val="center"/>
          </w:tcPr>
          <w:p w14:paraId="1578B58D" w14:textId="77777777" w:rsidR="00F33FC4" w:rsidRPr="00F33FC4" w:rsidRDefault="00F33FC4" w:rsidP="00F33FC4">
            <w:pPr>
              <w:spacing w:line="480" w:lineRule="auto"/>
              <w:rPr>
                <w:rFonts w:ascii="Calibri" w:hAnsi="Calibri"/>
                <w:sz w:val="22"/>
                <w:szCs w:val="22"/>
              </w:rPr>
            </w:pPr>
            <w:r w:rsidRPr="00F33FC4">
              <w:rPr>
                <w:rFonts w:ascii="Calibri" w:hAnsi="Calibri"/>
                <w:noProof/>
                <w:sz w:val="22"/>
                <w:szCs w:val="22"/>
              </w:rPr>
              <w:t>(19)</w:t>
            </w:r>
          </w:p>
        </w:tc>
        <w:tc>
          <w:tcPr>
            <w:tcW w:w="2129" w:type="dxa"/>
          </w:tcPr>
          <w:p w14:paraId="52D98ECE" w14:textId="77777777" w:rsidR="00F33FC4" w:rsidRPr="00F33FC4" w:rsidRDefault="00F33FC4" w:rsidP="00F33FC4">
            <w:pPr>
              <w:spacing w:line="480" w:lineRule="auto"/>
              <w:rPr>
                <w:rFonts w:ascii="Calibri" w:hAnsi="Calibri"/>
                <w:sz w:val="22"/>
                <w:szCs w:val="22"/>
              </w:rPr>
            </w:pPr>
          </w:p>
        </w:tc>
      </w:tr>
      <w:tr w:rsidR="00F33FC4" w:rsidRPr="00F33FC4" w14:paraId="3E8A58B8" w14:textId="77777777" w:rsidTr="006408A7">
        <w:trPr>
          <w:trHeight w:val="397"/>
        </w:trPr>
        <w:tc>
          <w:tcPr>
            <w:tcW w:w="2186" w:type="dxa"/>
          </w:tcPr>
          <w:p w14:paraId="146F2F7B" w14:textId="77777777" w:rsidR="00F33FC4" w:rsidRPr="00F33FC4" w:rsidRDefault="00F33FC4" w:rsidP="00F33FC4">
            <w:pPr>
              <w:spacing w:line="480" w:lineRule="auto"/>
              <w:rPr>
                <w:rFonts w:ascii="Calibri" w:hAnsi="Calibri"/>
                <w:sz w:val="22"/>
                <w:szCs w:val="22"/>
              </w:rPr>
            </w:pPr>
            <w:r w:rsidRPr="00F33FC4">
              <w:rPr>
                <w:rFonts w:ascii="Calibri" w:hAnsi="Calibri"/>
                <w:sz w:val="22"/>
                <w:szCs w:val="22"/>
              </w:rPr>
              <w:t>MG-</w:t>
            </w:r>
            <w:proofErr w:type="spellStart"/>
            <w:r w:rsidRPr="00F33FC4">
              <w:rPr>
                <w:rFonts w:ascii="Calibri" w:hAnsi="Calibri"/>
                <w:i/>
                <w:iCs/>
                <w:sz w:val="22"/>
                <w:szCs w:val="22"/>
              </w:rPr>
              <w:t>zorO</w:t>
            </w:r>
            <w:proofErr w:type="spellEnd"/>
          </w:p>
        </w:tc>
        <w:tc>
          <w:tcPr>
            <w:tcW w:w="3059" w:type="dxa"/>
            <w:vAlign w:val="center"/>
          </w:tcPr>
          <w:p w14:paraId="087D2D85" w14:textId="77777777" w:rsidR="00F33FC4" w:rsidRPr="00F33FC4" w:rsidRDefault="00F33FC4" w:rsidP="00F33FC4">
            <w:pPr>
              <w:spacing w:line="480" w:lineRule="auto"/>
              <w:rPr>
                <w:rFonts w:ascii="Calibri" w:hAnsi="Calibri"/>
                <w:sz w:val="22"/>
                <w:szCs w:val="22"/>
              </w:rPr>
            </w:pPr>
            <w:r w:rsidRPr="00F33FC4">
              <w:rPr>
                <w:rFonts w:ascii="Calibri" w:hAnsi="Calibri"/>
                <w:sz w:val="22"/>
                <w:szCs w:val="22"/>
              </w:rPr>
              <w:t xml:space="preserve">MG1655 </w:t>
            </w:r>
            <w:proofErr w:type="spellStart"/>
            <w:r w:rsidRPr="00F33FC4">
              <w:rPr>
                <w:rFonts w:ascii="Calibri" w:hAnsi="Calibri"/>
                <w:sz w:val="22"/>
                <w:szCs w:val="22"/>
              </w:rPr>
              <w:t>recombineered</w:t>
            </w:r>
            <w:proofErr w:type="spellEnd"/>
            <w:r w:rsidRPr="00F33FC4">
              <w:rPr>
                <w:rFonts w:ascii="Calibri" w:hAnsi="Calibri"/>
                <w:sz w:val="22"/>
                <w:szCs w:val="22"/>
              </w:rPr>
              <w:t xml:space="preserve"> with </w:t>
            </w:r>
            <w:proofErr w:type="spellStart"/>
            <w:r w:rsidRPr="00F33FC4">
              <w:rPr>
                <w:rFonts w:ascii="Calibri" w:hAnsi="Calibri"/>
                <w:sz w:val="22"/>
                <w:szCs w:val="22"/>
              </w:rPr>
              <w:t>P</w:t>
            </w:r>
            <w:r w:rsidRPr="00F33FC4">
              <w:rPr>
                <w:rFonts w:ascii="Calibri" w:hAnsi="Calibri"/>
                <w:sz w:val="22"/>
                <w:szCs w:val="22"/>
                <w:vertAlign w:val="subscript"/>
              </w:rPr>
              <w:t>zorO</w:t>
            </w:r>
            <w:proofErr w:type="spellEnd"/>
            <w:r w:rsidRPr="00F33FC4">
              <w:rPr>
                <w:rFonts w:ascii="Calibri" w:hAnsi="Calibri"/>
                <w:sz w:val="22"/>
                <w:szCs w:val="22"/>
              </w:rPr>
              <w:t>-full length UTR-</w:t>
            </w:r>
            <w:proofErr w:type="spellStart"/>
            <w:r w:rsidRPr="00F33FC4">
              <w:rPr>
                <w:rFonts w:ascii="Calibri" w:hAnsi="Calibri"/>
                <w:i/>
                <w:iCs/>
                <w:sz w:val="22"/>
                <w:szCs w:val="22"/>
              </w:rPr>
              <w:t>zorO</w:t>
            </w:r>
            <w:proofErr w:type="spellEnd"/>
          </w:p>
        </w:tc>
        <w:tc>
          <w:tcPr>
            <w:tcW w:w="1965" w:type="dxa"/>
            <w:vAlign w:val="center"/>
          </w:tcPr>
          <w:p w14:paraId="454804C2" w14:textId="77777777" w:rsidR="00F33FC4" w:rsidRPr="00F33FC4" w:rsidRDefault="00F33FC4" w:rsidP="00F33FC4">
            <w:pPr>
              <w:spacing w:line="480" w:lineRule="auto"/>
              <w:rPr>
                <w:rFonts w:ascii="Calibri" w:hAnsi="Calibri"/>
                <w:sz w:val="22"/>
                <w:szCs w:val="22"/>
              </w:rPr>
            </w:pPr>
            <w:r w:rsidRPr="00F33FC4">
              <w:rPr>
                <w:rFonts w:ascii="Calibri" w:hAnsi="Calibri"/>
                <w:sz w:val="22"/>
                <w:szCs w:val="22"/>
              </w:rPr>
              <w:t>This study</w:t>
            </w:r>
          </w:p>
        </w:tc>
        <w:tc>
          <w:tcPr>
            <w:tcW w:w="2129" w:type="dxa"/>
          </w:tcPr>
          <w:p w14:paraId="76EB5E37" w14:textId="77777777" w:rsidR="00F33FC4" w:rsidRPr="00F33FC4" w:rsidRDefault="00F33FC4" w:rsidP="00F33FC4">
            <w:pPr>
              <w:spacing w:line="480" w:lineRule="auto"/>
              <w:rPr>
                <w:rFonts w:ascii="Calibri" w:hAnsi="Calibri"/>
                <w:sz w:val="22"/>
                <w:szCs w:val="22"/>
              </w:rPr>
            </w:pPr>
            <w:r w:rsidRPr="00F33FC4">
              <w:rPr>
                <w:rFonts w:ascii="Calibri" w:hAnsi="Calibri"/>
                <w:sz w:val="22"/>
                <w:szCs w:val="22"/>
              </w:rPr>
              <w:t>EF1869, EF1865A</w:t>
            </w:r>
          </w:p>
        </w:tc>
      </w:tr>
      <w:tr w:rsidR="00F33FC4" w:rsidRPr="00F33FC4" w14:paraId="3422EA92" w14:textId="77777777" w:rsidTr="006408A7">
        <w:trPr>
          <w:trHeight w:val="397"/>
        </w:trPr>
        <w:tc>
          <w:tcPr>
            <w:tcW w:w="2186" w:type="dxa"/>
          </w:tcPr>
          <w:p w14:paraId="5C7A64AE" w14:textId="77777777" w:rsidR="00F33FC4" w:rsidRPr="00F33FC4" w:rsidRDefault="00F33FC4" w:rsidP="00F33FC4">
            <w:pPr>
              <w:spacing w:line="480" w:lineRule="auto"/>
              <w:rPr>
                <w:rFonts w:ascii="Calibri" w:hAnsi="Calibri"/>
                <w:sz w:val="22"/>
                <w:szCs w:val="22"/>
              </w:rPr>
            </w:pPr>
            <w:r w:rsidRPr="00F33FC4">
              <w:rPr>
                <w:rFonts w:ascii="Calibri" w:hAnsi="Calibri"/>
                <w:sz w:val="22"/>
                <w:szCs w:val="22"/>
              </w:rPr>
              <w:t>MG- Δ28-FLAG-</w:t>
            </w:r>
            <w:r w:rsidRPr="00F33FC4">
              <w:rPr>
                <w:rFonts w:ascii="Calibri" w:hAnsi="Calibri"/>
                <w:i/>
                <w:iCs/>
                <w:sz w:val="22"/>
                <w:szCs w:val="22"/>
              </w:rPr>
              <w:t>zorO</w:t>
            </w:r>
          </w:p>
        </w:tc>
        <w:tc>
          <w:tcPr>
            <w:tcW w:w="3059" w:type="dxa"/>
            <w:vAlign w:val="center"/>
          </w:tcPr>
          <w:p w14:paraId="5E755F3F" w14:textId="77777777" w:rsidR="00F33FC4" w:rsidRPr="00F33FC4" w:rsidRDefault="00F33FC4" w:rsidP="00F33FC4">
            <w:pPr>
              <w:spacing w:line="480" w:lineRule="auto"/>
              <w:rPr>
                <w:rFonts w:ascii="Calibri" w:hAnsi="Calibri"/>
                <w:sz w:val="22"/>
                <w:szCs w:val="22"/>
              </w:rPr>
            </w:pPr>
            <w:r w:rsidRPr="00F33FC4">
              <w:rPr>
                <w:rFonts w:ascii="Calibri" w:hAnsi="Calibri"/>
                <w:sz w:val="22"/>
                <w:szCs w:val="22"/>
              </w:rPr>
              <w:t xml:space="preserve">MG1655 </w:t>
            </w:r>
            <w:proofErr w:type="spellStart"/>
            <w:r w:rsidRPr="00F33FC4">
              <w:rPr>
                <w:rFonts w:ascii="Calibri" w:hAnsi="Calibri"/>
                <w:sz w:val="22"/>
                <w:szCs w:val="22"/>
              </w:rPr>
              <w:t>recombineered</w:t>
            </w:r>
            <w:proofErr w:type="spellEnd"/>
            <w:r w:rsidRPr="00F33FC4">
              <w:rPr>
                <w:rFonts w:ascii="Calibri" w:hAnsi="Calibri"/>
                <w:sz w:val="22"/>
                <w:szCs w:val="22"/>
              </w:rPr>
              <w:t xml:space="preserve"> with P</w:t>
            </w:r>
            <w:r w:rsidRPr="00F33FC4">
              <w:rPr>
                <w:rFonts w:ascii="Calibri" w:hAnsi="Calibri"/>
                <w:sz w:val="22"/>
                <w:szCs w:val="22"/>
                <w:vertAlign w:val="subscript"/>
              </w:rPr>
              <w:t>zorO</w:t>
            </w:r>
            <w:r w:rsidRPr="00F33FC4">
              <w:rPr>
                <w:rFonts w:ascii="Calibri" w:hAnsi="Calibri"/>
                <w:sz w:val="22"/>
                <w:szCs w:val="22"/>
              </w:rPr>
              <w:t>-Δ28UTR-FLAG-</w:t>
            </w:r>
            <w:r w:rsidRPr="00F33FC4">
              <w:rPr>
                <w:rFonts w:ascii="Calibri" w:hAnsi="Calibri"/>
                <w:i/>
                <w:iCs/>
                <w:sz w:val="22"/>
                <w:szCs w:val="22"/>
              </w:rPr>
              <w:t>zorO</w:t>
            </w:r>
          </w:p>
        </w:tc>
        <w:tc>
          <w:tcPr>
            <w:tcW w:w="1965" w:type="dxa"/>
            <w:vAlign w:val="center"/>
          </w:tcPr>
          <w:p w14:paraId="57D3CD46" w14:textId="77777777" w:rsidR="00F33FC4" w:rsidRPr="00F33FC4" w:rsidRDefault="00F33FC4" w:rsidP="00F33FC4">
            <w:pPr>
              <w:spacing w:line="480" w:lineRule="auto"/>
              <w:rPr>
                <w:rFonts w:ascii="Calibri" w:hAnsi="Calibri"/>
                <w:sz w:val="22"/>
                <w:szCs w:val="22"/>
              </w:rPr>
            </w:pPr>
            <w:r w:rsidRPr="00F33FC4">
              <w:rPr>
                <w:rFonts w:ascii="Calibri" w:hAnsi="Calibri"/>
                <w:sz w:val="22"/>
                <w:szCs w:val="22"/>
              </w:rPr>
              <w:t>This study</w:t>
            </w:r>
          </w:p>
        </w:tc>
        <w:tc>
          <w:tcPr>
            <w:tcW w:w="2129" w:type="dxa"/>
          </w:tcPr>
          <w:p w14:paraId="7376EB04" w14:textId="77777777" w:rsidR="00F33FC4" w:rsidRPr="00F33FC4" w:rsidRDefault="00F33FC4" w:rsidP="00F33FC4">
            <w:pPr>
              <w:spacing w:line="480" w:lineRule="auto"/>
              <w:rPr>
                <w:rFonts w:ascii="Calibri" w:hAnsi="Calibri"/>
                <w:sz w:val="22"/>
                <w:szCs w:val="22"/>
              </w:rPr>
            </w:pPr>
            <w:r w:rsidRPr="00F33FC4">
              <w:rPr>
                <w:rFonts w:ascii="Calibri" w:hAnsi="Calibri"/>
                <w:sz w:val="22"/>
                <w:szCs w:val="22"/>
              </w:rPr>
              <w:t>EF1865A, EF1869B</w:t>
            </w:r>
          </w:p>
        </w:tc>
      </w:tr>
      <w:tr w:rsidR="00F33FC4" w:rsidRPr="00F33FC4" w14:paraId="560F3D7F" w14:textId="77777777" w:rsidTr="006408A7">
        <w:trPr>
          <w:trHeight w:val="397"/>
        </w:trPr>
        <w:tc>
          <w:tcPr>
            <w:tcW w:w="2186" w:type="dxa"/>
          </w:tcPr>
          <w:p w14:paraId="3A8DAF18" w14:textId="77777777" w:rsidR="00F33FC4" w:rsidRPr="00F33FC4" w:rsidRDefault="00F33FC4" w:rsidP="00F33FC4">
            <w:pPr>
              <w:spacing w:line="480" w:lineRule="auto"/>
              <w:rPr>
                <w:rFonts w:ascii="Calibri" w:hAnsi="Calibri"/>
                <w:sz w:val="22"/>
                <w:szCs w:val="22"/>
              </w:rPr>
            </w:pPr>
            <w:r w:rsidRPr="00F33FC4">
              <w:rPr>
                <w:rFonts w:ascii="Calibri" w:hAnsi="Calibri"/>
                <w:sz w:val="22"/>
                <w:szCs w:val="22"/>
              </w:rPr>
              <w:t>MG-</w:t>
            </w:r>
            <w:proofErr w:type="spellStart"/>
            <w:r w:rsidRPr="00F33FC4">
              <w:rPr>
                <w:rFonts w:ascii="Calibri" w:hAnsi="Calibri"/>
                <w:i/>
                <w:iCs/>
                <w:sz w:val="22"/>
                <w:szCs w:val="22"/>
              </w:rPr>
              <w:t>zorO</w:t>
            </w:r>
            <w:proofErr w:type="spellEnd"/>
            <w:r w:rsidRPr="00F33FC4">
              <w:rPr>
                <w:rFonts w:ascii="Calibri" w:hAnsi="Calibri"/>
                <w:i/>
                <w:iCs/>
                <w:sz w:val="22"/>
                <w:szCs w:val="22"/>
              </w:rPr>
              <w:t>-</w:t>
            </w:r>
            <w:proofErr w:type="spellStart"/>
            <w:r w:rsidRPr="00F33FC4">
              <w:rPr>
                <w:rFonts w:ascii="Calibri" w:hAnsi="Calibri"/>
                <w:i/>
                <w:iCs/>
                <w:sz w:val="22"/>
                <w:szCs w:val="22"/>
              </w:rPr>
              <w:t>orzO</w:t>
            </w:r>
            <w:proofErr w:type="spellEnd"/>
          </w:p>
        </w:tc>
        <w:tc>
          <w:tcPr>
            <w:tcW w:w="3059" w:type="dxa"/>
            <w:vAlign w:val="center"/>
          </w:tcPr>
          <w:p w14:paraId="6882ED34" w14:textId="77777777" w:rsidR="00F33FC4" w:rsidRPr="00F33FC4" w:rsidRDefault="00F33FC4" w:rsidP="00F33FC4">
            <w:pPr>
              <w:spacing w:line="480" w:lineRule="auto"/>
              <w:rPr>
                <w:rFonts w:ascii="Calibri" w:hAnsi="Calibri"/>
                <w:sz w:val="22"/>
                <w:szCs w:val="22"/>
              </w:rPr>
            </w:pPr>
            <w:r w:rsidRPr="00F33FC4">
              <w:rPr>
                <w:rFonts w:ascii="Calibri" w:hAnsi="Calibri"/>
                <w:sz w:val="22"/>
                <w:szCs w:val="22"/>
              </w:rPr>
              <w:t xml:space="preserve">MG1655 </w:t>
            </w:r>
            <w:proofErr w:type="spellStart"/>
            <w:r w:rsidRPr="00F33FC4">
              <w:rPr>
                <w:rFonts w:ascii="Calibri" w:hAnsi="Calibri"/>
                <w:sz w:val="22"/>
                <w:szCs w:val="22"/>
              </w:rPr>
              <w:t>recombineered</w:t>
            </w:r>
            <w:proofErr w:type="spellEnd"/>
            <w:r w:rsidRPr="00F33FC4">
              <w:rPr>
                <w:rFonts w:ascii="Calibri" w:hAnsi="Calibri"/>
                <w:sz w:val="22"/>
                <w:szCs w:val="22"/>
              </w:rPr>
              <w:t xml:space="preserve"> with </w:t>
            </w:r>
            <w:proofErr w:type="spellStart"/>
            <w:r w:rsidRPr="00F33FC4">
              <w:rPr>
                <w:rFonts w:ascii="Calibri" w:hAnsi="Calibri"/>
                <w:i/>
                <w:iCs/>
                <w:sz w:val="22"/>
                <w:szCs w:val="22"/>
              </w:rPr>
              <w:t>zorO-orzO</w:t>
            </w:r>
            <w:proofErr w:type="spellEnd"/>
          </w:p>
        </w:tc>
        <w:tc>
          <w:tcPr>
            <w:tcW w:w="1965" w:type="dxa"/>
            <w:vAlign w:val="center"/>
          </w:tcPr>
          <w:p w14:paraId="01D2DAA8" w14:textId="77777777" w:rsidR="00F33FC4" w:rsidRPr="00F33FC4" w:rsidRDefault="00F33FC4" w:rsidP="00F33FC4">
            <w:pPr>
              <w:spacing w:line="480" w:lineRule="auto"/>
              <w:rPr>
                <w:rFonts w:ascii="Calibri" w:hAnsi="Calibri"/>
                <w:sz w:val="22"/>
                <w:szCs w:val="22"/>
              </w:rPr>
            </w:pPr>
            <w:r w:rsidRPr="00F33FC4">
              <w:rPr>
                <w:rFonts w:ascii="Calibri" w:hAnsi="Calibri"/>
                <w:sz w:val="22"/>
                <w:szCs w:val="22"/>
              </w:rPr>
              <w:t>This study</w:t>
            </w:r>
          </w:p>
        </w:tc>
        <w:tc>
          <w:tcPr>
            <w:tcW w:w="2129" w:type="dxa"/>
          </w:tcPr>
          <w:p w14:paraId="111B0EB0" w14:textId="77777777" w:rsidR="00F33FC4" w:rsidRPr="00F33FC4" w:rsidRDefault="00F33FC4" w:rsidP="00F33FC4">
            <w:pPr>
              <w:spacing w:line="480" w:lineRule="auto"/>
              <w:rPr>
                <w:rFonts w:ascii="Calibri" w:hAnsi="Calibri"/>
                <w:sz w:val="22"/>
                <w:szCs w:val="22"/>
              </w:rPr>
            </w:pPr>
            <w:r w:rsidRPr="00F33FC4">
              <w:rPr>
                <w:rFonts w:ascii="Calibri" w:hAnsi="Calibri"/>
                <w:sz w:val="22"/>
                <w:szCs w:val="22"/>
              </w:rPr>
              <w:t>EF1864A, EF1865A</w:t>
            </w:r>
          </w:p>
        </w:tc>
      </w:tr>
      <w:tr w:rsidR="00F33FC4" w:rsidRPr="00F33FC4" w14:paraId="79CB7558" w14:textId="77777777" w:rsidTr="006408A7">
        <w:trPr>
          <w:trHeight w:val="377"/>
        </w:trPr>
        <w:tc>
          <w:tcPr>
            <w:tcW w:w="2186" w:type="dxa"/>
            <w:tcBorders>
              <w:top w:val="single" w:sz="4" w:space="0" w:color="auto"/>
            </w:tcBorders>
          </w:tcPr>
          <w:p w14:paraId="21B70D87" w14:textId="77777777" w:rsidR="00F33FC4" w:rsidRPr="00F33FC4" w:rsidRDefault="00F33FC4" w:rsidP="00F33FC4">
            <w:pPr>
              <w:spacing w:line="480" w:lineRule="auto"/>
              <w:rPr>
                <w:rFonts w:ascii="Calibri" w:hAnsi="Calibri"/>
                <w:sz w:val="22"/>
                <w:szCs w:val="22"/>
                <w:u w:val="single"/>
              </w:rPr>
            </w:pPr>
            <w:r w:rsidRPr="00F33FC4">
              <w:rPr>
                <w:rFonts w:ascii="Calibri" w:hAnsi="Calibri"/>
                <w:sz w:val="22"/>
                <w:szCs w:val="22"/>
                <w:u w:val="single"/>
              </w:rPr>
              <w:t>Plasmids</w:t>
            </w:r>
          </w:p>
        </w:tc>
        <w:tc>
          <w:tcPr>
            <w:tcW w:w="3059" w:type="dxa"/>
            <w:tcBorders>
              <w:top w:val="single" w:sz="4" w:space="0" w:color="auto"/>
            </w:tcBorders>
            <w:vAlign w:val="center"/>
          </w:tcPr>
          <w:p w14:paraId="068EA619" w14:textId="77777777" w:rsidR="00F33FC4" w:rsidRPr="00F33FC4" w:rsidRDefault="00F33FC4" w:rsidP="00F33FC4">
            <w:pPr>
              <w:spacing w:line="480" w:lineRule="auto"/>
              <w:rPr>
                <w:rFonts w:ascii="Calibri" w:hAnsi="Calibri"/>
                <w:sz w:val="22"/>
                <w:szCs w:val="22"/>
              </w:rPr>
            </w:pPr>
          </w:p>
        </w:tc>
        <w:tc>
          <w:tcPr>
            <w:tcW w:w="1965" w:type="dxa"/>
            <w:tcBorders>
              <w:top w:val="single" w:sz="4" w:space="0" w:color="auto"/>
            </w:tcBorders>
            <w:vAlign w:val="center"/>
          </w:tcPr>
          <w:p w14:paraId="2986CD72" w14:textId="77777777" w:rsidR="00F33FC4" w:rsidRPr="00F33FC4" w:rsidRDefault="00F33FC4" w:rsidP="00F33FC4">
            <w:pPr>
              <w:spacing w:line="480" w:lineRule="auto"/>
              <w:rPr>
                <w:rFonts w:ascii="Calibri" w:hAnsi="Calibri"/>
                <w:sz w:val="22"/>
                <w:szCs w:val="22"/>
              </w:rPr>
            </w:pPr>
          </w:p>
        </w:tc>
        <w:tc>
          <w:tcPr>
            <w:tcW w:w="2129" w:type="dxa"/>
            <w:tcBorders>
              <w:top w:val="single" w:sz="4" w:space="0" w:color="auto"/>
            </w:tcBorders>
          </w:tcPr>
          <w:p w14:paraId="33846961" w14:textId="77777777" w:rsidR="00F33FC4" w:rsidRPr="00F33FC4" w:rsidRDefault="00F33FC4" w:rsidP="00F33FC4">
            <w:pPr>
              <w:spacing w:line="480" w:lineRule="auto"/>
              <w:rPr>
                <w:rFonts w:ascii="Calibri" w:hAnsi="Calibri"/>
                <w:sz w:val="22"/>
                <w:szCs w:val="22"/>
              </w:rPr>
            </w:pPr>
          </w:p>
        </w:tc>
      </w:tr>
      <w:tr w:rsidR="00F33FC4" w:rsidRPr="00F33FC4" w14:paraId="747808A6" w14:textId="77777777" w:rsidTr="006408A7">
        <w:trPr>
          <w:trHeight w:val="397"/>
        </w:trPr>
        <w:tc>
          <w:tcPr>
            <w:tcW w:w="2186" w:type="dxa"/>
          </w:tcPr>
          <w:p w14:paraId="0D619946" w14:textId="77777777" w:rsidR="00F33FC4" w:rsidRPr="00F33FC4" w:rsidRDefault="00F33FC4" w:rsidP="00F33FC4">
            <w:pPr>
              <w:spacing w:line="480" w:lineRule="auto"/>
              <w:rPr>
                <w:rFonts w:ascii="Calibri" w:hAnsi="Calibri"/>
                <w:sz w:val="22"/>
                <w:szCs w:val="22"/>
              </w:rPr>
            </w:pPr>
            <w:r w:rsidRPr="00F33FC4">
              <w:rPr>
                <w:rFonts w:ascii="Calibri" w:hAnsi="Calibri"/>
                <w:sz w:val="22"/>
                <w:szCs w:val="22"/>
              </w:rPr>
              <w:t>pAZ3</w:t>
            </w:r>
          </w:p>
        </w:tc>
        <w:tc>
          <w:tcPr>
            <w:tcW w:w="3059" w:type="dxa"/>
            <w:vAlign w:val="center"/>
          </w:tcPr>
          <w:p w14:paraId="7441BFE9" w14:textId="77777777" w:rsidR="00F33FC4" w:rsidRPr="00F33FC4" w:rsidRDefault="00F33FC4" w:rsidP="00F33FC4">
            <w:pPr>
              <w:spacing w:line="480" w:lineRule="auto"/>
              <w:rPr>
                <w:rFonts w:ascii="Calibri" w:hAnsi="Calibri"/>
                <w:sz w:val="22"/>
                <w:szCs w:val="22"/>
              </w:rPr>
            </w:pPr>
            <w:r w:rsidRPr="00F33FC4">
              <w:rPr>
                <w:rFonts w:ascii="Calibri" w:hAnsi="Calibri"/>
                <w:sz w:val="22"/>
                <w:szCs w:val="22"/>
              </w:rPr>
              <w:t>Cm(R)</w:t>
            </w:r>
          </w:p>
        </w:tc>
        <w:tc>
          <w:tcPr>
            <w:tcW w:w="1965" w:type="dxa"/>
            <w:vAlign w:val="center"/>
          </w:tcPr>
          <w:p w14:paraId="196C314D" w14:textId="77777777" w:rsidR="00F33FC4" w:rsidRPr="00F33FC4" w:rsidRDefault="00F33FC4" w:rsidP="00F33FC4">
            <w:pPr>
              <w:spacing w:line="480" w:lineRule="auto"/>
              <w:rPr>
                <w:rFonts w:ascii="Calibri" w:hAnsi="Calibri"/>
                <w:sz w:val="22"/>
                <w:szCs w:val="22"/>
              </w:rPr>
            </w:pPr>
            <w:r w:rsidRPr="00F33FC4">
              <w:rPr>
                <w:rFonts w:ascii="Calibri" w:hAnsi="Calibri"/>
                <w:sz w:val="22"/>
                <w:szCs w:val="22"/>
              </w:rPr>
              <w:t>(17)</w:t>
            </w:r>
          </w:p>
        </w:tc>
        <w:tc>
          <w:tcPr>
            <w:tcW w:w="2129" w:type="dxa"/>
          </w:tcPr>
          <w:p w14:paraId="66AC20ED" w14:textId="77777777" w:rsidR="00F33FC4" w:rsidRPr="00F33FC4" w:rsidRDefault="00F33FC4" w:rsidP="00F33FC4">
            <w:pPr>
              <w:spacing w:line="480" w:lineRule="auto"/>
              <w:rPr>
                <w:rFonts w:ascii="Calibri" w:hAnsi="Calibri"/>
                <w:sz w:val="22"/>
                <w:szCs w:val="22"/>
              </w:rPr>
            </w:pPr>
          </w:p>
        </w:tc>
      </w:tr>
      <w:tr w:rsidR="00F33FC4" w:rsidRPr="00F33FC4" w14:paraId="4C79FC04" w14:textId="77777777" w:rsidTr="006408A7">
        <w:trPr>
          <w:trHeight w:val="397"/>
        </w:trPr>
        <w:tc>
          <w:tcPr>
            <w:tcW w:w="2186" w:type="dxa"/>
          </w:tcPr>
          <w:p w14:paraId="3BF0BF5E" w14:textId="77777777" w:rsidR="00F33FC4" w:rsidRPr="00F33FC4" w:rsidRDefault="00F33FC4" w:rsidP="00F33FC4">
            <w:pPr>
              <w:spacing w:line="480" w:lineRule="auto"/>
              <w:rPr>
                <w:rFonts w:ascii="Calibri" w:hAnsi="Calibri"/>
                <w:sz w:val="22"/>
                <w:szCs w:val="22"/>
              </w:rPr>
            </w:pPr>
            <w:r w:rsidRPr="00F33FC4">
              <w:rPr>
                <w:rFonts w:ascii="Calibri" w:hAnsi="Calibri"/>
                <w:sz w:val="22"/>
                <w:szCs w:val="22"/>
              </w:rPr>
              <w:t>pAZ3-FLAG-</w:t>
            </w:r>
            <w:r w:rsidRPr="00F33FC4">
              <w:rPr>
                <w:rFonts w:ascii="Calibri" w:hAnsi="Calibri"/>
                <w:i/>
                <w:iCs/>
                <w:sz w:val="22"/>
                <w:szCs w:val="22"/>
              </w:rPr>
              <w:t>zorO</w:t>
            </w:r>
          </w:p>
        </w:tc>
        <w:tc>
          <w:tcPr>
            <w:tcW w:w="3059" w:type="dxa"/>
            <w:vAlign w:val="center"/>
          </w:tcPr>
          <w:p w14:paraId="1DEA44C1" w14:textId="77777777" w:rsidR="00F33FC4" w:rsidRPr="00F33FC4" w:rsidRDefault="00F33FC4" w:rsidP="00F33FC4">
            <w:pPr>
              <w:spacing w:line="480" w:lineRule="auto"/>
              <w:rPr>
                <w:rFonts w:ascii="Calibri" w:hAnsi="Calibri"/>
                <w:sz w:val="22"/>
                <w:szCs w:val="22"/>
              </w:rPr>
            </w:pPr>
            <w:r w:rsidRPr="00F33FC4">
              <w:rPr>
                <w:rFonts w:ascii="Calibri" w:hAnsi="Calibri"/>
                <w:sz w:val="22"/>
                <w:szCs w:val="22"/>
              </w:rPr>
              <w:t>Cm(R)</w:t>
            </w:r>
          </w:p>
        </w:tc>
        <w:tc>
          <w:tcPr>
            <w:tcW w:w="1965" w:type="dxa"/>
            <w:vAlign w:val="center"/>
          </w:tcPr>
          <w:p w14:paraId="3F5C5E27" w14:textId="77777777" w:rsidR="00F33FC4" w:rsidRPr="00F33FC4" w:rsidRDefault="00F33FC4" w:rsidP="00F33FC4">
            <w:pPr>
              <w:spacing w:line="480" w:lineRule="auto"/>
              <w:rPr>
                <w:rFonts w:ascii="Calibri" w:hAnsi="Calibri"/>
                <w:sz w:val="22"/>
                <w:szCs w:val="22"/>
              </w:rPr>
            </w:pPr>
            <w:r w:rsidRPr="00F33FC4">
              <w:rPr>
                <w:rFonts w:ascii="Calibri" w:hAnsi="Calibri"/>
                <w:noProof/>
                <w:sz w:val="22"/>
                <w:szCs w:val="22"/>
              </w:rPr>
              <w:t>(19)</w:t>
            </w:r>
          </w:p>
        </w:tc>
        <w:tc>
          <w:tcPr>
            <w:tcW w:w="2129" w:type="dxa"/>
          </w:tcPr>
          <w:p w14:paraId="5594E74B" w14:textId="77777777" w:rsidR="00F33FC4" w:rsidRPr="00F33FC4" w:rsidRDefault="00F33FC4" w:rsidP="00F33FC4">
            <w:pPr>
              <w:spacing w:line="480" w:lineRule="auto"/>
              <w:rPr>
                <w:rFonts w:ascii="Calibri" w:hAnsi="Calibri"/>
                <w:sz w:val="22"/>
                <w:szCs w:val="22"/>
              </w:rPr>
            </w:pPr>
          </w:p>
        </w:tc>
      </w:tr>
      <w:tr w:rsidR="00F33FC4" w:rsidRPr="00F33FC4" w14:paraId="5C70DFF3" w14:textId="77777777" w:rsidTr="006408A7">
        <w:trPr>
          <w:trHeight w:val="397"/>
        </w:trPr>
        <w:tc>
          <w:tcPr>
            <w:tcW w:w="2186" w:type="dxa"/>
          </w:tcPr>
          <w:p w14:paraId="7EC60223" w14:textId="77777777" w:rsidR="00F33FC4" w:rsidRPr="00F33FC4" w:rsidRDefault="00F33FC4" w:rsidP="00F33FC4">
            <w:pPr>
              <w:spacing w:line="480" w:lineRule="auto"/>
              <w:rPr>
                <w:rFonts w:ascii="Calibri" w:hAnsi="Calibri"/>
                <w:sz w:val="22"/>
                <w:szCs w:val="22"/>
              </w:rPr>
            </w:pPr>
            <w:r w:rsidRPr="00F33FC4">
              <w:rPr>
                <w:rFonts w:ascii="Calibri" w:hAnsi="Calibri"/>
                <w:sz w:val="22"/>
                <w:szCs w:val="22"/>
              </w:rPr>
              <w:t>pAZ3-</w:t>
            </w:r>
            <w:r w:rsidRPr="00F33FC4">
              <w:rPr>
                <w:rFonts w:ascii="Calibri" w:hAnsi="Calibri"/>
                <w:i/>
                <w:iCs/>
                <w:sz w:val="22"/>
                <w:szCs w:val="22"/>
              </w:rPr>
              <w:t>zorO-</w:t>
            </w:r>
            <w:r w:rsidRPr="00F33FC4">
              <w:rPr>
                <w:rFonts w:ascii="Calibri" w:hAnsi="Calibri"/>
                <w:sz w:val="22"/>
                <w:szCs w:val="22"/>
              </w:rPr>
              <w:t>D2N</w:t>
            </w:r>
          </w:p>
        </w:tc>
        <w:tc>
          <w:tcPr>
            <w:tcW w:w="3059" w:type="dxa"/>
            <w:vAlign w:val="center"/>
          </w:tcPr>
          <w:p w14:paraId="0D4CED02" w14:textId="77777777" w:rsidR="00F33FC4" w:rsidRPr="00F33FC4" w:rsidRDefault="00F33FC4" w:rsidP="00F33FC4">
            <w:pPr>
              <w:spacing w:line="480" w:lineRule="auto"/>
              <w:rPr>
                <w:rFonts w:ascii="Calibri" w:hAnsi="Calibri"/>
                <w:sz w:val="22"/>
                <w:szCs w:val="22"/>
              </w:rPr>
            </w:pPr>
            <w:r w:rsidRPr="00F33FC4">
              <w:rPr>
                <w:rFonts w:ascii="Calibri" w:hAnsi="Calibri"/>
                <w:sz w:val="22"/>
                <w:szCs w:val="22"/>
              </w:rPr>
              <w:t>Cm(R)</w:t>
            </w:r>
          </w:p>
        </w:tc>
        <w:tc>
          <w:tcPr>
            <w:tcW w:w="1965" w:type="dxa"/>
            <w:vAlign w:val="center"/>
          </w:tcPr>
          <w:p w14:paraId="5B2D159B" w14:textId="77777777" w:rsidR="00F33FC4" w:rsidRPr="00F33FC4" w:rsidRDefault="00F33FC4" w:rsidP="00F33FC4">
            <w:pPr>
              <w:spacing w:line="480" w:lineRule="auto"/>
              <w:rPr>
                <w:rFonts w:ascii="Calibri" w:hAnsi="Calibri"/>
                <w:sz w:val="22"/>
                <w:szCs w:val="22"/>
              </w:rPr>
            </w:pPr>
            <w:r w:rsidRPr="00F33FC4">
              <w:rPr>
                <w:rFonts w:ascii="Calibri" w:hAnsi="Calibri"/>
                <w:sz w:val="22"/>
                <w:szCs w:val="22"/>
              </w:rPr>
              <w:t>This study</w:t>
            </w:r>
          </w:p>
        </w:tc>
        <w:tc>
          <w:tcPr>
            <w:tcW w:w="2129" w:type="dxa"/>
          </w:tcPr>
          <w:p w14:paraId="6BA2B7C5" w14:textId="77777777" w:rsidR="00F33FC4" w:rsidRPr="00F33FC4" w:rsidRDefault="00F33FC4" w:rsidP="00F33FC4">
            <w:pPr>
              <w:spacing w:line="480" w:lineRule="auto"/>
              <w:rPr>
                <w:rFonts w:ascii="Calibri" w:hAnsi="Calibri"/>
                <w:sz w:val="22"/>
                <w:szCs w:val="22"/>
              </w:rPr>
            </w:pPr>
            <w:r w:rsidRPr="00F33FC4">
              <w:rPr>
                <w:rFonts w:ascii="Calibri" w:hAnsi="Calibri"/>
                <w:sz w:val="22"/>
                <w:szCs w:val="22"/>
              </w:rPr>
              <w:t>EF1576 EF1577</w:t>
            </w:r>
          </w:p>
        </w:tc>
      </w:tr>
      <w:tr w:rsidR="00F33FC4" w:rsidRPr="00F33FC4" w14:paraId="211AB5BC" w14:textId="77777777" w:rsidTr="006408A7">
        <w:trPr>
          <w:trHeight w:val="397"/>
        </w:trPr>
        <w:tc>
          <w:tcPr>
            <w:tcW w:w="2186" w:type="dxa"/>
          </w:tcPr>
          <w:p w14:paraId="714C4FF5" w14:textId="77777777" w:rsidR="00F33FC4" w:rsidRPr="00F33FC4" w:rsidRDefault="00F33FC4" w:rsidP="00F33FC4">
            <w:pPr>
              <w:spacing w:line="480" w:lineRule="auto"/>
              <w:rPr>
                <w:rFonts w:ascii="Calibri" w:hAnsi="Calibri"/>
                <w:sz w:val="22"/>
                <w:szCs w:val="22"/>
              </w:rPr>
            </w:pPr>
            <w:r w:rsidRPr="00F33FC4">
              <w:rPr>
                <w:rFonts w:ascii="Calibri" w:hAnsi="Calibri"/>
                <w:sz w:val="22"/>
                <w:szCs w:val="22"/>
              </w:rPr>
              <w:t>pAZ3-</w:t>
            </w:r>
            <w:r w:rsidRPr="00F33FC4">
              <w:rPr>
                <w:rFonts w:ascii="Calibri" w:hAnsi="Calibri"/>
                <w:i/>
                <w:iCs/>
                <w:sz w:val="22"/>
                <w:szCs w:val="22"/>
              </w:rPr>
              <w:t xml:space="preserve"> zorO-</w:t>
            </w:r>
            <w:r w:rsidRPr="00F33FC4">
              <w:rPr>
                <w:rFonts w:ascii="Calibri" w:hAnsi="Calibri"/>
                <w:sz w:val="22"/>
                <w:szCs w:val="22"/>
              </w:rPr>
              <w:t>D2K</w:t>
            </w:r>
          </w:p>
        </w:tc>
        <w:tc>
          <w:tcPr>
            <w:tcW w:w="3059" w:type="dxa"/>
            <w:vAlign w:val="center"/>
          </w:tcPr>
          <w:p w14:paraId="17A44C50" w14:textId="77777777" w:rsidR="00F33FC4" w:rsidRPr="00F33FC4" w:rsidRDefault="00F33FC4" w:rsidP="00F33FC4">
            <w:pPr>
              <w:spacing w:line="480" w:lineRule="auto"/>
              <w:rPr>
                <w:rFonts w:ascii="Calibri" w:hAnsi="Calibri"/>
                <w:sz w:val="22"/>
                <w:szCs w:val="22"/>
              </w:rPr>
            </w:pPr>
            <w:r w:rsidRPr="00F33FC4">
              <w:rPr>
                <w:rFonts w:ascii="Calibri" w:hAnsi="Calibri"/>
                <w:sz w:val="22"/>
                <w:szCs w:val="22"/>
              </w:rPr>
              <w:t>Cm(R)</w:t>
            </w:r>
          </w:p>
        </w:tc>
        <w:tc>
          <w:tcPr>
            <w:tcW w:w="1965" w:type="dxa"/>
            <w:vAlign w:val="center"/>
          </w:tcPr>
          <w:p w14:paraId="15105888" w14:textId="77777777" w:rsidR="00F33FC4" w:rsidRPr="00F33FC4" w:rsidRDefault="00F33FC4" w:rsidP="00F33FC4">
            <w:pPr>
              <w:spacing w:line="480" w:lineRule="auto"/>
              <w:rPr>
                <w:rFonts w:ascii="Calibri" w:hAnsi="Calibri"/>
                <w:sz w:val="22"/>
                <w:szCs w:val="22"/>
              </w:rPr>
            </w:pPr>
            <w:r w:rsidRPr="00F33FC4">
              <w:rPr>
                <w:rFonts w:ascii="Calibri" w:hAnsi="Calibri"/>
                <w:sz w:val="22"/>
                <w:szCs w:val="22"/>
              </w:rPr>
              <w:t>This study</w:t>
            </w:r>
          </w:p>
        </w:tc>
        <w:tc>
          <w:tcPr>
            <w:tcW w:w="2129" w:type="dxa"/>
          </w:tcPr>
          <w:p w14:paraId="2F21071D" w14:textId="77777777" w:rsidR="00F33FC4" w:rsidRPr="00F33FC4" w:rsidRDefault="00F33FC4" w:rsidP="00F33FC4">
            <w:pPr>
              <w:spacing w:line="480" w:lineRule="auto"/>
              <w:rPr>
                <w:rFonts w:ascii="Calibri" w:hAnsi="Calibri"/>
                <w:sz w:val="22"/>
                <w:szCs w:val="22"/>
              </w:rPr>
            </w:pPr>
            <w:r w:rsidRPr="00F33FC4">
              <w:rPr>
                <w:rFonts w:ascii="Calibri" w:hAnsi="Calibri"/>
                <w:sz w:val="22"/>
                <w:szCs w:val="22"/>
              </w:rPr>
              <w:t>EF1574, EF 1575</w:t>
            </w:r>
          </w:p>
        </w:tc>
      </w:tr>
      <w:tr w:rsidR="00F33FC4" w:rsidRPr="00F33FC4" w14:paraId="64B11E6C" w14:textId="77777777" w:rsidTr="006408A7">
        <w:trPr>
          <w:trHeight w:val="397"/>
        </w:trPr>
        <w:tc>
          <w:tcPr>
            <w:tcW w:w="2186" w:type="dxa"/>
          </w:tcPr>
          <w:p w14:paraId="18BAAABE" w14:textId="77777777" w:rsidR="00F33FC4" w:rsidRPr="00F33FC4" w:rsidRDefault="00F33FC4" w:rsidP="00F33FC4">
            <w:pPr>
              <w:spacing w:line="480" w:lineRule="auto"/>
              <w:rPr>
                <w:rFonts w:ascii="Calibri" w:hAnsi="Calibri"/>
                <w:sz w:val="22"/>
                <w:szCs w:val="22"/>
              </w:rPr>
            </w:pPr>
            <w:r w:rsidRPr="00F33FC4">
              <w:rPr>
                <w:rFonts w:ascii="Calibri" w:hAnsi="Calibri"/>
                <w:sz w:val="22"/>
                <w:szCs w:val="22"/>
              </w:rPr>
              <w:t>pAZ3-</w:t>
            </w:r>
            <w:r w:rsidRPr="00F33FC4">
              <w:rPr>
                <w:rFonts w:ascii="Calibri" w:hAnsi="Calibri"/>
                <w:i/>
                <w:iCs/>
                <w:sz w:val="22"/>
                <w:szCs w:val="22"/>
              </w:rPr>
              <w:t xml:space="preserve"> zorO</w:t>
            </w:r>
            <w:r w:rsidRPr="00F33FC4">
              <w:rPr>
                <w:rFonts w:ascii="Calibri" w:hAnsi="Calibri"/>
                <w:sz w:val="22"/>
                <w:szCs w:val="22"/>
              </w:rPr>
              <w:t>-K7Q</w:t>
            </w:r>
          </w:p>
        </w:tc>
        <w:tc>
          <w:tcPr>
            <w:tcW w:w="3059" w:type="dxa"/>
            <w:vAlign w:val="center"/>
          </w:tcPr>
          <w:p w14:paraId="4C34EC67" w14:textId="77777777" w:rsidR="00F33FC4" w:rsidRPr="00F33FC4" w:rsidRDefault="00F33FC4" w:rsidP="00F33FC4">
            <w:pPr>
              <w:spacing w:line="480" w:lineRule="auto"/>
              <w:rPr>
                <w:rFonts w:ascii="Calibri" w:hAnsi="Calibri"/>
                <w:sz w:val="22"/>
                <w:szCs w:val="22"/>
              </w:rPr>
            </w:pPr>
            <w:r w:rsidRPr="00F33FC4">
              <w:rPr>
                <w:rFonts w:ascii="Calibri" w:hAnsi="Calibri"/>
                <w:sz w:val="22"/>
                <w:szCs w:val="22"/>
              </w:rPr>
              <w:t>Cm(R)</w:t>
            </w:r>
          </w:p>
        </w:tc>
        <w:tc>
          <w:tcPr>
            <w:tcW w:w="1965" w:type="dxa"/>
            <w:vAlign w:val="center"/>
          </w:tcPr>
          <w:p w14:paraId="255DF9CB" w14:textId="77777777" w:rsidR="00F33FC4" w:rsidRPr="00F33FC4" w:rsidRDefault="00F33FC4" w:rsidP="00F33FC4">
            <w:pPr>
              <w:spacing w:line="480" w:lineRule="auto"/>
              <w:rPr>
                <w:rFonts w:ascii="Calibri" w:hAnsi="Calibri"/>
                <w:sz w:val="22"/>
                <w:szCs w:val="22"/>
              </w:rPr>
            </w:pPr>
            <w:r w:rsidRPr="00F33FC4">
              <w:rPr>
                <w:rFonts w:ascii="Calibri" w:hAnsi="Calibri"/>
                <w:sz w:val="22"/>
                <w:szCs w:val="22"/>
              </w:rPr>
              <w:t>This study</w:t>
            </w:r>
          </w:p>
        </w:tc>
        <w:tc>
          <w:tcPr>
            <w:tcW w:w="2129" w:type="dxa"/>
          </w:tcPr>
          <w:p w14:paraId="2144BA70" w14:textId="77777777" w:rsidR="00F33FC4" w:rsidRPr="00F33FC4" w:rsidRDefault="00F33FC4" w:rsidP="00F33FC4">
            <w:pPr>
              <w:spacing w:line="480" w:lineRule="auto"/>
              <w:rPr>
                <w:rFonts w:ascii="Calibri" w:hAnsi="Calibri"/>
                <w:sz w:val="22"/>
                <w:szCs w:val="22"/>
              </w:rPr>
            </w:pPr>
            <w:r w:rsidRPr="00F33FC4">
              <w:rPr>
                <w:rFonts w:ascii="Calibri" w:hAnsi="Calibri"/>
                <w:sz w:val="22"/>
                <w:szCs w:val="22"/>
              </w:rPr>
              <w:t>EF1580, EF1581</w:t>
            </w:r>
          </w:p>
        </w:tc>
      </w:tr>
      <w:tr w:rsidR="00F33FC4" w:rsidRPr="00F33FC4" w14:paraId="2177543D" w14:textId="77777777" w:rsidTr="006408A7">
        <w:trPr>
          <w:trHeight w:val="397"/>
        </w:trPr>
        <w:tc>
          <w:tcPr>
            <w:tcW w:w="2186" w:type="dxa"/>
          </w:tcPr>
          <w:p w14:paraId="79E8F6DD" w14:textId="77777777" w:rsidR="00F33FC4" w:rsidRPr="00F33FC4" w:rsidRDefault="00F33FC4" w:rsidP="00F33FC4">
            <w:pPr>
              <w:spacing w:line="480" w:lineRule="auto"/>
              <w:rPr>
                <w:rFonts w:ascii="Calibri" w:hAnsi="Calibri"/>
                <w:sz w:val="22"/>
                <w:szCs w:val="22"/>
              </w:rPr>
            </w:pPr>
            <w:r w:rsidRPr="00F33FC4">
              <w:rPr>
                <w:rFonts w:ascii="Calibri" w:hAnsi="Calibri"/>
                <w:sz w:val="22"/>
                <w:szCs w:val="22"/>
              </w:rPr>
              <w:t>pAZ3-</w:t>
            </w:r>
            <w:r w:rsidRPr="00F33FC4">
              <w:rPr>
                <w:rFonts w:ascii="Calibri" w:hAnsi="Calibri"/>
                <w:i/>
                <w:iCs/>
                <w:sz w:val="22"/>
                <w:szCs w:val="22"/>
              </w:rPr>
              <w:t>zorO</w:t>
            </w:r>
            <w:r w:rsidRPr="00F33FC4">
              <w:rPr>
                <w:rFonts w:ascii="Calibri" w:hAnsi="Calibri"/>
                <w:sz w:val="22"/>
                <w:szCs w:val="22"/>
              </w:rPr>
              <w:t>-K7E</w:t>
            </w:r>
          </w:p>
        </w:tc>
        <w:tc>
          <w:tcPr>
            <w:tcW w:w="3059" w:type="dxa"/>
            <w:vAlign w:val="center"/>
          </w:tcPr>
          <w:p w14:paraId="7953701F" w14:textId="77777777" w:rsidR="00F33FC4" w:rsidRPr="00F33FC4" w:rsidRDefault="00F33FC4" w:rsidP="00F33FC4">
            <w:pPr>
              <w:spacing w:line="480" w:lineRule="auto"/>
              <w:rPr>
                <w:rFonts w:ascii="Calibri" w:hAnsi="Calibri"/>
                <w:sz w:val="22"/>
                <w:szCs w:val="22"/>
              </w:rPr>
            </w:pPr>
            <w:r w:rsidRPr="00F33FC4">
              <w:rPr>
                <w:rFonts w:ascii="Calibri" w:hAnsi="Calibri"/>
                <w:sz w:val="22"/>
                <w:szCs w:val="22"/>
              </w:rPr>
              <w:t>Cm(R)</w:t>
            </w:r>
          </w:p>
        </w:tc>
        <w:tc>
          <w:tcPr>
            <w:tcW w:w="1965" w:type="dxa"/>
            <w:vAlign w:val="center"/>
          </w:tcPr>
          <w:p w14:paraId="11014E93" w14:textId="77777777" w:rsidR="00F33FC4" w:rsidRPr="00F33FC4" w:rsidRDefault="00F33FC4" w:rsidP="00F33FC4">
            <w:pPr>
              <w:spacing w:line="480" w:lineRule="auto"/>
              <w:rPr>
                <w:rFonts w:ascii="Calibri" w:hAnsi="Calibri"/>
                <w:sz w:val="22"/>
                <w:szCs w:val="22"/>
              </w:rPr>
            </w:pPr>
            <w:r w:rsidRPr="00F33FC4">
              <w:rPr>
                <w:rFonts w:ascii="Calibri" w:hAnsi="Calibri"/>
                <w:sz w:val="22"/>
                <w:szCs w:val="22"/>
              </w:rPr>
              <w:t>This study</w:t>
            </w:r>
          </w:p>
        </w:tc>
        <w:tc>
          <w:tcPr>
            <w:tcW w:w="2129" w:type="dxa"/>
          </w:tcPr>
          <w:p w14:paraId="7A3013DF" w14:textId="77777777" w:rsidR="00F33FC4" w:rsidRPr="00F33FC4" w:rsidRDefault="00F33FC4" w:rsidP="00F33FC4">
            <w:pPr>
              <w:spacing w:line="480" w:lineRule="auto"/>
              <w:rPr>
                <w:rFonts w:ascii="Calibri" w:hAnsi="Calibri"/>
                <w:sz w:val="22"/>
                <w:szCs w:val="22"/>
              </w:rPr>
            </w:pPr>
            <w:r w:rsidRPr="00F33FC4">
              <w:rPr>
                <w:rFonts w:ascii="Calibri" w:hAnsi="Calibri"/>
                <w:sz w:val="22"/>
                <w:szCs w:val="22"/>
              </w:rPr>
              <w:t>EF1578, EF1579</w:t>
            </w:r>
          </w:p>
        </w:tc>
      </w:tr>
      <w:tr w:rsidR="00F33FC4" w:rsidRPr="00F33FC4" w14:paraId="5E2D06EA" w14:textId="77777777" w:rsidTr="007A5817">
        <w:trPr>
          <w:trHeight w:val="397"/>
        </w:trPr>
        <w:tc>
          <w:tcPr>
            <w:tcW w:w="2186" w:type="dxa"/>
          </w:tcPr>
          <w:p w14:paraId="79E7764F" w14:textId="77777777" w:rsidR="00F33FC4" w:rsidRPr="00F33FC4" w:rsidRDefault="00F33FC4" w:rsidP="00F33FC4">
            <w:pPr>
              <w:spacing w:line="480" w:lineRule="auto"/>
              <w:rPr>
                <w:rFonts w:ascii="Calibri" w:hAnsi="Calibri"/>
                <w:sz w:val="22"/>
                <w:szCs w:val="22"/>
              </w:rPr>
            </w:pPr>
            <w:r w:rsidRPr="00F33FC4">
              <w:rPr>
                <w:rFonts w:ascii="Calibri" w:hAnsi="Calibri"/>
                <w:sz w:val="22"/>
                <w:szCs w:val="22"/>
              </w:rPr>
              <w:t>pAZ3-</w:t>
            </w:r>
            <w:r w:rsidRPr="00F33FC4">
              <w:rPr>
                <w:rFonts w:ascii="Calibri" w:hAnsi="Calibri"/>
                <w:i/>
                <w:iCs/>
                <w:sz w:val="22"/>
                <w:szCs w:val="22"/>
              </w:rPr>
              <w:t>zorO</w:t>
            </w:r>
            <w:r w:rsidRPr="00F33FC4">
              <w:rPr>
                <w:rFonts w:ascii="Calibri" w:hAnsi="Calibri"/>
                <w:sz w:val="22"/>
                <w:szCs w:val="22"/>
              </w:rPr>
              <w:t>-E16Q</w:t>
            </w:r>
          </w:p>
        </w:tc>
        <w:tc>
          <w:tcPr>
            <w:tcW w:w="3059" w:type="dxa"/>
            <w:vAlign w:val="center"/>
          </w:tcPr>
          <w:p w14:paraId="3FB29FD9" w14:textId="77777777" w:rsidR="00F33FC4" w:rsidRPr="00F33FC4" w:rsidRDefault="00F33FC4" w:rsidP="00F33FC4">
            <w:pPr>
              <w:spacing w:line="480" w:lineRule="auto"/>
              <w:rPr>
                <w:rFonts w:ascii="Calibri" w:hAnsi="Calibri"/>
                <w:sz w:val="22"/>
                <w:szCs w:val="22"/>
              </w:rPr>
            </w:pPr>
            <w:r w:rsidRPr="00F33FC4">
              <w:rPr>
                <w:rFonts w:ascii="Calibri" w:hAnsi="Calibri"/>
                <w:sz w:val="22"/>
                <w:szCs w:val="22"/>
              </w:rPr>
              <w:t>Cm(R)</w:t>
            </w:r>
          </w:p>
        </w:tc>
        <w:tc>
          <w:tcPr>
            <w:tcW w:w="1965" w:type="dxa"/>
            <w:vAlign w:val="center"/>
          </w:tcPr>
          <w:p w14:paraId="42AB1815" w14:textId="77777777" w:rsidR="00F33FC4" w:rsidRPr="00F33FC4" w:rsidRDefault="00F33FC4" w:rsidP="00F33FC4">
            <w:pPr>
              <w:spacing w:line="480" w:lineRule="auto"/>
              <w:rPr>
                <w:rFonts w:ascii="Calibri" w:hAnsi="Calibri"/>
                <w:sz w:val="22"/>
                <w:szCs w:val="22"/>
              </w:rPr>
            </w:pPr>
            <w:r w:rsidRPr="00F33FC4">
              <w:rPr>
                <w:rFonts w:ascii="Calibri" w:hAnsi="Calibri"/>
                <w:sz w:val="22"/>
                <w:szCs w:val="22"/>
              </w:rPr>
              <w:t>This study</w:t>
            </w:r>
          </w:p>
        </w:tc>
        <w:tc>
          <w:tcPr>
            <w:tcW w:w="2129" w:type="dxa"/>
          </w:tcPr>
          <w:p w14:paraId="38C7A5B6" w14:textId="77777777" w:rsidR="00F33FC4" w:rsidRPr="00F33FC4" w:rsidRDefault="00F33FC4" w:rsidP="00F33FC4">
            <w:pPr>
              <w:spacing w:line="480" w:lineRule="auto"/>
              <w:rPr>
                <w:rFonts w:ascii="Calibri" w:hAnsi="Calibri"/>
                <w:sz w:val="22"/>
                <w:szCs w:val="22"/>
              </w:rPr>
            </w:pPr>
            <w:r w:rsidRPr="00F33FC4">
              <w:rPr>
                <w:rFonts w:ascii="Calibri" w:hAnsi="Calibri"/>
                <w:sz w:val="22"/>
                <w:szCs w:val="22"/>
              </w:rPr>
              <w:t>EF1184, EF1185</w:t>
            </w:r>
          </w:p>
        </w:tc>
      </w:tr>
      <w:tr w:rsidR="00F33FC4" w:rsidRPr="00F33FC4" w14:paraId="7D3F5A91" w14:textId="77777777" w:rsidTr="007A5817">
        <w:trPr>
          <w:trHeight w:val="397"/>
        </w:trPr>
        <w:tc>
          <w:tcPr>
            <w:tcW w:w="2186" w:type="dxa"/>
            <w:tcBorders>
              <w:bottom w:val="single" w:sz="4" w:space="0" w:color="auto"/>
            </w:tcBorders>
          </w:tcPr>
          <w:p w14:paraId="006F2A02" w14:textId="77777777" w:rsidR="00F33FC4" w:rsidRPr="00F33FC4" w:rsidRDefault="00F33FC4" w:rsidP="00F33FC4">
            <w:pPr>
              <w:spacing w:line="480" w:lineRule="auto"/>
              <w:rPr>
                <w:rFonts w:ascii="Calibri" w:hAnsi="Calibri"/>
                <w:sz w:val="22"/>
                <w:szCs w:val="22"/>
              </w:rPr>
            </w:pPr>
            <w:r w:rsidRPr="00F33FC4">
              <w:rPr>
                <w:rFonts w:ascii="Calibri" w:hAnsi="Calibri"/>
                <w:sz w:val="22"/>
                <w:szCs w:val="22"/>
              </w:rPr>
              <w:t>pAZ3-</w:t>
            </w:r>
            <w:r w:rsidRPr="00F33FC4">
              <w:rPr>
                <w:rFonts w:ascii="Calibri" w:hAnsi="Calibri"/>
                <w:i/>
                <w:iCs/>
                <w:sz w:val="22"/>
                <w:szCs w:val="22"/>
              </w:rPr>
              <w:t>zorO</w:t>
            </w:r>
            <w:r w:rsidRPr="00F33FC4">
              <w:rPr>
                <w:rFonts w:ascii="Calibri" w:hAnsi="Calibri"/>
                <w:sz w:val="22"/>
                <w:szCs w:val="22"/>
              </w:rPr>
              <w:t>-E16R</w:t>
            </w:r>
          </w:p>
        </w:tc>
        <w:tc>
          <w:tcPr>
            <w:tcW w:w="3059" w:type="dxa"/>
            <w:tcBorders>
              <w:bottom w:val="single" w:sz="4" w:space="0" w:color="auto"/>
            </w:tcBorders>
            <w:vAlign w:val="center"/>
          </w:tcPr>
          <w:p w14:paraId="43AB50E3" w14:textId="77777777" w:rsidR="00F33FC4" w:rsidRPr="00F33FC4" w:rsidRDefault="00F33FC4" w:rsidP="00F33FC4">
            <w:pPr>
              <w:spacing w:line="480" w:lineRule="auto"/>
              <w:rPr>
                <w:rFonts w:ascii="Calibri" w:hAnsi="Calibri"/>
                <w:sz w:val="22"/>
                <w:szCs w:val="22"/>
              </w:rPr>
            </w:pPr>
            <w:r w:rsidRPr="00F33FC4">
              <w:rPr>
                <w:rFonts w:ascii="Calibri" w:hAnsi="Calibri"/>
                <w:sz w:val="22"/>
                <w:szCs w:val="22"/>
              </w:rPr>
              <w:t>Cm(R)</w:t>
            </w:r>
          </w:p>
        </w:tc>
        <w:tc>
          <w:tcPr>
            <w:tcW w:w="1965" w:type="dxa"/>
            <w:tcBorders>
              <w:bottom w:val="single" w:sz="4" w:space="0" w:color="auto"/>
            </w:tcBorders>
            <w:vAlign w:val="center"/>
          </w:tcPr>
          <w:p w14:paraId="1E4AFD38" w14:textId="77777777" w:rsidR="00F33FC4" w:rsidRPr="00F33FC4" w:rsidRDefault="00F33FC4" w:rsidP="00F33FC4">
            <w:pPr>
              <w:spacing w:line="480" w:lineRule="auto"/>
              <w:rPr>
                <w:rFonts w:ascii="Calibri" w:hAnsi="Calibri"/>
                <w:sz w:val="22"/>
                <w:szCs w:val="22"/>
              </w:rPr>
            </w:pPr>
            <w:r w:rsidRPr="00F33FC4">
              <w:rPr>
                <w:rFonts w:ascii="Calibri" w:hAnsi="Calibri"/>
                <w:sz w:val="22"/>
                <w:szCs w:val="22"/>
              </w:rPr>
              <w:t>This study</w:t>
            </w:r>
          </w:p>
        </w:tc>
        <w:tc>
          <w:tcPr>
            <w:tcW w:w="2129" w:type="dxa"/>
            <w:tcBorders>
              <w:bottom w:val="single" w:sz="4" w:space="0" w:color="auto"/>
            </w:tcBorders>
          </w:tcPr>
          <w:p w14:paraId="3DE109BD" w14:textId="77777777" w:rsidR="00F33FC4" w:rsidRPr="00F33FC4" w:rsidRDefault="00F33FC4" w:rsidP="00F33FC4">
            <w:pPr>
              <w:spacing w:line="480" w:lineRule="auto"/>
              <w:rPr>
                <w:rFonts w:ascii="Calibri" w:hAnsi="Calibri"/>
                <w:sz w:val="22"/>
                <w:szCs w:val="22"/>
              </w:rPr>
            </w:pPr>
            <w:r w:rsidRPr="00F33FC4">
              <w:rPr>
                <w:rFonts w:ascii="Calibri" w:hAnsi="Calibri"/>
                <w:sz w:val="22"/>
                <w:szCs w:val="22"/>
              </w:rPr>
              <w:t>EF1215, EF1216</w:t>
            </w:r>
          </w:p>
        </w:tc>
      </w:tr>
    </w:tbl>
    <w:p w14:paraId="0E55AA25" w14:textId="77777777" w:rsidR="00F33FC4" w:rsidRPr="00F33FC4" w:rsidRDefault="00F33FC4" w:rsidP="00F33FC4">
      <w:pPr>
        <w:rPr>
          <w:rFonts w:eastAsia="MS Mincho"/>
        </w:rPr>
      </w:pPr>
      <w:r w:rsidRPr="00F33FC4">
        <w:rPr>
          <w:rFonts w:eastAsia="MS Mincho"/>
        </w:rPr>
        <w:br w:type="page"/>
      </w:r>
    </w:p>
    <w:p w14:paraId="076D0125" w14:textId="77777777" w:rsidR="00F33FC4" w:rsidRPr="00F33FC4" w:rsidRDefault="00F33FC4" w:rsidP="00F33FC4">
      <w:pPr>
        <w:rPr>
          <w:rFonts w:eastAsia="MS Mincho"/>
          <w:sz w:val="22"/>
          <w:szCs w:val="22"/>
        </w:rPr>
      </w:pPr>
      <w:r w:rsidRPr="00F33FC4">
        <w:rPr>
          <w:rFonts w:eastAsia="MS Mincho"/>
          <w:sz w:val="22"/>
          <w:szCs w:val="22"/>
        </w:rPr>
        <w:lastRenderedPageBreak/>
        <w:t>Table 4.1. Continued</w:t>
      </w:r>
    </w:p>
    <w:p w14:paraId="7BD1A8A7" w14:textId="77777777" w:rsidR="00F33FC4" w:rsidRPr="00F33FC4" w:rsidRDefault="00F33FC4" w:rsidP="00F33FC4">
      <w:pPr>
        <w:rPr>
          <w:rFonts w:eastAsia="MS Mincho"/>
        </w:rPr>
      </w:pPr>
    </w:p>
    <w:tbl>
      <w:tblPr>
        <w:tblStyle w:val="TableGrid3"/>
        <w:tblpPr w:leftFromText="180" w:rightFromText="180" w:vertAnchor="page" w:horzAnchor="margin" w:tblpXSpec="center" w:tblpY="2327"/>
        <w:tblW w:w="93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20" w:firstRow="1" w:lastRow="0" w:firstColumn="0" w:lastColumn="0" w:noHBand="0" w:noVBand="1"/>
      </w:tblPr>
      <w:tblGrid>
        <w:gridCol w:w="2186"/>
        <w:gridCol w:w="3059"/>
        <w:gridCol w:w="1965"/>
        <w:gridCol w:w="2129"/>
      </w:tblGrid>
      <w:tr w:rsidR="00F33FC4" w:rsidRPr="00F33FC4" w14:paraId="25920F67" w14:textId="77777777" w:rsidTr="007A5817">
        <w:trPr>
          <w:trHeight w:val="377"/>
        </w:trPr>
        <w:tc>
          <w:tcPr>
            <w:tcW w:w="2186" w:type="dxa"/>
            <w:tcBorders>
              <w:top w:val="single" w:sz="4" w:space="0" w:color="auto"/>
              <w:bottom w:val="single" w:sz="4" w:space="0" w:color="auto"/>
            </w:tcBorders>
            <w:vAlign w:val="center"/>
          </w:tcPr>
          <w:p w14:paraId="3540020F" w14:textId="77777777" w:rsidR="00F33FC4" w:rsidRPr="00F33FC4" w:rsidRDefault="00F33FC4" w:rsidP="00F33FC4">
            <w:pPr>
              <w:spacing w:line="480" w:lineRule="auto"/>
              <w:rPr>
                <w:rFonts w:ascii="Calibri" w:hAnsi="Calibri"/>
                <w:sz w:val="22"/>
                <w:szCs w:val="22"/>
              </w:rPr>
            </w:pPr>
            <w:r w:rsidRPr="00F33FC4">
              <w:rPr>
                <w:rFonts w:ascii="Calibri" w:hAnsi="Calibri"/>
                <w:sz w:val="22"/>
                <w:szCs w:val="22"/>
              </w:rPr>
              <w:t>Strain or plasmid</w:t>
            </w:r>
          </w:p>
        </w:tc>
        <w:tc>
          <w:tcPr>
            <w:tcW w:w="3059" w:type="dxa"/>
            <w:tcBorders>
              <w:top w:val="single" w:sz="4" w:space="0" w:color="auto"/>
              <w:bottom w:val="single" w:sz="4" w:space="0" w:color="auto"/>
            </w:tcBorders>
            <w:vAlign w:val="center"/>
          </w:tcPr>
          <w:p w14:paraId="739BC8CC" w14:textId="77777777" w:rsidR="00F33FC4" w:rsidRPr="00F33FC4" w:rsidRDefault="00F33FC4" w:rsidP="00F33FC4">
            <w:pPr>
              <w:spacing w:line="480" w:lineRule="auto"/>
              <w:rPr>
                <w:rFonts w:ascii="Calibri" w:hAnsi="Calibri"/>
                <w:sz w:val="22"/>
                <w:szCs w:val="22"/>
              </w:rPr>
            </w:pPr>
            <w:r w:rsidRPr="00F33FC4">
              <w:rPr>
                <w:rFonts w:ascii="Calibri" w:hAnsi="Calibri"/>
                <w:sz w:val="22"/>
                <w:szCs w:val="22"/>
              </w:rPr>
              <w:t>Relevant characteristics</w:t>
            </w:r>
          </w:p>
        </w:tc>
        <w:tc>
          <w:tcPr>
            <w:tcW w:w="1965" w:type="dxa"/>
            <w:tcBorders>
              <w:top w:val="single" w:sz="4" w:space="0" w:color="auto"/>
              <w:bottom w:val="single" w:sz="4" w:space="0" w:color="auto"/>
            </w:tcBorders>
            <w:vAlign w:val="center"/>
          </w:tcPr>
          <w:p w14:paraId="3A7321A9" w14:textId="77777777" w:rsidR="00F33FC4" w:rsidRPr="00F33FC4" w:rsidRDefault="00F33FC4" w:rsidP="00F33FC4">
            <w:pPr>
              <w:spacing w:line="480" w:lineRule="auto"/>
              <w:rPr>
                <w:rFonts w:ascii="Calibri" w:hAnsi="Calibri"/>
                <w:sz w:val="22"/>
                <w:szCs w:val="22"/>
              </w:rPr>
            </w:pPr>
            <w:r w:rsidRPr="00F33FC4">
              <w:rPr>
                <w:rFonts w:ascii="Calibri" w:hAnsi="Calibri"/>
                <w:sz w:val="22"/>
                <w:szCs w:val="22"/>
              </w:rPr>
              <w:t>Source</w:t>
            </w:r>
          </w:p>
        </w:tc>
        <w:tc>
          <w:tcPr>
            <w:tcW w:w="2129" w:type="dxa"/>
            <w:tcBorders>
              <w:top w:val="single" w:sz="4" w:space="0" w:color="auto"/>
              <w:bottom w:val="single" w:sz="4" w:space="0" w:color="auto"/>
            </w:tcBorders>
            <w:vAlign w:val="center"/>
          </w:tcPr>
          <w:p w14:paraId="6DDF2B6E" w14:textId="77777777" w:rsidR="00F33FC4" w:rsidRPr="00F33FC4" w:rsidRDefault="00F33FC4" w:rsidP="00F33FC4">
            <w:pPr>
              <w:spacing w:line="480" w:lineRule="auto"/>
              <w:rPr>
                <w:rFonts w:ascii="Calibri" w:hAnsi="Calibri"/>
                <w:sz w:val="22"/>
                <w:szCs w:val="22"/>
              </w:rPr>
            </w:pPr>
            <w:r w:rsidRPr="00F33FC4">
              <w:rPr>
                <w:rFonts w:ascii="Calibri" w:hAnsi="Calibri"/>
                <w:sz w:val="22"/>
                <w:szCs w:val="22"/>
              </w:rPr>
              <w:t>Primers</w:t>
            </w:r>
          </w:p>
        </w:tc>
      </w:tr>
      <w:tr w:rsidR="007A5817" w:rsidRPr="00F33FC4" w14:paraId="4B5FF768" w14:textId="77777777" w:rsidTr="007A5817">
        <w:trPr>
          <w:trHeight w:val="397"/>
        </w:trPr>
        <w:tc>
          <w:tcPr>
            <w:tcW w:w="2186" w:type="dxa"/>
            <w:tcBorders>
              <w:top w:val="single" w:sz="4" w:space="0" w:color="auto"/>
            </w:tcBorders>
          </w:tcPr>
          <w:p w14:paraId="361C19B6" w14:textId="27462427" w:rsidR="007A5817" w:rsidRPr="00F33FC4" w:rsidRDefault="007A5817" w:rsidP="007A5817">
            <w:pPr>
              <w:spacing w:line="480" w:lineRule="auto"/>
              <w:rPr>
                <w:rFonts w:ascii="Calibri" w:hAnsi="Calibri"/>
                <w:sz w:val="22"/>
                <w:szCs w:val="22"/>
              </w:rPr>
            </w:pPr>
            <w:r w:rsidRPr="00F33FC4">
              <w:rPr>
                <w:rFonts w:ascii="Calibri" w:hAnsi="Calibri"/>
                <w:sz w:val="22"/>
                <w:szCs w:val="22"/>
              </w:rPr>
              <w:t>pAZ3-</w:t>
            </w:r>
            <w:r w:rsidRPr="00F33FC4">
              <w:rPr>
                <w:rFonts w:ascii="Calibri" w:hAnsi="Calibri"/>
                <w:i/>
                <w:iCs/>
                <w:sz w:val="22"/>
                <w:szCs w:val="22"/>
              </w:rPr>
              <w:t>zorO</w:t>
            </w:r>
            <w:r w:rsidRPr="00F33FC4">
              <w:rPr>
                <w:rFonts w:ascii="Calibri" w:hAnsi="Calibri"/>
                <w:sz w:val="22"/>
                <w:szCs w:val="22"/>
              </w:rPr>
              <w:t>-R23L</w:t>
            </w:r>
          </w:p>
        </w:tc>
        <w:tc>
          <w:tcPr>
            <w:tcW w:w="3059" w:type="dxa"/>
            <w:tcBorders>
              <w:top w:val="single" w:sz="4" w:space="0" w:color="auto"/>
            </w:tcBorders>
            <w:vAlign w:val="center"/>
          </w:tcPr>
          <w:p w14:paraId="6F132179" w14:textId="48E5C4A8" w:rsidR="007A5817" w:rsidRPr="00F33FC4" w:rsidRDefault="007A5817" w:rsidP="007A5817">
            <w:pPr>
              <w:spacing w:line="480" w:lineRule="auto"/>
              <w:rPr>
                <w:rFonts w:ascii="Calibri" w:hAnsi="Calibri"/>
                <w:sz w:val="22"/>
                <w:szCs w:val="22"/>
              </w:rPr>
            </w:pPr>
            <w:r w:rsidRPr="00F33FC4">
              <w:rPr>
                <w:rFonts w:ascii="Calibri" w:hAnsi="Calibri"/>
                <w:sz w:val="22"/>
                <w:szCs w:val="22"/>
              </w:rPr>
              <w:t>Cm(R)</w:t>
            </w:r>
          </w:p>
        </w:tc>
        <w:tc>
          <w:tcPr>
            <w:tcW w:w="1965" w:type="dxa"/>
            <w:tcBorders>
              <w:top w:val="single" w:sz="4" w:space="0" w:color="auto"/>
            </w:tcBorders>
            <w:vAlign w:val="center"/>
          </w:tcPr>
          <w:p w14:paraId="4BF80E4D" w14:textId="31B64EBA" w:rsidR="007A5817" w:rsidRPr="00F33FC4" w:rsidRDefault="007A5817" w:rsidP="007A5817">
            <w:pPr>
              <w:spacing w:line="480" w:lineRule="auto"/>
              <w:rPr>
                <w:rFonts w:ascii="Calibri" w:hAnsi="Calibri"/>
                <w:sz w:val="22"/>
                <w:szCs w:val="22"/>
              </w:rPr>
            </w:pPr>
            <w:r w:rsidRPr="00F33FC4">
              <w:rPr>
                <w:rFonts w:ascii="Calibri" w:hAnsi="Calibri"/>
                <w:sz w:val="22"/>
                <w:szCs w:val="22"/>
              </w:rPr>
              <w:t>This study</w:t>
            </w:r>
          </w:p>
        </w:tc>
        <w:tc>
          <w:tcPr>
            <w:tcW w:w="2129" w:type="dxa"/>
            <w:tcBorders>
              <w:top w:val="single" w:sz="4" w:space="0" w:color="auto"/>
            </w:tcBorders>
          </w:tcPr>
          <w:p w14:paraId="064976D2" w14:textId="39F70C6A" w:rsidR="007A5817" w:rsidRPr="00F33FC4" w:rsidRDefault="007A5817" w:rsidP="007A5817">
            <w:pPr>
              <w:spacing w:line="480" w:lineRule="auto"/>
              <w:rPr>
                <w:rFonts w:ascii="Calibri" w:hAnsi="Calibri"/>
                <w:sz w:val="22"/>
                <w:szCs w:val="22"/>
              </w:rPr>
            </w:pPr>
            <w:r w:rsidRPr="00F33FC4">
              <w:rPr>
                <w:rFonts w:ascii="Calibri" w:hAnsi="Calibri"/>
                <w:sz w:val="22"/>
                <w:szCs w:val="22"/>
              </w:rPr>
              <w:t>EF1186, EF1187</w:t>
            </w:r>
          </w:p>
        </w:tc>
      </w:tr>
      <w:tr w:rsidR="007A5817" w:rsidRPr="00F33FC4" w14:paraId="49CDC753" w14:textId="77777777" w:rsidTr="007A5817">
        <w:trPr>
          <w:trHeight w:val="397"/>
        </w:trPr>
        <w:tc>
          <w:tcPr>
            <w:tcW w:w="2186" w:type="dxa"/>
          </w:tcPr>
          <w:p w14:paraId="3BA3358F" w14:textId="55A405FD" w:rsidR="007A5817" w:rsidRPr="00F33FC4" w:rsidRDefault="007A5817" w:rsidP="007A5817">
            <w:pPr>
              <w:spacing w:line="480" w:lineRule="auto"/>
              <w:rPr>
                <w:rFonts w:ascii="Calibri" w:hAnsi="Calibri"/>
                <w:sz w:val="22"/>
                <w:szCs w:val="22"/>
              </w:rPr>
            </w:pPr>
            <w:r w:rsidRPr="00F33FC4">
              <w:rPr>
                <w:rFonts w:ascii="Calibri" w:hAnsi="Calibri"/>
                <w:sz w:val="22"/>
                <w:szCs w:val="22"/>
              </w:rPr>
              <w:t>pAZ3-</w:t>
            </w:r>
            <w:r w:rsidRPr="00F33FC4">
              <w:rPr>
                <w:rFonts w:ascii="Calibri" w:hAnsi="Calibri"/>
                <w:i/>
                <w:iCs/>
                <w:sz w:val="22"/>
                <w:szCs w:val="22"/>
              </w:rPr>
              <w:t>zorO</w:t>
            </w:r>
            <w:r w:rsidRPr="00F33FC4">
              <w:rPr>
                <w:rFonts w:ascii="Calibri" w:hAnsi="Calibri"/>
                <w:sz w:val="22"/>
                <w:szCs w:val="22"/>
              </w:rPr>
              <w:t>-R23E</w:t>
            </w:r>
          </w:p>
        </w:tc>
        <w:tc>
          <w:tcPr>
            <w:tcW w:w="3059" w:type="dxa"/>
            <w:vAlign w:val="center"/>
          </w:tcPr>
          <w:p w14:paraId="7F4A948C" w14:textId="10869FB1" w:rsidR="007A5817" w:rsidRPr="00F33FC4" w:rsidRDefault="007A5817" w:rsidP="007A5817">
            <w:pPr>
              <w:spacing w:line="480" w:lineRule="auto"/>
              <w:rPr>
                <w:rFonts w:ascii="Calibri" w:hAnsi="Calibri"/>
                <w:sz w:val="22"/>
                <w:szCs w:val="22"/>
              </w:rPr>
            </w:pPr>
            <w:r w:rsidRPr="00F33FC4">
              <w:rPr>
                <w:rFonts w:ascii="Calibri" w:hAnsi="Calibri"/>
                <w:sz w:val="22"/>
                <w:szCs w:val="22"/>
              </w:rPr>
              <w:t>Cm(R)</w:t>
            </w:r>
          </w:p>
        </w:tc>
        <w:tc>
          <w:tcPr>
            <w:tcW w:w="1965" w:type="dxa"/>
            <w:vAlign w:val="center"/>
          </w:tcPr>
          <w:p w14:paraId="6B31CAC0" w14:textId="17A9088B" w:rsidR="007A5817" w:rsidRPr="00F33FC4" w:rsidRDefault="007A5817" w:rsidP="007A5817">
            <w:pPr>
              <w:spacing w:line="480" w:lineRule="auto"/>
              <w:rPr>
                <w:rFonts w:ascii="Calibri" w:hAnsi="Calibri"/>
                <w:sz w:val="22"/>
                <w:szCs w:val="22"/>
              </w:rPr>
            </w:pPr>
            <w:r w:rsidRPr="00F33FC4">
              <w:rPr>
                <w:rFonts w:ascii="Calibri" w:hAnsi="Calibri"/>
                <w:sz w:val="22"/>
                <w:szCs w:val="22"/>
              </w:rPr>
              <w:t>This study</w:t>
            </w:r>
          </w:p>
        </w:tc>
        <w:tc>
          <w:tcPr>
            <w:tcW w:w="2129" w:type="dxa"/>
          </w:tcPr>
          <w:p w14:paraId="703C0662" w14:textId="4AB97BA9" w:rsidR="007A5817" w:rsidRPr="00F33FC4" w:rsidRDefault="007A5817" w:rsidP="007A5817">
            <w:pPr>
              <w:spacing w:line="480" w:lineRule="auto"/>
              <w:rPr>
                <w:rFonts w:ascii="Calibri" w:hAnsi="Calibri"/>
                <w:sz w:val="22"/>
                <w:szCs w:val="22"/>
              </w:rPr>
            </w:pPr>
            <w:r w:rsidRPr="00F33FC4">
              <w:rPr>
                <w:rFonts w:ascii="Calibri" w:hAnsi="Calibri"/>
                <w:sz w:val="22"/>
                <w:szCs w:val="22"/>
              </w:rPr>
              <w:t>EF1217, EF1218</w:t>
            </w:r>
          </w:p>
        </w:tc>
      </w:tr>
      <w:tr w:rsidR="007A5817" w:rsidRPr="00F33FC4" w14:paraId="15356D19" w14:textId="77777777" w:rsidTr="007A5817">
        <w:trPr>
          <w:trHeight w:val="397"/>
        </w:trPr>
        <w:tc>
          <w:tcPr>
            <w:tcW w:w="2186" w:type="dxa"/>
          </w:tcPr>
          <w:p w14:paraId="6F65A062" w14:textId="77777777" w:rsidR="007A5817" w:rsidRPr="00F33FC4" w:rsidRDefault="007A5817" w:rsidP="007A5817">
            <w:pPr>
              <w:spacing w:line="480" w:lineRule="auto"/>
              <w:rPr>
                <w:rFonts w:ascii="Calibri" w:hAnsi="Calibri"/>
                <w:sz w:val="22"/>
                <w:szCs w:val="22"/>
              </w:rPr>
            </w:pPr>
            <w:r w:rsidRPr="00F33FC4">
              <w:rPr>
                <w:rFonts w:ascii="Calibri" w:hAnsi="Calibri"/>
                <w:sz w:val="22"/>
                <w:szCs w:val="22"/>
              </w:rPr>
              <w:t>pAZ3-</w:t>
            </w:r>
            <w:r w:rsidRPr="00F33FC4">
              <w:rPr>
                <w:rFonts w:ascii="Calibri" w:hAnsi="Calibri"/>
                <w:i/>
                <w:iCs/>
                <w:sz w:val="22"/>
                <w:szCs w:val="22"/>
              </w:rPr>
              <w:t>zorO-</w:t>
            </w:r>
            <w:r w:rsidRPr="00F33FC4">
              <w:rPr>
                <w:rFonts w:ascii="Calibri" w:hAnsi="Calibri"/>
                <w:sz w:val="22"/>
                <w:szCs w:val="22"/>
              </w:rPr>
              <w:t>D26N</w:t>
            </w:r>
          </w:p>
        </w:tc>
        <w:tc>
          <w:tcPr>
            <w:tcW w:w="3059" w:type="dxa"/>
            <w:vAlign w:val="center"/>
          </w:tcPr>
          <w:p w14:paraId="28C6B1C2" w14:textId="77777777" w:rsidR="007A5817" w:rsidRPr="00F33FC4" w:rsidRDefault="007A5817" w:rsidP="007A5817">
            <w:pPr>
              <w:spacing w:line="480" w:lineRule="auto"/>
              <w:rPr>
                <w:rFonts w:ascii="Calibri" w:hAnsi="Calibri"/>
                <w:sz w:val="22"/>
                <w:szCs w:val="22"/>
              </w:rPr>
            </w:pPr>
            <w:r w:rsidRPr="00F33FC4">
              <w:rPr>
                <w:rFonts w:ascii="Calibri" w:hAnsi="Calibri"/>
                <w:sz w:val="22"/>
                <w:szCs w:val="22"/>
              </w:rPr>
              <w:t>Cm(R)</w:t>
            </w:r>
          </w:p>
        </w:tc>
        <w:tc>
          <w:tcPr>
            <w:tcW w:w="1965" w:type="dxa"/>
            <w:vAlign w:val="center"/>
          </w:tcPr>
          <w:p w14:paraId="699E3784" w14:textId="77777777" w:rsidR="007A5817" w:rsidRPr="00F33FC4" w:rsidRDefault="007A5817" w:rsidP="007A5817">
            <w:pPr>
              <w:spacing w:line="480" w:lineRule="auto"/>
              <w:rPr>
                <w:rFonts w:ascii="Calibri" w:hAnsi="Calibri"/>
                <w:sz w:val="22"/>
                <w:szCs w:val="22"/>
              </w:rPr>
            </w:pPr>
            <w:r w:rsidRPr="00F33FC4">
              <w:rPr>
                <w:rFonts w:ascii="Calibri" w:hAnsi="Calibri"/>
                <w:sz w:val="22"/>
                <w:szCs w:val="22"/>
              </w:rPr>
              <w:t>This study</w:t>
            </w:r>
          </w:p>
        </w:tc>
        <w:tc>
          <w:tcPr>
            <w:tcW w:w="2129" w:type="dxa"/>
          </w:tcPr>
          <w:p w14:paraId="75C4AD33" w14:textId="77777777" w:rsidR="007A5817" w:rsidRPr="00F33FC4" w:rsidRDefault="007A5817" w:rsidP="007A5817">
            <w:pPr>
              <w:spacing w:line="480" w:lineRule="auto"/>
              <w:rPr>
                <w:rFonts w:ascii="Calibri" w:hAnsi="Calibri"/>
                <w:sz w:val="22"/>
                <w:szCs w:val="22"/>
              </w:rPr>
            </w:pPr>
            <w:r w:rsidRPr="00F33FC4">
              <w:rPr>
                <w:rFonts w:ascii="Calibri" w:hAnsi="Calibri"/>
                <w:sz w:val="22"/>
                <w:szCs w:val="22"/>
              </w:rPr>
              <w:t>EF1311, EF1312</w:t>
            </w:r>
          </w:p>
        </w:tc>
      </w:tr>
      <w:tr w:rsidR="007A5817" w:rsidRPr="00F33FC4" w14:paraId="76438144" w14:textId="77777777" w:rsidTr="006408A7">
        <w:trPr>
          <w:trHeight w:val="397"/>
        </w:trPr>
        <w:tc>
          <w:tcPr>
            <w:tcW w:w="2186" w:type="dxa"/>
          </w:tcPr>
          <w:p w14:paraId="3DA71D64" w14:textId="77777777" w:rsidR="007A5817" w:rsidRPr="00F33FC4" w:rsidRDefault="007A5817" w:rsidP="007A5817">
            <w:pPr>
              <w:spacing w:line="480" w:lineRule="auto"/>
              <w:rPr>
                <w:rFonts w:ascii="Calibri" w:hAnsi="Calibri"/>
                <w:sz w:val="22"/>
                <w:szCs w:val="22"/>
              </w:rPr>
            </w:pPr>
            <w:r w:rsidRPr="00F33FC4">
              <w:rPr>
                <w:rFonts w:ascii="Calibri" w:hAnsi="Calibri"/>
                <w:sz w:val="22"/>
                <w:szCs w:val="22"/>
              </w:rPr>
              <w:t>pAZ3-</w:t>
            </w:r>
            <w:r w:rsidRPr="00F33FC4">
              <w:rPr>
                <w:rFonts w:ascii="Calibri" w:hAnsi="Calibri"/>
                <w:i/>
                <w:iCs/>
                <w:sz w:val="22"/>
                <w:szCs w:val="22"/>
              </w:rPr>
              <w:t xml:space="preserve"> zorO-</w:t>
            </w:r>
            <w:r w:rsidRPr="00F33FC4">
              <w:rPr>
                <w:rFonts w:ascii="Calibri" w:hAnsi="Calibri"/>
                <w:sz w:val="22"/>
                <w:szCs w:val="22"/>
              </w:rPr>
              <w:t>D26K</w:t>
            </w:r>
          </w:p>
        </w:tc>
        <w:tc>
          <w:tcPr>
            <w:tcW w:w="3059" w:type="dxa"/>
            <w:vAlign w:val="center"/>
          </w:tcPr>
          <w:p w14:paraId="4F1F5FD7" w14:textId="77777777" w:rsidR="007A5817" w:rsidRPr="00F33FC4" w:rsidRDefault="007A5817" w:rsidP="007A5817">
            <w:pPr>
              <w:spacing w:line="480" w:lineRule="auto"/>
              <w:rPr>
                <w:rFonts w:ascii="Calibri" w:hAnsi="Calibri"/>
                <w:sz w:val="22"/>
                <w:szCs w:val="22"/>
              </w:rPr>
            </w:pPr>
            <w:r w:rsidRPr="00F33FC4">
              <w:rPr>
                <w:rFonts w:ascii="Calibri" w:hAnsi="Calibri"/>
                <w:sz w:val="22"/>
                <w:szCs w:val="22"/>
              </w:rPr>
              <w:t>Cm(R)</w:t>
            </w:r>
          </w:p>
        </w:tc>
        <w:tc>
          <w:tcPr>
            <w:tcW w:w="1965" w:type="dxa"/>
            <w:vAlign w:val="center"/>
          </w:tcPr>
          <w:p w14:paraId="01ACA522" w14:textId="77777777" w:rsidR="007A5817" w:rsidRPr="00F33FC4" w:rsidRDefault="007A5817" w:rsidP="007A5817">
            <w:pPr>
              <w:spacing w:line="480" w:lineRule="auto"/>
              <w:rPr>
                <w:rFonts w:ascii="Calibri" w:hAnsi="Calibri"/>
                <w:sz w:val="22"/>
                <w:szCs w:val="22"/>
              </w:rPr>
            </w:pPr>
            <w:r w:rsidRPr="00F33FC4">
              <w:rPr>
                <w:rFonts w:ascii="Calibri" w:hAnsi="Calibri"/>
                <w:sz w:val="22"/>
                <w:szCs w:val="22"/>
              </w:rPr>
              <w:t>This study</w:t>
            </w:r>
          </w:p>
        </w:tc>
        <w:tc>
          <w:tcPr>
            <w:tcW w:w="2129" w:type="dxa"/>
          </w:tcPr>
          <w:p w14:paraId="5747BDA7" w14:textId="77777777" w:rsidR="007A5817" w:rsidRPr="00F33FC4" w:rsidRDefault="007A5817" w:rsidP="007A5817">
            <w:pPr>
              <w:spacing w:line="480" w:lineRule="auto"/>
              <w:rPr>
                <w:rFonts w:ascii="Calibri" w:hAnsi="Calibri"/>
                <w:sz w:val="22"/>
                <w:szCs w:val="22"/>
              </w:rPr>
            </w:pPr>
            <w:r w:rsidRPr="00F33FC4">
              <w:rPr>
                <w:rFonts w:ascii="Calibri" w:hAnsi="Calibri"/>
                <w:sz w:val="22"/>
                <w:szCs w:val="22"/>
              </w:rPr>
              <w:t>EF1309, EF1310</w:t>
            </w:r>
          </w:p>
        </w:tc>
      </w:tr>
      <w:tr w:rsidR="007A5817" w:rsidRPr="00F33FC4" w14:paraId="45779122" w14:textId="77777777" w:rsidTr="006408A7">
        <w:trPr>
          <w:trHeight w:val="397"/>
        </w:trPr>
        <w:tc>
          <w:tcPr>
            <w:tcW w:w="2186" w:type="dxa"/>
          </w:tcPr>
          <w:p w14:paraId="16C2F721" w14:textId="77777777" w:rsidR="007A5817" w:rsidRPr="00F33FC4" w:rsidRDefault="007A5817" w:rsidP="007A5817">
            <w:pPr>
              <w:spacing w:line="480" w:lineRule="auto"/>
              <w:rPr>
                <w:rFonts w:ascii="Calibri" w:hAnsi="Calibri"/>
                <w:sz w:val="22"/>
                <w:szCs w:val="22"/>
              </w:rPr>
            </w:pPr>
            <w:r w:rsidRPr="00F33FC4">
              <w:rPr>
                <w:rFonts w:ascii="Calibri" w:hAnsi="Calibri"/>
                <w:sz w:val="22"/>
                <w:szCs w:val="22"/>
              </w:rPr>
              <w:t>pAZ3-</w:t>
            </w:r>
            <w:r w:rsidRPr="00F33FC4">
              <w:rPr>
                <w:rFonts w:ascii="Calibri" w:hAnsi="Calibri"/>
                <w:i/>
                <w:iCs/>
                <w:sz w:val="22"/>
                <w:szCs w:val="22"/>
              </w:rPr>
              <w:t xml:space="preserve"> zorO</w:t>
            </w:r>
            <w:r w:rsidRPr="00F33FC4">
              <w:rPr>
                <w:rFonts w:ascii="Calibri" w:hAnsi="Calibri"/>
                <w:sz w:val="22"/>
                <w:szCs w:val="22"/>
              </w:rPr>
              <w:t>-K29Q</w:t>
            </w:r>
          </w:p>
        </w:tc>
        <w:tc>
          <w:tcPr>
            <w:tcW w:w="3059" w:type="dxa"/>
            <w:vAlign w:val="center"/>
          </w:tcPr>
          <w:p w14:paraId="508F7658" w14:textId="77777777" w:rsidR="007A5817" w:rsidRPr="00F33FC4" w:rsidRDefault="007A5817" w:rsidP="007A5817">
            <w:pPr>
              <w:spacing w:line="480" w:lineRule="auto"/>
              <w:rPr>
                <w:rFonts w:ascii="Calibri" w:hAnsi="Calibri"/>
                <w:sz w:val="22"/>
                <w:szCs w:val="22"/>
              </w:rPr>
            </w:pPr>
            <w:r w:rsidRPr="00F33FC4">
              <w:rPr>
                <w:rFonts w:ascii="Calibri" w:hAnsi="Calibri"/>
                <w:sz w:val="22"/>
                <w:szCs w:val="22"/>
              </w:rPr>
              <w:t>Cm(R)</w:t>
            </w:r>
          </w:p>
        </w:tc>
        <w:tc>
          <w:tcPr>
            <w:tcW w:w="1965" w:type="dxa"/>
            <w:vAlign w:val="center"/>
          </w:tcPr>
          <w:p w14:paraId="2ABBE124" w14:textId="77777777" w:rsidR="007A5817" w:rsidRPr="00F33FC4" w:rsidRDefault="007A5817" w:rsidP="007A5817">
            <w:pPr>
              <w:spacing w:line="480" w:lineRule="auto"/>
              <w:rPr>
                <w:rFonts w:ascii="Calibri" w:hAnsi="Calibri"/>
                <w:sz w:val="22"/>
                <w:szCs w:val="22"/>
              </w:rPr>
            </w:pPr>
            <w:r w:rsidRPr="00F33FC4">
              <w:rPr>
                <w:rFonts w:ascii="Calibri" w:hAnsi="Calibri"/>
                <w:sz w:val="22"/>
                <w:szCs w:val="22"/>
              </w:rPr>
              <w:t>This study</w:t>
            </w:r>
          </w:p>
        </w:tc>
        <w:tc>
          <w:tcPr>
            <w:tcW w:w="2129" w:type="dxa"/>
          </w:tcPr>
          <w:p w14:paraId="04B8ED63" w14:textId="77777777" w:rsidR="007A5817" w:rsidRPr="00F33FC4" w:rsidRDefault="007A5817" w:rsidP="007A5817">
            <w:pPr>
              <w:spacing w:line="480" w:lineRule="auto"/>
              <w:rPr>
                <w:rFonts w:ascii="Calibri" w:hAnsi="Calibri"/>
                <w:sz w:val="22"/>
                <w:szCs w:val="22"/>
              </w:rPr>
            </w:pPr>
            <w:r w:rsidRPr="00F33FC4">
              <w:rPr>
                <w:rFonts w:ascii="Calibri" w:hAnsi="Calibri"/>
                <w:sz w:val="22"/>
                <w:szCs w:val="22"/>
              </w:rPr>
              <w:t>EF1315, EF1316</w:t>
            </w:r>
          </w:p>
        </w:tc>
      </w:tr>
      <w:tr w:rsidR="007A5817" w:rsidRPr="00F33FC4" w14:paraId="4DEFF43B" w14:textId="77777777" w:rsidTr="006408A7">
        <w:trPr>
          <w:trHeight w:val="397"/>
        </w:trPr>
        <w:tc>
          <w:tcPr>
            <w:tcW w:w="2186" w:type="dxa"/>
          </w:tcPr>
          <w:p w14:paraId="1707989A" w14:textId="77777777" w:rsidR="007A5817" w:rsidRPr="00F33FC4" w:rsidRDefault="007A5817" w:rsidP="007A5817">
            <w:pPr>
              <w:spacing w:line="480" w:lineRule="auto"/>
              <w:rPr>
                <w:rFonts w:ascii="Calibri" w:hAnsi="Calibri"/>
                <w:sz w:val="22"/>
                <w:szCs w:val="22"/>
              </w:rPr>
            </w:pPr>
            <w:r w:rsidRPr="00F33FC4">
              <w:rPr>
                <w:rFonts w:ascii="Calibri" w:hAnsi="Calibri"/>
                <w:sz w:val="22"/>
                <w:szCs w:val="22"/>
              </w:rPr>
              <w:t>pAZ3-</w:t>
            </w:r>
            <w:r w:rsidRPr="00F33FC4">
              <w:rPr>
                <w:rFonts w:ascii="Calibri" w:hAnsi="Calibri"/>
                <w:i/>
                <w:iCs/>
                <w:sz w:val="22"/>
                <w:szCs w:val="22"/>
              </w:rPr>
              <w:t>zorO</w:t>
            </w:r>
            <w:r w:rsidRPr="00F33FC4">
              <w:rPr>
                <w:rFonts w:ascii="Calibri" w:hAnsi="Calibri"/>
                <w:sz w:val="22"/>
                <w:szCs w:val="22"/>
              </w:rPr>
              <w:t>-K29E</w:t>
            </w:r>
          </w:p>
        </w:tc>
        <w:tc>
          <w:tcPr>
            <w:tcW w:w="3059" w:type="dxa"/>
            <w:vAlign w:val="center"/>
          </w:tcPr>
          <w:p w14:paraId="1975F7DB" w14:textId="77777777" w:rsidR="007A5817" w:rsidRPr="00F33FC4" w:rsidRDefault="007A5817" w:rsidP="007A5817">
            <w:pPr>
              <w:spacing w:line="480" w:lineRule="auto"/>
              <w:rPr>
                <w:rFonts w:ascii="Calibri" w:hAnsi="Calibri"/>
                <w:sz w:val="22"/>
                <w:szCs w:val="22"/>
              </w:rPr>
            </w:pPr>
            <w:r w:rsidRPr="00F33FC4">
              <w:rPr>
                <w:rFonts w:ascii="Calibri" w:hAnsi="Calibri"/>
                <w:sz w:val="22"/>
                <w:szCs w:val="22"/>
              </w:rPr>
              <w:t>Cm(R)</w:t>
            </w:r>
          </w:p>
        </w:tc>
        <w:tc>
          <w:tcPr>
            <w:tcW w:w="1965" w:type="dxa"/>
            <w:vAlign w:val="center"/>
          </w:tcPr>
          <w:p w14:paraId="5DB250F7" w14:textId="77777777" w:rsidR="007A5817" w:rsidRPr="00F33FC4" w:rsidRDefault="007A5817" w:rsidP="007A5817">
            <w:pPr>
              <w:spacing w:line="480" w:lineRule="auto"/>
              <w:rPr>
                <w:rFonts w:ascii="Calibri" w:hAnsi="Calibri"/>
                <w:sz w:val="22"/>
                <w:szCs w:val="22"/>
              </w:rPr>
            </w:pPr>
            <w:r w:rsidRPr="00F33FC4">
              <w:rPr>
                <w:rFonts w:ascii="Calibri" w:hAnsi="Calibri"/>
                <w:sz w:val="22"/>
                <w:szCs w:val="22"/>
              </w:rPr>
              <w:t>This study</w:t>
            </w:r>
          </w:p>
        </w:tc>
        <w:tc>
          <w:tcPr>
            <w:tcW w:w="2129" w:type="dxa"/>
          </w:tcPr>
          <w:p w14:paraId="1CD90DB7" w14:textId="77777777" w:rsidR="007A5817" w:rsidRPr="00F33FC4" w:rsidRDefault="007A5817" w:rsidP="007A5817">
            <w:pPr>
              <w:spacing w:line="480" w:lineRule="auto"/>
              <w:rPr>
                <w:rFonts w:ascii="Calibri" w:hAnsi="Calibri"/>
                <w:sz w:val="22"/>
                <w:szCs w:val="22"/>
              </w:rPr>
            </w:pPr>
            <w:r w:rsidRPr="00F33FC4">
              <w:rPr>
                <w:rFonts w:ascii="Calibri" w:hAnsi="Calibri"/>
                <w:sz w:val="22"/>
                <w:szCs w:val="22"/>
              </w:rPr>
              <w:t>EF1313, EF1314</w:t>
            </w:r>
          </w:p>
        </w:tc>
      </w:tr>
      <w:tr w:rsidR="007A5817" w:rsidRPr="00F33FC4" w14:paraId="44A8DDC4" w14:textId="77777777" w:rsidTr="006408A7">
        <w:trPr>
          <w:trHeight w:val="397"/>
        </w:trPr>
        <w:tc>
          <w:tcPr>
            <w:tcW w:w="2186" w:type="dxa"/>
          </w:tcPr>
          <w:p w14:paraId="0979519B" w14:textId="77777777" w:rsidR="007A5817" w:rsidRPr="00F33FC4" w:rsidRDefault="007A5817" w:rsidP="007A5817">
            <w:pPr>
              <w:spacing w:line="480" w:lineRule="auto"/>
              <w:rPr>
                <w:rFonts w:ascii="Calibri" w:hAnsi="Calibri"/>
                <w:sz w:val="22"/>
                <w:szCs w:val="22"/>
              </w:rPr>
            </w:pPr>
            <w:r w:rsidRPr="00F33FC4">
              <w:rPr>
                <w:rFonts w:ascii="Calibri" w:hAnsi="Calibri"/>
                <w:sz w:val="22"/>
                <w:szCs w:val="22"/>
              </w:rPr>
              <w:t>pBR322</w:t>
            </w:r>
          </w:p>
        </w:tc>
        <w:tc>
          <w:tcPr>
            <w:tcW w:w="3059" w:type="dxa"/>
            <w:vAlign w:val="center"/>
          </w:tcPr>
          <w:p w14:paraId="0E3C5671" w14:textId="77777777" w:rsidR="007A5817" w:rsidRPr="00F33FC4" w:rsidRDefault="007A5817" w:rsidP="007A5817">
            <w:pPr>
              <w:spacing w:line="480" w:lineRule="auto"/>
              <w:rPr>
                <w:rFonts w:ascii="Calibri" w:hAnsi="Calibri"/>
                <w:sz w:val="22"/>
                <w:szCs w:val="22"/>
              </w:rPr>
            </w:pPr>
            <w:r w:rsidRPr="00F33FC4">
              <w:rPr>
                <w:rFonts w:ascii="Calibri" w:hAnsi="Calibri"/>
                <w:sz w:val="22"/>
                <w:szCs w:val="22"/>
              </w:rPr>
              <w:t>Amp(R)</w:t>
            </w:r>
          </w:p>
        </w:tc>
        <w:tc>
          <w:tcPr>
            <w:tcW w:w="1965" w:type="dxa"/>
            <w:vAlign w:val="center"/>
          </w:tcPr>
          <w:p w14:paraId="3BCCEA31" w14:textId="77777777" w:rsidR="007A5817" w:rsidRPr="00F33FC4" w:rsidRDefault="007A5817" w:rsidP="007A5817">
            <w:pPr>
              <w:spacing w:line="480" w:lineRule="auto"/>
              <w:rPr>
                <w:rFonts w:ascii="Calibri" w:hAnsi="Calibri"/>
                <w:sz w:val="22"/>
                <w:szCs w:val="22"/>
              </w:rPr>
            </w:pPr>
            <w:r w:rsidRPr="00F33FC4">
              <w:rPr>
                <w:rFonts w:ascii="Calibri" w:hAnsi="Calibri"/>
                <w:sz w:val="22"/>
                <w:szCs w:val="22"/>
              </w:rPr>
              <w:t>(17)</w:t>
            </w:r>
          </w:p>
        </w:tc>
        <w:tc>
          <w:tcPr>
            <w:tcW w:w="2129" w:type="dxa"/>
          </w:tcPr>
          <w:p w14:paraId="3F413C08" w14:textId="77777777" w:rsidR="007A5817" w:rsidRPr="00F33FC4" w:rsidRDefault="007A5817" w:rsidP="007A5817">
            <w:pPr>
              <w:spacing w:line="480" w:lineRule="auto"/>
              <w:rPr>
                <w:rFonts w:ascii="Calibri" w:hAnsi="Calibri"/>
                <w:sz w:val="22"/>
                <w:szCs w:val="22"/>
              </w:rPr>
            </w:pPr>
          </w:p>
        </w:tc>
      </w:tr>
      <w:tr w:rsidR="007A5817" w:rsidRPr="00F33FC4" w14:paraId="306E6490" w14:textId="77777777" w:rsidTr="006408A7">
        <w:trPr>
          <w:trHeight w:val="397"/>
        </w:trPr>
        <w:tc>
          <w:tcPr>
            <w:tcW w:w="2186" w:type="dxa"/>
          </w:tcPr>
          <w:p w14:paraId="1D508065" w14:textId="77777777" w:rsidR="007A5817" w:rsidRPr="00F33FC4" w:rsidRDefault="007A5817" w:rsidP="007A5817">
            <w:pPr>
              <w:spacing w:line="480" w:lineRule="auto"/>
              <w:rPr>
                <w:rFonts w:ascii="Calibri" w:hAnsi="Calibri"/>
                <w:sz w:val="22"/>
                <w:szCs w:val="22"/>
              </w:rPr>
            </w:pPr>
            <w:proofErr w:type="spellStart"/>
            <w:r w:rsidRPr="00F33FC4">
              <w:rPr>
                <w:rFonts w:ascii="Calibri" w:hAnsi="Calibri"/>
                <w:sz w:val="22"/>
                <w:szCs w:val="22"/>
              </w:rPr>
              <w:t>pBR-</w:t>
            </w:r>
            <w:r w:rsidRPr="00F33FC4">
              <w:rPr>
                <w:rFonts w:ascii="Calibri" w:hAnsi="Calibri"/>
                <w:i/>
                <w:iCs/>
                <w:sz w:val="22"/>
                <w:szCs w:val="22"/>
              </w:rPr>
              <w:t>zor-orz</w:t>
            </w:r>
            <w:proofErr w:type="spellEnd"/>
          </w:p>
        </w:tc>
        <w:tc>
          <w:tcPr>
            <w:tcW w:w="3059" w:type="dxa"/>
            <w:vAlign w:val="center"/>
          </w:tcPr>
          <w:p w14:paraId="345A7484" w14:textId="77777777" w:rsidR="007A5817" w:rsidRPr="00F33FC4" w:rsidRDefault="007A5817" w:rsidP="007A5817">
            <w:pPr>
              <w:spacing w:line="480" w:lineRule="auto"/>
              <w:rPr>
                <w:rFonts w:ascii="Calibri" w:hAnsi="Calibri"/>
                <w:sz w:val="22"/>
                <w:szCs w:val="22"/>
              </w:rPr>
            </w:pPr>
            <w:r w:rsidRPr="00F33FC4">
              <w:rPr>
                <w:rFonts w:ascii="Calibri" w:hAnsi="Calibri"/>
                <w:sz w:val="22"/>
                <w:szCs w:val="22"/>
              </w:rPr>
              <w:t>Amp(R)</w:t>
            </w:r>
          </w:p>
        </w:tc>
        <w:tc>
          <w:tcPr>
            <w:tcW w:w="1965" w:type="dxa"/>
            <w:vAlign w:val="center"/>
          </w:tcPr>
          <w:p w14:paraId="0D34ACEB" w14:textId="77777777" w:rsidR="007A5817" w:rsidRPr="00F33FC4" w:rsidRDefault="007A5817" w:rsidP="007A5817">
            <w:pPr>
              <w:spacing w:line="480" w:lineRule="auto"/>
              <w:rPr>
                <w:rFonts w:ascii="Calibri" w:hAnsi="Calibri"/>
                <w:sz w:val="22"/>
                <w:szCs w:val="22"/>
              </w:rPr>
            </w:pPr>
            <w:r w:rsidRPr="00F33FC4">
              <w:rPr>
                <w:rFonts w:ascii="Calibri" w:hAnsi="Calibri"/>
                <w:noProof/>
                <w:sz w:val="22"/>
                <w:szCs w:val="22"/>
              </w:rPr>
              <w:t>(19)</w:t>
            </w:r>
          </w:p>
        </w:tc>
        <w:tc>
          <w:tcPr>
            <w:tcW w:w="2129" w:type="dxa"/>
          </w:tcPr>
          <w:p w14:paraId="38DA795B" w14:textId="77777777" w:rsidR="007A5817" w:rsidRPr="00F33FC4" w:rsidRDefault="007A5817" w:rsidP="007A5817">
            <w:pPr>
              <w:spacing w:line="480" w:lineRule="auto"/>
              <w:rPr>
                <w:rFonts w:ascii="Calibri" w:hAnsi="Calibri"/>
                <w:sz w:val="22"/>
                <w:szCs w:val="22"/>
              </w:rPr>
            </w:pPr>
          </w:p>
        </w:tc>
      </w:tr>
      <w:tr w:rsidR="007A5817" w:rsidRPr="00F33FC4" w14:paraId="4879C9AA" w14:textId="77777777" w:rsidTr="006408A7">
        <w:trPr>
          <w:trHeight w:val="397"/>
        </w:trPr>
        <w:tc>
          <w:tcPr>
            <w:tcW w:w="2186" w:type="dxa"/>
            <w:vAlign w:val="center"/>
          </w:tcPr>
          <w:p w14:paraId="1614AD40" w14:textId="77777777" w:rsidR="007A5817" w:rsidRPr="00F33FC4" w:rsidRDefault="007A5817" w:rsidP="007A5817">
            <w:pPr>
              <w:spacing w:line="480" w:lineRule="auto"/>
              <w:rPr>
                <w:rFonts w:ascii="Calibri" w:hAnsi="Calibri"/>
                <w:sz w:val="22"/>
                <w:szCs w:val="22"/>
              </w:rPr>
            </w:pPr>
            <w:proofErr w:type="spellStart"/>
            <w:r w:rsidRPr="00F33FC4">
              <w:rPr>
                <w:rFonts w:ascii="Calibri" w:hAnsi="Calibri"/>
                <w:sz w:val="22"/>
                <w:szCs w:val="22"/>
              </w:rPr>
              <w:t>pBR</w:t>
            </w:r>
            <w:r w:rsidRPr="00F33FC4">
              <w:rPr>
                <w:rFonts w:ascii="Calibri" w:hAnsi="Calibri"/>
                <w:i/>
                <w:iCs/>
                <w:sz w:val="22"/>
                <w:szCs w:val="22"/>
              </w:rPr>
              <w:t>-zorO-orzO</w:t>
            </w:r>
            <w:proofErr w:type="spellEnd"/>
          </w:p>
        </w:tc>
        <w:tc>
          <w:tcPr>
            <w:tcW w:w="3059" w:type="dxa"/>
            <w:vAlign w:val="center"/>
          </w:tcPr>
          <w:p w14:paraId="324727EC" w14:textId="77777777" w:rsidR="007A5817" w:rsidRPr="00F33FC4" w:rsidRDefault="007A5817" w:rsidP="007A5817">
            <w:pPr>
              <w:spacing w:line="480" w:lineRule="auto"/>
              <w:rPr>
                <w:rFonts w:ascii="Calibri" w:hAnsi="Calibri"/>
                <w:sz w:val="22"/>
                <w:szCs w:val="22"/>
              </w:rPr>
            </w:pPr>
            <w:r w:rsidRPr="00F33FC4">
              <w:rPr>
                <w:rFonts w:ascii="Calibri" w:hAnsi="Calibri"/>
                <w:sz w:val="22"/>
                <w:szCs w:val="22"/>
              </w:rPr>
              <w:t>Amp(R)</w:t>
            </w:r>
          </w:p>
        </w:tc>
        <w:tc>
          <w:tcPr>
            <w:tcW w:w="1965" w:type="dxa"/>
            <w:vAlign w:val="center"/>
          </w:tcPr>
          <w:p w14:paraId="6ED360FF" w14:textId="77777777" w:rsidR="007A5817" w:rsidRPr="00F33FC4" w:rsidRDefault="007A5817" w:rsidP="007A5817">
            <w:pPr>
              <w:spacing w:line="480" w:lineRule="auto"/>
              <w:rPr>
                <w:rFonts w:ascii="Calibri" w:hAnsi="Calibri"/>
                <w:sz w:val="22"/>
                <w:szCs w:val="22"/>
              </w:rPr>
            </w:pPr>
            <w:r w:rsidRPr="00F33FC4">
              <w:rPr>
                <w:rFonts w:ascii="Calibri" w:hAnsi="Calibri"/>
                <w:sz w:val="22"/>
                <w:szCs w:val="22"/>
              </w:rPr>
              <w:t>This study</w:t>
            </w:r>
          </w:p>
        </w:tc>
        <w:tc>
          <w:tcPr>
            <w:tcW w:w="2129" w:type="dxa"/>
            <w:vAlign w:val="center"/>
          </w:tcPr>
          <w:p w14:paraId="3E3D15CA" w14:textId="77777777" w:rsidR="007A5817" w:rsidRPr="00F33FC4" w:rsidRDefault="007A5817" w:rsidP="007A5817">
            <w:pPr>
              <w:spacing w:line="480" w:lineRule="auto"/>
              <w:rPr>
                <w:rFonts w:ascii="Calibri" w:hAnsi="Calibri"/>
                <w:sz w:val="22"/>
                <w:szCs w:val="22"/>
              </w:rPr>
            </w:pPr>
            <w:r w:rsidRPr="00F33FC4">
              <w:rPr>
                <w:rFonts w:ascii="Calibri" w:hAnsi="Calibri"/>
                <w:sz w:val="22"/>
                <w:szCs w:val="22"/>
              </w:rPr>
              <w:t>EF1835, EF1836, EF1837, EF1838</w:t>
            </w:r>
          </w:p>
        </w:tc>
      </w:tr>
      <w:tr w:rsidR="007A5817" w:rsidRPr="00F33FC4" w14:paraId="24C50C28" w14:textId="77777777" w:rsidTr="006408A7">
        <w:trPr>
          <w:trHeight w:val="397"/>
        </w:trPr>
        <w:tc>
          <w:tcPr>
            <w:tcW w:w="2186" w:type="dxa"/>
            <w:vAlign w:val="center"/>
          </w:tcPr>
          <w:p w14:paraId="033A4C16" w14:textId="77777777" w:rsidR="007A5817" w:rsidRPr="00F33FC4" w:rsidRDefault="007A5817" w:rsidP="007A5817">
            <w:pPr>
              <w:spacing w:line="480" w:lineRule="auto"/>
              <w:rPr>
                <w:rFonts w:ascii="Calibri" w:hAnsi="Calibri"/>
                <w:sz w:val="22"/>
                <w:szCs w:val="22"/>
              </w:rPr>
            </w:pPr>
            <w:proofErr w:type="spellStart"/>
            <w:r w:rsidRPr="00F33FC4">
              <w:rPr>
                <w:rFonts w:ascii="Calibri" w:hAnsi="Calibri"/>
                <w:sz w:val="22"/>
                <w:szCs w:val="22"/>
              </w:rPr>
              <w:t>pBR-</w:t>
            </w:r>
            <w:r w:rsidRPr="00F33FC4">
              <w:rPr>
                <w:rFonts w:ascii="Calibri" w:hAnsi="Calibri"/>
                <w:i/>
                <w:iCs/>
                <w:sz w:val="22"/>
                <w:szCs w:val="22"/>
              </w:rPr>
              <w:t>zorO</w:t>
            </w:r>
            <w:proofErr w:type="spellEnd"/>
            <w:r w:rsidRPr="00F33FC4">
              <w:rPr>
                <w:rFonts w:ascii="Calibri" w:hAnsi="Calibri"/>
                <w:sz w:val="22"/>
                <w:szCs w:val="22"/>
              </w:rPr>
              <w:t xml:space="preserve"> R23L</w:t>
            </w:r>
            <w:r w:rsidRPr="00F33FC4">
              <w:rPr>
                <w:rFonts w:ascii="Calibri" w:hAnsi="Calibri"/>
                <w:i/>
                <w:iCs/>
                <w:sz w:val="22"/>
                <w:szCs w:val="22"/>
              </w:rPr>
              <w:t>-orzO</w:t>
            </w:r>
          </w:p>
        </w:tc>
        <w:tc>
          <w:tcPr>
            <w:tcW w:w="3059" w:type="dxa"/>
            <w:vAlign w:val="center"/>
          </w:tcPr>
          <w:p w14:paraId="6E85ACD9" w14:textId="77777777" w:rsidR="007A5817" w:rsidRPr="00F33FC4" w:rsidRDefault="007A5817" w:rsidP="007A5817">
            <w:pPr>
              <w:spacing w:line="480" w:lineRule="auto"/>
              <w:rPr>
                <w:rFonts w:ascii="Calibri" w:hAnsi="Calibri"/>
                <w:sz w:val="22"/>
                <w:szCs w:val="22"/>
              </w:rPr>
            </w:pPr>
            <w:r w:rsidRPr="00F33FC4">
              <w:rPr>
                <w:rFonts w:ascii="Calibri" w:hAnsi="Calibri"/>
                <w:sz w:val="22"/>
                <w:szCs w:val="22"/>
              </w:rPr>
              <w:t>Amp(R)</w:t>
            </w:r>
          </w:p>
        </w:tc>
        <w:tc>
          <w:tcPr>
            <w:tcW w:w="1965" w:type="dxa"/>
            <w:vAlign w:val="center"/>
          </w:tcPr>
          <w:p w14:paraId="1944FE44" w14:textId="77777777" w:rsidR="007A5817" w:rsidRPr="00F33FC4" w:rsidRDefault="007A5817" w:rsidP="007A5817">
            <w:pPr>
              <w:spacing w:line="480" w:lineRule="auto"/>
              <w:rPr>
                <w:rFonts w:ascii="Calibri" w:hAnsi="Calibri"/>
                <w:sz w:val="22"/>
                <w:szCs w:val="22"/>
              </w:rPr>
            </w:pPr>
            <w:r w:rsidRPr="00F33FC4">
              <w:rPr>
                <w:rFonts w:ascii="Calibri" w:hAnsi="Calibri"/>
                <w:sz w:val="22"/>
                <w:szCs w:val="22"/>
              </w:rPr>
              <w:t>This study</w:t>
            </w:r>
          </w:p>
        </w:tc>
        <w:tc>
          <w:tcPr>
            <w:tcW w:w="2129" w:type="dxa"/>
            <w:vAlign w:val="center"/>
          </w:tcPr>
          <w:p w14:paraId="06DB43CF" w14:textId="77777777" w:rsidR="007A5817" w:rsidRPr="00F33FC4" w:rsidRDefault="007A5817" w:rsidP="007A5817">
            <w:pPr>
              <w:spacing w:line="480" w:lineRule="auto"/>
              <w:rPr>
                <w:rFonts w:ascii="Calibri" w:hAnsi="Calibri"/>
                <w:sz w:val="22"/>
                <w:szCs w:val="22"/>
              </w:rPr>
            </w:pPr>
            <w:r w:rsidRPr="00F33FC4">
              <w:rPr>
                <w:rFonts w:ascii="Calibri" w:hAnsi="Calibri"/>
                <w:sz w:val="22"/>
                <w:szCs w:val="22"/>
              </w:rPr>
              <w:t>EF1186, EF1187</w:t>
            </w:r>
          </w:p>
        </w:tc>
      </w:tr>
      <w:tr w:rsidR="007A5817" w:rsidRPr="00F33FC4" w14:paraId="691E3B8F" w14:textId="77777777" w:rsidTr="006408A7">
        <w:trPr>
          <w:trHeight w:val="397"/>
        </w:trPr>
        <w:tc>
          <w:tcPr>
            <w:tcW w:w="2186" w:type="dxa"/>
          </w:tcPr>
          <w:p w14:paraId="36701799" w14:textId="77777777" w:rsidR="007A5817" w:rsidRPr="00F33FC4" w:rsidRDefault="007A5817" w:rsidP="007A5817">
            <w:pPr>
              <w:spacing w:line="480" w:lineRule="auto"/>
              <w:rPr>
                <w:rFonts w:ascii="Calibri" w:hAnsi="Calibri"/>
                <w:sz w:val="22"/>
                <w:szCs w:val="22"/>
              </w:rPr>
            </w:pPr>
            <w:proofErr w:type="spellStart"/>
            <w:r w:rsidRPr="00F33FC4">
              <w:rPr>
                <w:rFonts w:ascii="Calibri" w:hAnsi="Calibri"/>
                <w:sz w:val="22"/>
                <w:szCs w:val="22"/>
              </w:rPr>
              <w:t>pBR-plac-</w:t>
            </w:r>
            <w:r w:rsidRPr="00F33FC4">
              <w:rPr>
                <w:rFonts w:ascii="Calibri" w:hAnsi="Calibri"/>
                <w:i/>
                <w:iCs/>
                <w:sz w:val="22"/>
                <w:szCs w:val="22"/>
              </w:rPr>
              <w:t>orzO</w:t>
            </w:r>
            <w:proofErr w:type="spellEnd"/>
          </w:p>
        </w:tc>
        <w:tc>
          <w:tcPr>
            <w:tcW w:w="3059" w:type="dxa"/>
            <w:vAlign w:val="center"/>
          </w:tcPr>
          <w:p w14:paraId="054623D9" w14:textId="77777777" w:rsidR="007A5817" w:rsidRPr="00F33FC4" w:rsidRDefault="007A5817" w:rsidP="007A5817">
            <w:pPr>
              <w:spacing w:line="480" w:lineRule="auto"/>
              <w:rPr>
                <w:rFonts w:ascii="Calibri" w:hAnsi="Calibri"/>
                <w:sz w:val="22"/>
                <w:szCs w:val="22"/>
              </w:rPr>
            </w:pPr>
            <w:r w:rsidRPr="00F33FC4">
              <w:rPr>
                <w:rFonts w:ascii="Calibri" w:hAnsi="Calibri"/>
                <w:sz w:val="22"/>
                <w:szCs w:val="22"/>
              </w:rPr>
              <w:t>Amp(R)</w:t>
            </w:r>
          </w:p>
        </w:tc>
        <w:tc>
          <w:tcPr>
            <w:tcW w:w="1965" w:type="dxa"/>
            <w:vAlign w:val="center"/>
          </w:tcPr>
          <w:p w14:paraId="6ED9F872" w14:textId="77777777" w:rsidR="007A5817" w:rsidRPr="00F33FC4" w:rsidRDefault="007A5817" w:rsidP="007A5817">
            <w:pPr>
              <w:spacing w:line="480" w:lineRule="auto"/>
              <w:rPr>
                <w:rFonts w:ascii="Calibri" w:hAnsi="Calibri"/>
                <w:sz w:val="22"/>
                <w:szCs w:val="22"/>
              </w:rPr>
            </w:pPr>
            <w:r w:rsidRPr="00F33FC4">
              <w:rPr>
                <w:rFonts w:ascii="Calibri" w:hAnsi="Calibri"/>
                <w:noProof/>
                <w:sz w:val="22"/>
                <w:szCs w:val="22"/>
              </w:rPr>
              <w:t>(17)</w:t>
            </w:r>
          </w:p>
        </w:tc>
        <w:tc>
          <w:tcPr>
            <w:tcW w:w="2129" w:type="dxa"/>
          </w:tcPr>
          <w:p w14:paraId="3B1D2B98" w14:textId="77777777" w:rsidR="007A5817" w:rsidRPr="00F33FC4" w:rsidRDefault="007A5817" w:rsidP="007A5817">
            <w:pPr>
              <w:spacing w:line="480" w:lineRule="auto"/>
              <w:rPr>
                <w:rFonts w:ascii="Calibri" w:hAnsi="Calibri"/>
                <w:sz w:val="22"/>
                <w:szCs w:val="22"/>
              </w:rPr>
            </w:pPr>
          </w:p>
        </w:tc>
      </w:tr>
      <w:tr w:rsidR="007A5817" w:rsidRPr="00F33FC4" w14:paraId="46A29881" w14:textId="77777777" w:rsidTr="006408A7">
        <w:trPr>
          <w:trHeight w:val="397"/>
        </w:trPr>
        <w:tc>
          <w:tcPr>
            <w:tcW w:w="2186" w:type="dxa"/>
          </w:tcPr>
          <w:p w14:paraId="47DFD8E1" w14:textId="77777777" w:rsidR="007A5817" w:rsidRPr="00F33FC4" w:rsidRDefault="007A5817" w:rsidP="007A5817">
            <w:pPr>
              <w:spacing w:line="480" w:lineRule="auto"/>
              <w:rPr>
                <w:rFonts w:ascii="Calibri" w:hAnsi="Calibri"/>
                <w:sz w:val="22"/>
                <w:szCs w:val="22"/>
              </w:rPr>
            </w:pPr>
            <w:proofErr w:type="spellStart"/>
            <w:r w:rsidRPr="00F33FC4">
              <w:rPr>
                <w:rFonts w:ascii="Calibri" w:hAnsi="Calibri"/>
                <w:sz w:val="22"/>
                <w:szCs w:val="22"/>
              </w:rPr>
              <w:t>pBR-</w:t>
            </w:r>
            <w:r w:rsidRPr="00F33FC4">
              <w:rPr>
                <w:rFonts w:ascii="Calibri" w:hAnsi="Calibri"/>
                <w:i/>
                <w:iCs/>
                <w:sz w:val="22"/>
                <w:szCs w:val="22"/>
              </w:rPr>
              <w:t>zorO</w:t>
            </w:r>
            <w:proofErr w:type="spellEnd"/>
          </w:p>
        </w:tc>
        <w:tc>
          <w:tcPr>
            <w:tcW w:w="3059" w:type="dxa"/>
            <w:vAlign w:val="center"/>
          </w:tcPr>
          <w:p w14:paraId="71901A35" w14:textId="77777777" w:rsidR="007A5817" w:rsidRPr="00F33FC4" w:rsidRDefault="007A5817" w:rsidP="007A5817">
            <w:pPr>
              <w:spacing w:line="480" w:lineRule="auto"/>
              <w:rPr>
                <w:rFonts w:ascii="Calibri" w:hAnsi="Calibri"/>
                <w:sz w:val="22"/>
                <w:szCs w:val="22"/>
              </w:rPr>
            </w:pPr>
            <w:r w:rsidRPr="00F33FC4">
              <w:rPr>
                <w:rFonts w:ascii="Calibri" w:hAnsi="Calibri"/>
                <w:sz w:val="22"/>
                <w:szCs w:val="22"/>
              </w:rPr>
              <w:t>Amp(R)</w:t>
            </w:r>
          </w:p>
        </w:tc>
        <w:tc>
          <w:tcPr>
            <w:tcW w:w="1965" w:type="dxa"/>
            <w:vAlign w:val="center"/>
          </w:tcPr>
          <w:p w14:paraId="404A67BA" w14:textId="77777777" w:rsidR="007A5817" w:rsidRPr="00F33FC4" w:rsidRDefault="007A5817" w:rsidP="007A5817">
            <w:pPr>
              <w:spacing w:line="480" w:lineRule="auto"/>
              <w:rPr>
                <w:rFonts w:ascii="Calibri" w:hAnsi="Calibri"/>
                <w:sz w:val="22"/>
                <w:szCs w:val="22"/>
              </w:rPr>
            </w:pPr>
            <w:r w:rsidRPr="00F33FC4">
              <w:rPr>
                <w:rFonts w:ascii="Calibri" w:hAnsi="Calibri"/>
                <w:noProof/>
                <w:sz w:val="22"/>
                <w:szCs w:val="22"/>
              </w:rPr>
              <w:t>(19)</w:t>
            </w:r>
          </w:p>
        </w:tc>
        <w:tc>
          <w:tcPr>
            <w:tcW w:w="2129" w:type="dxa"/>
          </w:tcPr>
          <w:p w14:paraId="017A29CF" w14:textId="77777777" w:rsidR="007A5817" w:rsidRPr="00F33FC4" w:rsidRDefault="007A5817" w:rsidP="007A5817">
            <w:pPr>
              <w:spacing w:line="480" w:lineRule="auto"/>
              <w:rPr>
                <w:rFonts w:ascii="Calibri" w:hAnsi="Calibri"/>
                <w:sz w:val="22"/>
                <w:szCs w:val="22"/>
              </w:rPr>
            </w:pPr>
          </w:p>
        </w:tc>
      </w:tr>
      <w:tr w:rsidR="007A5817" w:rsidRPr="00F33FC4" w14:paraId="3B54E0B8" w14:textId="77777777" w:rsidTr="006408A7">
        <w:trPr>
          <w:trHeight w:val="397"/>
        </w:trPr>
        <w:tc>
          <w:tcPr>
            <w:tcW w:w="2186" w:type="dxa"/>
            <w:tcBorders>
              <w:bottom w:val="single" w:sz="4" w:space="0" w:color="auto"/>
            </w:tcBorders>
          </w:tcPr>
          <w:p w14:paraId="66C17071" w14:textId="77777777" w:rsidR="007A5817" w:rsidRPr="00F33FC4" w:rsidRDefault="007A5817" w:rsidP="007A5817">
            <w:pPr>
              <w:spacing w:line="480" w:lineRule="auto"/>
              <w:rPr>
                <w:rFonts w:ascii="Calibri" w:hAnsi="Calibri"/>
                <w:sz w:val="22"/>
                <w:szCs w:val="22"/>
              </w:rPr>
            </w:pPr>
            <w:r w:rsidRPr="00F33FC4">
              <w:rPr>
                <w:rFonts w:ascii="Calibri" w:hAnsi="Calibri"/>
                <w:sz w:val="22"/>
                <w:szCs w:val="22"/>
              </w:rPr>
              <w:t>pBR-Δ28-FLAG-</w:t>
            </w:r>
            <w:r w:rsidRPr="00F33FC4">
              <w:rPr>
                <w:rFonts w:ascii="Calibri" w:hAnsi="Calibri"/>
                <w:i/>
                <w:iCs/>
                <w:sz w:val="22"/>
                <w:szCs w:val="22"/>
              </w:rPr>
              <w:t>zorO</w:t>
            </w:r>
          </w:p>
        </w:tc>
        <w:tc>
          <w:tcPr>
            <w:tcW w:w="3059" w:type="dxa"/>
            <w:tcBorders>
              <w:bottom w:val="single" w:sz="4" w:space="0" w:color="auto"/>
            </w:tcBorders>
            <w:vAlign w:val="center"/>
          </w:tcPr>
          <w:p w14:paraId="260393B7" w14:textId="77777777" w:rsidR="007A5817" w:rsidRPr="00F33FC4" w:rsidRDefault="007A5817" w:rsidP="007A5817">
            <w:pPr>
              <w:spacing w:line="480" w:lineRule="auto"/>
              <w:rPr>
                <w:rFonts w:ascii="Calibri" w:hAnsi="Calibri"/>
                <w:sz w:val="22"/>
                <w:szCs w:val="22"/>
              </w:rPr>
            </w:pPr>
            <w:r w:rsidRPr="00F33FC4">
              <w:rPr>
                <w:rFonts w:ascii="Calibri" w:hAnsi="Calibri"/>
                <w:sz w:val="22"/>
                <w:szCs w:val="22"/>
              </w:rPr>
              <w:t>Amp(R)</w:t>
            </w:r>
          </w:p>
        </w:tc>
        <w:tc>
          <w:tcPr>
            <w:tcW w:w="1965" w:type="dxa"/>
            <w:tcBorders>
              <w:bottom w:val="single" w:sz="4" w:space="0" w:color="auto"/>
            </w:tcBorders>
            <w:vAlign w:val="center"/>
          </w:tcPr>
          <w:p w14:paraId="7246A633" w14:textId="77777777" w:rsidR="007A5817" w:rsidRPr="00F33FC4" w:rsidRDefault="007A5817" w:rsidP="007A5817">
            <w:pPr>
              <w:spacing w:line="480" w:lineRule="auto"/>
              <w:rPr>
                <w:rFonts w:ascii="Calibri" w:hAnsi="Calibri"/>
                <w:sz w:val="22"/>
                <w:szCs w:val="22"/>
              </w:rPr>
            </w:pPr>
            <w:r w:rsidRPr="00F33FC4">
              <w:rPr>
                <w:rFonts w:ascii="Calibri" w:hAnsi="Calibri"/>
                <w:sz w:val="22"/>
                <w:szCs w:val="22"/>
              </w:rPr>
              <w:t>This study</w:t>
            </w:r>
          </w:p>
        </w:tc>
        <w:tc>
          <w:tcPr>
            <w:tcW w:w="2129" w:type="dxa"/>
            <w:tcBorders>
              <w:bottom w:val="single" w:sz="4" w:space="0" w:color="auto"/>
            </w:tcBorders>
          </w:tcPr>
          <w:p w14:paraId="1B62E0C0" w14:textId="77777777" w:rsidR="007A5817" w:rsidRPr="00F33FC4" w:rsidRDefault="007A5817" w:rsidP="007A5817">
            <w:pPr>
              <w:spacing w:line="480" w:lineRule="auto"/>
              <w:rPr>
                <w:rFonts w:ascii="Calibri" w:hAnsi="Calibri"/>
                <w:sz w:val="22"/>
                <w:szCs w:val="22"/>
              </w:rPr>
            </w:pPr>
            <w:r w:rsidRPr="00F33FC4">
              <w:rPr>
                <w:rFonts w:ascii="Calibri" w:hAnsi="Calibri"/>
                <w:sz w:val="22"/>
                <w:szCs w:val="22"/>
              </w:rPr>
              <w:t>EF1836, EF1839, EF1837, EF1840</w:t>
            </w:r>
          </w:p>
        </w:tc>
      </w:tr>
    </w:tbl>
    <w:p w14:paraId="423DCACF" w14:textId="77777777" w:rsidR="00F33FC4" w:rsidRPr="00F33FC4" w:rsidRDefault="00F33FC4" w:rsidP="00F33FC4">
      <w:pPr>
        <w:rPr>
          <w:rFonts w:eastAsia="MS Mincho"/>
        </w:rPr>
      </w:pPr>
      <w:r w:rsidRPr="00F33FC4">
        <w:rPr>
          <w:rFonts w:eastAsia="MS Mincho"/>
        </w:rPr>
        <w:br w:type="page"/>
      </w:r>
    </w:p>
    <w:p w14:paraId="579A4A7A" w14:textId="77777777" w:rsidR="00F33FC4" w:rsidRPr="00F33FC4" w:rsidRDefault="00F33FC4" w:rsidP="00F33FC4">
      <w:pPr>
        <w:rPr>
          <w:rFonts w:eastAsia="MS Mincho"/>
        </w:rPr>
      </w:pPr>
    </w:p>
    <w:tbl>
      <w:tblPr>
        <w:tblpPr w:leftFromText="180" w:rightFromText="180" w:vertAnchor="text" w:horzAnchor="margin" w:tblpY="931"/>
        <w:tblOverlap w:val="never"/>
        <w:tblW w:w="9351" w:type="dxa"/>
        <w:tblLayout w:type="fixed"/>
        <w:tblLook w:val="04A0" w:firstRow="1" w:lastRow="0" w:firstColumn="1" w:lastColumn="0" w:noHBand="0" w:noVBand="1"/>
      </w:tblPr>
      <w:tblGrid>
        <w:gridCol w:w="1271"/>
        <w:gridCol w:w="8080"/>
      </w:tblGrid>
      <w:tr w:rsidR="00F33FC4" w:rsidRPr="004B738B" w14:paraId="41CDCA58" w14:textId="77777777" w:rsidTr="006408A7">
        <w:trPr>
          <w:trHeight w:val="320"/>
        </w:trPr>
        <w:tc>
          <w:tcPr>
            <w:tcW w:w="1271" w:type="dxa"/>
            <w:tcBorders>
              <w:top w:val="single" w:sz="4" w:space="0" w:color="auto"/>
              <w:bottom w:val="single" w:sz="4" w:space="0" w:color="auto"/>
            </w:tcBorders>
            <w:shd w:val="clear" w:color="auto" w:fill="auto"/>
            <w:noWrap/>
            <w:vAlign w:val="center"/>
          </w:tcPr>
          <w:p w14:paraId="55281E02" w14:textId="77777777" w:rsidR="00F33FC4" w:rsidRPr="004B738B" w:rsidRDefault="00F33FC4" w:rsidP="00F33FC4">
            <w:pPr>
              <w:spacing w:line="480" w:lineRule="auto"/>
              <w:jc w:val="center"/>
              <w:rPr>
                <w:rFonts w:eastAsia="MS Mincho"/>
                <w:color w:val="000000"/>
                <w:sz w:val="22"/>
                <w:szCs w:val="22"/>
              </w:rPr>
            </w:pPr>
            <w:r w:rsidRPr="004B738B">
              <w:rPr>
                <w:rFonts w:eastAsia="MS Mincho"/>
                <w:color w:val="000000"/>
                <w:sz w:val="22"/>
                <w:szCs w:val="22"/>
              </w:rPr>
              <w:t>Name</w:t>
            </w:r>
          </w:p>
        </w:tc>
        <w:tc>
          <w:tcPr>
            <w:tcW w:w="8080" w:type="dxa"/>
            <w:tcBorders>
              <w:top w:val="single" w:sz="4" w:space="0" w:color="auto"/>
              <w:bottom w:val="single" w:sz="4" w:space="0" w:color="auto"/>
            </w:tcBorders>
            <w:shd w:val="clear" w:color="auto" w:fill="auto"/>
            <w:noWrap/>
            <w:vAlign w:val="center"/>
          </w:tcPr>
          <w:p w14:paraId="7F141DF2" w14:textId="77777777" w:rsidR="00F33FC4" w:rsidRPr="004B738B" w:rsidRDefault="00F33FC4" w:rsidP="00F33FC4">
            <w:pPr>
              <w:spacing w:line="480" w:lineRule="auto"/>
              <w:jc w:val="center"/>
              <w:rPr>
                <w:rFonts w:eastAsia="MS Mincho"/>
                <w:color w:val="000000"/>
                <w:sz w:val="22"/>
                <w:szCs w:val="22"/>
              </w:rPr>
            </w:pPr>
            <w:r w:rsidRPr="004B738B">
              <w:rPr>
                <w:rFonts w:eastAsia="MS Mincho"/>
                <w:color w:val="000000"/>
                <w:sz w:val="22"/>
                <w:szCs w:val="22"/>
              </w:rPr>
              <w:t>Oligonucleotide sequence, 5’</w:t>
            </w:r>
            <w:r w:rsidRPr="004B738B">
              <w:rPr>
                <w:rFonts w:eastAsia="MS Mincho"/>
                <w:color w:val="000000"/>
                <w:sz w:val="22"/>
                <w:szCs w:val="22"/>
              </w:rPr>
              <w:sym w:font="Wingdings" w:char="F0E0"/>
            </w:r>
            <w:r w:rsidRPr="004B738B">
              <w:rPr>
                <w:rFonts w:eastAsia="MS Mincho"/>
                <w:color w:val="000000"/>
                <w:sz w:val="22"/>
                <w:szCs w:val="22"/>
              </w:rPr>
              <w:t>3’</w:t>
            </w:r>
          </w:p>
        </w:tc>
      </w:tr>
      <w:tr w:rsidR="00F33FC4" w:rsidRPr="004B738B" w14:paraId="41B0E977" w14:textId="77777777" w:rsidTr="006408A7">
        <w:trPr>
          <w:trHeight w:val="320"/>
        </w:trPr>
        <w:tc>
          <w:tcPr>
            <w:tcW w:w="1271" w:type="dxa"/>
            <w:tcBorders>
              <w:top w:val="single" w:sz="4" w:space="0" w:color="auto"/>
            </w:tcBorders>
            <w:shd w:val="clear" w:color="auto" w:fill="auto"/>
            <w:noWrap/>
            <w:vAlign w:val="center"/>
            <w:hideMark/>
          </w:tcPr>
          <w:p w14:paraId="0ED86E82" w14:textId="77777777" w:rsidR="00F33FC4" w:rsidRPr="004B738B" w:rsidRDefault="00F33FC4" w:rsidP="00F33FC4">
            <w:pPr>
              <w:spacing w:line="480" w:lineRule="auto"/>
              <w:rPr>
                <w:rFonts w:eastAsia="MS Mincho"/>
                <w:color w:val="000000"/>
                <w:sz w:val="22"/>
                <w:szCs w:val="22"/>
              </w:rPr>
            </w:pPr>
            <w:r w:rsidRPr="004B738B">
              <w:rPr>
                <w:rFonts w:eastAsia="MS Mincho"/>
                <w:color w:val="000000"/>
                <w:sz w:val="22"/>
                <w:szCs w:val="22"/>
              </w:rPr>
              <w:t>EF1217</w:t>
            </w:r>
          </w:p>
        </w:tc>
        <w:tc>
          <w:tcPr>
            <w:tcW w:w="8080" w:type="dxa"/>
            <w:tcBorders>
              <w:top w:val="single" w:sz="4" w:space="0" w:color="auto"/>
            </w:tcBorders>
            <w:shd w:val="clear" w:color="auto" w:fill="auto"/>
            <w:noWrap/>
            <w:vAlign w:val="center"/>
            <w:hideMark/>
          </w:tcPr>
          <w:p w14:paraId="20143138" w14:textId="77777777" w:rsidR="00F33FC4" w:rsidRPr="004B738B" w:rsidRDefault="00F33FC4" w:rsidP="00F33FC4">
            <w:pPr>
              <w:spacing w:line="480" w:lineRule="auto"/>
              <w:rPr>
                <w:rFonts w:eastAsia="MS Mincho"/>
                <w:color w:val="000000"/>
                <w:sz w:val="22"/>
                <w:szCs w:val="22"/>
              </w:rPr>
            </w:pPr>
            <w:r w:rsidRPr="004B738B">
              <w:rPr>
                <w:rFonts w:eastAsia="MS Mincho"/>
                <w:color w:val="000000"/>
                <w:sz w:val="22"/>
                <w:szCs w:val="22"/>
              </w:rPr>
              <w:t>GAGTTATTAGTGGCTCTGTTAGAGTTGATTGATTTGTTGAAGTAAC</w:t>
            </w:r>
          </w:p>
        </w:tc>
      </w:tr>
      <w:tr w:rsidR="00F33FC4" w:rsidRPr="004B738B" w14:paraId="0EF73047" w14:textId="77777777" w:rsidTr="006408A7">
        <w:trPr>
          <w:trHeight w:val="320"/>
        </w:trPr>
        <w:tc>
          <w:tcPr>
            <w:tcW w:w="1271" w:type="dxa"/>
            <w:shd w:val="clear" w:color="auto" w:fill="auto"/>
            <w:noWrap/>
            <w:vAlign w:val="center"/>
            <w:hideMark/>
          </w:tcPr>
          <w:p w14:paraId="3AF955F1" w14:textId="77777777" w:rsidR="00F33FC4" w:rsidRPr="004B738B" w:rsidRDefault="00F33FC4" w:rsidP="00F33FC4">
            <w:pPr>
              <w:spacing w:line="480" w:lineRule="auto"/>
              <w:rPr>
                <w:rFonts w:eastAsia="MS Mincho"/>
                <w:color w:val="000000"/>
                <w:sz w:val="22"/>
                <w:szCs w:val="22"/>
              </w:rPr>
            </w:pPr>
            <w:r w:rsidRPr="004B738B">
              <w:rPr>
                <w:rFonts w:eastAsia="MS Mincho"/>
                <w:color w:val="000000"/>
                <w:sz w:val="22"/>
                <w:szCs w:val="22"/>
              </w:rPr>
              <w:t>EF1218</w:t>
            </w:r>
          </w:p>
        </w:tc>
        <w:tc>
          <w:tcPr>
            <w:tcW w:w="8080" w:type="dxa"/>
            <w:shd w:val="clear" w:color="auto" w:fill="auto"/>
            <w:noWrap/>
            <w:vAlign w:val="center"/>
            <w:hideMark/>
          </w:tcPr>
          <w:p w14:paraId="0A62E4FB" w14:textId="77777777" w:rsidR="00F33FC4" w:rsidRPr="004B738B" w:rsidRDefault="00F33FC4" w:rsidP="00F33FC4">
            <w:pPr>
              <w:spacing w:line="480" w:lineRule="auto"/>
              <w:rPr>
                <w:rFonts w:eastAsia="MS Mincho"/>
                <w:color w:val="000000"/>
                <w:sz w:val="22"/>
                <w:szCs w:val="22"/>
              </w:rPr>
            </w:pPr>
            <w:r w:rsidRPr="004B738B">
              <w:rPr>
                <w:rFonts w:eastAsia="MS Mincho"/>
                <w:color w:val="000000"/>
                <w:sz w:val="22"/>
                <w:szCs w:val="22"/>
              </w:rPr>
              <w:t>GTTACTTCAACAAATCAATCAACTCTAACAGAGCCACTAATAACTC</w:t>
            </w:r>
          </w:p>
        </w:tc>
      </w:tr>
      <w:tr w:rsidR="00F33FC4" w:rsidRPr="004B738B" w14:paraId="58248A54" w14:textId="77777777" w:rsidTr="006408A7">
        <w:trPr>
          <w:trHeight w:val="320"/>
        </w:trPr>
        <w:tc>
          <w:tcPr>
            <w:tcW w:w="1271" w:type="dxa"/>
            <w:shd w:val="clear" w:color="auto" w:fill="auto"/>
            <w:noWrap/>
            <w:vAlign w:val="center"/>
            <w:hideMark/>
          </w:tcPr>
          <w:p w14:paraId="3C03C505" w14:textId="77777777" w:rsidR="00F33FC4" w:rsidRPr="004B738B" w:rsidRDefault="00F33FC4" w:rsidP="00F33FC4">
            <w:pPr>
              <w:spacing w:line="480" w:lineRule="auto"/>
              <w:rPr>
                <w:rFonts w:eastAsia="MS Mincho"/>
                <w:color w:val="000000"/>
                <w:sz w:val="22"/>
                <w:szCs w:val="22"/>
              </w:rPr>
            </w:pPr>
            <w:r w:rsidRPr="004B738B">
              <w:rPr>
                <w:rFonts w:eastAsia="MS Mincho"/>
                <w:color w:val="000000"/>
                <w:sz w:val="22"/>
                <w:szCs w:val="22"/>
              </w:rPr>
              <w:t>EF1309</w:t>
            </w:r>
          </w:p>
        </w:tc>
        <w:tc>
          <w:tcPr>
            <w:tcW w:w="8080" w:type="dxa"/>
            <w:shd w:val="clear" w:color="auto" w:fill="auto"/>
            <w:noWrap/>
            <w:vAlign w:val="center"/>
            <w:hideMark/>
          </w:tcPr>
          <w:p w14:paraId="77AA379D" w14:textId="77777777" w:rsidR="00F33FC4" w:rsidRPr="004B738B" w:rsidRDefault="00F33FC4" w:rsidP="00F33FC4">
            <w:pPr>
              <w:spacing w:line="480" w:lineRule="auto"/>
              <w:rPr>
                <w:rFonts w:eastAsia="MS Mincho"/>
                <w:color w:val="000000"/>
                <w:sz w:val="22"/>
                <w:szCs w:val="22"/>
              </w:rPr>
            </w:pPr>
            <w:r w:rsidRPr="004B738B">
              <w:rPr>
                <w:rFonts w:eastAsia="MS Mincho"/>
                <w:color w:val="000000"/>
                <w:sz w:val="22"/>
                <w:szCs w:val="22"/>
              </w:rPr>
              <w:t>GTGGCTCTGTTACGGTTGATTAAGTTGTTGAAGTAACGGGCAAATTG</w:t>
            </w:r>
          </w:p>
        </w:tc>
      </w:tr>
      <w:tr w:rsidR="00F33FC4" w:rsidRPr="004B738B" w14:paraId="1B62AE95" w14:textId="77777777" w:rsidTr="006408A7">
        <w:trPr>
          <w:trHeight w:val="320"/>
        </w:trPr>
        <w:tc>
          <w:tcPr>
            <w:tcW w:w="1271" w:type="dxa"/>
            <w:shd w:val="clear" w:color="auto" w:fill="auto"/>
            <w:noWrap/>
            <w:vAlign w:val="center"/>
            <w:hideMark/>
          </w:tcPr>
          <w:p w14:paraId="0CDBA1F1" w14:textId="77777777" w:rsidR="00F33FC4" w:rsidRPr="004B738B" w:rsidRDefault="00F33FC4" w:rsidP="00F33FC4">
            <w:pPr>
              <w:spacing w:line="480" w:lineRule="auto"/>
              <w:rPr>
                <w:rFonts w:eastAsia="MS Mincho"/>
                <w:color w:val="000000"/>
                <w:sz w:val="22"/>
                <w:szCs w:val="22"/>
              </w:rPr>
            </w:pPr>
            <w:r w:rsidRPr="004B738B">
              <w:rPr>
                <w:rFonts w:eastAsia="MS Mincho"/>
                <w:color w:val="000000"/>
                <w:sz w:val="22"/>
                <w:szCs w:val="22"/>
              </w:rPr>
              <w:t>EF1310</w:t>
            </w:r>
          </w:p>
        </w:tc>
        <w:tc>
          <w:tcPr>
            <w:tcW w:w="8080" w:type="dxa"/>
            <w:shd w:val="clear" w:color="auto" w:fill="auto"/>
            <w:noWrap/>
            <w:vAlign w:val="center"/>
            <w:hideMark/>
          </w:tcPr>
          <w:p w14:paraId="60E063D4" w14:textId="77777777" w:rsidR="00F33FC4" w:rsidRPr="004B738B" w:rsidRDefault="00F33FC4" w:rsidP="00F33FC4">
            <w:pPr>
              <w:spacing w:line="480" w:lineRule="auto"/>
              <w:rPr>
                <w:rFonts w:eastAsia="MS Mincho"/>
                <w:color w:val="000000"/>
                <w:sz w:val="22"/>
                <w:szCs w:val="22"/>
              </w:rPr>
            </w:pPr>
            <w:r w:rsidRPr="004B738B">
              <w:rPr>
                <w:rFonts w:eastAsia="MS Mincho"/>
                <w:color w:val="000000"/>
                <w:sz w:val="22"/>
                <w:szCs w:val="22"/>
              </w:rPr>
              <w:t>CAATTTGCCCGTTACTTCAACAACTTAATCAACCGTAACAGAGCCAC</w:t>
            </w:r>
          </w:p>
        </w:tc>
      </w:tr>
      <w:tr w:rsidR="00F33FC4" w:rsidRPr="004B738B" w14:paraId="6C0DA3CA" w14:textId="77777777" w:rsidTr="006408A7">
        <w:trPr>
          <w:trHeight w:val="320"/>
        </w:trPr>
        <w:tc>
          <w:tcPr>
            <w:tcW w:w="1271" w:type="dxa"/>
            <w:shd w:val="clear" w:color="auto" w:fill="auto"/>
            <w:noWrap/>
            <w:vAlign w:val="center"/>
            <w:hideMark/>
          </w:tcPr>
          <w:p w14:paraId="33D0598E" w14:textId="77777777" w:rsidR="00F33FC4" w:rsidRPr="004B738B" w:rsidRDefault="00F33FC4" w:rsidP="00F33FC4">
            <w:pPr>
              <w:spacing w:line="480" w:lineRule="auto"/>
              <w:rPr>
                <w:rFonts w:eastAsia="MS Mincho"/>
                <w:color w:val="000000"/>
                <w:sz w:val="22"/>
                <w:szCs w:val="22"/>
              </w:rPr>
            </w:pPr>
            <w:r w:rsidRPr="004B738B">
              <w:rPr>
                <w:rFonts w:eastAsia="MS Mincho"/>
                <w:color w:val="000000"/>
                <w:sz w:val="22"/>
                <w:szCs w:val="22"/>
              </w:rPr>
              <w:t>EF1311</w:t>
            </w:r>
          </w:p>
        </w:tc>
        <w:tc>
          <w:tcPr>
            <w:tcW w:w="8080" w:type="dxa"/>
            <w:shd w:val="clear" w:color="auto" w:fill="auto"/>
            <w:noWrap/>
            <w:vAlign w:val="center"/>
            <w:hideMark/>
          </w:tcPr>
          <w:p w14:paraId="5B0864BE" w14:textId="77777777" w:rsidR="00F33FC4" w:rsidRPr="004B738B" w:rsidRDefault="00F33FC4" w:rsidP="00F33FC4">
            <w:pPr>
              <w:spacing w:line="480" w:lineRule="auto"/>
              <w:rPr>
                <w:rFonts w:eastAsia="MS Mincho"/>
                <w:color w:val="000000"/>
                <w:sz w:val="22"/>
                <w:szCs w:val="22"/>
              </w:rPr>
            </w:pPr>
            <w:r w:rsidRPr="004B738B">
              <w:rPr>
                <w:rFonts w:eastAsia="MS Mincho"/>
                <w:color w:val="000000"/>
                <w:sz w:val="22"/>
                <w:szCs w:val="22"/>
              </w:rPr>
              <w:t>GTGGCTCTGTTACGGTTGATTAATTTGTTGAAGTAACGGGCAAATTG</w:t>
            </w:r>
          </w:p>
        </w:tc>
      </w:tr>
      <w:tr w:rsidR="00F33FC4" w:rsidRPr="004B738B" w14:paraId="79BF2D78" w14:textId="77777777" w:rsidTr="006408A7">
        <w:trPr>
          <w:trHeight w:val="320"/>
        </w:trPr>
        <w:tc>
          <w:tcPr>
            <w:tcW w:w="1271" w:type="dxa"/>
            <w:shd w:val="clear" w:color="auto" w:fill="auto"/>
            <w:noWrap/>
            <w:vAlign w:val="center"/>
            <w:hideMark/>
          </w:tcPr>
          <w:p w14:paraId="62516342" w14:textId="77777777" w:rsidR="00F33FC4" w:rsidRPr="004B738B" w:rsidRDefault="00F33FC4" w:rsidP="00F33FC4">
            <w:pPr>
              <w:spacing w:line="480" w:lineRule="auto"/>
              <w:rPr>
                <w:rFonts w:eastAsia="MS Mincho"/>
                <w:color w:val="000000"/>
                <w:sz w:val="22"/>
                <w:szCs w:val="22"/>
              </w:rPr>
            </w:pPr>
            <w:r w:rsidRPr="004B738B">
              <w:rPr>
                <w:rFonts w:eastAsia="MS Mincho"/>
                <w:color w:val="000000"/>
                <w:sz w:val="22"/>
                <w:szCs w:val="22"/>
              </w:rPr>
              <w:t>EF1312</w:t>
            </w:r>
          </w:p>
        </w:tc>
        <w:tc>
          <w:tcPr>
            <w:tcW w:w="8080" w:type="dxa"/>
            <w:shd w:val="clear" w:color="auto" w:fill="auto"/>
            <w:noWrap/>
            <w:vAlign w:val="center"/>
            <w:hideMark/>
          </w:tcPr>
          <w:p w14:paraId="6759C3F3" w14:textId="77777777" w:rsidR="00F33FC4" w:rsidRPr="004B738B" w:rsidRDefault="00F33FC4" w:rsidP="00F33FC4">
            <w:pPr>
              <w:spacing w:line="480" w:lineRule="auto"/>
              <w:rPr>
                <w:rFonts w:eastAsia="MS Mincho"/>
                <w:color w:val="000000"/>
                <w:sz w:val="22"/>
                <w:szCs w:val="22"/>
              </w:rPr>
            </w:pPr>
            <w:r w:rsidRPr="004B738B">
              <w:rPr>
                <w:rFonts w:eastAsia="MS Mincho"/>
                <w:color w:val="000000"/>
                <w:sz w:val="22"/>
                <w:szCs w:val="22"/>
              </w:rPr>
              <w:t>CAATTTGCCCGTTACTTCAACAAATTAATCAACCGTAACAGAGCCAC</w:t>
            </w:r>
          </w:p>
        </w:tc>
      </w:tr>
      <w:tr w:rsidR="00F33FC4" w:rsidRPr="004B738B" w14:paraId="6DDDD4BB" w14:textId="77777777" w:rsidTr="006408A7">
        <w:trPr>
          <w:trHeight w:val="320"/>
        </w:trPr>
        <w:tc>
          <w:tcPr>
            <w:tcW w:w="1271" w:type="dxa"/>
            <w:shd w:val="clear" w:color="auto" w:fill="auto"/>
            <w:noWrap/>
            <w:vAlign w:val="center"/>
            <w:hideMark/>
          </w:tcPr>
          <w:p w14:paraId="36405FE3" w14:textId="77777777" w:rsidR="00F33FC4" w:rsidRPr="004B738B" w:rsidRDefault="00F33FC4" w:rsidP="00F33FC4">
            <w:pPr>
              <w:spacing w:line="480" w:lineRule="auto"/>
              <w:rPr>
                <w:rFonts w:eastAsia="MS Mincho"/>
                <w:color w:val="000000"/>
                <w:sz w:val="22"/>
                <w:szCs w:val="22"/>
              </w:rPr>
            </w:pPr>
            <w:r w:rsidRPr="004B738B">
              <w:rPr>
                <w:rFonts w:eastAsia="MS Mincho"/>
                <w:color w:val="000000"/>
                <w:sz w:val="22"/>
                <w:szCs w:val="22"/>
              </w:rPr>
              <w:t>EF1313</w:t>
            </w:r>
          </w:p>
        </w:tc>
        <w:tc>
          <w:tcPr>
            <w:tcW w:w="8080" w:type="dxa"/>
            <w:shd w:val="clear" w:color="auto" w:fill="auto"/>
            <w:noWrap/>
            <w:vAlign w:val="center"/>
            <w:hideMark/>
          </w:tcPr>
          <w:p w14:paraId="5EAB54B7" w14:textId="77777777" w:rsidR="00F33FC4" w:rsidRPr="004B738B" w:rsidRDefault="00F33FC4" w:rsidP="00F33FC4">
            <w:pPr>
              <w:spacing w:line="480" w:lineRule="auto"/>
              <w:rPr>
                <w:rFonts w:eastAsia="MS Mincho"/>
                <w:color w:val="000000"/>
                <w:sz w:val="22"/>
                <w:szCs w:val="22"/>
              </w:rPr>
            </w:pPr>
            <w:r w:rsidRPr="004B738B">
              <w:rPr>
                <w:rFonts w:eastAsia="MS Mincho"/>
                <w:color w:val="000000"/>
                <w:sz w:val="22"/>
                <w:szCs w:val="22"/>
              </w:rPr>
              <w:t>CTGTTACGGTTGATTGATTTGTTGGAGTAACGGGCAAATTGAAACGCATC</w:t>
            </w:r>
          </w:p>
        </w:tc>
      </w:tr>
      <w:tr w:rsidR="00F33FC4" w:rsidRPr="004B738B" w14:paraId="259AAB55" w14:textId="77777777" w:rsidTr="006408A7">
        <w:trPr>
          <w:trHeight w:val="320"/>
        </w:trPr>
        <w:tc>
          <w:tcPr>
            <w:tcW w:w="1271" w:type="dxa"/>
            <w:shd w:val="clear" w:color="auto" w:fill="auto"/>
            <w:noWrap/>
            <w:vAlign w:val="center"/>
            <w:hideMark/>
          </w:tcPr>
          <w:p w14:paraId="72370B7B" w14:textId="77777777" w:rsidR="00F33FC4" w:rsidRPr="004B738B" w:rsidRDefault="00F33FC4" w:rsidP="00F33FC4">
            <w:pPr>
              <w:spacing w:line="480" w:lineRule="auto"/>
              <w:rPr>
                <w:rFonts w:eastAsia="MS Mincho"/>
                <w:color w:val="000000"/>
                <w:sz w:val="22"/>
                <w:szCs w:val="22"/>
              </w:rPr>
            </w:pPr>
            <w:r w:rsidRPr="004B738B">
              <w:rPr>
                <w:rFonts w:eastAsia="MS Mincho"/>
                <w:color w:val="000000"/>
                <w:sz w:val="22"/>
                <w:szCs w:val="22"/>
              </w:rPr>
              <w:t>EF1314</w:t>
            </w:r>
          </w:p>
        </w:tc>
        <w:tc>
          <w:tcPr>
            <w:tcW w:w="8080" w:type="dxa"/>
            <w:shd w:val="clear" w:color="auto" w:fill="auto"/>
            <w:noWrap/>
            <w:vAlign w:val="center"/>
            <w:hideMark/>
          </w:tcPr>
          <w:p w14:paraId="44C07022" w14:textId="77777777" w:rsidR="00F33FC4" w:rsidRPr="004B738B" w:rsidRDefault="00F33FC4" w:rsidP="00F33FC4">
            <w:pPr>
              <w:spacing w:line="480" w:lineRule="auto"/>
              <w:rPr>
                <w:rFonts w:eastAsia="MS Mincho"/>
                <w:color w:val="000000"/>
                <w:sz w:val="22"/>
                <w:szCs w:val="22"/>
              </w:rPr>
            </w:pPr>
            <w:r w:rsidRPr="004B738B">
              <w:rPr>
                <w:rFonts w:eastAsia="MS Mincho"/>
                <w:color w:val="000000"/>
                <w:sz w:val="22"/>
                <w:szCs w:val="22"/>
              </w:rPr>
              <w:t>GATGCGTTTCAATTTGCCCGTTACTCCAACAAATCAATCAACCGTAACAG</w:t>
            </w:r>
          </w:p>
        </w:tc>
      </w:tr>
      <w:tr w:rsidR="00F33FC4" w:rsidRPr="004B738B" w14:paraId="6DA9E74B" w14:textId="77777777" w:rsidTr="006408A7">
        <w:trPr>
          <w:trHeight w:val="320"/>
        </w:trPr>
        <w:tc>
          <w:tcPr>
            <w:tcW w:w="1271" w:type="dxa"/>
            <w:shd w:val="clear" w:color="auto" w:fill="auto"/>
            <w:noWrap/>
            <w:vAlign w:val="center"/>
            <w:hideMark/>
          </w:tcPr>
          <w:p w14:paraId="39ABB3B2" w14:textId="77777777" w:rsidR="00F33FC4" w:rsidRPr="004B738B" w:rsidRDefault="00F33FC4" w:rsidP="00F33FC4">
            <w:pPr>
              <w:spacing w:line="480" w:lineRule="auto"/>
              <w:rPr>
                <w:rFonts w:eastAsia="MS Mincho"/>
                <w:color w:val="000000"/>
                <w:sz w:val="22"/>
                <w:szCs w:val="22"/>
              </w:rPr>
            </w:pPr>
            <w:r w:rsidRPr="004B738B">
              <w:rPr>
                <w:rFonts w:eastAsia="MS Mincho"/>
                <w:color w:val="000000"/>
                <w:sz w:val="22"/>
                <w:szCs w:val="22"/>
              </w:rPr>
              <w:t>EF1315</w:t>
            </w:r>
          </w:p>
        </w:tc>
        <w:tc>
          <w:tcPr>
            <w:tcW w:w="8080" w:type="dxa"/>
            <w:shd w:val="clear" w:color="auto" w:fill="auto"/>
            <w:noWrap/>
            <w:vAlign w:val="center"/>
            <w:hideMark/>
          </w:tcPr>
          <w:p w14:paraId="0B198903" w14:textId="77777777" w:rsidR="00F33FC4" w:rsidRPr="004B738B" w:rsidRDefault="00F33FC4" w:rsidP="00F33FC4">
            <w:pPr>
              <w:spacing w:line="480" w:lineRule="auto"/>
              <w:rPr>
                <w:rFonts w:eastAsia="MS Mincho"/>
                <w:color w:val="000000"/>
                <w:sz w:val="22"/>
                <w:szCs w:val="22"/>
              </w:rPr>
            </w:pPr>
            <w:r w:rsidRPr="004B738B">
              <w:rPr>
                <w:rFonts w:eastAsia="MS Mincho"/>
                <w:color w:val="000000"/>
                <w:sz w:val="22"/>
                <w:szCs w:val="22"/>
              </w:rPr>
              <w:t>CTGTTACGGTTGATTGATTTGTTGCAGTAACGGGCAAATTGAAACGCATC</w:t>
            </w:r>
          </w:p>
        </w:tc>
      </w:tr>
      <w:tr w:rsidR="00F33FC4" w:rsidRPr="004B738B" w14:paraId="731021BE" w14:textId="77777777" w:rsidTr="006408A7">
        <w:trPr>
          <w:trHeight w:val="320"/>
        </w:trPr>
        <w:tc>
          <w:tcPr>
            <w:tcW w:w="1271" w:type="dxa"/>
            <w:shd w:val="clear" w:color="auto" w:fill="auto"/>
            <w:noWrap/>
            <w:vAlign w:val="center"/>
            <w:hideMark/>
          </w:tcPr>
          <w:p w14:paraId="2A1B12B9" w14:textId="77777777" w:rsidR="00F33FC4" w:rsidRPr="004B738B" w:rsidRDefault="00F33FC4" w:rsidP="00F33FC4">
            <w:pPr>
              <w:spacing w:line="480" w:lineRule="auto"/>
              <w:rPr>
                <w:rFonts w:eastAsia="MS Mincho"/>
                <w:color w:val="000000"/>
                <w:sz w:val="22"/>
                <w:szCs w:val="22"/>
              </w:rPr>
            </w:pPr>
            <w:r w:rsidRPr="004B738B">
              <w:rPr>
                <w:rFonts w:eastAsia="MS Mincho"/>
                <w:color w:val="000000"/>
                <w:sz w:val="22"/>
                <w:szCs w:val="22"/>
              </w:rPr>
              <w:t>EF1316</w:t>
            </w:r>
          </w:p>
        </w:tc>
        <w:tc>
          <w:tcPr>
            <w:tcW w:w="8080" w:type="dxa"/>
            <w:shd w:val="clear" w:color="auto" w:fill="auto"/>
            <w:noWrap/>
            <w:vAlign w:val="center"/>
            <w:hideMark/>
          </w:tcPr>
          <w:p w14:paraId="6BA9FB07" w14:textId="77777777" w:rsidR="00F33FC4" w:rsidRPr="004B738B" w:rsidRDefault="00F33FC4" w:rsidP="00F33FC4">
            <w:pPr>
              <w:spacing w:line="480" w:lineRule="auto"/>
              <w:rPr>
                <w:rFonts w:eastAsia="MS Mincho"/>
                <w:color w:val="000000"/>
                <w:sz w:val="22"/>
                <w:szCs w:val="22"/>
              </w:rPr>
            </w:pPr>
            <w:r w:rsidRPr="004B738B">
              <w:rPr>
                <w:rFonts w:eastAsia="MS Mincho"/>
                <w:color w:val="000000"/>
                <w:sz w:val="22"/>
                <w:szCs w:val="22"/>
              </w:rPr>
              <w:t>GATGCGTTTCAATTTGCCCGTTACTGCAACAAATCAATCAACCGTAACAG</w:t>
            </w:r>
          </w:p>
        </w:tc>
      </w:tr>
      <w:tr w:rsidR="00F33FC4" w:rsidRPr="004B738B" w14:paraId="7E2AC7D6" w14:textId="77777777" w:rsidTr="006408A7">
        <w:trPr>
          <w:trHeight w:val="320"/>
        </w:trPr>
        <w:tc>
          <w:tcPr>
            <w:tcW w:w="1271" w:type="dxa"/>
            <w:shd w:val="clear" w:color="auto" w:fill="auto"/>
            <w:noWrap/>
            <w:vAlign w:val="center"/>
            <w:hideMark/>
          </w:tcPr>
          <w:p w14:paraId="4CEB6CEF" w14:textId="77777777" w:rsidR="00F33FC4" w:rsidRPr="004B738B" w:rsidRDefault="00F33FC4" w:rsidP="00F33FC4">
            <w:pPr>
              <w:spacing w:line="480" w:lineRule="auto"/>
              <w:rPr>
                <w:rFonts w:eastAsia="MS Mincho"/>
                <w:color w:val="000000"/>
                <w:sz w:val="22"/>
                <w:szCs w:val="22"/>
              </w:rPr>
            </w:pPr>
            <w:r w:rsidRPr="004B738B">
              <w:rPr>
                <w:rFonts w:eastAsia="MS Mincho"/>
                <w:color w:val="000000"/>
                <w:sz w:val="22"/>
                <w:szCs w:val="22"/>
              </w:rPr>
              <w:t>EF1574</w:t>
            </w:r>
          </w:p>
        </w:tc>
        <w:tc>
          <w:tcPr>
            <w:tcW w:w="8080" w:type="dxa"/>
            <w:shd w:val="clear" w:color="auto" w:fill="auto"/>
            <w:noWrap/>
            <w:vAlign w:val="center"/>
            <w:hideMark/>
          </w:tcPr>
          <w:p w14:paraId="7EBEF0DA" w14:textId="77777777" w:rsidR="00F33FC4" w:rsidRPr="004B738B" w:rsidRDefault="00F33FC4" w:rsidP="00F33FC4">
            <w:pPr>
              <w:spacing w:line="480" w:lineRule="auto"/>
              <w:rPr>
                <w:rFonts w:eastAsia="MS Mincho"/>
                <w:color w:val="000000"/>
                <w:sz w:val="22"/>
                <w:szCs w:val="22"/>
              </w:rPr>
            </w:pPr>
            <w:r w:rsidRPr="004B738B">
              <w:rPr>
                <w:rFonts w:eastAsia="MS Mincho"/>
                <w:color w:val="000000"/>
                <w:sz w:val="22"/>
                <w:szCs w:val="22"/>
              </w:rPr>
              <w:t>GATTATAAAGATGATGATGATAAAAAGACGCTGACACAAAAGTTAACCGTG</w:t>
            </w:r>
          </w:p>
        </w:tc>
      </w:tr>
      <w:tr w:rsidR="00F33FC4" w:rsidRPr="004B738B" w14:paraId="653F2352" w14:textId="77777777" w:rsidTr="006408A7">
        <w:trPr>
          <w:trHeight w:val="320"/>
        </w:trPr>
        <w:tc>
          <w:tcPr>
            <w:tcW w:w="1271" w:type="dxa"/>
            <w:shd w:val="clear" w:color="auto" w:fill="auto"/>
            <w:noWrap/>
            <w:vAlign w:val="center"/>
            <w:hideMark/>
          </w:tcPr>
          <w:p w14:paraId="4A416BA1" w14:textId="77777777" w:rsidR="00F33FC4" w:rsidRPr="004B738B" w:rsidRDefault="00F33FC4" w:rsidP="00F33FC4">
            <w:pPr>
              <w:spacing w:line="480" w:lineRule="auto"/>
              <w:rPr>
                <w:rFonts w:eastAsia="MS Mincho"/>
                <w:color w:val="000000"/>
                <w:sz w:val="22"/>
                <w:szCs w:val="22"/>
              </w:rPr>
            </w:pPr>
            <w:r w:rsidRPr="004B738B">
              <w:rPr>
                <w:rFonts w:eastAsia="MS Mincho"/>
                <w:color w:val="000000"/>
                <w:sz w:val="22"/>
                <w:szCs w:val="22"/>
              </w:rPr>
              <w:t>EF1575</w:t>
            </w:r>
          </w:p>
        </w:tc>
        <w:tc>
          <w:tcPr>
            <w:tcW w:w="8080" w:type="dxa"/>
            <w:shd w:val="clear" w:color="auto" w:fill="auto"/>
            <w:noWrap/>
            <w:vAlign w:val="center"/>
            <w:hideMark/>
          </w:tcPr>
          <w:p w14:paraId="4ACAE850" w14:textId="77777777" w:rsidR="00F33FC4" w:rsidRPr="004B738B" w:rsidRDefault="00F33FC4" w:rsidP="00F33FC4">
            <w:pPr>
              <w:spacing w:line="480" w:lineRule="auto"/>
              <w:rPr>
                <w:rFonts w:eastAsia="MS Mincho"/>
                <w:color w:val="000000"/>
                <w:sz w:val="22"/>
                <w:szCs w:val="22"/>
              </w:rPr>
            </w:pPr>
            <w:r w:rsidRPr="004B738B">
              <w:rPr>
                <w:rFonts w:eastAsia="MS Mincho"/>
                <w:color w:val="000000"/>
                <w:sz w:val="22"/>
                <w:szCs w:val="22"/>
              </w:rPr>
              <w:t>CACGGTTAACTTTTGTGTCAGCGTCTTTTTATCATCATCATCTTTATAATC</w:t>
            </w:r>
          </w:p>
        </w:tc>
      </w:tr>
      <w:tr w:rsidR="00F33FC4" w:rsidRPr="004B738B" w14:paraId="2F88CA14" w14:textId="77777777" w:rsidTr="006408A7">
        <w:trPr>
          <w:trHeight w:val="320"/>
        </w:trPr>
        <w:tc>
          <w:tcPr>
            <w:tcW w:w="1271" w:type="dxa"/>
            <w:shd w:val="clear" w:color="auto" w:fill="auto"/>
            <w:noWrap/>
            <w:vAlign w:val="center"/>
            <w:hideMark/>
          </w:tcPr>
          <w:p w14:paraId="423AEDF6" w14:textId="77777777" w:rsidR="00F33FC4" w:rsidRPr="004B738B" w:rsidRDefault="00F33FC4" w:rsidP="00F33FC4">
            <w:pPr>
              <w:spacing w:line="480" w:lineRule="auto"/>
              <w:rPr>
                <w:rFonts w:eastAsia="MS Mincho"/>
                <w:color w:val="000000"/>
                <w:sz w:val="22"/>
                <w:szCs w:val="22"/>
              </w:rPr>
            </w:pPr>
            <w:r w:rsidRPr="004B738B">
              <w:rPr>
                <w:rFonts w:eastAsia="MS Mincho"/>
                <w:color w:val="000000"/>
                <w:sz w:val="22"/>
                <w:szCs w:val="22"/>
              </w:rPr>
              <w:t>EF1576</w:t>
            </w:r>
          </w:p>
        </w:tc>
        <w:tc>
          <w:tcPr>
            <w:tcW w:w="8080" w:type="dxa"/>
            <w:shd w:val="clear" w:color="auto" w:fill="auto"/>
            <w:noWrap/>
            <w:vAlign w:val="center"/>
            <w:hideMark/>
          </w:tcPr>
          <w:p w14:paraId="69C7C2CB" w14:textId="77777777" w:rsidR="00F33FC4" w:rsidRPr="004B738B" w:rsidRDefault="00F33FC4" w:rsidP="00F33FC4">
            <w:pPr>
              <w:spacing w:line="480" w:lineRule="auto"/>
              <w:rPr>
                <w:rFonts w:eastAsia="MS Mincho"/>
                <w:color w:val="000000"/>
                <w:sz w:val="22"/>
                <w:szCs w:val="22"/>
              </w:rPr>
            </w:pPr>
            <w:r w:rsidRPr="004B738B">
              <w:rPr>
                <w:rFonts w:eastAsia="MS Mincho"/>
                <w:color w:val="000000"/>
                <w:sz w:val="22"/>
                <w:szCs w:val="22"/>
              </w:rPr>
              <w:t>GATTATAAAGATGATGATGATAAAAACACGCTGACACAAAAGTTAACCGTG</w:t>
            </w:r>
          </w:p>
        </w:tc>
      </w:tr>
      <w:tr w:rsidR="00F33FC4" w:rsidRPr="004B738B" w14:paraId="57E405EA" w14:textId="77777777" w:rsidTr="006408A7">
        <w:trPr>
          <w:trHeight w:val="320"/>
        </w:trPr>
        <w:tc>
          <w:tcPr>
            <w:tcW w:w="1271" w:type="dxa"/>
            <w:shd w:val="clear" w:color="auto" w:fill="auto"/>
            <w:noWrap/>
            <w:vAlign w:val="center"/>
            <w:hideMark/>
          </w:tcPr>
          <w:p w14:paraId="2DBD1D0F" w14:textId="77777777" w:rsidR="00F33FC4" w:rsidRPr="004B738B" w:rsidRDefault="00F33FC4" w:rsidP="00F33FC4">
            <w:pPr>
              <w:spacing w:line="480" w:lineRule="auto"/>
              <w:rPr>
                <w:rFonts w:eastAsia="MS Mincho"/>
                <w:color w:val="000000"/>
                <w:sz w:val="22"/>
                <w:szCs w:val="22"/>
              </w:rPr>
            </w:pPr>
            <w:r w:rsidRPr="004B738B">
              <w:rPr>
                <w:rFonts w:eastAsia="MS Mincho"/>
                <w:color w:val="000000"/>
                <w:sz w:val="22"/>
                <w:szCs w:val="22"/>
              </w:rPr>
              <w:t>EF1577</w:t>
            </w:r>
          </w:p>
        </w:tc>
        <w:tc>
          <w:tcPr>
            <w:tcW w:w="8080" w:type="dxa"/>
            <w:shd w:val="clear" w:color="auto" w:fill="auto"/>
            <w:noWrap/>
            <w:vAlign w:val="center"/>
            <w:hideMark/>
          </w:tcPr>
          <w:p w14:paraId="4B10A057" w14:textId="77777777" w:rsidR="00F33FC4" w:rsidRPr="004B738B" w:rsidRDefault="00F33FC4" w:rsidP="00F33FC4">
            <w:pPr>
              <w:spacing w:line="480" w:lineRule="auto"/>
              <w:rPr>
                <w:rFonts w:eastAsia="MS Mincho"/>
                <w:color w:val="000000"/>
                <w:sz w:val="22"/>
                <w:szCs w:val="22"/>
              </w:rPr>
            </w:pPr>
            <w:r w:rsidRPr="004B738B">
              <w:rPr>
                <w:rFonts w:eastAsia="MS Mincho"/>
                <w:color w:val="000000"/>
                <w:sz w:val="22"/>
                <w:szCs w:val="22"/>
              </w:rPr>
              <w:t>CACGGTTAACTTTTGTGTCAGCGTGTTTTTATCATCATCATCTTTATAATC</w:t>
            </w:r>
          </w:p>
        </w:tc>
      </w:tr>
      <w:tr w:rsidR="00F33FC4" w:rsidRPr="004B738B" w14:paraId="4C1EB385" w14:textId="77777777" w:rsidTr="006408A7">
        <w:trPr>
          <w:trHeight w:val="320"/>
        </w:trPr>
        <w:tc>
          <w:tcPr>
            <w:tcW w:w="1271" w:type="dxa"/>
            <w:shd w:val="clear" w:color="auto" w:fill="auto"/>
            <w:noWrap/>
            <w:vAlign w:val="center"/>
            <w:hideMark/>
          </w:tcPr>
          <w:p w14:paraId="61C3D9D1" w14:textId="77777777" w:rsidR="00F33FC4" w:rsidRPr="004B738B" w:rsidRDefault="00F33FC4" w:rsidP="00F33FC4">
            <w:pPr>
              <w:spacing w:line="480" w:lineRule="auto"/>
              <w:rPr>
                <w:rFonts w:eastAsia="MS Mincho"/>
                <w:color w:val="000000"/>
                <w:sz w:val="22"/>
                <w:szCs w:val="22"/>
              </w:rPr>
            </w:pPr>
            <w:r w:rsidRPr="004B738B">
              <w:rPr>
                <w:rFonts w:eastAsia="MS Mincho"/>
                <w:color w:val="000000"/>
                <w:sz w:val="22"/>
                <w:szCs w:val="22"/>
              </w:rPr>
              <w:t>EF1578</w:t>
            </w:r>
          </w:p>
        </w:tc>
        <w:tc>
          <w:tcPr>
            <w:tcW w:w="8080" w:type="dxa"/>
            <w:shd w:val="clear" w:color="auto" w:fill="auto"/>
            <w:noWrap/>
            <w:vAlign w:val="center"/>
            <w:hideMark/>
          </w:tcPr>
          <w:p w14:paraId="318811C6" w14:textId="77777777" w:rsidR="00F33FC4" w:rsidRPr="004B738B" w:rsidRDefault="00F33FC4" w:rsidP="00F33FC4">
            <w:pPr>
              <w:spacing w:line="480" w:lineRule="auto"/>
              <w:rPr>
                <w:rFonts w:eastAsia="MS Mincho"/>
                <w:color w:val="000000"/>
                <w:sz w:val="22"/>
                <w:szCs w:val="22"/>
              </w:rPr>
            </w:pPr>
            <w:r w:rsidRPr="004B738B">
              <w:rPr>
                <w:rFonts w:eastAsia="MS Mincho"/>
                <w:color w:val="000000"/>
                <w:sz w:val="22"/>
                <w:szCs w:val="22"/>
              </w:rPr>
              <w:t>GATGATAAAGACACGCTGACACAAGAGTTAACCGTGCTCATTGCCGTACTG</w:t>
            </w:r>
          </w:p>
        </w:tc>
      </w:tr>
      <w:tr w:rsidR="00F33FC4" w:rsidRPr="004B738B" w14:paraId="03CAC37B" w14:textId="77777777" w:rsidTr="006408A7">
        <w:trPr>
          <w:trHeight w:val="320"/>
        </w:trPr>
        <w:tc>
          <w:tcPr>
            <w:tcW w:w="1271" w:type="dxa"/>
            <w:shd w:val="clear" w:color="auto" w:fill="auto"/>
            <w:noWrap/>
            <w:vAlign w:val="center"/>
            <w:hideMark/>
          </w:tcPr>
          <w:p w14:paraId="50D9BFF2" w14:textId="77777777" w:rsidR="00F33FC4" w:rsidRPr="004B738B" w:rsidRDefault="00F33FC4" w:rsidP="00F33FC4">
            <w:pPr>
              <w:spacing w:line="480" w:lineRule="auto"/>
              <w:rPr>
                <w:rFonts w:eastAsia="MS Mincho"/>
                <w:color w:val="000000"/>
                <w:sz w:val="22"/>
                <w:szCs w:val="22"/>
              </w:rPr>
            </w:pPr>
            <w:r w:rsidRPr="004B738B">
              <w:rPr>
                <w:rFonts w:eastAsia="MS Mincho"/>
                <w:color w:val="000000"/>
                <w:sz w:val="22"/>
                <w:szCs w:val="22"/>
              </w:rPr>
              <w:t>EF1579</w:t>
            </w:r>
          </w:p>
        </w:tc>
        <w:tc>
          <w:tcPr>
            <w:tcW w:w="8080" w:type="dxa"/>
            <w:shd w:val="clear" w:color="auto" w:fill="auto"/>
            <w:noWrap/>
            <w:vAlign w:val="center"/>
            <w:hideMark/>
          </w:tcPr>
          <w:p w14:paraId="4CA57D75" w14:textId="77777777" w:rsidR="00F33FC4" w:rsidRPr="004B738B" w:rsidRDefault="00F33FC4" w:rsidP="00F33FC4">
            <w:pPr>
              <w:spacing w:line="480" w:lineRule="auto"/>
              <w:rPr>
                <w:rFonts w:eastAsia="MS Mincho"/>
                <w:color w:val="000000"/>
                <w:sz w:val="22"/>
                <w:szCs w:val="22"/>
              </w:rPr>
            </w:pPr>
            <w:r w:rsidRPr="004B738B">
              <w:rPr>
                <w:rFonts w:eastAsia="MS Mincho"/>
                <w:color w:val="000000"/>
                <w:sz w:val="22"/>
                <w:szCs w:val="22"/>
              </w:rPr>
              <w:t>CAGTACGGCAATGAGCACGGTTAACTCTTGTGTCAGCGTGTCTTTATCATC</w:t>
            </w:r>
          </w:p>
        </w:tc>
      </w:tr>
      <w:tr w:rsidR="00F33FC4" w:rsidRPr="004B738B" w14:paraId="373B0F07" w14:textId="77777777" w:rsidTr="006408A7">
        <w:trPr>
          <w:trHeight w:val="320"/>
        </w:trPr>
        <w:tc>
          <w:tcPr>
            <w:tcW w:w="1271" w:type="dxa"/>
            <w:shd w:val="clear" w:color="auto" w:fill="auto"/>
            <w:noWrap/>
            <w:vAlign w:val="center"/>
            <w:hideMark/>
          </w:tcPr>
          <w:p w14:paraId="14B9EE39" w14:textId="77777777" w:rsidR="00F33FC4" w:rsidRPr="004B738B" w:rsidRDefault="00F33FC4" w:rsidP="00F33FC4">
            <w:pPr>
              <w:spacing w:line="480" w:lineRule="auto"/>
              <w:rPr>
                <w:rFonts w:eastAsia="MS Mincho"/>
                <w:color w:val="000000"/>
                <w:sz w:val="22"/>
                <w:szCs w:val="22"/>
              </w:rPr>
            </w:pPr>
            <w:r w:rsidRPr="004B738B">
              <w:rPr>
                <w:rFonts w:eastAsia="MS Mincho"/>
                <w:color w:val="000000"/>
                <w:sz w:val="22"/>
                <w:szCs w:val="22"/>
              </w:rPr>
              <w:t>EF1580</w:t>
            </w:r>
          </w:p>
        </w:tc>
        <w:tc>
          <w:tcPr>
            <w:tcW w:w="8080" w:type="dxa"/>
            <w:shd w:val="clear" w:color="auto" w:fill="auto"/>
            <w:noWrap/>
            <w:vAlign w:val="center"/>
            <w:hideMark/>
          </w:tcPr>
          <w:p w14:paraId="3BF4BE73" w14:textId="77777777" w:rsidR="00F33FC4" w:rsidRPr="004B738B" w:rsidRDefault="00F33FC4" w:rsidP="00F33FC4">
            <w:pPr>
              <w:spacing w:line="480" w:lineRule="auto"/>
              <w:rPr>
                <w:rFonts w:eastAsia="MS Mincho"/>
                <w:color w:val="000000"/>
                <w:sz w:val="22"/>
                <w:szCs w:val="22"/>
              </w:rPr>
            </w:pPr>
            <w:r w:rsidRPr="004B738B">
              <w:rPr>
                <w:rFonts w:eastAsia="MS Mincho"/>
                <w:color w:val="000000"/>
                <w:sz w:val="22"/>
                <w:szCs w:val="22"/>
              </w:rPr>
              <w:t>GATGATAAAGACACGCTGACACAACAGTTAACCGTGCTCATTGCCGTACTG</w:t>
            </w:r>
          </w:p>
        </w:tc>
      </w:tr>
      <w:tr w:rsidR="00F33FC4" w:rsidRPr="004B738B" w14:paraId="190D93B3" w14:textId="77777777" w:rsidTr="006408A7">
        <w:trPr>
          <w:trHeight w:val="320"/>
        </w:trPr>
        <w:tc>
          <w:tcPr>
            <w:tcW w:w="1271" w:type="dxa"/>
            <w:shd w:val="clear" w:color="auto" w:fill="auto"/>
            <w:noWrap/>
            <w:vAlign w:val="center"/>
            <w:hideMark/>
          </w:tcPr>
          <w:p w14:paraId="6FBC63CB" w14:textId="77777777" w:rsidR="00F33FC4" w:rsidRPr="004B738B" w:rsidRDefault="00F33FC4" w:rsidP="00F33FC4">
            <w:pPr>
              <w:spacing w:line="480" w:lineRule="auto"/>
              <w:rPr>
                <w:rFonts w:eastAsia="MS Mincho"/>
                <w:color w:val="000000"/>
                <w:sz w:val="22"/>
                <w:szCs w:val="22"/>
              </w:rPr>
            </w:pPr>
            <w:r w:rsidRPr="004B738B">
              <w:rPr>
                <w:rFonts w:eastAsia="MS Mincho"/>
                <w:color w:val="000000"/>
                <w:sz w:val="22"/>
                <w:szCs w:val="22"/>
              </w:rPr>
              <w:t>EF1581</w:t>
            </w:r>
          </w:p>
        </w:tc>
        <w:tc>
          <w:tcPr>
            <w:tcW w:w="8080" w:type="dxa"/>
            <w:shd w:val="clear" w:color="auto" w:fill="auto"/>
            <w:noWrap/>
            <w:vAlign w:val="center"/>
            <w:hideMark/>
          </w:tcPr>
          <w:p w14:paraId="294D644C" w14:textId="77777777" w:rsidR="00F33FC4" w:rsidRPr="004B738B" w:rsidRDefault="00F33FC4" w:rsidP="00F33FC4">
            <w:pPr>
              <w:spacing w:line="480" w:lineRule="auto"/>
              <w:rPr>
                <w:rFonts w:eastAsia="MS Mincho"/>
                <w:color w:val="000000"/>
                <w:sz w:val="22"/>
                <w:szCs w:val="22"/>
              </w:rPr>
            </w:pPr>
            <w:r w:rsidRPr="004B738B">
              <w:rPr>
                <w:rFonts w:eastAsia="MS Mincho"/>
                <w:color w:val="000000"/>
                <w:sz w:val="22"/>
                <w:szCs w:val="22"/>
              </w:rPr>
              <w:t>CAGTACGGCAATGAGCACGGTTAACTGTTGTGTCAGCGTGTCTTTATCATC</w:t>
            </w:r>
          </w:p>
        </w:tc>
      </w:tr>
      <w:tr w:rsidR="00F33FC4" w:rsidRPr="004B738B" w14:paraId="15CD50EF" w14:textId="77777777" w:rsidTr="006408A7">
        <w:trPr>
          <w:trHeight w:val="320"/>
        </w:trPr>
        <w:tc>
          <w:tcPr>
            <w:tcW w:w="1271" w:type="dxa"/>
            <w:tcBorders>
              <w:bottom w:val="single" w:sz="4" w:space="0" w:color="auto"/>
            </w:tcBorders>
            <w:shd w:val="clear" w:color="auto" w:fill="auto"/>
            <w:noWrap/>
            <w:vAlign w:val="center"/>
            <w:hideMark/>
          </w:tcPr>
          <w:p w14:paraId="38E7F692" w14:textId="77777777" w:rsidR="00F33FC4" w:rsidRPr="004B738B" w:rsidRDefault="00F33FC4" w:rsidP="00F33FC4">
            <w:pPr>
              <w:spacing w:line="480" w:lineRule="auto"/>
              <w:rPr>
                <w:rFonts w:eastAsia="MS Mincho"/>
                <w:color w:val="000000"/>
                <w:sz w:val="22"/>
                <w:szCs w:val="22"/>
              </w:rPr>
            </w:pPr>
            <w:r w:rsidRPr="004B738B">
              <w:rPr>
                <w:rFonts w:eastAsia="MS Mincho"/>
                <w:color w:val="000000"/>
                <w:sz w:val="22"/>
                <w:szCs w:val="22"/>
              </w:rPr>
              <w:t>EF1835</w:t>
            </w:r>
          </w:p>
        </w:tc>
        <w:tc>
          <w:tcPr>
            <w:tcW w:w="8080" w:type="dxa"/>
            <w:tcBorders>
              <w:bottom w:val="single" w:sz="4" w:space="0" w:color="auto"/>
            </w:tcBorders>
            <w:shd w:val="clear" w:color="auto" w:fill="auto"/>
            <w:noWrap/>
            <w:vAlign w:val="center"/>
            <w:hideMark/>
          </w:tcPr>
          <w:p w14:paraId="35EB0FE3" w14:textId="77777777" w:rsidR="00F33FC4" w:rsidRPr="004B738B" w:rsidRDefault="00F33FC4" w:rsidP="00F33FC4">
            <w:pPr>
              <w:spacing w:line="480" w:lineRule="auto"/>
              <w:rPr>
                <w:rFonts w:eastAsia="MS Mincho"/>
                <w:color w:val="000000"/>
                <w:sz w:val="22"/>
                <w:szCs w:val="22"/>
              </w:rPr>
            </w:pPr>
            <w:r w:rsidRPr="004B738B">
              <w:rPr>
                <w:rFonts w:eastAsia="MS Mincho"/>
                <w:color w:val="000000"/>
                <w:sz w:val="22"/>
                <w:szCs w:val="22"/>
              </w:rPr>
              <w:t>CATCGTCATCCTCGGCACCGTCCATCGATTTTATATTCAACGC</w:t>
            </w:r>
          </w:p>
        </w:tc>
      </w:tr>
    </w:tbl>
    <w:p w14:paraId="00A68FA9" w14:textId="77777777" w:rsidR="00F33FC4" w:rsidRPr="00F33FC4" w:rsidRDefault="00F33FC4" w:rsidP="00F33FC4">
      <w:pPr>
        <w:keepNext/>
        <w:spacing w:after="200" w:line="360" w:lineRule="auto"/>
        <w:rPr>
          <w:rFonts w:eastAsia="MS Mincho"/>
          <w:color w:val="000000"/>
          <w:sz w:val="22"/>
          <w:szCs w:val="22"/>
        </w:rPr>
      </w:pPr>
      <w:r w:rsidRPr="00F33FC4">
        <w:rPr>
          <w:rFonts w:eastAsia="MS Mincho"/>
          <w:color w:val="000000"/>
          <w:sz w:val="22"/>
          <w:szCs w:val="22"/>
        </w:rPr>
        <w:t>Table 4.2. Oligonucleotides used in this study</w:t>
      </w:r>
    </w:p>
    <w:p w14:paraId="10E1E7AA" w14:textId="77777777" w:rsidR="00F33FC4" w:rsidRPr="00F33FC4" w:rsidRDefault="00F33FC4" w:rsidP="00F33FC4">
      <w:pPr>
        <w:rPr>
          <w:rFonts w:ascii="Calibri" w:eastAsia="MS Mincho" w:hAnsi="Calibri" w:cs="Mangal"/>
        </w:rPr>
      </w:pPr>
    </w:p>
    <w:p w14:paraId="4581311C" w14:textId="77777777" w:rsidR="00F33FC4" w:rsidRPr="00F33FC4" w:rsidRDefault="00F33FC4" w:rsidP="00F33FC4">
      <w:pPr>
        <w:spacing w:line="360" w:lineRule="auto"/>
        <w:rPr>
          <w:rFonts w:eastAsia="MS Mincho"/>
          <w:sz w:val="22"/>
          <w:szCs w:val="22"/>
        </w:rPr>
      </w:pPr>
      <w:r w:rsidRPr="00F33FC4">
        <w:rPr>
          <w:rFonts w:eastAsia="MS Mincho"/>
        </w:rPr>
        <w:br w:type="page"/>
      </w:r>
      <w:r w:rsidRPr="00F33FC4">
        <w:rPr>
          <w:rFonts w:eastAsia="MS Mincho"/>
          <w:sz w:val="22"/>
          <w:szCs w:val="22"/>
        </w:rPr>
        <w:lastRenderedPageBreak/>
        <w:t>Table 4.2 (continued)</w:t>
      </w:r>
    </w:p>
    <w:tbl>
      <w:tblPr>
        <w:tblpPr w:leftFromText="180" w:rightFromText="180" w:vertAnchor="text" w:horzAnchor="margin" w:tblpY="544"/>
        <w:tblOverlap w:val="never"/>
        <w:tblW w:w="9351" w:type="dxa"/>
        <w:tblLayout w:type="fixed"/>
        <w:tblLook w:val="04A0" w:firstRow="1" w:lastRow="0" w:firstColumn="1" w:lastColumn="0" w:noHBand="0" w:noVBand="1"/>
      </w:tblPr>
      <w:tblGrid>
        <w:gridCol w:w="1271"/>
        <w:gridCol w:w="8080"/>
      </w:tblGrid>
      <w:tr w:rsidR="00F33FC4" w:rsidRPr="00F33FC4" w14:paraId="3C44A65F" w14:textId="77777777" w:rsidTr="006408A7">
        <w:trPr>
          <w:trHeight w:val="320"/>
        </w:trPr>
        <w:tc>
          <w:tcPr>
            <w:tcW w:w="1271" w:type="dxa"/>
            <w:tcBorders>
              <w:top w:val="single" w:sz="4" w:space="0" w:color="auto"/>
              <w:bottom w:val="single" w:sz="4" w:space="0" w:color="auto"/>
            </w:tcBorders>
            <w:shd w:val="clear" w:color="auto" w:fill="auto"/>
            <w:noWrap/>
            <w:vAlign w:val="center"/>
          </w:tcPr>
          <w:p w14:paraId="0845E80A" w14:textId="77777777" w:rsidR="00F33FC4" w:rsidRPr="00F33FC4" w:rsidRDefault="00F33FC4" w:rsidP="00F33FC4">
            <w:pPr>
              <w:spacing w:line="480" w:lineRule="auto"/>
              <w:jc w:val="center"/>
              <w:rPr>
                <w:rFonts w:eastAsia="MS Mincho"/>
                <w:color w:val="000000"/>
                <w:sz w:val="22"/>
                <w:szCs w:val="22"/>
              </w:rPr>
            </w:pPr>
            <w:r w:rsidRPr="00F33FC4">
              <w:rPr>
                <w:rFonts w:eastAsia="MS Mincho"/>
                <w:color w:val="000000"/>
                <w:sz w:val="22"/>
                <w:szCs w:val="22"/>
              </w:rPr>
              <w:t>Name</w:t>
            </w:r>
          </w:p>
        </w:tc>
        <w:tc>
          <w:tcPr>
            <w:tcW w:w="8080" w:type="dxa"/>
            <w:tcBorders>
              <w:top w:val="single" w:sz="4" w:space="0" w:color="auto"/>
              <w:bottom w:val="single" w:sz="4" w:space="0" w:color="auto"/>
            </w:tcBorders>
            <w:shd w:val="clear" w:color="auto" w:fill="auto"/>
            <w:noWrap/>
            <w:vAlign w:val="center"/>
          </w:tcPr>
          <w:p w14:paraId="7CE36FCA" w14:textId="77777777" w:rsidR="00F33FC4" w:rsidRPr="00F33FC4" w:rsidRDefault="00F33FC4" w:rsidP="00F33FC4">
            <w:pPr>
              <w:spacing w:line="480" w:lineRule="auto"/>
              <w:jc w:val="center"/>
              <w:rPr>
                <w:rFonts w:eastAsia="MS Mincho"/>
                <w:color w:val="000000"/>
                <w:sz w:val="22"/>
                <w:szCs w:val="22"/>
              </w:rPr>
            </w:pPr>
            <w:r w:rsidRPr="00F33FC4">
              <w:rPr>
                <w:rFonts w:eastAsia="MS Mincho"/>
                <w:color w:val="000000"/>
                <w:sz w:val="22"/>
                <w:szCs w:val="22"/>
              </w:rPr>
              <w:t>Oligonucleotide sequence, 5’</w:t>
            </w:r>
            <w:r w:rsidRPr="00F33FC4">
              <w:rPr>
                <w:rFonts w:eastAsia="MS Mincho"/>
                <w:color w:val="000000"/>
                <w:sz w:val="22"/>
                <w:szCs w:val="22"/>
              </w:rPr>
              <w:sym w:font="Wingdings" w:char="F0E0"/>
            </w:r>
            <w:r w:rsidRPr="00F33FC4">
              <w:rPr>
                <w:rFonts w:eastAsia="MS Mincho"/>
                <w:color w:val="000000"/>
                <w:sz w:val="22"/>
                <w:szCs w:val="22"/>
              </w:rPr>
              <w:t>3’</w:t>
            </w:r>
          </w:p>
        </w:tc>
      </w:tr>
      <w:tr w:rsidR="00F33FC4" w:rsidRPr="00F33FC4" w14:paraId="337B75BB" w14:textId="77777777" w:rsidTr="006408A7">
        <w:trPr>
          <w:trHeight w:val="320"/>
        </w:trPr>
        <w:tc>
          <w:tcPr>
            <w:tcW w:w="1271" w:type="dxa"/>
            <w:tcBorders>
              <w:top w:val="single" w:sz="4" w:space="0" w:color="auto"/>
            </w:tcBorders>
            <w:shd w:val="clear" w:color="auto" w:fill="auto"/>
            <w:noWrap/>
            <w:vAlign w:val="center"/>
            <w:hideMark/>
          </w:tcPr>
          <w:p w14:paraId="30AF6C72" w14:textId="77777777" w:rsidR="00F33FC4" w:rsidRPr="00F33FC4" w:rsidRDefault="00F33FC4" w:rsidP="00F33FC4">
            <w:pPr>
              <w:spacing w:line="480" w:lineRule="auto"/>
              <w:rPr>
                <w:rFonts w:eastAsia="MS Mincho"/>
                <w:color w:val="000000"/>
                <w:sz w:val="22"/>
                <w:szCs w:val="22"/>
              </w:rPr>
            </w:pPr>
            <w:r w:rsidRPr="00F33FC4">
              <w:rPr>
                <w:rFonts w:eastAsia="MS Mincho"/>
                <w:color w:val="000000"/>
                <w:sz w:val="22"/>
                <w:szCs w:val="22"/>
              </w:rPr>
              <w:t>EF1836</w:t>
            </w:r>
          </w:p>
        </w:tc>
        <w:tc>
          <w:tcPr>
            <w:tcW w:w="8080" w:type="dxa"/>
            <w:tcBorders>
              <w:top w:val="single" w:sz="4" w:space="0" w:color="auto"/>
            </w:tcBorders>
            <w:shd w:val="clear" w:color="auto" w:fill="auto"/>
            <w:noWrap/>
            <w:vAlign w:val="center"/>
            <w:hideMark/>
          </w:tcPr>
          <w:p w14:paraId="54E01466" w14:textId="77777777" w:rsidR="00F33FC4" w:rsidRPr="00F33FC4" w:rsidRDefault="00F33FC4" w:rsidP="00F33FC4">
            <w:pPr>
              <w:spacing w:line="480" w:lineRule="auto"/>
              <w:rPr>
                <w:rFonts w:eastAsia="MS Mincho"/>
                <w:color w:val="000000"/>
                <w:sz w:val="22"/>
                <w:szCs w:val="22"/>
              </w:rPr>
            </w:pPr>
            <w:r w:rsidRPr="00F33FC4">
              <w:rPr>
                <w:rFonts w:eastAsia="MS Mincho"/>
                <w:color w:val="000000"/>
                <w:sz w:val="22"/>
                <w:szCs w:val="22"/>
              </w:rPr>
              <w:t>GTCCCTGATGGTCGTCATCTACGGATCCCCCCTTAGATGCG</w:t>
            </w:r>
          </w:p>
        </w:tc>
      </w:tr>
      <w:tr w:rsidR="00F33FC4" w:rsidRPr="00F33FC4" w14:paraId="57BE2E38" w14:textId="77777777" w:rsidTr="006408A7">
        <w:trPr>
          <w:trHeight w:val="320"/>
        </w:trPr>
        <w:tc>
          <w:tcPr>
            <w:tcW w:w="1271" w:type="dxa"/>
            <w:shd w:val="clear" w:color="auto" w:fill="auto"/>
            <w:noWrap/>
            <w:vAlign w:val="center"/>
            <w:hideMark/>
          </w:tcPr>
          <w:p w14:paraId="22605742" w14:textId="77777777" w:rsidR="00F33FC4" w:rsidRPr="00F33FC4" w:rsidRDefault="00F33FC4" w:rsidP="00F33FC4">
            <w:pPr>
              <w:spacing w:line="480" w:lineRule="auto"/>
              <w:rPr>
                <w:rFonts w:eastAsia="MS Mincho"/>
                <w:color w:val="000000"/>
                <w:sz w:val="22"/>
                <w:szCs w:val="22"/>
              </w:rPr>
            </w:pPr>
            <w:r w:rsidRPr="00F33FC4">
              <w:rPr>
                <w:rFonts w:eastAsia="MS Mincho"/>
                <w:color w:val="000000"/>
                <w:sz w:val="22"/>
                <w:szCs w:val="22"/>
              </w:rPr>
              <w:t>EF1837</w:t>
            </w:r>
          </w:p>
        </w:tc>
        <w:tc>
          <w:tcPr>
            <w:tcW w:w="8080" w:type="dxa"/>
            <w:shd w:val="clear" w:color="auto" w:fill="auto"/>
            <w:noWrap/>
            <w:vAlign w:val="center"/>
            <w:hideMark/>
          </w:tcPr>
          <w:p w14:paraId="65004E06" w14:textId="77777777" w:rsidR="00F33FC4" w:rsidRPr="00F33FC4" w:rsidRDefault="00F33FC4" w:rsidP="00F33FC4">
            <w:pPr>
              <w:spacing w:line="480" w:lineRule="auto"/>
              <w:rPr>
                <w:rFonts w:eastAsia="MS Mincho"/>
                <w:color w:val="000000"/>
                <w:sz w:val="22"/>
                <w:szCs w:val="22"/>
              </w:rPr>
            </w:pPr>
            <w:r w:rsidRPr="00F33FC4">
              <w:rPr>
                <w:rFonts w:eastAsia="MS Mincho"/>
                <w:color w:val="000000"/>
                <w:sz w:val="22"/>
                <w:szCs w:val="22"/>
              </w:rPr>
              <w:t>CGCATCTAAGGGGGGATCCGTAGATGACGACCATCAGGGAC</w:t>
            </w:r>
          </w:p>
        </w:tc>
      </w:tr>
      <w:tr w:rsidR="00F33FC4" w:rsidRPr="00F33FC4" w14:paraId="197FC332" w14:textId="77777777" w:rsidTr="006408A7">
        <w:trPr>
          <w:trHeight w:val="320"/>
        </w:trPr>
        <w:tc>
          <w:tcPr>
            <w:tcW w:w="1271" w:type="dxa"/>
            <w:shd w:val="clear" w:color="auto" w:fill="auto"/>
            <w:noWrap/>
            <w:vAlign w:val="center"/>
            <w:hideMark/>
          </w:tcPr>
          <w:p w14:paraId="360005B8" w14:textId="77777777" w:rsidR="00F33FC4" w:rsidRPr="00F33FC4" w:rsidRDefault="00F33FC4" w:rsidP="00F33FC4">
            <w:pPr>
              <w:spacing w:line="480" w:lineRule="auto"/>
              <w:rPr>
                <w:rFonts w:eastAsia="MS Mincho"/>
                <w:color w:val="000000"/>
                <w:sz w:val="22"/>
                <w:szCs w:val="22"/>
              </w:rPr>
            </w:pPr>
            <w:r w:rsidRPr="00F33FC4">
              <w:rPr>
                <w:rFonts w:eastAsia="MS Mincho"/>
                <w:color w:val="000000"/>
                <w:sz w:val="22"/>
                <w:szCs w:val="22"/>
              </w:rPr>
              <w:t>EF1838</w:t>
            </w:r>
          </w:p>
        </w:tc>
        <w:tc>
          <w:tcPr>
            <w:tcW w:w="8080" w:type="dxa"/>
            <w:shd w:val="clear" w:color="auto" w:fill="auto"/>
            <w:noWrap/>
            <w:vAlign w:val="center"/>
            <w:hideMark/>
          </w:tcPr>
          <w:p w14:paraId="39E8227C" w14:textId="77777777" w:rsidR="00F33FC4" w:rsidRPr="00F33FC4" w:rsidRDefault="00F33FC4" w:rsidP="00F33FC4">
            <w:pPr>
              <w:spacing w:line="480" w:lineRule="auto"/>
              <w:rPr>
                <w:rFonts w:eastAsia="MS Mincho"/>
                <w:color w:val="000000"/>
                <w:sz w:val="22"/>
                <w:szCs w:val="22"/>
              </w:rPr>
            </w:pPr>
            <w:r w:rsidRPr="00F33FC4">
              <w:rPr>
                <w:rFonts w:eastAsia="MS Mincho"/>
                <w:color w:val="000000"/>
                <w:sz w:val="22"/>
                <w:szCs w:val="22"/>
              </w:rPr>
              <w:t>GCGTTGAATATAAAATCGATGGACGGTGCCGAGGATGACGATG</w:t>
            </w:r>
          </w:p>
        </w:tc>
      </w:tr>
      <w:tr w:rsidR="00F33FC4" w:rsidRPr="00F33FC4" w14:paraId="670EB09F" w14:textId="77777777" w:rsidTr="006408A7">
        <w:trPr>
          <w:trHeight w:val="320"/>
        </w:trPr>
        <w:tc>
          <w:tcPr>
            <w:tcW w:w="1271" w:type="dxa"/>
            <w:shd w:val="clear" w:color="auto" w:fill="auto"/>
            <w:noWrap/>
            <w:vAlign w:val="center"/>
            <w:hideMark/>
          </w:tcPr>
          <w:p w14:paraId="557007F7" w14:textId="77777777" w:rsidR="00F33FC4" w:rsidRPr="00F33FC4" w:rsidRDefault="00F33FC4" w:rsidP="00F33FC4">
            <w:pPr>
              <w:spacing w:line="480" w:lineRule="auto"/>
              <w:rPr>
                <w:rFonts w:eastAsia="MS Mincho"/>
                <w:color w:val="000000"/>
                <w:sz w:val="22"/>
                <w:szCs w:val="22"/>
              </w:rPr>
            </w:pPr>
            <w:r w:rsidRPr="00F33FC4">
              <w:rPr>
                <w:rFonts w:eastAsia="MS Mincho"/>
                <w:color w:val="000000"/>
                <w:sz w:val="22"/>
                <w:szCs w:val="22"/>
              </w:rPr>
              <w:t>EF1839</w:t>
            </w:r>
          </w:p>
        </w:tc>
        <w:tc>
          <w:tcPr>
            <w:tcW w:w="8080" w:type="dxa"/>
            <w:shd w:val="clear" w:color="auto" w:fill="auto"/>
            <w:noWrap/>
            <w:vAlign w:val="center"/>
            <w:hideMark/>
          </w:tcPr>
          <w:p w14:paraId="45EE6E6A" w14:textId="77777777" w:rsidR="00F33FC4" w:rsidRPr="00F33FC4" w:rsidRDefault="00F33FC4" w:rsidP="00F33FC4">
            <w:pPr>
              <w:spacing w:line="480" w:lineRule="auto"/>
              <w:rPr>
                <w:rFonts w:eastAsia="MS Mincho"/>
                <w:color w:val="000000"/>
                <w:sz w:val="22"/>
                <w:szCs w:val="22"/>
              </w:rPr>
            </w:pPr>
            <w:r w:rsidRPr="00F33FC4">
              <w:rPr>
                <w:rFonts w:eastAsia="MS Mincho"/>
                <w:color w:val="000000"/>
                <w:sz w:val="22"/>
                <w:szCs w:val="22"/>
              </w:rPr>
              <w:t>GCGCTCATCGTCATCCTCGGCACCGTCCGAATAAATTATAACCATATCC</w:t>
            </w:r>
          </w:p>
        </w:tc>
      </w:tr>
      <w:tr w:rsidR="00F33FC4" w:rsidRPr="00F33FC4" w14:paraId="344C0AAD" w14:textId="77777777" w:rsidTr="006408A7">
        <w:trPr>
          <w:trHeight w:val="320"/>
        </w:trPr>
        <w:tc>
          <w:tcPr>
            <w:tcW w:w="1271" w:type="dxa"/>
            <w:shd w:val="clear" w:color="auto" w:fill="auto"/>
            <w:noWrap/>
            <w:vAlign w:val="center"/>
            <w:hideMark/>
          </w:tcPr>
          <w:p w14:paraId="399AB4FB" w14:textId="77777777" w:rsidR="00F33FC4" w:rsidRPr="00F33FC4" w:rsidRDefault="00F33FC4" w:rsidP="00F33FC4">
            <w:pPr>
              <w:spacing w:line="480" w:lineRule="auto"/>
              <w:rPr>
                <w:rFonts w:eastAsia="MS Mincho"/>
                <w:color w:val="000000"/>
                <w:sz w:val="22"/>
                <w:szCs w:val="22"/>
              </w:rPr>
            </w:pPr>
            <w:r w:rsidRPr="00F33FC4">
              <w:rPr>
                <w:rFonts w:eastAsia="MS Mincho"/>
                <w:color w:val="000000"/>
                <w:sz w:val="22"/>
                <w:szCs w:val="22"/>
              </w:rPr>
              <w:t>EF1840</w:t>
            </w:r>
          </w:p>
        </w:tc>
        <w:tc>
          <w:tcPr>
            <w:tcW w:w="8080" w:type="dxa"/>
            <w:shd w:val="clear" w:color="auto" w:fill="auto"/>
            <w:noWrap/>
            <w:vAlign w:val="center"/>
            <w:hideMark/>
          </w:tcPr>
          <w:p w14:paraId="7F1DC644" w14:textId="77777777" w:rsidR="00F33FC4" w:rsidRPr="00F33FC4" w:rsidRDefault="00F33FC4" w:rsidP="00F33FC4">
            <w:pPr>
              <w:spacing w:line="480" w:lineRule="auto"/>
              <w:rPr>
                <w:rFonts w:eastAsia="MS Mincho"/>
                <w:color w:val="000000"/>
                <w:sz w:val="22"/>
                <w:szCs w:val="22"/>
              </w:rPr>
            </w:pPr>
            <w:r w:rsidRPr="00F33FC4">
              <w:rPr>
                <w:rFonts w:eastAsia="MS Mincho"/>
                <w:color w:val="000000"/>
                <w:sz w:val="22"/>
                <w:szCs w:val="22"/>
              </w:rPr>
              <w:t>GGATATGGTTATAATTTATTCGGACGGTGCCGAGGATGACGATGAGCGC</w:t>
            </w:r>
          </w:p>
        </w:tc>
      </w:tr>
      <w:tr w:rsidR="00F33FC4" w:rsidRPr="00F33FC4" w14:paraId="20D0E947" w14:textId="77777777" w:rsidTr="006408A7">
        <w:trPr>
          <w:trHeight w:val="320"/>
        </w:trPr>
        <w:tc>
          <w:tcPr>
            <w:tcW w:w="1271" w:type="dxa"/>
            <w:shd w:val="clear" w:color="auto" w:fill="auto"/>
            <w:noWrap/>
            <w:vAlign w:val="center"/>
            <w:hideMark/>
          </w:tcPr>
          <w:p w14:paraId="64425EF2" w14:textId="77777777" w:rsidR="00F33FC4" w:rsidRPr="00F33FC4" w:rsidRDefault="00F33FC4" w:rsidP="00F33FC4">
            <w:pPr>
              <w:spacing w:line="480" w:lineRule="auto"/>
              <w:rPr>
                <w:rFonts w:eastAsia="MS Mincho"/>
                <w:color w:val="000000"/>
                <w:sz w:val="22"/>
                <w:szCs w:val="22"/>
              </w:rPr>
            </w:pPr>
            <w:r w:rsidRPr="00F33FC4">
              <w:rPr>
                <w:rFonts w:eastAsia="MS Mincho"/>
                <w:color w:val="000000"/>
                <w:sz w:val="22"/>
                <w:szCs w:val="22"/>
              </w:rPr>
              <w:t>EF1864A</w:t>
            </w:r>
          </w:p>
        </w:tc>
        <w:tc>
          <w:tcPr>
            <w:tcW w:w="8080" w:type="dxa"/>
            <w:shd w:val="clear" w:color="auto" w:fill="auto"/>
            <w:noWrap/>
            <w:vAlign w:val="center"/>
            <w:hideMark/>
          </w:tcPr>
          <w:p w14:paraId="61414A6C" w14:textId="77777777" w:rsidR="00F33FC4" w:rsidRPr="00F33FC4" w:rsidRDefault="00F33FC4" w:rsidP="00F33FC4">
            <w:pPr>
              <w:spacing w:line="480" w:lineRule="auto"/>
              <w:rPr>
                <w:rFonts w:eastAsia="MS Mincho"/>
                <w:color w:val="000000"/>
                <w:sz w:val="22"/>
                <w:szCs w:val="22"/>
              </w:rPr>
            </w:pPr>
            <w:r w:rsidRPr="00F33FC4">
              <w:rPr>
                <w:rFonts w:eastAsia="MS Mincho"/>
                <w:color w:val="000000"/>
                <w:sz w:val="22"/>
                <w:szCs w:val="22"/>
              </w:rPr>
              <w:t>CTCTAAATAATTCAAATTGGTCCGATCCGGCGCAACGTCCCCATCGATTTTATATTCAACGCACC</w:t>
            </w:r>
          </w:p>
        </w:tc>
      </w:tr>
      <w:tr w:rsidR="00F33FC4" w:rsidRPr="00F33FC4" w14:paraId="076A261C" w14:textId="77777777" w:rsidTr="006408A7">
        <w:trPr>
          <w:trHeight w:val="320"/>
        </w:trPr>
        <w:tc>
          <w:tcPr>
            <w:tcW w:w="1271" w:type="dxa"/>
            <w:shd w:val="clear" w:color="auto" w:fill="auto"/>
            <w:noWrap/>
            <w:vAlign w:val="center"/>
            <w:hideMark/>
          </w:tcPr>
          <w:p w14:paraId="09920CAF" w14:textId="77777777" w:rsidR="00F33FC4" w:rsidRPr="00F33FC4" w:rsidRDefault="00F33FC4" w:rsidP="00F33FC4">
            <w:pPr>
              <w:spacing w:line="480" w:lineRule="auto"/>
              <w:rPr>
                <w:rFonts w:eastAsia="MS Mincho"/>
                <w:color w:val="000000"/>
                <w:sz w:val="22"/>
                <w:szCs w:val="22"/>
              </w:rPr>
            </w:pPr>
            <w:r w:rsidRPr="00F33FC4">
              <w:rPr>
                <w:rFonts w:eastAsia="MS Mincho"/>
                <w:color w:val="000000"/>
                <w:sz w:val="22"/>
                <w:szCs w:val="22"/>
              </w:rPr>
              <w:t>EF1865A</w:t>
            </w:r>
          </w:p>
        </w:tc>
        <w:tc>
          <w:tcPr>
            <w:tcW w:w="8080" w:type="dxa"/>
            <w:shd w:val="clear" w:color="auto" w:fill="auto"/>
            <w:noWrap/>
            <w:vAlign w:val="center"/>
            <w:hideMark/>
          </w:tcPr>
          <w:p w14:paraId="42FD386B" w14:textId="77777777" w:rsidR="00F33FC4" w:rsidRPr="00F33FC4" w:rsidRDefault="00F33FC4" w:rsidP="00F33FC4">
            <w:pPr>
              <w:spacing w:line="480" w:lineRule="auto"/>
              <w:rPr>
                <w:rFonts w:eastAsia="MS Mincho"/>
                <w:color w:val="000000"/>
                <w:sz w:val="22"/>
                <w:szCs w:val="22"/>
              </w:rPr>
            </w:pPr>
            <w:r w:rsidRPr="00F33FC4">
              <w:rPr>
                <w:rFonts w:eastAsia="MS Mincho"/>
                <w:color w:val="000000"/>
                <w:sz w:val="22"/>
                <w:szCs w:val="22"/>
              </w:rPr>
              <w:t>CATCCCTGAAATGTATTAATGAAATAAACGATATTTTACGCGCGTGTAGGCTGGAGCTGCTTCG</w:t>
            </w:r>
          </w:p>
        </w:tc>
      </w:tr>
      <w:tr w:rsidR="00F33FC4" w:rsidRPr="00F33FC4" w14:paraId="5A266965" w14:textId="77777777" w:rsidTr="006408A7">
        <w:trPr>
          <w:trHeight w:val="320"/>
        </w:trPr>
        <w:tc>
          <w:tcPr>
            <w:tcW w:w="1271" w:type="dxa"/>
            <w:shd w:val="clear" w:color="auto" w:fill="auto"/>
            <w:noWrap/>
            <w:vAlign w:val="center"/>
            <w:hideMark/>
          </w:tcPr>
          <w:p w14:paraId="0E44AD5B" w14:textId="77777777" w:rsidR="00F33FC4" w:rsidRPr="00F33FC4" w:rsidRDefault="00F33FC4" w:rsidP="00F33FC4">
            <w:pPr>
              <w:spacing w:line="480" w:lineRule="auto"/>
              <w:rPr>
                <w:rFonts w:eastAsia="MS Mincho"/>
                <w:color w:val="000000"/>
                <w:sz w:val="22"/>
                <w:szCs w:val="22"/>
              </w:rPr>
            </w:pPr>
            <w:r w:rsidRPr="00F33FC4">
              <w:rPr>
                <w:rFonts w:eastAsia="MS Mincho"/>
                <w:color w:val="000000"/>
                <w:sz w:val="22"/>
                <w:szCs w:val="22"/>
              </w:rPr>
              <w:t>EF1865A</w:t>
            </w:r>
          </w:p>
        </w:tc>
        <w:tc>
          <w:tcPr>
            <w:tcW w:w="8080" w:type="dxa"/>
            <w:shd w:val="clear" w:color="auto" w:fill="auto"/>
            <w:noWrap/>
            <w:vAlign w:val="center"/>
            <w:hideMark/>
          </w:tcPr>
          <w:p w14:paraId="7BBB43D6" w14:textId="77777777" w:rsidR="00F33FC4" w:rsidRPr="00F33FC4" w:rsidRDefault="00F33FC4" w:rsidP="00F33FC4">
            <w:pPr>
              <w:spacing w:line="480" w:lineRule="auto"/>
              <w:rPr>
                <w:rFonts w:eastAsia="MS Mincho"/>
                <w:color w:val="000000"/>
                <w:sz w:val="22"/>
                <w:szCs w:val="22"/>
              </w:rPr>
            </w:pPr>
            <w:r w:rsidRPr="00F33FC4">
              <w:rPr>
                <w:rFonts w:eastAsia="MS Mincho"/>
                <w:color w:val="000000"/>
                <w:sz w:val="22"/>
                <w:szCs w:val="22"/>
              </w:rPr>
              <w:t>CATCCCTGAAATGTATTAATGAAATAAACGATATTTTACGCGCGTGTAGGCTGGAGCTGCTTCG</w:t>
            </w:r>
          </w:p>
        </w:tc>
      </w:tr>
      <w:tr w:rsidR="00F33FC4" w:rsidRPr="00F33FC4" w14:paraId="7470A36E" w14:textId="77777777" w:rsidTr="006408A7">
        <w:trPr>
          <w:trHeight w:val="320"/>
        </w:trPr>
        <w:tc>
          <w:tcPr>
            <w:tcW w:w="1271" w:type="dxa"/>
            <w:shd w:val="clear" w:color="auto" w:fill="auto"/>
            <w:noWrap/>
            <w:vAlign w:val="center"/>
            <w:hideMark/>
          </w:tcPr>
          <w:p w14:paraId="0EA61CE3" w14:textId="77777777" w:rsidR="00F33FC4" w:rsidRPr="00F33FC4" w:rsidRDefault="00F33FC4" w:rsidP="00F33FC4">
            <w:pPr>
              <w:spacing w:line="480" w:lineRule="auto"/>
              <w:rPr>
                <w:rFonts w:eastAsia="MS Mincho"/>
                <w:color w:val="000000"/>
                <w:sz w:val="22"/>
                <w:szCs w:val="22"/>
              </w:rPr>
            </w:pPr>
            <w:r w:rsidRPr="00F33FC4">
              <w:rPr>
                <w:rFonts w:eastAsia="MS Mincho"/>
                <w:color w:val="000000"/>
                <w:sz w:val="22"/>
                <w:szCs w:val="22"/>
              </w:rPr>
              <w:t>EF1869</w:t>
            </w:r>
          </w:p>
        </w:tc>
        <w:tc>
          <w:tcPr>
            <w:tcW w:w="8080" w:type="dxa"/>
            <w:shd w:val="clear" w:color="auto" w:fill="auto"/>
            <w:noWrap/>
            <w:vAlign w:val="center"/>
            <w:hideMark/>
          </w:tcPr>
          <w:p w14:paraId="15AEF819" w14:textId="77777777" w:rsidR="00F33FC4" w:rsidRPr="00F33FC4" w:rsidRDefault="00F33FC4" w:rsidP="00F33FC4">
            <w:pPr>
              <w:spacing w:line="480" w:lineRule="auto"/>
              <w:rPr>
                <w:rFonts w:eastAsia="MS Mincho"/>
                <w:color w:val="000000"/>
                <w:sz w:val="22"/>
                <w:szCs w:val="22"/>
              </w:rPr>
            </w:pPr>
            <w:r w:rsidRPr="00F33FC4">
              <w:rPr>
                <w:rFonts w:eastAsia="MS Mincho"/>
                <w:color w:val="000000"/>
                <w:sz w:val="22"/>
                <w:szCs w:val="22"/>
              </w:rPr>
              <w:t>CTCTAAATAATTCAAATTGGTCCGATCCGGCGCAACGTCCCCATCGTCATCCTCGGCACCGGATCC</w:t>
            </w:r>
          </w:p>
        </w:tc>
      </w:tr>
      <w:tr w:rsidR="00F33FC4" w:rsidRPr="00F33FC4" w14:paraId="377A6B74" w14:textId="77777777" w:rsidTr="006408A7">
        <w:trPr>
          <w:trHeight w:val="320"/>
        </w:trPr>
        <w:tc>
          <w:tcPr>
            <w:tcW w:w="1271" w:type="dxa"/>
            <w:tcBorders>
              <w:bottom w:val="single" w:sz="4" w:space="0" w:color="auto"/>
            </w:tcBorders>
            <w:shd w:val="clear" w:color="auto" w:fill="auto"/>
            <w:noWrap/>
            <w:vAlign w:val="center"/>
            <w:hideMark/>
          </w:tcPr>
          <w:p w14:paraId="203AB6B0" w14:textId="77777777" w:rsidR="00F33FC4" w:rsidRPr="00F33FC4" w:rsidRDefault="00F33FC4" w:rsidP="00F33FC4">
            <w:pPr>
              <w:spacing w:line="480" w:lineRule="auto"/>
              <w:rPr>
                <w:rFonts w:eastAsia="MS Mincho"/>
                <w:color w:val="000000"/>
                <w:sz w:val="22"/>
                <w:szCs w:val="22"/>
              </w:rPr>
            </w:pPr>
            <w:r w:rsidRPr="00F33FC4">
              <w:rPr>
                <w:rFonts w:eastAsia="MS Mincho"/>
                <w:color w:val="000000"/>
                <w:sz w:val="22"/>
                <w:szCs w:val="22"/>
              </w:rPr>
              <w:t>EF1869B</w:t>
            </w:r>
          </w:p>
        </w:tc>
        <w:tc>
          <w:tcPr>
            <w:tcW w:w="8080" w:type="dxa"/>
            <w:tcBorders>
              <w:bottom w:val="single" w:sz="4" w:space="0" w:color="auto"/>
            </w:tcBorders>
            <w:shd w:val="clear" w:color="auto" w:fill="auto"/>
            <w:noWrap/>
            <w:vAlign w:val="center"/>
            <w:hideMark/>
          </w:tcPr>
          <w:p w14:paraId="077F3E01" w14:textId="77777777" w:rsidR="00F33FC4" w:rsidRPr="00F33FC4" w:rsidRDefault="00F33FC4" w:rsidP="00F33FC4">
            <w:pPr>
              <w:spacing w:line="480" w:lineRule="auto"/>
              <w:rPr>
                <w:rFonts w:eastAsia="MS Mincho"/>
                <w:color w:val="000000"/>
                <w:sz w:val="22"/>
                <w:szCs w:val="22"/>
              </w:rPr>
            </w:pPr>
            <w:r w:rsidRPr="00F33FC4">
              <w:rPr>
                <w:rFonts w:eastAsia="MS Mincho"/>
                <w:color w:val="000000"/>
                <w:sz w:val="22"/>
                <w:szCs w:val="22"/>
              </w:rPr>
              <w:t>CTCTAAATAATTCAAATTGGTCCGATCCGGCGCAACGTCCCCATCGTCATCCTCGGCACCGGATCC</w:t>
            </w:r>
          </w:p>
        </w:tc>
      </w:tr>
    </w:tbl>
    <w:p w14:paraId="6E7918BB" w14:textId="77777777" w:rsidR="00F33FC4" w:rsidRPr="00F33FC4" w:rsidRDefault="00F33FC4" w:rsidP="00F33FC4">
      <w:pPr>
        <w:spacing w:line="360" w:lineRule="auto"/>
        <w:rPr>
          <w:rFonts w:eastAsia="MS Mincho"/>
        </w:rPr>
      </w:pPr>
      <w:r w:rsidRPr="00F33FC4">
        <w:rPr>
          <w:rFonts w:eastAsia="MS Mincho"/>
        </w:rPr>
        <w:br w:type="page"/>
      </w:r>
    </w:p>
    <w:p w14:paraId="36B6A4BC" w14:textId="67DAC53C" w:rsidR="00F33FC4" w:rsidRPr="00F33FC4" w:rsidRDefault="007A5817" w:rsidP="00F33FC4">
      <w:pPr>
        <w:spacing w:line="360" w:lineRule="auto"/>
        <w:rPr>
          <w:rFonts w:eastAsia="MS Mincho"/>
        </w:rPr>
      </w:pPr>
      <w:r w:rsidRPr="00F33FC4">
        <w:rPr>
          <w:rFonts w:eastAsia="MS Mincho"/>
        </w:rPr>
        <w:lastRenderedPageBreak/>
        <w:t>Dickinson) with a 488nm laser.</w:t>
      </w:r>
      <w:r w:rsidRPr="007A5817">
        <w:rPr>
          <w:rFonts w:eastAsia="MS Mincho"/>
        </w:rPr>
        <w:t xml:space="preserve"> </w:t>
      </w:r>
      <w:r w:rsidRPr="00F33FC4">
        <w:rPr>
          <w:rFonts w:eastAsia="MS Mincho"/>
        </w:rPr>
        <w:t>Samples were run at ~3000 events per second and fluorescence was collected in the fluorescein isothiocyanate channel.</w:t>
      </w:r>
      <w:r>
        <w:rPr>
          <w:rFonts w:eastAsia="MS Mincho"/>
        </w:rPr>
        <w:t xml:space="preserve"> </w:t>
      </w:r>
      <w:r w:rsidR="00F33FC4" w:rsidRPr="00F33FC4">
        <w:rPr>
          <w:rFonts w:eastAsia="MS Mincho"/>
        </w:rPr>
        <w:t xml:space="preserve">Data was analyzed using the </w:t>
      </w:r>
      <w:proofErr w:type="spellStart"/>
      <w:r w:rsidR="00F33FC4" w:rsidRPr="00F33FC4">
        <w:rPr>
          <w:rFonts w:eastAsia="MS Mincho"/>
        </w:rPr>
        <w:t>FlowJo</w:t>
      </w:r>
      <w:proofErr w:type="spellEnd"/>
      <w:r w:rsidR="00F33FC4" w:rsidRPr="00F33FC4">
        <w:rPr>
          <w:rFonts w:eastAsia="MS Mincho"/>
        </w:rPr>
        <w:t xml:space="preserve"> software package (</w:t>
      </w:r>
      <w:proofErr w:type="spellStart"/>
      <w:r w:rsidR="00F33FC4" w:rsidRPr="00F33FC4">
        <w:rPr>
          <w:rFonts w:eastAsia="MS Mincho"/>
        </w:rPr>
        <w:t>FlowJo</w:t>
      </w:r>
      <w:proofErr w:type="spellEnd"/>
      <w:r w:rsidR="00F33FC4" w:rsidRPr="00F33FC4">
        <w:rPr>
          <w:rFonts w:eastAsia="MS Mincho"/>
        </w:rPr>
        <w:t xml:space="preserve"> LLC, Ashland, OR, USA) such that the cells showing at least 10</w:t>
      </w:r>
      <w:r w:rsidR="00F33FC4" w:rsidRPr="00F33FC4">
        <w:rPr>
          <w:rFonts w:eastAsia="MS Mincho"/>
          <w:vertAlign w:val="superscript"/>
        </w:rPr>
        <w:t>3</w:t>
      </w:r>
      <w:r w:rsidR="00F33FC4" w:rsidRPr="00F33FC4">
        <w:rPr>
          <w:rFonts w:eastAsia="MS Mincho"/>
        </w:rPr>
        <w:t xml:space="preserve"> </w:t>
      </w:r>
      <w:proofErr w:type="spellStart"/>
      <w:r w:rsidR="00F33FC4" w:rsidRPr="00F33FC4">
        <w:rPr>
          <w:rFonts w:eastAsia="MS Mincho"/>
        </w:rPr>
        <w:t>abu</w:t>
      </w:r>
      <w:proofErr w:type="spellEnd"/>
      <w:r w:rsidR="00F33FC4" w:rsidRPr="00F33FC4">
        <w:rPr>
          <w:rFonts w:eastAsia="MS Mincho"/>
        </w:rPr>
        <w:t xml:space="preserve"> or more fluorescence were gated and mean fluorescence intensity was obtained. All tests were done with a minimum of three biological replicates. Shown are averages </w:t>
      </w:r>
      <w:r w:rsidR="00F33FC4" w:rsidRPr="00F33FC4">
        <w:rPr>
          <w:rFonts w:eastAsia="MS Mincho"/>
        </w:rPr>
        <w:sym w:font="Symbol" w:char="F0B1"/>
      </w:r>
      <w:r w:rsidR="00F33FC4" w:rsidRPr="00F33FC4">
        <w:rPr>
          <w:rFonts w:eastAsia="MS Mincho"/>
        </w:rPr>
        <w:t xml:space="preserve"> standard deviations for a minimum of three replicates.</w:t>
      </w:r>
    </w:p>
    <w:p w14:paraId="17DAA23B" w14:textId="77777777" w:rsidR="00F33FC4" w:rsidRPr="00F33FC4" w:rsidRDefault="00F33FC4" w:rsidP="00F33FC4">
      <w:pPr>
        <w:spacing w:line="360" w:lineRule="auto"/>
        <w:rPr>
          <w:rFonts w:eastAsia="MS Mincho"/>
        </w:rPr>
      </w:pPr>
    </w:p>
    <w:p w14:paraId="398E746C" w14:textId="77777777" w:rsidR="00F33FC4" w:rsidRPr="00F33FC4" w:rsidRDefault="00F33FC4" w:rsidP="00F33FC4">
      <w:pPr>
        <w:spacing w:line="360" w:lineRule="auto"/>
        <w:rPr>
          <w:rFonts w:eastAsia="MS Mincho"/>
        </w:rPr>
      </w:pPr>
      <w:r w:rsidRPr="00F33FC4">
        <w:rPr>
          <w:rFonts w:eastAsia="MS Mincho"/>
          <w:b/>
        </w:rPr>
        <w:t xml:space="preserve">ATP measurements. </w:t>
      </w:r>
      <w:r w:rsidRPr="00F33FC4">
        <w:rPr>
          <w:rFonts w:eastAsia="MS Mincho"/>
        </w:rPr>
        <w:t xml:space="preserve">ATP levels were measured as described previously </w:t>
      </w:r>
      <w:r w:rsidRPr="00F33FC4">
        <w:rPr>
          <w:rFonts w:eastAsia="MS Mincho"/>
          <w:noProof/>
          <w:sz w:val="22"/>
          <w:szCs w:val="22"/>
        </w:rPr>
        <w:t>(19)</w:t>
      </w:r>
      <w:r w:rsidRPr="00F33FC4">
        <w:rPr>
          <w:rFonts w:eastAsia="MS Mincho"/>
        </w:rPr>
        <w:t xml:space="preserve">, using the </w:t>
      </w:r>
      <w:proofErr w:type="spellStart"/>
      <w:r w:rsidRPr="00F33FC4">
        <w:rPr>
          <w:rFonts w:eastAsia="MS Mincho"/>
        </w:rPr>
        <w:t>BacTiter</w:t>
      </w:r>
      <w:proofErr w:type="spellEnd"/>
      <w:r w:rsidRPr="00F33FC4">
        <w:rPr>
          <w:rFonts w:eastAsia="MS Mincho"/>
        </w:rPr>
        <w:t xml:space="preserve"> Glo ATP Assay System Bioluminescence Detection Kit for ATP Measurement (Promega) according to the manufacturer’s instructions. The observed relative luciferase unit (RLU) values were normalized to OD</w:t>
      </w:r>
      <w:r w:rsidRPr="00F33FC4">
        <w:rPr>
          <w:rFonts w:eastAsia="MS Mincho"/>
          <w:vertAlign w:val="subscript"/>
        </w:rPr>
        <w:t>600</w:t>
      </w:r>
      <w:r w:rsidRPr="00F33FC4">
        <w:rPr>
          <w:rFonts w:eastAsia="MS Mincho"/>
        </w:rPr>
        <w:t xml:space="preserve"> at the time of cell harvest. A minimum of three biological replicates were performed per strain/condition. Shown are averages </w:t>
      </w:r>
      <w:r w:rsidRPr="00F33FC4">
        <w:rPr>
          <w:rFonts w:eastAsia="MS Mincho"/>
        </w:rPr>
        <w:sym w:font="Symbol" w:char="F0B1"/>
      </w:r>
      <w:r w:rsidRPr="00F33FC4">
        <w:rPr>
          <w:rFonts w:eastAsia="MS Mincho"/>
        </w:rPr>
        <w:t xml:space="preserve"> standard deviations for a minimum of three replicates.</w:t>
      </w:r>
    </w:p>
    <w:p w14:paraId="2915158C" w14:textId="77777777" w:rsidR="00F33FC4" w:rsidRPr="00F33FC4" w:rsidRDefault="00F33FC4" w:rsidP="00F33FC4">
      <w:pPr>
        <w:spacing w:line="360" w:lineRule="auto"/>
        <w:rPr>
          <w:rFonts w:eastAsia="MS Mincho"/>
          <w:b/>
          <w:bCs/>
        </w:rPr>
      </w:pPr>
    </w:p>
    <w:p w14:paraId="28E86C2F" w14:textId="77777777" w:rsidR="00F33FC4" w:rsidRPr="00F33FC4" w:rsidRDefault="00F33FC4" w:rsidP="00F33FC4">
      <w:pPr>
        <w:spacing w:line="360" w:lineRule="auto"/>
        <w:rPr>
          <w:rFonts w:eastAsia="MS Mincho"/>
        </w:rPr>
      </w:pPr>
      <w:r w:rsidRPr="00F33FC4">
        <w:rPr>
          <w:rFonts w:eastAsia="MS Mincho"/>
          <w:b/>
          <w:bCs/>
        </w:rPr>
        <w:t xml:space="preserve">Western blot and dot-blot analyses. </w:t>
      </w:r>
      <w:r w:rsidRPr="00F33FC4">
        <w:rPr>
          <w:rFonts w:eastAsia="MS Mincho"/>
        </w:rPr>
        <w:t xml:space="preserve">The western blot analysis and dot-blot analysis was done as described previously </w:t>
      </w:r>
      <w:r w:rsidRPr="00F33FC4">
        <w:rPr>
          <w:rFonts w:eastAsia="MS Mincho"/>
          <w:noProof/>
          <w:sz w:val="22"/>
          <w:szCs w:val="22"/>
        </w:rPr>
        <w:t>(19)</w:t>
      </w:r>
      <w:r w:rsidRPr="00F33FC4">
        <w:rPr>
          <w:rFonts w:eastAsia="MS Mincho"/>
        </w:rPr>
        <w:t>. Total protein was extracted from a 50 ml culture (after overexpression for 30 minutes) via bead beating. Protein concentration was measured using a Bradford Protein Assay. Protein samples (10</w:t>
      </w:r>
      <w:r w:rsidRPr="00F33FC4">
        <w:rPr>
          <w:rFonts w:eastAsia="MS Mincho"/>
        </w:rPr>
        <w:sym w:font="Symbol" w:char="F06D"/>
      </w:r>
      <w:r w:rsidRPr="00F33FC4">
        <w:rPr>
          <w:rFonts w:eastAsia="MS Mincho"/>
        </w:rPr>
        <w:t xml:space="preserve">g) were separated on an SDS-PAGE gel, transferred to the immobilon-FL membrane, and probed with a rat derived </w:t>
      </w:r>
      <w:r w:rsidRPr="00F33FC4">
        <w:rPr>
          <w:rFonts w:eastAsia="MS Mincho"/>
        </w:rPr>
        <w:sym w:font="Symbol" w:char="F061"/>
      </w:r>
      <w:r w:rsidRPr="00F33FC4">
        <w:rPr>
          <w:rFonts w:eastAsia="MS Mincho"/>
        </w:rPr>
        <w:t>-FLAG tag primary antibody (</w:t>
      </w:r>
      <w:proofErr w:type="spellStart"/>
      <w:r w:rsidRPr="00F33FC4">
        <w:rPr>
          <w:rFonts w:eastAsia="MS Mincho"/>
        </w:rPr>
        <w:t>BioLegend</w:t>
      </w:r>
      <w:proofErr w:type="spellEnd"/>
      <w:r w:rsidRPr="00F33FC4">
        <w:rPr>
          <w:rFonts w:eastAsia="MS Mincho"/>
        </w:rPr>
        <w:t xml:space="preserve">) and an </w:t>
      </w:r>
      <w:r w:rsidRPr="00F33FC4">
        <w:rPr>
          <w:rFonts w:eastAsia="MS Mincho"/>
        </w:rPr>
        <w:sym w:font="Symbol" w:char="F061"/>
      </w:r>
      <w:r w:rsidRPr="00F33FC4">
        <w:rPr>
          <w:rFonts w:eastAsia="MS Mincho"/>
        </w:rPr>
        <w:t xml:space="preserve">-IgG secondary antibody (LI-COR Biosciences) that fluoresces at 680 nm. </w:t>
      </w:r>
      <w:proofErr w:type="spellStart"/>
      <w:r w:rsidRPr="00F33FC4">
        <w:rPr>
          <w:rFonts w:eastAsia="MS Mincho"/>
        </w:rPr>
        <w:t>LepB</w:t>
      </w:r>
      <w:proofErr w:type="spellEnd"/>
      <w:r w:rsidRPr="00F33FC4">
        <w:rPr>
          <w:rFonts w:eastAsia="MS Mincho"/>
        </w:rPr>
        <w:t xml:space="preserve"> was tagged with a SPA tag (UTK102) to serve as a loading control.</w:t>
      </w:r>
    </w:p>
    <w:p w14:paraId="3AAF6C69" w14:textId="77777777" w:rsidR="007A5817" w:rsidRDefault="007A5817" w:rsidP="00F33FC4">
      <w:pPr>
        <w:spacing w:line="360" w:lineRule="auto"/>
        <w:rPr>
          <w:rFonts w:eastAsia="MS Mincho"/>
        </w:rPr>
      </w:pPr>
      <w:r>
        <w:rPr>
          <w:rFonts w:eastAsia="MS Mincho"/>
          <w:iCs/>
        </w:rPr>
        <w:tab/>
      </w:r>
      <w:r w:rsidR="00F33FC4" w:rsidRPr="00F33FC4">
        <w:rPr>
          <w:rFonts w:eastAsia="MS Mincho"/>
          <w:iCs/>
        </w:rPr>
        <w:t xml:space="preserve">Separation of the insoluble fraction (membrane) from the soluble fraction was done via </w:t>
      </w:r>
      <w:r w:rsidR="00F33FC4" w:rsidRPr="00F33FC4">
        <w:rPr>
          <w:rFonts w:eastAsia="MS Mincho"/>
        </w:rPr>
        <w:t xml:space="preserve">ultracentrifugation (100,000 </w:t>
      </w:r>
      <w:r w:rsidR="00F33FC4" w:rsidRPr="00F33FC4">
        <w:rPr>
          <w:rFonts w:eastAsia="MS Mincho"/>
          <w:iCs/>
        </w:rPr>
        <w:t>g</w:t>
      </w:r>
      <w:r w:rsidR="00F33FC4" w:rsidRPr="00F33FC4">
        <w:rPr>
          <w:rFonts w:eastAsia="MS Mincho"/>
        </w:rPr>
        <w:t>, 4</w:t>
      </w:r>
      <w:r w:rsidR="00F33FC4" w:rsidRPr="00F33FC4">
        <w:rPr>
          <w:rFonts w:eastAsia="MS Mincho"/>
          <w:vertAlign w:val="superscript"/>
        </w:rPr>
        <w:t>o</w:t>
      </w:r>
      <w:r w:rsidR="00F33FC4" w:rsidRPr="00F33FC4">
        <w:rPr>
          <w:rFonts w:eastAsia="MS Mincho"/>
        </w:rPr>
        <w:t xml:space="preserve">C, 45 min) to yield supernatant (cytoplasmic proteins) and a pellet (membrane proteins). The pellet was washed with cold PBS and resuspended in 100 </w:t>
      </w:r>
      <w:r w:rsidR="00F33FC4" w:rsidRPr="00F33FC4">
        <w:rPr>
          <w:rFonts w:eastAsia="MS Mincho"/>
        </w:rPr>
        <w:sym w:font="Symbol" w:char="F06D"/>
      </w:r>
      <w:r w:rsidR="00F33FC4" w:rsidRPr="00F33FC4">
        <w:rPr>
          <w:rFonts w:eastAsia="MS Mincho"/>
        </w:rPr>
        <w:t>l PBS.</w:t>
      </w:r>
    </w:p>
    <w:p w14:paraId="2DDC954E" w14:textId="76DEBCED" w:rsidR="00F33FC4" w:rsidRPr="00F33FC4" w:rsidRDefault="007A5817" w:rsidP="00F33FC4">
      <w:pPr>
        <w:spacing w:line="360" w:lineRule="auto"/>
        <w:rPr>
          <w:rFonts w:eastAsia="MS Mincho"/>
        </w:rPr>
      </w:pPr>
      <w:r>
        <w:rPr>
          <w:rFonts w:eastAsia="MS Mincho"/>
        </w:rPr>
        <w:lastRenderedPageBreak/>
        <w:tab/>
      </w:r>
      <w:r w:rsidR="00F33FC4" w:rsidRPr="00F33FC4">
        <w:rPr>
          <w:rFonts w:eastAsia="MS Mincho"/>
        </w:rPr>
        <w:t>Dot blots were performed by spot inoculating a nitrocellulose membrane with 5</w:t>
      </w:r>
      <w:r w:rsidR="00F33FC4" w:rsidRPr="00F33FC4">
        <w:rPr>
          <w:rFonts w:eastAsia="MS Mincho"/>
        </w:rPr>
        <w:sym w:font="Symbol" w:char="F06D"/>
      </w:r>
      <w:r w:rsidR="00F33FC4" w:rsidRPr="00F33FC4">
        <w:rPr>
          <w:rFonts w:eastAsia="MS Mincho"/>
        </w:rPr>
        <w:t>l of sample containing 10</w:t>
      </w:r>
      <w:r w:rsidR="00F33FC4" w:rsidRPr="00F33FC4">
        <w:rPr>
          <w:rFonts w:eastAsia="MS Mincho"/>
        </w:rPr>
        <w:sym w:font="Symbol" w:char="F06D"/>
      </w:r>
      <w:r w:rsidR="00F33FC4" w:rsidRPr="00F33FC4">
        <w:rPr>
          <w:rFonts w:eastAsia="MS Mincho"/>
        </w:rPr>
        <w:t>g or 20</w:t>
      </w:r>
      <w:r w:rsidR="00F33FC4" w:rsidRPr="00F33FC4">
        <w:rPr>
          <w:rFonts w:eastAsia="MS Mincho"/>
        </w:rPr>
        <w:sym w:font="Symbol" w:char="F06D"/>
      </w:r>
      <w:r w:rsidR="00F33FC4" w:rsidRPr="00F33FC4">
        <w:rPr>
          <w:rFonts w:eastAsia="MS Mincho"/>
        </w:rPr>
        <w:t xml:space="preserve">g of protein and processing the membrane as above (probed with </w:t>
      </w:r>
      <w:r w:rsidR="00F33FC4" w:rsidRPr="00F33FC4">
        <w:rPr>
          <w:rFonts w:eastAsia="MS Mincho"/>
        </w:rPr>
        <w:sym w:font="Symbol" w:char="F061"/>
      </w:r>
      <w:r w:rsidR="00F33FC4" w:rsidRPr="00F33FC4">
        <w:rPr>
          <w:rFonts w:eastAsia="MS Mincho"/>
        </w:rPr>
        <w:t xml:space="preserve">-FLAG primary antibody </w:t>
      </w:r>
      <w:r w:rsidR="00F33FC4" w:rsidRPr="00F33FC4">
        <w:rPr>
          <w:rFonts w:eastAsia="MS Mincho"/>
        </w:rPr>
        <w:sym w:font="Symbol" w:char="F061"/>
      </w:r>
      <w:r w:rsidR="00F33FC4" w:rsidRPr="00F33FC4">
        <w:rPr>
          <w:rFonts w:eastAsia="MS Mincho"/>
        </w:rPr>
        <w:t>-IgG secondary antibody) (28).</w:t>
      </w:r>
    </w:p>
    <w:p w14:paraId="0BD4A715" w14:textId="77777777" w:rsidR="007A5817" w:rsidRDefault="007A5817" w:rsidP="00F33FC4">
      <w:pPr>
        <w:spacing w:line="360" w:lineRule="auto"/>
        <w:rPr>
          <w:rFonts w:eastAsia="MS Mincho"/>
          <w:b/>
          <w:bCs/>
        </w:rPr>
      </w:pPr>
    </w:p>
    <w:p w14:paraId="02589680" w14:textId="5B274025" w:rsidR="00F33FC4" w:rsidRPr="00F33FC4" w:rsidRDefault="00F33FC4" w:rsidP="00F33FC4">
      <w:pPr>
        <w:spacing w:line="360" w:lineRule="auto"/>
        <w:rPr>
          <w:rFonts w:eastAsia="MS Mincho"/>
        </w:rPr>
      </w:pPr>
      <w:r w:rsidRPr="00F33FC4">
        <w:rPr>
          <w:rFonts w:eastAsia="MS Mincho"/>
          <w:b/>
          <w:bCs/>
        </w:rPr>
        <w:t>III. Results</w:t>
      </w:r>
    </w:p>
    <w:p w14:paraId="1B9252B7" w14:textId="77777777" w:rsidR="00F33FC4" w:rsidRPr="00F33FC4" w:rsidRDefault="00F33FC4" w:rsidP="00F33FC4">
      <w:pPr>
        <w:spacing w:line="360" w:lineRule="auto"/>
        <w:rPr>
          <w:rFonts w:eastAsia="MS Mincho"/>
          <w:b/>
          <w:bCs/>
          <w:color w:val="000000"/>
        </w:rPr>
      </w:pPr>
      <w:proofErr w:type="spellStart"/>
      <w:r w:rsidRPr="00F33FC4">
        <w:rPr>
          <w:rFonts w:eastAsia="MS Mincho"/>
          <w:b/>
          <w:bCs/>
          <w:color w:val="000000"/>
        </w:rPr>
        <w:t>ZorO</w:t>
      </w:r>
      <w:proofErr w:type="spellEnd"/>
      <w:r w:rsidRPr="00F33FC4">
        <w:rPr>
          <w:rFonts w:eastAsia="MS Mincho"/>
          <w:b/>
          <w:bCs/>
          <w:color w:val="000000"/>
        </w:rPr>
        <w:t>: a small hydrophobic protein</w:t>
      </w:r>
    </w:p>
    <w:p w14:paraId="577C0262" w14:textId="77777777" w:rsidR="00F33FC4" w:rsidRPr="00F33FC4" w:rsidRDefault="00F33FC4" w:rsidP="00F33FC4">
      <w:pPr>
        <w:spacing w:line="360" w:lineRule="auto"/>
        <w:rPr>
          <w:rFonts w:eastAsia="MS Mincho"/>
          <w:color w:val="000000"/>
        </w:rPr>
      </w:pPr>
      <w:r w:rsidRPr="00F33FC4">
        <w:rPr>
          <w:rFonts w:eastAsia="MS Mincho"/>
          <w:b/>
          <w:bCs/>
          <w:color w:val="000000"/>
        </w:rPr>
        <w:tab/>
        <w:t xml:space="preserve">The </w:t>
      </w:r>
      <w:proofErr w:type="spellStart"/>
      <w:r w:rsidRPr="00F33FC4">
        <w:rPr>
          <w:rFonts w:eastAsia="MS Mincho"/>
          <w:i/>
          <w:iCs/>
          <w:color w:val="000000"/>
        </w:rPr>
        <w:t>zorO</w:t>
      </w:r>
      <w:proofErr w:type="spellEnd"/>
      <w:r w:rsidRPr="00F33FC4">
        <w:rPr>
          <w:rFonts w:eastAsia="MS Mincho"/>
          <w:color w:val="000000"/>
        </w:rPr>
        <w:t xml:space="preserve"> gene encodes for a small protein (29 amino acids in length) that is predicted to form an alpha helix (</w:t>
      </w:r>
      <w:proofErr w:type="spellStart"/>
      <w:r w:rsidRPr="00F33FC4">
        <w:rPr>
          <w:rFonts w:eastAsia="MS Mincho"/>
          <w:color w:val="000000"/>
        </w:rPr>
        <w:t>Phyre</w:t>
      </w:r>
      <w:proofErr w:type="spellEnd"/>
      <w:r w:rsidRPr="00F33FC4">
        <w:rPr>
          <w:rFonts w:eastAsia="MS Mincho"/>
          <w:color w:val="000000"/>
        </w:rPr>
        <w:t xml:space="preserve"> 2.0; Fig. 4.1A; </w:t>
      </w:r>
      <w:r w:rsidRPr="00F33FC4">
        <w:rPr>
          <w:rFonts w:eastAsia="MS Mincho"/>
          <w:noProof/>
          <w:color w:val="000000"/>
        </w:rPr>
        <w:t>(29)</w:t>
      </w:r>
      <w:r w:rsidRPr="00F33FC4">
        <w:rPr>
          <w:rFonts w:eastAsia="MS Mincho"/>
          <w:color w:val="000000"/>
        </w:rPr>
        <w:t xml:space="preserve">) and localizes to the bacterial inner membrane </w:t>
      </w:r>
      <w:r w:rsidRPr="00F33FC4">
        <w:rPr>
          <w:rFonts w:eastAsia="MS Mincho"/>
          <w:noProof/>
          <w:color w:val="000000"/>
        </w:rPr>
        <w:t>(19,25)</w:t>
      </w:r>
      <w:r w:rsidRPr="00F33FC4">
        <w:rPr>
          <w:rFonts w:eastAsia="MS Mincho"/>
          <w:color w:val="000000"/>
        </w:rPr>
        <w:t xml:space="preserve">. Several computational tools predict </w:t>
      </w:r>
      <w:proofErr w:type="spellStart"/>
      <w:r w:rsidRPr="00F33FC4">
        <w:rPr>
          <w:rFonts w:eastAsia="MS Mincho"/>
          <w:color w:val="000000"/>
        </w:rPr>
        <w:t>ZorO</w:t>
      </w:r>
      <w:proofErr w:type="spellEnd"/>
      <w:r w:rsidRPr="00F33FC4">
        <w:rPr>
          <w:rFonts w:eastAsia="MS Mincho"/>
          <w:color w:val="000000"/>
        </w:rPr>
        <w:t xml:space="preserve"> to have a transmembrane helix (Fig. 4.1B). The orientation of this small protein in the membrane, </w:t>
      </w:r>
      <w:r w:rsidRPr="00F33FC4">
        <w:rPr>
          <w:rFonts w:eastAsia="MS Mincho"/>
          <w:i/>
          <w:iCs/>
          <w:color w:val="000000"/>
        </w:rPr>
        <w:t>i.e.</w:t>
      </w:r>
      <w:r w:rsidRPr="00F33FC4">
        <w:rPr>
          <w:rFonts w:eastAsia="MS Mincho"/>
          <w:color w:val="000000"/>
        </w:rPr>
        <w:t xml:space="preserve"> the location of the N-terminus or the C-terminus towards the cytoplasm or periplasm, varies between these prediction tools (Fig. 4.1B) and is yet to be determined experimentally for </w:t>
      </w:r>
      <w:proofErr w:type="spellStart"/>
      <w:r w:rsidRPr="00F33FC4">
        <w:rPr>
          <w:rFonts w:eastAsia="MS Mincho"/>
          <w:color w:val="000000"/>
        </w:rPr>
        <w:t>ZorO</w:t>
      </w:r>
      <w:proofErr w:type="spellEnd"/>
      <w:r w:rsidRPr="00F33FC4">
        <w:rPr>
          <w:rFonts w:eastAsia="MS Mincho"/>
          <w:color w:val="000000"/>
        </w:rPr>
        <w:t xml:space="preserve">. The grand average hydropathy value (GRAVY), calculated by assigning each amino acid residue with a hydropathy value and dividing it by the length of the protein sequence, is 1.4 for the </w:t>
      </w:r>
      <w:proofErr w:type="spellStart"/>
      <w:r w:rsidRPr="00F33FC4">
        <w:rPr>
          <w:rFonts w:eastAsia="MS Mincho"/>
          <w:color w:val="000000"/>
        </w:rPr>
        <w:t>ZorO</w:t>
      </w:r>
      <w:proofErr w:type="spellEnd"/>
      <w:r w:rsidRPr="00F33FC4">
        <w:rPr>
          <w:rFonts w:eastAsia="MS Mincho"/>
          <w:color w:val="000000"/>
        </w:rPr>
        <w:t xml:space="preserve"> sequence (Fig. 4.1C; </w:t>
      </w:r>
      <w:r w:rsidRPr="00F33FC4">
        <w:rPr>
          <w:rFonts w:eastAsia="MS Mincho"/>
          <w:noProof/>
          <w:color w:val="000000"/>
        </w:rPr>
        <w:t>(30)</w:t>
      </w:r>
      <w:r w:rsidRPr="00F33FC4">
        <w:rPr>
          <w:rFonts w:eastAsia="MS Mincho"/>
          <w:color w:val="000000"/>
        </w:rPr>
        <w:t xml:space="preserve">) indicative of its hydrophobic nature. </w:t>
      </w:r>
    </w:p>
    <w:p w14:paraId="4B745A85" w14:textId="77777777" w:rsidR="00F33FC4" w:rsidRPr="00F33FC4" w:rsidRDefault="00F33FC4" w:rsidP="00F33FC4">
      <w:pPr>
        <w:spacing w:line="360" w:lineRule="auto"/>
        <w:ind w:firstLine="720"/>
        <w:rPr>
          <w:rFonts w:eastAsia="MS Mincho"/>
          <w:color w:val="000000"/>
        </w:rPr>
      </w:pPr>
      <w:proofErr w:type="spellStart"/>
      <w:r w:rsidRPr="00F33FC4">
        <w:rPr>
          <w:rFonts w:eastAsia="MS Mincho"/>
          <w:color w:val="000000"/>
        </w:rPr>
        <w:t>ZorO</w:t>
      </w:r>
      <w:proofErr w:type="spellEnd"/>
      <w:r w:rsidRPr="00F33FC4">
        <w:rPr>
          <w:rFonts w:eastAsia="MS Mincho"/>
          <w:color w:val="000000"/>
        </w:rPr>
        <w:t xml:space="preserve"> has three positively charged and three negatively charged residues uniformly distributed within the sequence (red and blue colored residues respectively in helical wheel projection in Fig. 4.1D). The addition of a FLAG tag (DYKDDDDK) reduces the hydrophobicity index (0.38 for FLAG-</w:t>
      </w:r>
      <w:proofErr w:type="spellStart"/>
      <w:r w:rsidRPr="00F33FC4">
        <w:rPr>
          <w:rFonts w:eastAsia="MS Mincho"/>
          <w:color w:val="000000"/>
        </w:rPr>
        <w:t>ZorO</w:t>
      </w:r>
      <w:proofErr w:type="spellEnd"/>
      <w:r w:rsidRPr="00F33FC4">
        <w:rPr>
          <w:rFonts w:eastAsia="MS Mincho"/>
          <w:color w:val="000000"/>
        </w:rPr>
        <w:t xml:space="preserve">) as the FLAG tag is rich with charged amino acid residues. However, the membrane localization of </w:t>
      </w:r>
      <w:proofErr w:type="spellStart"/>
      <w:r w:rsidRPr="00F33FC4">
        <w:rPr>
          <w:rFonts w:eastAsia="MS Mincho"/>
          <w:color w:val="000000"/>
        </w:rPr>
        <w:t>ZorO</w:t>
      </w:r>
      <w:proofErr w:type="spellEnd"/>
      <w:r w:rsidRPr="00F33FC4">
        <w:rPr>
          <w:rFonts w:eastAsia="MS Mincho"/>
          <w:color w:val="000000"/>
        </w:rPr>
        <w:t xml:space="preserve"> is not affected by the FLAG tag </w:t>
      </w:r>
      <w:r w:rsidRPr="00F33FC4">
        <w:rPr>
          <w:rFonts w:eastAsia="MS Mincho"/>
          <w:noProof/>
          <w:sz w:val="22"/>
          <w:szCs w:val="22"/>
        </w:rPr>
        <w:t>(19)</w:t>
      </w:r>
      <w:r w:rsidRPr="00F33FC4">
        <w:rPr>
          <w:rFonts w:eastAsia="MS Mincho"/>
          <w:color w:val="000000"/>
        </w:rPr>
        <w:t xml:space="preserve">. </w:t>
      </w:r>
      <w:r w:rsidRPr="00F33FC4">
        <w:rPr>
          <w:rFonts w:eastAsia="MS Mincho"/>
        </w:rPr>
        <w:t xml:space="preserve">To examine the role of the specific charged residues within the </w:t>
      </w:r>
      <w:proofErr w:type="spellStart"/>
      <w:r w:rsidRPr="00F33FC4">
        <w:rPr>
          <w:rFonts w:eastAsia="MS Mincho"/>
        </w:rPr>
        <w:t>ZorO</w:t>
      </w:r>
      <w:proofErr w:type="spellEnd"/>
      <w:r w:rsidRPr="00F33FC4">
        <w:rPr>
          <w:rFonts w:eastAsia="MS Mincho"/>
        </w:rPr>
        <w:t xml:space="preserve"> sequence, we mutated the respective codons to encode either an oppositely charged amino acid or a neutrally charged amino acid. As expected, these mutations did not alter the hydrophobicity index of the </w:t>
      </w:r>
      <w:proofErr w:type="spellStart"/>
      <w:r w:rsidRPr="00F33FC4">
        <w:rPr>
          <w:rFonts w:eastAsia="MS Mincho"/>
        </w:rPr>
        <w:t>ZorO</w:t>
      </w:r>
      <w:proofErr w:type="spellEnd"/>
      <w:r w:rsidRPr="00F33FC4">
        <w:rPr>
          <w:rFonts w:eastAsia="MS Mincho"/>
        </w:rPr>
        <w:t xml:space="preserve"> sequence except when a positively charged residue (arginine) was mutated to hydrophobic leucine (R23L, Table 4.3).</w:t>
      </w:r>
    </w:p>
    <w:p w14:paraId="49C16FE4" w14:textId="77777777" w:rsidR="00F33FC4" w:rsidRPr="00F33FC4" w:rsidRDefault="00F33FC4" w:rsidP="00F33FC4">
      <w:pPr>
        <w:spacing w:line="360" w:lineRule="auto"/>
        <w:rPr>
          <w:rFonts w:eastAsia="MS Mincho"/>
          <w:b/>
          <w:bCs/>
        </w:rPr>
      </w:pPr>
      <w:r w:rsidRPr="00F33FC4">
        <w:rPr>
          <w:rFonts w:ascii="Calibri" w:eastAsia="MS Mincho" w:hAnsi="Calibri" w:cs="Mangal"/>
          <w:noProof/>
        </w:rPr>
        <w:lastRenderedPageBreak/>
        <mc:AlternateContent>
          <mc:Choice Requires="wps">
            <w:drawing>
              <wp:anchor distT="0" distB="0" distL="114300" distR="114300" simplePos="0" relativeHeight="251725824" behindDoc="0" locked="0" layoutInCell="1" allowOverlap="1" wp14:anchorId="67602432" wp14:editId="6E598FAB">
                <wp:simplePos x="0" y="0"/>
                <wp:positionH relativeFrom="column">
                  <wp:posOffset>230608</wp:posOffset>
                </wp:positionH>
                <wp:positionV relativeFrom="paragraph">
                  <wp:posOffset>5278755</wp:posOffset>
                </wp:positionV>
                <wp:extent cx="5604510" cy="635"/>
                <wp:effectExtent l="0" t="0" r="0" b="12065"/>
                <wp:wrapTopAndBottom/>
                <wp:docPr id="110" name="Text Box 110"/>
                <wp:cNvGraphicFramePr/>
                <a:graphic xmlns:a="http://schemas.openxmlformats.org/drawingml/2006/main">
                  <a:graphicData uri="http://schemas.microsoft.com/office/word/2010/wordprocessingShape">
                    <wps:wsp>
                      <wps:cNvSpPr txBox="1"/>
                      <wps:spPr>
                        <a:xfrm>
                          <a:off x="0" y="0"/>
                          <a:ext cx="5604510" cy="635"/>
                        </a:xfrm>
                        <a:prstGeom prst="rect">
                          <a:avLst/>
                        </a:prstGeom>
                        <a:solidFill>
                          <a:prstClr val="white"/>
                        </a:solidFill>
                        <a:ln>
                          <a:noFill/>
                        </a:ln>
                      </wps:spPr>
                      <wps:txbx>
                        <w:txbxContent>
                          <w:p w14:paraId="07129C52" w14:textId="77777777" w:rsidR="00F33FC4" w:rsidRPr="00596F81" w:rsidRDefault="00F33FC4" w:rsidP="00F33FC4">
                            <w:pPr>
                              <w:pStyle w:val="Caption"/>
                              <w:rPr>
                                <w:b/>
                                <w:bCs/>
                                <w:i/>
                                <w:iCs w:val="0"/>
                                <w:sz w:val="22"/>
                                <w:szCs w:val="22"/>
                              </w:rPr>
                            </w:pPr>
                            <w:r w:rsidRPr="00596F81">
                              <w:rPr>
                                <w:iCs w:val="0"/>
                                <w:sz w:val="22"/>
                                <w:szCs w:val="22"/>
                              </w:rPr>
                              <w:t xml:space="preserve">Figure </w:t>
                            </w:r>
                            <w:r>
                              <w:rPr>
                                <w:iCs w:val="0"/>
                                <w:sz w:val="22"/>
                                <w:szCs w:val="22"/>
                              </w:rPr>
                              <w:t xml:space="preserve">4.1. Structure and hydropathy prediction of </w:t>
                            </w:r>
                            <w:proofErr w:type="spellStart"/>
                            <w:r>
                              <w:rPr>
                                <w:iCs w:val="0"/>
                                <w:sz w:val="22"/>
                                <w:szCs w:val="22"/>
                              </w:rPr>
                              <w:t>ZorO</w:t>
                            </w:r>
                            <w:proofErr w:type="spellEnd"/>
                            <w:r>
                              <w:rPr>
                                <w:iCs w:val="0"/>
                                <w:sz w:val="22"/>
                                <w:szCs w:val="22"/>
                              </w:rPr>
                              <w:t xml:space="preserve">. Alpha-helical structure of </w:t>
                            </w:r>
                            <w:proofErr w:type="spellStart"/>
                            <w:r>
                              <w:rPr>
                                <w:iCs w:val="0"/>
                                <w:sz w:val="22"/>
                                <w:szCs w:val="22"/>
                              </w:rPr>
                              <w:t>ZorO</w:t>
                            </w:r>
                            <w:proofErr w:type="spellEnd"/>
                            <w:r>
                              <w:rPr>
                                <w:iCs w:val="0"/>
                                <w:sz w:val="22"/>
                                <w:szCs w:val="22"/>
                              </w:rPr>
                              <w:t xml:space="preserve"> predicted by </w:t>
                            </w:r>
                            <w:proofErr w:type="spellStart"/>
                            <w:r>
                              <w:rPr>
                                <w:iCs w:val="0"/>
                                <w:sz w:val="22"/>
                                <w:szCs w:val="22"/>
                              </w:rPr>
                              <w:t>Phyre</w:t>
                            </w:r>
                            <w:proofErr w:type="spellEnd"/>
                            <w:r>
                              <w:rPr>
                                <w:iCs w:val="0"/>
                                <w:sz w:val="22"/>
                                <w:szCs w:val="22"/>
                              </w:rPr>
                              <w:t xml:space="preserve"> 2.0 (A). Predicted transmembrane domain and orientation (B); Blue line at N-terminus indicates N-terminus towards the periplasm, yellow bar represents the predicted transmembrane domain. The </w:t>
                            </w:r>
                            <w:proofErr w:type="spellStart"/>
                            <w:r>
                              <w:rPr>
                                <w:iCs w:val="0"/>
                                <w:sz w:val="22"/>
                                <w:szCs w:val="22"/>
                              </w:rPr>
                              <w:t>ProtScale</w:t>
                            </w:r>
                            <w:proofErr w:type="spellEnd"/>
                            <w:r>
                              <w:rPr>
                                <w:iCs w:val="0"/>
                                <w:sz w:val="22"/>
                                <w:szCs w:val="22"/>
                              </w:rPr>
                              <w:t xml:space="preserve"> value based on hydrophobicity scale of </w:t>
                            </w:r>
                            <w:proofErr w:type="spellStart"/>
                            <w:r>
                              <w:rPr>
                                <w:iCs w:val="0"/>
                                <w:sz w:val="22"/>
                                <w:szCs w:val="22"/>
                              </w:rPr>
                              <w:t>ZorO</w:t>
                            </w:r>
                            <w:proofErr w:type="spellEnd"/>
                            <w:r>
                              <w:rPr>
                                <w:iCs w:val="0"/>
                                <w:sz w:val="22"/>
                                <w:szCs w:val="22"/>
                              </w:rPr>
                              <w:t xml:space="preserve"> sequence (C). Helical wheel projection of </w:t>
                            </w:r>
                            <w:proofErr w:type="spellStart"/>
                            <w:r>
                              <w:rPr>
                                <w:iCs w:val="0"/>
                                <w:sz w:val="22"/>
                                <w:szCs w:val="22"/>
                              </w:rPr>
                              <w:t>ZorO</w:t>
                            </w:r>
                            <w:proofErr w:type="spellEnd"/>
                            <w:r>
                              <w:rPr>
                                <w:iCs w:val="0"/>
                                <w:sz w:val="22"/>
                                <w:szCs w:val="22"/>
                              </w:rPr>
                              <w:t xml:space="preserve"> sequence (D).</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7602432" id="Text Box 110" o:spid="_x0000_s1050" type="#_x0000_t202" style="position:absolute;margin-left:18.15pt;margin-top:415.65pt;width:441.3pt;height:.05pt;z-index:251725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" stroked="f">
                <v:textbox style="mso-fit-shape-to-text:t" inset="0,0,0,0">
                  <w:txbxContent>
                    <w:p w14:paraId="07129C52" w14:textId="77777777" w:rsidR="00F33FC4" w:rsidRPr="00596F81" w:rsidRDefault="00F33FC4" w:rsidP="00F33FC4">
                      <w:pPr>
                        <w:pStyle w:val="Caption"/>
                        <w:rPr>
                          <w:b/>
                          <w:bCs/>
                          <w:i/>
                          <w:iCs w:val="0"/>
                          <w:sz w:val="22"/>
                          <w:szCs w:val="22"/>
                        </w:rPr>
                      </w:pPr>
                      <w:r w:rsidRPr="00596F81">
                        <w:rPr>
                          <w:iCs w:val="0"/>
                          <w:sz w:val="22"/>
                          <w:szCs w:val="22"/>
                        </w:rPr>
                        <w:t xml:space="preserve">Figure </w:t>
                      </w:r>
                      <w:r>
                        <w:rPr>
                          <w:iCs w:val="0"/>
                          <w:sz w:val="22"/>
                          <w:szCs w:val="22"/>
                        </w:rPr>
                        <w:t xml:space="preserve">4.1. Structure and hydropathy prediction of </w:t>
                      </w:r>
                      <w:proofErr w:type="spellStart"/>
                      <w:r>
                        <w:rPr>
                          <w:iCs w:val="0"/>
                          <w:sz w:val="22"/>
                          <w:szCs w:val="22"/>
                        </w:rPr>
                        <w:t>ZorO</w:t>
                      </w:r>
                      <w:proofErr w:type="spellEnd"/>
                      <w:r>
                        <w:rPr>
                          <w:iCs w:val="0"/>
                          <w:sz w:val="22"/>
                          <w:szCs w:val="22"/>
                        </w:rPr>
                        <w:t xml:space="preserve">. Alpha-helical structure of </w:t>
                      </w:r>
                      <w:proofErr w:type="spellStart"/>
                      <w:r>
                        <w:rPr>
                          <w:iCs w:val="0"/>
                          <w:sz w:val="22"/>
                          <w:szCs w:val="22"/>
                        </w:rPr>
                        <w:t>ZorO</w:t>
                      </w:r>
                      <w:proofErr w:type="spellEnd"/>
                      <w:r>
                        <w:rPr>
                          <w:iCs w:val="0"/>
                          <w:sz w:val="22"/>
                          <w:szCs w:val="22"/>
                        </w:rPr>
                        <w:t xml:space="preserve"> predicted by </w:t>
                      </w:r>
                      <w:proofErr w:type="spellStart"/>
                      <w:r>
                        <w:rPr>
                          <w:iCs w:val="0"/>
                          <w:sz w:val="22"/>
                          <w:szCs w:val="22"/>
                        </w:rPr>
                        <w:t>Phyre</w:t>
                      </w:r>
                      <w:proofErr w:type="spellEnd"/>
                      <w:r>
                        <w:rPr>
                          <w:iCs w:val="0"/>
                          <w:sz w:val="22"/>
                          <w:szCs w:val="22"/>
                        </w:rPr>
                        <w:t xml:space="preserve"> 2.0 (A). Predicted transmembrane domain and orientation (B); Blue line at N-terminus indicates N-terminus towards the periplasm, yellow bar represents the predicted transmembrane domain. The </w:t>
                      </w:r>
                      <w:proofErr w:type="spellStart"/>
                      <w:r>
                        <w:rPr>
                          <w:iCs w:val="0"/>
                          <w:sz w:val="22"/>
                          <w:szCs w:val="22"/>
                        </w:rPr>
                        <w:t>ProtScale</w:t>
                      </w:r>
                      <w:proofErr w:type="spellEnd"/>
                      <w:r>
                        <w:rPr>
                          <w:iCs w:val="0"/>
                          <w:sz w:val="22"/>
                          <w:szCs w:val="22"/>
                        </w:rPr>
                        <w:t xml:space="preserve"> value based on hydrophobicity scale of </w:t>
                      </w:r>
                      <w:proofErr w:type="spellStart"/>
                      <w:r>
                        <w:rPr>
                          <w:iCs w:val="0"/>
                          <w:sz w:val="22"/>
                          <w:szCs w:val="22"/>
                        </w:rPr>
                        <w:t>ZorO</w:t>
                      </w:r>
                      <w:proofErr w:type="spellEnd"/>
                      <w:r>
                        <w:rPr>
                          <w:iCs w:val="0"/>
                          <w:sz w:val="22"/>
                          <w:szCs w:val="22"/>
                        </w:rPr>
                        <w:t xml:space="preserve"> sequence (C). Helical wheel projection of </w:t>
                      </w:r>
                      <w:proofErr w:type="spellStart"/>
                      <w:r>
                        <w:rPr>
                          <w:iCs w:val="0"/>
                          <w:sz w:val="22"/>
                          <w:szCs w:val="22"/>
                        </w:rPr>
                        <w:t>ZorO</w:t>
                      </w:r>
                      <w:proofErr w:type="spellEnd"/>
                      <w:r>
                        <w:rPr>
                          <w:iCs w:val="0"/>
                          <w:sz w:val="22"/>
                          <w:szCs w:val="22"/>
                        </w:rPr>
                        <w:t xml:space="preserve"> sequence (D).</w:t>
                      </w:r>
                    </w:p>
                  </w:txbxContent>
                </v:textbox>
                <w10:wrap type="topAndBottom"/>
              </v:shape>
            </w:pict>
          </mc:Fallback>
        </mc:AlternateContent>
      </w:r>
      <w:r w:rsidRPr="00F33FC4">
        <w:rPr>
          <w:rFonts w:eastAsia="MS Mincho"/>
          <w:b/>
          <w:bCs/>
          <w:noProof/>
        </w:rPr>
        <w:drawing>
          <wp:anchor distT="0" distB="0" distL="114300" distR="114300" simplePos="0" relativeHeight="251735040" behindDoc="0" locked="0" layoutInCell="1" allowOverlap="1" wp14:anchorId="7CE97679" wp14:editId="2372FAC4">
            <wp:simplePos x="0" y="0"/>
            <wp:positionH relativeFrom="column">
              <wp:posOffset>0</wp:posOffset>
            </wp:positionH>
            <wp:positionV relativeFrom="paragraph">
              <wp:posOffset>263525</wp:posOffset>
            </wp:positionV>
            <wp:extent cx="6229350" cy="4695190"/>
            <wp:effectExtent l="0" t="0" r="6350" b="3810"/>
            <wp:wrapTopAndBottom/>
            <wp:docPr id="120" name="Picture 120"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Graphical user interface&#10;&#10;Description automatically generated"/>
                    <pic:cNvPicPr/>
                  </pic:nvPicPr>
                  <pic:blipFill>
                    <a:blip r:embed="rId37" cstate="print">
                      <a:extLst>
                        <a:ext uri="{28A0092B-C50C-407E-A947-70E740481C1C}">
                          <a14:useLocalDpi xmlns:a14="http://schemas.microsoft.com/office/drawing/2010/main" val="0"/>
                        </a:ext>
                      </a:extLst>
                    </a:blip>
                    <a:stretch>
                      <a:fillRect/>
                    </a:stretch>
                  </pic:blipFill>
                  <pic:spPr>
                    <a:xfrm>
                      <a:off x="0" y="0"/>
                      <a:ext cx="6229350" cy="4695190"/>
                    </a:xfrm>
                    <a:prstGeom prst="rect">
                      <a:avLst/>
                    </a:prstGeom>
                  </pic:spPr>
                </pic:pic>
              </a:graphicData>
            </a:graphic>
            <wp14:sizeRelH relativeFrom="page">
              <wp14:pctWidth>0</wp14:pctWidth>
            </wp14:sizeRelH>
            <wp14:sizeRelV relativeFrom="page">
              <wp14:pctHeight>0</wp14:pctHeight>
            </wp14:sizeRelV>
          </wp:anchor>
        </w:drawing>
      </w:r>
      <w:r w:rsidRPr="00F33FC4">
        <w:rPr>
          <w:rFonts w:eastAsia="MS Mincho"/>
          <w:b/>
          <w:bCs/>
          <w:noProof/>
        </w:rPr>
        <w:t xml:space="preserve"> </w:t>
      </w:r>
      <w:r w:rsidRPr="00F33FC4">
        <w:rPr>
          <w:rFonts w:eastAsia="MS Mincho"/>
          <w:b/>
          <w:bCs/>
        </w:rPr>
        <w:br w:type="page"/>
      </w:r>
    </w:p>
    <w:p w14:paraId="1CEE53EC" w14:textId="037A9D40" w:rsidR="00F33FC4" w:rsidRPr="00D21137" w:rsidRDefault="007A5817" w:rsidP="00F33FC4">
      <w:pPr>
        <w:spacing w:line="360" w:lineRule="auto"/>
        <w:rPr>
          <w:rFonts w:eastAsia="MS Mincho"/>
          <w:b/>
          <w:bCs/>
          <w:sz w:val="22"/>
          <w:szCs w:val="22"/>
        </w:rPr>
      </w:pPr>
      <w:r w:rsidRPr="00D21137">
        <w:rPr>
          <w:rFonts w:eastAsia="MS Mincho"/>
          <w:sz w:val="22"/>
          <w:szCs w:val="22"/>
        </w:rPr>
        <w:lastRenderedPageBreak/>
        <w:t xml:space="preserve">Table 4.3. Point mutants of the charged amino acid residues of </w:t>
      </w:r>
      <w:proofErr w:type="spellStart"/>
      <w:r w:rsidRPr="00D21137">
        <w:rPr>
          <w:rFonts w:eastAsia="MS Mincho"/>
          <w:sz w:val="22"/>
          <w:szCs w:val="22"/>
        </w:rPr>
        <w:t>ZorO</w:t>
      </w:r>
      <w:proofErr w:type="spellEnd"/>
      <w:r w:rsidRPr="00D21137">
        <w:rPr>
          <w:rFonts w:eastAsia="MS Mincho"/>
          <w:sz w:val="22"/>
          <w:szCs w:val="22"/>
        </w:rPr>
        <w:t xml:space="preserve"> and their respective GRAVY index</w:t>
      </w:r>
    </w:p>
    <w:tbl>
      <w:tblPr>
        <w:tblpPr w:leftFromText="180" w:rightFromText="180" w:vertAnchor="page" w:horzAnchor="margin" w:tblpY="2362"/>
        <w:tblW w:w="8500" w:type="dxa"/>
        <w:tblLook w:val="04A0" w:firstRow="1" w:lastRow="0" w:firstColumn="1" w:lastColumn="0" w:noHBand="0" w:noVBand="1"/>
      </w:tblPr>
      <w:tblGrid>
        <w:gridCol w:w="2138"/>
        <w:gridCol w:w="1431"/>
        <w:gridCol w:w="1722"/>
        <w:gridCol w:w="1650"/>
        <w:gridCol w:w="1559"/>
      </w:tblGrid>
      <w:tr w:rsidR="007A5817" w:rsidRPr="00D21137" w14:paraId="0AC6891D" w14:textId="77777777" w:rsidTr="004B738B">
        <w:trPr>
          <w:trHeight w:val="1027"/>
        </w:trPr>
        <w:tc>
          <w:tcPr>
            <w:tcW w:w="2138"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B14300F" w14:textId="77777777" w:rsidR="007A5817" w:rsidRPr="00D21137" w:rsidRDefault="007A5817" w:rsidP="006408A7">
            <w:pPr>
              <w:jc w:val="center"/>
              <w:rPr>
                <w:b/>
                <w:bCs/>
                <w:color w:val="000000"/>
                <w:sz w:val="22"/>
                <w:szCs w:val="22"/>
                <w:lang w:bidi="ne-NP"/>
              </w:rPr>
            </w:pPr>
            <w:r w:rsidRPr="00D21137">
              <w:rPr>
                <w:b/>
                <w:bCs/>
                <w:color w:val="000000"/>
                <w:sz w:val="22"/>
                <w:szCs w:val="22"/>
                <w:lang w:bidi="ne-NP"/>
              </w:rPr>
              <w:t>Amino acid</w:t>
            </w:r>
          </w:p>
        </w:tc>
        <w:tc>
          <w:tcPr>
            <w:tcW w:w="1431"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08458F6" w14:textId="77777777" w:rsidR="007A5817" w:rsidRPr="00D21137" w:rsidRDefault="007A5817" w:rsidP="006408A7">
            <w:pPr>
              <w:jc w:val="center"/>
              <w:rPr>
                <w:b/>
                <w:bCs/>
                <w:color w:val="000000"/>
                <w:sz w:val="22"/>
                <w:szCs w:val="22"/>
                <w:lang w:bidi="ne-NP"/>
              </w:rPr>
            </w:pPr>
            <w:r w:rsidRPr="00D21137">
              <w:rPr>
                <w:b/>
                <w:bCs/>
                <w:color w:val="000000"/>
                <w:sz w:val="22"/>
                <w:szCs w:val="22"/>
                <w:lang w:bidi="ne-NP"/>
              </w:rPr>
              <w:t>Position</w:t>
            </w:r>
          </w:p>
        </w:tc>
        <w:tc>
          <w:tcPr>
            <w:tcW w:w="172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055A0F9" w14:textId="77777777" w:rsidR="007A5817" w:rsidRPr="00D21137" w:rsidRDefault="007A5817" w:rsidP="004B738B">
            <w:pPr>
              <w:jc w:val="center"/>
              <w:rPr>
                <w:b/>
                <w:bCs/>
                <w:color w:val="000000"/>
                <w:sz w:val="22"/>
                <w:szCs w:val="22"/>
                <w:lang w:bidi="ne-NP"/>
              </w:rPr>
            </w:pPr>
            <w:r w:rsidRPr="00D21137">
              <w:rPr>
                <w:b/>
                <w:bCs/>
                <w:color w:val="000000"/>
                <w:sz w:val="22"/>
                <w:szCs w:val="22"/>
                <w:lang w:bidi="ne-NP"/>
              </w:rPr>
              <w:t>Mutated to</w:t>
            </w:r>
          </w:p>
        </w:tc>
        <w:tc>
          <w:tcPr>
            <w:tcW w:w="1650"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400D2E7F" w14:textId="77777777" w:rsidR="007A5817" w:rsidRPr="00D21137" w:rsidRDefault="007A5817" w:rsidP="006408A7">
            <w:pPr>
              <w:jc w:val="center"/>
              <w:rPr>
                <w:b/>
                <w:bCs/>
                <w:color w:val="000000"/>
                <w:sz w:val="22"/>
                <w:szCs w:val="22"/>
                <w:lang w:bidi="ne-NP"/>
              </w:rPr>
            </w:pPr>
            <w:r w:rsidRPr="00D21137">
              <w:rPr>
                <w:b/>
                <w:bCs/>
                <w:color w:val="000000"/>
                <w:sz w:val="22"/>
                <w:szCs w:val="22"/>
                <w:lang w:bidi="ne-NP"/>
              </w:rPr>
              <w:t>Symbol</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4BDA743" w14:textId="77777777" w:rsidR="007A5817" w:rsidRPr="00D21137" w:rsidRDefault="007A5817" w:rsidP="006408A7">
            <w:pPr>
              <w:jc w:val="center"/>
              <w:rPr>
                <w:b/>
                <w:bCs/>
                <w:color w:val="000000"/>
                <w:sz w:val="22"/>
                <w:szCs w:val="22"/>
                <w:lang w:bidi="ne-NP"/>
              </w:rPr>
            </w:pPr>
            <w:r w:rsidRPr="00D21137">
              <w:rPr>
                <w:b/>
                <w:bCs/>
                <w:color w:val="000000"/>
                <w:sz w:val="22"/>
                <w:szCs w:val="22"/>
                <w:lang w:bidi="ne-NP"/>
              </w:rPr>
              <w:t>GRAVY index</w:t>
            </w:r>
          </w:p>
        </w:tc>
      </w:tr>
      <w:tr w:rsidR="007A5817" w:rsidRPr="00D21137" w14:paraId="26E1973B" w14:textId="77777777" w:rsidTr="004B738B">
        <w:trPr>
          <w:trHeight w:val="439"/>
        </w:trPr>
        <w:tc>
          <w:tcPr>
            <w:tcW w:w="2138" w:type="dxa"/>
            <w:vMerge/>
            <w:tcBorders>
              <w:top w:val="single" w:sz="4" w:space="0" w:color="000000"/>
              <w:left w:val="single" w:sz="4" w:space="0" w:color="000000"/>
              <w:bottom w:val="single" w:sz="4" w:space="0" w:color="000000"/>
              <w:right w:val="single" w:sz="4" w:space="0" w:color="000000"/>
            </w:tcBorders>
            <w:vAlign w:val="center"/>
            <w:hideMark/>
          </w:tcPr>
          <w:p w14:paraId="7D86D3DB" w14:textId="77777777" w:rsidR="007A5817" w:rsidRPr="00D21137" w:rsidRDefault="007A5817" w:rsidP="006408A7">
            <w:pPr>
              <w:rPr>
                <w:color w:val="000000"/>
                <w:sz w:val="22"/>
                <w:szCs w:val="22"/>
                <w:lang w:bidi="ne-NP"/>
              </w:rPr>
            </w:pPr>
          </w:p>
        </w:tc>
        <w:tc>
          <w:tcPr>
            <w:tcW w:w="1431" w:type="dxa"/>
            <w:vMerge/>
            <w:tcBorders>
              <w:top w:val="single" w:sz="4" w:space="0" w:color="000000"/>
              <w:left w:val="single" w:sz="4" w:space="0" w:color="000000"/>
              <w:bottom w:val="single" w:sz="4" w:space="0" w:color="000000"/>
              <w:right w:val="single" w:sz="4" w:space="0" w:color="000000"/>
            </w:tcBorders>
            <w:vAlign w:val="center"/>
            <w:hideMark/>
          </w:tcPr>
          <w:p w14:paraId="387A6CD9" w14:textId="77777777" w:rsidR="007A5817" w:rsidRPr="00D21137" w:rsidRDefault="007A5817" w:rsidP="006408A7">
            <w:pPr>
              <w:rPr>
                <w:color w:val="000000"/>
                <w:sz w:val="22"/>
                <w:szCs w:val="22"/>
                <w:lang w:bidi="ne-NP"/>
              </w:rPr>
            </w:pPr>
          </w:p>
        </w:tc>
        <w:tc>
          <w:tcPr>
            <w:tcW w:w="1722" w:type="dxa"/>
            <w:vMerge/>
            <w:tcBorders>
              <w:top w:val="single" w:sz="4" w:space="0" w:color="000000"/>
              <w:left w:val="single" w:sz="4" w:space="0" w:color="000000"/>
              <w:bottom w:val="single" w:sz="4" w:space="0" w:color="000000"/>
              <w:right w:val="single" w:sz="4" w:space="0" w:color="000000"/>
            </w:tcBorders>
            <w:vAlign w:val="center"/>
            <w:hideMark/>
          </w:tcPr>
          <w:p w14:paraId="4BAE9713" w14:textId="77777777" w:rsidR="007A5817" w:rsidRPr="00D21137" w:rsidRDefault="007A5817" w:rsidP="004B738B">
            <w:pPr>
              <w:jc w:val="center"/>
              <w:rPr>
                <w:color w:val="000000"/>
                <w:sz w:val="22"/>
                <w:szCs w:val="22"/>
                <w:lang w:bidi="ne-NP"/>
              </w:rPr>
            </w:pPr>
          </w:p>
        </w:tc>
        <w:tc>
          <w:tcPr>
            <w:tcW w:w="1650" w:type="dxa"/>
            <w:vMerge/>
            <w:tcBorders>
              <w:top w:val="single" w:sz="4" w:space="0" w:color="000000"/>
              <w:left w:val="single" w:sz="4" w:space="0" w:color="000000"/>
              <w:bottom w:val="single" w:sz="4" w:space="0" w:color="000000"/>
              <w:right w:val="single" w:sz="4" w:space="0" w:color="000000"/>
            </w:tcBorders>
            <w:vAlign w:val="center"/>
            <w:hideMark/>
          </w:tcPr>
          <w:p w14:paraId="03E6905E" w14:textId="77777777" w:rsidR="007A5817" w:rsidRPr="00D21137" w:rsidRDefault="007A5817" w:rsidP="006408A7">
            <w:pPr>
              <w:rPr>
                <w:color w:val="000000"/>
                <w:sz w:val="22"/>
                <w:szCs w:val="22"/>
                <w:lang w:bidi="ne-NP"/>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3F3D1F2B" w14:textId="77777777" w:rsidR="007A5817" w:rsidRPr="00D21137" w:rsidRDefault="007A5817" w:rsidP="006408A7">
            <w:pPr>
              <w:rPr>
                <w:color w:val="000000"/>
                <w:sz w:val="22"/>
                <w:szCs w:val="22"/>
                <w:lang w:bidi="ne-NP"/>
              </w:rPr>
            </w:pPr>
          </w:p>
        </w:tc>
      </w:tr>
      <w:tr w:rsidR="007A5817" w:rsidRPr="00D21137" w14:paraId="400D8535" w14:textId="77777777" w:rsidTr="004B738B">
        <w:trPr>
          <w:trHeight w:val="799"/>
        </w:trPr>
        <w:tc>
          <w:tcPr>
            <w:tcW w:w="5291" w:type="dxa"/>
            <w:gridSpan w:val="3"/>
            <w:tcBorders>
              <w:top w:val="single" w:sz="4" w:space="0" w:color="000000"/>
              <w:left w:val="single" w:sz="4" w:space="0" w:color="auto"/>
              <w:bottom w:val="single" w:sz="4" w:space="0" w:color="000000"/>
              <w:right w:val="single" w:sz="4" w:space="0" w:color="000000"/>
            </w:tcBorders>
            <w:shd w:val="clear" w:color="auto" w:fill="auto"/>
            <w:noWrap/>
            <w:vAlign w:val="center"/>
            <w:hideMark/>
          </w:tcPr>
          <w:p w14:paraId="37736769" w14:textId="77777777" w:rsidR="007A5817" w:rsidRPr="00D21137" w:rsidRDefault="007A5817" w:rsidP="004B738B">
            <w:pPr>
              <w:jc w:val="center"/>
              <w:rPr>
                <w:color w:val="000000"/>
                <w:sz w:val="22"/>
                <w:szCs w:val="22"/>
                <w:lang w:bidi="ne-NP"/>
              </w:rPr>
            </w:pPr>
            <w:r w:rsidRPr="00D21137">
              <w:rPr>
                <w:color w:val="000000"/>
                <w:sz w:val="22"/>
                <w:szCs w:val="22"/>
                <w:lang w:bidi="ne-NP"/>
              </w:rPr>
              <w:t>Wild type</w:t>
            </w:r>
          </w:p>
        </w:tc>
        <w:tc>
          <w:tcPr>
            <w:tcW w:w="1650" w:type="dxa"/>
            <w:tcBorders>
              <w:top w:val="nil"/>
              <w:left w:val="nil"/>
              <w:bottom w:val="single" w:sz="4" w:space="0" w:color="000000"/>
              <w:right w:val="single" w:sz="4" w:space="0" w:color="000000"/>
            </w:tcBorders>
            <w:shd w:val="clear" w:color="auto" w:fill="auto"/>
            <w:noWrap/>
            <w:vAlign w:val="center"/>
            <w:hideMark/>
          </w:tcPr>
          <w:p w14:paraId="6152EABA" w14:textId="77777777" w:rsidR="007A5817" w:rsidRPr="00D21137" w:rsidRDefault="007A5817" w:rsidP="006408A7">
            <w:pPr>
              <w:jc w:val="center"/>
              <w:rPr>
                <w:color w:val="000000"/>
                <w:sz w:val="22"/>
                <w:szCs w:val="22"/>
                <w:lang w:bidi="ne-NP"/>
              </w:rPr>
            </w:pPr>
            <w:proofErr w:type="spellStart"/>
            <w:r w:rsidRPr="00D21137">
              <w:rPr>
                <w:color w:val="000000"/>
                <w:sz w:val="22"/>
                <w:szCs w:val="22"/>
                <w:lang w:bidi="ne-NP"/>
              </w:rPr>
              <w:t>ZorO</w:t>
            </w:r>
            <w:proofErr w:type="spellEnd"/>
          </w:p>
        </w:tc>
        <w:tc>
          <w:tcPr>
            <w:tcW w:w="1559" w:type="dxa"/>
            <w:tcBorders>
              <w:top w:val="nil"/>
              <w:left w:val="nil"/>
              <w:bottom w:val="single" w:sz="4" w:space="0" w:color="000000"/>
              <w:right w:val="single" w:sz="4" w:space="0" w:color="000000"/>
            </w:tcBorders>
            <w:shd w:val="clear" w:color="auto" w:fill="auto"/>
            <w:vAlign w:val="center"/>
            <w:hideMark/>
          </w:tcPr>
          <w:p w14:paraId="4503DBA1" w14:textId="77777777" w:rsidR="007A5817" w:rsidRPr="00D21137" w:rsidRDefault="007A5817" w:rsidP="006408A7">
            <w:pPr>
              <w:jc w:val="center"/>
              <w:rPr>
                <w:color w:val="000000"/>
                <w:sz w:val="22"/>
                <w:szCs w:val="22"/>
                <w:lang w:bidi="ne-NP"/>
              </w:rPr>
            </w:pPr>
            <w:r w:rsidRPr="00D21137">
              <w:rPr>
                <w:color w:val="000000"/>
                <w:sz w:val="22"/>
                <w:szCs w:val="22"/>
                <w:lang w:bidi="ne-NP"/>
              </w:rPr>
              <w:t>1.40</w:t>
            </w:r>
          </w:p>
        </w:tc>
      </w:tr>
      <w:tr w:rsidR="007A5817" w:rsidRPr="00D21137" w14:paraId="43E868F4" w14:textId="77777777" w:rsidTr="004B738B">
        <w:trPr>
          <w:trHeight w:val="427"/>
        </w:trPr>
        <w:tc>
          <w:tcPr>
            <w:tcW w:w="2138"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14:paraId="61BC144C" w14:textId="77777777" w:rsidR="007A5817" w:rsidRPr="00D21137" w:rsidRDefault="007A5817" w:rsidP="006408A7">
            <w:pPr>
              <w:jc w:val="center"/>
              <w:rPr>
                <w:color w:val="000000"/>
                <w:sz w:val="22"/>
                <w:szCs w:val="22"/>
                <w:lang w:bidi="ne-NP"/>
              </w:rPr>
            </w:pPr>
            <w:r w:rsidRPr="00D21137">
              <w:rPr>
                <w:color w:val="000000"/>
                <w:sz w:val="22"/>
                <w:szCs w:val="22"/>
                <w:lang w:bidi="ne-NP"/>
              </w:rPr>
              <w:t>Aspartate</w:t>
            </w:r>
          </w:p>
        </w:tc>
        <w:tc>
          <w:tcPr>
            <w:tcW w:w="1431"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14:paraId="0763A3D8" w14:textId="77777777" w:rsidR="007A5817" w:rsidRPr="00D21137" w:rsidRDefault="007A5817" w:rsidP="006408A7">
            <w:pPr>
              <w:jc w:val="center"/>
              <w:rPr>
                <w:color w:val="000000"/>
                <w:sz w:val="22"/>
                <w:szCs w:val="22"/>
                <w:lang w:bidi="ne-NP"/>
              </w:rPr>
            </w:pPr>
            <w:r w:rsidRPr="00D21137">
              <w:rPr>
                <w:color w:val="000000"/>
                <w:sz w:val="22"/>
                <w:szCs w:val="22"/>
                <w:lang w:bidi="ne-NP"/>
              </w:rPr>
              <w:t>2</w:t>
            </w:r>
          </w:p>
        </w:tc>
        <w:tc>
          <w:tcPr>
            <w:tcW w:w="1722" w:type="dxa"/>
            <w:tcBorders>
              <w:top w:val="nil"/>
              <w:left w:val="nil"/>
              <w:bottom w:val="single" w:sz="4" w:space="0" w:color="000000"/>
              <w:right w:val="single" w:sz="4" w:space="0" w:color="000000"/>
            </w:tcBorders>
            <w:shd w:val="clear" w:color="auto" w:fill="auto"/>
            <w:noWrap/>
            <w:vAlign w:val="center"/>
            <w:hideMark/>
          </w:tcPr>
          <w:p w14:paraId="14914F17" w14:textId="77777777" w:rsidR="007A5817" w:rsidRPr="00D21137" w:rsidRDefault="007A5817" w:rsidP="004B738B">
            <w:pPr>
              <w:jc w:val="center"/>
              <w:rPr>
                <w:color w:val="000000"/>
                <w:sz w:val="22"/>
                <w:szCs w:val="22"/>
                <w:lang w:bidi="ne-NP"/>
              </w:rPr>
            </w:pPr>
            <w:r w:rsidRPr="00D21137">
              <w:rPr>
                <w:color w:val="000000"/>
                <w:sz w:val="22"/>
                <w:szCs w:val="22"/>
                <w:lang w:bidi="ne-NP"/>
              </w:rPr>
              <w:t>Asparagine</w:t>
            </w:r>
          </w:p>
        </w:tc>
        <w:tc>
          <w:tcPr>
            <w:tcW w:w="1650" w:type="dxa"/>
            <w:tcBorders>
              <w:top w:val="nil"/>
              <w:left w:val="nil"/>
              <w:bottom w:val="single" w:sz="4" w:space="0" w:color="000000"/>
              <w:right w:val="single" w:sz="4" w:space="0" w:color="000000"/>
            </w:tcBorders>
            <w:shd w:val="clear" w:color="auto" w:fill="auto"/>
            <w:noWrap/>
            <w:vAlign w:val="center"/>
            <w:hideMark/>
          </w:tcPr>
          <w:p w14:paraId="2593F2FC" w14:textId="77777777" w:rsidR="007A5817" w:rsidRPr="00D21137" w:rsidRDefault="007A5817" w:rsidP="006408A7">
            <w:pPr>
              <w:jc w:val="center"/>
              <w:rPr>
                <w:color w:val="000000"/>
                <w:sz w:val="22"/>
                <w:szCs w:val="22"/>
                <w:lang w:bidi="ne-NP"/>
              </w:rPr>
            </w:pPr>
            <w:r w:rsidRPr="00D21137">
              <w:rPr>
                <w:color w:val="000000"/>
                <w:sz w:val="22"/>
                <w:szCs w:val="22"/>
                <w:lang w:bidi="ne-NP"/>
              </w:rPr>
              <w:t>D2N</w:t>
            </w:r>
          </w:p>
        </w:tc>
        <w:tc>
          <w:tcPr>
            <w:tcW w:w="1559" w:type="dxa"/>
            <w:tcBorders>
              <w:top w:val="nil"/>
              <w:left w:val="nil"/>
              <w:bottom w:val="single" w:sz="4" w:space="0" w:color="000000"/>
              <w:right w:val="single" w:sz="4" w:space="0" w:color="000000"/>
            </w:tcBorders>
            <w:shd w:val="clear" w:color="auto" w:fill="auto"/>
            <w:noWrap/>
            <w:vAlign w:val="center"/>
            <w:hideMark/>
          </w:tcPr>
          <w:p w14:paraId="37DD67EB" w14:textId="77777777" w:rsidR="007A5817" w:rsidRPr="00D21137" w:rsidRDefault="007A5817" w:rsidP="006408A7">
            <w:pPr>
              <w:jc w:val="center"/>
              <w:rPr>
                <w:color w:val="000000"/>
                <w:sz w:val="22"/>
                <w:szCs w:val="22"/>
                <w:lang w:bidi="ne-NP"/>
              </w:rPr>
            </w:pPr>
            <w:r w:rsidRPr="00D21137">
              <w:rPr>
                <w:color w:val="000000"/>
                <w:sz w:val="22"/>
                <w:szCs w:val="22"/>
                <w:lang w:bidi="ne-NP"/>
              </w:rPr>
              <w:t>1.39</w:t>
            </w:r>
          </w:p>
        </w:tc>
      </w:tr>
      <w:tr w:rsidR="007A5817" w:rsidRPr="00D21137" w14:paraId="32AC21D3" w14:textId="77777777" w:rsidTr="004B738B">
        <w:trPr>
          <w:trHeight w:val="427"/>
        </w:trPr>
        <w:tc>
          <w:tcPr>
            <w:tcW w:w="2138" w:type="dxa"/>
            <w:vMerge/>
            <w:tcBorders>
              <w:top w:val="nil"/>
              <w:left w:val="single" w:sz="4" w:space="0" w:color="000000"/>
              <w:bottom w:val="single" w:sz="4" w:space="0" w:color="000000"/>
              <w:right w:val="single" w:sz="4" w:space="0" w:color="000000"/>
            </w:tcBorders>
            <w:vAlign w:val="center"/>
            <w:hideMark/>
          </w:tcPr>
          <w:p w14:paraId="460F3687" w14:textId="77777777" w:rsidR="007A5817" w:rsidRPr="00D21137" w:rsidRDefault="007A5817" w:rsidP="006408A7">
            <w:pPr>
              <w:rPr>
                <w:color w:val="000000"/>
                <w:sz w:val="22"/>
                <w:szCs w:val="22"/>
                <w:lang w:bidi="ne-NP"/>
              </w:rPr>
            </w:pPr>
          </w:p>
        </w:tc>
        <w:tc>
          <w:tcPr>
            <w:tcW w:w="1431" w:type="dxa"/>
            <w:vMerge/>
            <w:tcBorders>
              <w:top w:val="nil"/>
              <w:left w:val="single" w:sz="4" w:space="0" w:color="000000"/>
              <w:bottom w:val="single" w:sz="4" w:space="0" w:color="000000"/>
              <w:right w:val="single" w:sz="4" w:space="0" w:color="000000"/>
            </w:tcBorders>
            <w:vAlign w:val="center"/>
            <w:hideMark/>
          </w:tcPr>
          <w:p w14:paraId="50ABA35F" w14:textId="77777777" w:rsidR="007A5817" w:rsidRPr="00D21137" w:rsidRDefault="007A5817" w:rsidP="006408A7">
            <w:pPr>
              <w:rPr>
                <w:color w:val="000000"/>
                <w:sz w:val="22"/>
                <w:szCs w:val="22"/>
                <w:lang w:bidi="ne-NP"/>
              </w:rPr>
            </w:pPr>
          </w:p>
        </w:tc>
        <w:tc>
          <w:tcPr>
            <w:tcW w:w="1722" w:type="dxa"/>
            <w:tcBorders>
              <w:top w:val="nil"/>
              <w:left w:val="nil"/>
              <w:bottom w:val="single" w:sz="4" w:space="0" w:color="000000"/>
              <w:right w:val="single" w:sz="4" w:space="0" w:color="000000"/>
            </w:tcBorders>
            <w:shd w:val="clear" w:color="auto" w:fill="auto"/>
            <w:noWrap/>
            <w:vAlign w:val="center"/>
            <w:hideMark/>
          </w:tcPr>
          <w:p w14:paraId="63A7548B" w14:textId="77777777" w:rsidR="007A5817" w:rsidRPr="00D21137" w:rsidRDefault="007A5817" w:rsidP="004B738B">
            <w:pPr>
              <w:jc w:val="center"/>
              <w:rPr>
                <w:color w:val="000000"/>
                <w:sz w:val="22"/>
                <w:szCs w:val="22"/>
                <w:lang w:bidi="ne-NP"/>
              </w:rPr>
            </w:pPr>
            <w:r w:rsidRPr="00D21137">
              <w:rPr>
                <w:color w:val="000000"/>
                <w:sz w:val="22"/>
                <w:szCs w:val="22"/>
                <w:lang w:bidi="ne-NP"/>
              </w:rPr>
              <w:t>Lysine</w:t>
            </w:r>
          </w:p>
        </w:tc>
        <w:tc>
          <w:tcPr>
            <w:tcW w:w="1650" w:type="dxa"/>
            <w:tcBorders>
              <w:top w:val="nil"/>
              <w:left w:val="nil"/>
              <w:bottom w:val="single" w:sz="4" w:space="0" w:color="000000"/>
              <w:right w:val="single" w:sz="4" w:space="0" w:color="000000"/>
            </w:tcBorders>
            <w:shd w:val="clear" w:color="auto" w:fill="auto"/>
            <w:noWrap/>
            <w:vAlign w:val="center"/>
            <w:hideMark/>
          </w:tcPr>
          <w:p w14:paraId="25633AF4" w14:textId="77777777" w:rsidR="007A5817" w:rsidRPr="00D21137" w:rsidRDefault="007A5817" w:rsidP="006408A7">
            <w:pPr>
              <w:jc w:val="center"/>
              <w:rPr>
                <w:color w:val="000000"/>
                <w:sz w:val="22"/>
                <w:szCs w:val="22"/>
                <w:lang w:bidi="ne-NP"/>
              </w:rPr>
            </w:pPr>
            <w:r w:rsidRPr="00D21137">
              <w:rPr>
                <w:color w:val="000000"/>
                <w:sz w:val="22"/>
                <w:szCs w:val="22"/>
                <w:lang w:bidi="ne-NP"/>
              </w:rPr>
              <w:t>D2K</w:t>
            </w:r>
          </w:p>
        </w:tc>
        <w:tc>
          <w:tcPr>
            <w:tcW w:w="1559" w:type="dxa"/>
            <w:tcBorders>
              <w:top w:val="nil"/>
              <w:left w:val="nil"/>
              <w:bottom w:val="single" w:sz="4" w:space="0" w:color="000000"/>
              <w:right w:val="single" w:sz="4" w:space="0" w:color="000000"/>
            </w:tcBorders>
            <w:shd w:val="clear" w:color="auto" w:fill="auto"/>
            <w:noWrap/>
            <w:vAlign w:val="center"/>
            <w:hideMark/>
          </w:tcPr>
          <w:p w14:paraId="6AD9700A" w14:textId="77777777" w:rsidR="007A5817" w:rsidRPr="00D21137" w:rsidRDefault="007A5817" w:rsidP="006408A7">
            <w:pPr>
              <w:jc w:val="center"/>
              <w:rPr>
                <w:color w:val="000000"/>
                <w:sz w:val="22"/>
                <w:szCs w:val="22"/>
                <w:lang w:bidi="ne-NP"/>
              </w:rPr>
            </w:pPr>
            <w:r w:rsidRPr="00D21137">
              <w:rPr>
                <w:color w:val="000000"/>
                <w:sz w:val="22"/>
                <w:szCs w:val="22"/>
                <w:lang w:bidi="ne-NP"/>
              </w:rPr>
              <w:t>1.38</w:t>
            </w:r>
          </w:p>
        </w:tc>
      </w:tr>
      <w:tr w:rsidR="007A5817" w:rsidRPr="00D21137" w14:paraId="7F873742" w14:textId="77777777" w:rsidTr="004B738B">
        <w:trPr>
          <w:trHeight w:val="427"/>
        </w:trPr>
        <w:tc>
          <w:tcPr>
            <w:tcW w:w="2138"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14:paraId="109A6E9A" w14:textId="77777777" w:rsidR="007A5817" w:rsidRPr="00D21137" w:rsidRDefault="007A5817" w:rsidP="006408A7">
            <w:pPr>
              <w:jc w:val="center"/>
              <w:rPr>
                <w:color w:val="000000"/>
                <w:sz w:val="22"/>
                <w:szCs w:val="22"/>
                <w:lang w:bidi="ne-NP"/>
              </w:rPr>
            </w:pPr>
            <w:r w:rsidRPr="00D21137">
              <w:rPr>
                <w:color w:val="000000"/>
                <w:sz w:val="22"/>
                <w:szCs w:val="22"/>
                <w:lang w:bidi="ne-NP"/>
              </w:rPr>
              <w:t>Lysine</w:t>
            </w:r>
          </w:p>
        </w:tc>
        <w:tc>
          <w:tcPr>
            <w:tcW w:w="1431"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14:paraId="0F91C059" w14:textId="77777777" w:rsidR="007A5817" w:rsidRPr="00D21137" w:rsidRDefault="007A5817" w:rsidP="006408A7">
            <w:pPr>
              <w:jc w:val="center"/>
              <w:rPr>
                <w:color w:val="000000"/>
                <w:sz w:val="22"/>
                <w:szCs w:val="22"/>
                <w:lang w:bidi="ne-NP"/>
              </w:rPr>
            </w:pPr>
            <w:r w:rsidRPr="00D21137">
              <w:rPr>
                <w:color w:val="000000"/>
                <w:sz w:val="22"/>
                <w:szCs w:val="22"/>
                <w:lang w:bidi="ne-NP"/>
              </w:rPr>
              <w:t>7</w:t>
            </w:r>
          </w:p>
        </w:tc>
        <w:tc>
          <w:tcPr>
            <w:tcW w:w="1722" w:type="dxa"/>
            <w:tcBorders>
              <w:top w:val="nil"/>
              <w:left w:val="nil"/>
              <w:bottom w:val="single" w:sz="4" w:space="0" w:color="000000"/>
              <w:right w:val="single" w:sz="4" w:space="0" w:color="000000"/>
            </w:tcBorders>
            <w:shd w:val="clear" w:color="auto" w:fill="auto"/>
            <w:noWrap/>
            <w:vAlign w:val="center"/>
            <w:hideMark/>
          </w:tcPr>
          <w:p w14:paraId="658CC4DC" w14:textId="77777777" w:rsidR="007A5817" w:rsidRPr="00D21137" w:rsidRDefault="007A5817" w:rsidP="004B738B">
            <w:pPr>
              <w:jc w:val="center"/>
              <w:rPr>
                <w:color w:val="000000"/>
                <w:sz w:val="22"/>
                <w:szCs w:val="22"/>
                <w:lang w:bidi="ne-NP"/>
              </w:rPr>
            </w:pPr>
            <w:r w:rsidRPr="00D21137">
              <w:rPr>
                <w:color w:val="000000"/>
                <w:sz w:val="22"/>
                <w:szCs w:val="22"/>
                <w:lang w:bidi="ne-NP"/>
              </w:rPr>
              <w:t>Glutamine</w:t>
            </w:r>
          </w:p>
        </w:tc>
        <w:tc>
          <w:tcPr>
            <w:tcW w:w="1650" w:type="dxa"/>
            <w:tcBorders>
              <w:top w:val="nil"/>
              <w:left w:val="nil"/>
              <w:bottom w:val="single" w:sz="4" w:space="0" w:color="000000"/>
              <w:right w:val="single" w:sz="4" w:space="0" w:color="000000"/>
            </w:tcBorders>
            <w:shd w:val="clear" w:color="auto" w:fill="auto"/>
            <w:noWrap/>
            <w:vAlign w:val="center"/>
            <w:hideMark/>
          </w:tcPr>
          <w:p w14:paraId="64692468" w14:textId="77777777" w:rsidR="007A5817" w:rsidRPr="00D21137" w:rsidRDefault="007A5817" w:rsidP="006408A7">
            <w:pPr>
              <w:jc w:val="center"/>
              <w:rPr>
                <w:color w:val="000000"/>
                <w:sz w:val="22"/>
                <w:szCs w:val="22"/>
                <w:lang w:bidi="ne-NP"/>
              </w:rPr>
            </w:pPr>
            <w:r w:rsidRPr="00D21137">
              <w:rPr>
                <w:color w:val="000000"/>
                <w:sz w:val="22"/>
                <w:szCs w:val="22"/>
                <w:lang w:bidi="ne-NP"/>
              </w:rPr>
              <w:t>K7Q</w:t>
            </w:r>
          </w:p>
        </w:tc>
        <w:tc>
          <w:tcPr>
            <w:tcW w:w="1559" w:type="dxa"/>
            <w:tcBorders>
              <w:top w:val="nil"/>
              <w:left w:val="nil"/>
              <w:bottom w:val="single" w:sz="4" w:space="0" w:color="000000"/>
              <w:right w:val="single" w:sz="4" w:space="0" w:color="000000"/>
            </w:tcBorders>
            <w:shd w:val="clear" w:color="auto" w:fill="auto"/>
            <w:noWrap/>
            <w:vAlign w:val="center"/>
            <w:hideMark/>
          </w:tcPr>
          <w:p w14:paraId="30A6869E" w14:textId="77777777" w:rsidR="007A5817" w:rsidRPr="00D21137" w:rsidRDefault="007A5817" w:rsidP="006408A7">
            <w:pPr>
              <w:jc w:val="center"/>
              <w:rPr>
                <w:color w:val="000000"/>
                <w:sz w:val="22"/>
                <w:szCs w:val="22"/>
                <w:lang w:bidi="ne-NP"/>
              </w:rPr>
            </w:pPr>
            <w:r w:rsidRPr="00D21137">
              <w:rPr>
                <w:color w:val="000000"/>
                <w:sz w:val="22"/>
                <w:szCs w:val="22"/>
                <w:lang w:bidi="ne-NP"/>
              </w:rPr>
              <w:t>1.41</w:t>
            </w:r>
          </w:p>
        </w:tc>
      </w:tr>
      <w:tr w:rsidR="007A5817" w:rsidRPr="00D21137" w14:paraId="29E03004" w14:textId="77777777" w:rsidTr="004B738B">
        <w:trPr>
          <w:trHeight w:val="427"/>
        </w:trPr>
        <w:tc>
          <w:tcPr>
            <w:tcW w:w="2138" w:type="dxa"/>
            <w:vMerge/>
            <w:tcBorders>
              <w:top w:val="nil"/>
              <w:left w:val="single" w:sz="4" w:space="0" w:color="000000"/>
              <w:bottom w:val="single" w:sz="4" w:space="0" w:color="000000"/>
              <w:right w:val="single" w:sz="4" w:space="0" w:color="000000"/>
            </w:tcBorders>
            <w:vAlign w:val="center"/>
            <w:hideMark/>
          </w:tcPr>
          <w:p w14:paraId="015FD358" w14:textId="77777777" w:rsidR="007A5817" w:rsidRPr="00D21137" w:rsidRDefault="007A5817" w:rsidP="006408A7">
            <w:pPr>
              <w:rPr>
                <w:color w:val="000000"/>
                <w:sz w:val="22"/>
                <w:szCs w:val="22"/>
                <w:lang w:bidi="ne-NP"/>
              </w:rPr>
            </w:pPr>
          </w:p>
        </w:tc>
        <w:tc>
          <w:tcPr>
            <w:tcW w:w="1431" w:type="dxa"/>
            <w:vMerge/>
            <w:tcBorders>
              <w:top w:val="nil"/>
              <w:left w:val="single" w:sz="4" w:space="0" w:color="000000"/>
              <w:bottom w:val="single" w:sz="4" w:space="0" w:color="000000"/>
              <w:right w:val="single" w:sz="4" w:space="0" w:color="000000"/>
            </w:tcBorders>
            <w:vAlign w:val="center"/>
            <w:hideMark/>
          </w:tcPr>
          <w:p w14:paraId="543B8DE4" w14:textId="77777777" w:rsidR="007A5817" w:rsidRPr="00D21137" w:rsidRDefault="007A5817" w:rsidP="006408A7">
            <w:pPr>
              <w:rPr>
                <w:color w:val="000000"/>
                <w:sz w:val="22"/>
                <w:szCs w:val="22"/>
                <w:lang w:bidi="ne-NP"/>
              </w:rPr>
            </w:pPr>
          </w:p>
        </w:tc>
        <w:tc>
          <w:tcPr>
            <w:tcW w:w="1722" w:type="dxa"/>
            <w:tcBorders>
              <w:top w:val="nil"/>
              <w:left w:val="nil"/>
              <w:bottom w:val="single" w:sz="4" w:space="0" w:color="000000"/>
              <w:right w:val="single" w:sz="4" w:space="0" w:color="000000"/>
            </w:tcBorders>
            <w:shd w:val="clear" w:color="auto" w:fill="auto"/>
            <w:noWrap/>
            <w:vAlign w:val="center"/>
            <w:hideMark/>
          </w:tcPr>
          <w:p w14:paraId="0BBF4324" w14:textId="77777777" w:rsidR="007A5817" w:rsidRPr="00D21137" w:rsidRDefault="007A5817" w:rsidP="004B738B">
            <w:pPr>
              <w:jc w:val="center"/>
              <w:rPr>
                <w:color w:val="000000"/>
                <w:sz w:val="22"/>
                <w:szCs w:val="22"/>
                <w:lang w:bidi="ne-NP"/>
              </w:rPr>
            </w:pPr>
            <w:r w:rsidRPr="00D21137">
              <w:rPr>
                <w:color w:val="000000"/>
                <w:sz w:val="22"/>
                <w:szCs w:val="22"/>
                <w:lang w:bidi="ne-NP"/>
              </w:rPr>
              <w:t>Glutamate</w:t>
            </w:r>
          </w:p>
        </w:tc>
        <w:tc>
          <w:tcPr>
            <w:tcW w:w="1650" w:type="dxa"/>
            <w:tcBorders>
              <w:top w:val="nil"/>
              <w:left w:val="nil"/>
              <w:bottom w:val="single" w:sz="4" w:space="0" w:color="000000"/>
              <w:right w:val="single" w:sz="4" w:space="0" w:color="000000"/>
            </w:tcBorders>
            <w:shd w:val="clear" w:color="auto" w:fill="auto"/>
            <w:noWrap/>
            <w:vAlign w:val="center"/>
            <w:hideMark/>
          </w:tcPr>
          <w:p w14:paraId="437F7CD1" w14:textId="77777777" w:rsidR="007A5817" w:rsidRPr="00D21137" w:rsidRDefault="007A5817" w:rsidP="006408A7">
            <w:pPr>
              <w:jc w:val="center"/>
              <w:rPr>
                <w:color w:val="000000"/>
                <w:sz w:val="22"/>
                <w:szCs w:val="22"/>
                <w:lang w:bidi="ne-NP"/>
              </w:rPr>
            </w:pPr>
            <w:r w:rsidRPr="00D21137">
              <w:rPr>
                <w:color w:val="000000"/>
                <w:sz w:val="22"/>
                <w:szCs w:val="22"/>
                <w:lang w:bidi="ne-NP"/>
              </w:rPr>
              <w:t>K7E</w:t>
            </w:r>
          </w:p>
        </w:tc>
        <w:tc>
          <w:tcPr>
            <w:tcW w:w="1559" w:type="dxa"/>
            <w:tcBorders>
              <w:top w:val="nil"/>
              <w:left w:val="nil"/>
              <w:bottom w:val="single" w:sz="4" w:space="0" w:color="000000"/>
              <w:right w:val="single" w:sz="4" w:space="0" w:color="000000"/>
            </w:tcBorders>
            <w:shd w:val="clear" w:color="auto" w:fill="auto"/>
            <w:noWrap/>
            <w:vAlign w:val="center"/>
            <w:hideMark/>
          </w:tcPr>
          <w:p w14:paraId="0CE4355F" w14:textId="77777777" w:rsidR="007A5817" w:rsidRPr="00D21137" w:rsidRDefault="007A5817" w:rsidP="006408A7">
            <w:pPr>
              <w:jc w:val="center"/>
              <w:rPr>
                <w:color w:val="000000"/>
                <w:sz w:val="22"/>
                <w:szCs w:val="22"/>
                <w:lang w:bidi="ne-NP"/>
              </w:rPr>
            </w:pPr>
            <w:r w:rsidRPr="00D21137">
              <w:rPr>
                <w:color w:val="000000"/>
                <w:sz w:val="22"/>
                <w:szCs w:val="22"/>
                <w:lang w:bidi="ne-NP"/>
              </w:rPr>
              <w:t>1.40</w:t>
            </w:r>
          </w:p>
        </w:tc>
      </w:tr>
      <w:tr w:rsidR="007A5817" w:rsidRPr="00D21137" w14:paraId="39E89EF2" w14:textId="77777777" w:rsidTr="004B738B">
        <w:trPr>
          <w:trHeight w:val="427"/>
        </w:trPr>
        <w:tc>
          <w:tcPr>
            <w:tcW w:w="2138"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14:paraId="189ECD44" w14:textId="77777777" w:rsidR="007A5817" w:rsidRPr="00D21137" w:rsidRDefault="007A5817" w:rsidP="006408A7">
            <w:pPr>
              <w:jc w:val="center"/>
              <w:rPr>
                <w:color w:val="000000"/>
                <w:sz w:val="22"/>
                <w:szCs w:val="22"/>
                <w:lang w:bidi="ne-NP"/>
              </w:rPr>
            </w:pPr>
            <w:r w:rsidRPr="00D21137">
              <w:rPr>
                <w:color w:val="000000"/>
                <w:sz w:val="22"/>
                <w:szCs w:val="22"/>
                <w:lang w:bidi="ne-NP"/>
              </w:rPr>
              <w:t>Glutamate</w:t>
            </w:r>
          </w:p>
        </w:tc>
        <w:tc>
          <w:tcPr>
            <w:tcW w:w="1431"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14:paraId="1F356BF1" w14:textId="77777777" w:rsidR="007A5817" w:rsidRPr="00D21137" w:rsidRDefault="007A5817" w:rsidP="006408A7">
            <w:pPr>
              <w:jc w:val="center"/>
              <w:rPr>
                <w:color w:val="000000"/>
                <w:sz w:val="22"/>
                <w:szCs w:val="22"/>
                <w:lang w:bidi="ne-NP"/>
              </w:rPr>
            </w:pPr>
            <w:r w:rsidRPr="00D21137">
              <w:rPr>
                <w:color w:val="000000"/>
                <w:sz w:val="22"/>
                <w:szCs w:val="22"/>
                <w:lang w:bidi="ne-NP"/>
              </w:rPr>
              <w:t>16</w:t>
            </w:r>
          </w:p>
        </w:tc>
        <w:tc>
          <w:tcPr>
            <w:tcW w:w="1722" w:type="dxa"/>
            <w:tcBorders>
              <w:top w:val="nil"/>
              <w:left w:val="nil"/>
              <w:bottom w:val="single" w:sz="4" w:space="0" w:color="000000"/>
              <w:right w:val="single" w:sz="4" w:space="0" w:color="000000"/>
            </w:tcBorders>
            <w:shd w:val="clear" w:color="auto" w:fill="auto"/>
            <w:noWrap/>
            <w:vAlign w:val="center"/>
            <w:hideMark/>
          </w:tcPr>
          <w:p w14:paraId="5F7AC5E7" w14:textId="77777777" w:rsidR="007A5817" w:rsidRPr="00D21137" w:rsidRDefault="007A5817" w:rsidP="004B738B">
            <w:pPr>
              <w:jc w:val="center"/>
              <w:rPr>
                <w:color w:val="000000"/>
                <w:sz w:val="22"/>
                <w:szCs w:val="22"/>
                <w:lang w:bidi="ne-NP"/>
              </w:rPr>
            </w:pPr>
            <w:r w:rsidRPr="00D21137">
              <w:rPr>
                <w:color w:val="000000"/>
                <w:sz w:val="22"/>
                <w:szCs w:val="22"/>
                <w:lang w:bidi="ne-NP"/>
              </w:rPr>
              <w:t>Arginine</w:t>
            </w:r>
          </w:p>
        </w:tc>
        <w:tc>
          <w:tcPr>
            <w:tcW w:w="1650" w:type="dxa"/>
            <w:tcBorders>
              <w:top w:val="nil"/>
              <w:left w:val="nil"/>
              <w:bottom w:val="single" w:sz="4" w:space="0" w:color="000000"/>
              <w:right w:val="single" w:sz="4" w:space="0" w:color="000000"/>
            </w:tcBorders>
            <w:shd w:val="clear" w:color="auto" w:fill="auto"/>
            <w:noWrap/>
            <w:vAlign w:val="center"/>
            <w:hideMark/>
          </w:tcPr>
          <w:p w14:paraId="04072875" w14:textId="77777777" w:rsidR="007A5817" w:rsidRPr="00D21137" w:rsidRDefault="007A5817" w:rsidP="006408A7">
            <w:pPr>
              <w:jc w:val="center"/>
              <w:rPr>
                <w:color w:val="000000"/>
                <w:sz w:val="22"/>
                <w:szCs w:val="22"/>
                <w:lang w:bidi="ne-NP"/>
              </w:rPr>
            </w:pPr>
            <w:r w:rsidRPr="00D21137">
              <w:rPr>
                <w:color w:val="000000"/>
                <w:sz w:val="22"/>
                <w:szCs w:val="22"/>
                <w:lang w:bidi="ne-NP"/>
              </w:rPr>
              <w:t>E16R</w:t>
            </w:r>
          </w:p>
        </w:tc>
        <w:tc>
          <w:tcPr>
            <w:tcW w:w="1559" w:type="dxa"/>
            <w:tcBorders>
              <w:top w:val="nil"/>
              <w:left w:val="nil"/>
              <w:bottom w:val="single" w:sz="4" w:space="0" w:color="000000"/>
              <w:right w:val="single" w:sz="4" w:space="0" w:color="000000"/>
            </w:tcBorders>
            <w:shd w:val="clear" w:color="auto" w:fill="auto"/>
            <w:noWrap/>
            <w:vAlign w:val="center"/>
            <w:hideMark/>
          </w:tcPr>
          <w:p w14:paraId="21A7B572" w14:textId="77777777" w:rsidR="007A5817" w:rsidRPr="00D21137" w:rsidRDefault="007A5817" w:rsidP="006408A7">
            <w:pPr>
              <w:jc w:val="center"/>
              <w:rPr>
                <w:color w:val="000000"/>
                <w:sz w:val="22"/>
                <w:szCs w:val="22"/>
                <w:lang w:bidi="ne-NP"/>
              </w:rPr>
            </w:pPr>
            <w:r w:rsidRPr="00D21137">
              <w:rPr>
                <w:color w:val="000000"/>
                <w:sz w:val="22"/>
                <w:szCs w:val="22"/>
                <w:lang w:bidi="ne-NP"/>
              </w:rPr>
              <w:t>1.36</w:t>
            </w:r>
          </w:p>
        </w:tc>
      </w:tr>
      <w:tr w:rsidR="007A5817" w:rsidRPr="00D21137" w14:paraId="30CCAAEA" w14:textId="77777777" w:rsidTr="004B738B">
        <w:trPr>
          <w:trHeight w:val="427"/>
        </w:trPr>
        <w:tc>
          <w:tcPr>
            <w:tcW w:w="2138" w:type="dxa"/>
            <w:vMerge/>
            <w:tcBorders>
              <w:top w:val="nil"/>
              <w:left w:val="single" w:sz="4" w:space="0" w:color="000000"/>
              <w:bottom w:val="single" w:sz="4" w:space="0" w:color="000000"/>
              <w:right w:val="single" w:sz="4" w:space="0" w:color="000000"/>
            </w:tcBorders>
            <w:vAlign w:val="center"/>
            <w:hideMark/>
          </w:tcPr>
          <w:p w14:paraId="2C267D29" w14:textId="77777777" w:rsidR="007A5817" w:rsidRPr="00D21137" w:rsidRDefault="007A5817" w:rsidP="006408A7">
            <w:pPr>
              <w:rPr>
                <w:color w:val="000000"/>
                <w:sz w:val="22"/>
                <w:szCs w:val="22"/>
                <w:lang w:bidi="ne-NP"/>
              </w:rPr>
            </w:pPr>
          </w:p>
        </w:tc>
        <w:tc>
          <w:tcPr>
            <w:tcW w:w="1431" w:type="dxa"/>
            <w:vMerge/>
            <w:tcBorders>
              <w:top w:val="nil"/>
              <w:left w:val="single" w:sz="4" w:space="0" w:color="000000"/>
              <w:bottom w:val="single" w:sz="4" w:space="0" w:color="000000"/>
              <w:right w:val="single" w:sz="4" w:space="0" w:color="000000"/>
            </w:tcBorders>
            <w:vAlign w:val="center"/>
            <w:hideMark/>
          </w:tcPr>
          <w:p w14:paraId="5B9C602A" w14:textId="77777777" w:rsidR="007A5817" w:rsidRPr="00D21137" w:rsidRDefault="007A5817" w:rsidP="006408A7">
            <w:pPr>
              <w:rPr>
                <w:color w:val="000000"/>
                <w:sz w:val="22"/>
                <w:szCs w:val="22"/>
                <w:lang w:bidi="ne-NP"/>
              </w:rPr>
            </w:pPr>
          </w:p>
        </w:tc>
        <w:tc>
          <w:tcPr>
            <w:tcW w:w="1722" w:type="dxa"/>
            <w:tcBorders>
              <w:top w:val="nil"/>
              <w:left w:val="nil"/>
              <w:bottom w:val="single" w:sz="4" w:space="0" w:color="000000"/>
              <w:right w:val="single" w:sz="4" w:space="0" w:color="000000"/>
            </w:tcBorders>
            <w:shd w:val="clear" w:color="auto" w:fill="auto"/>
            <w:noWrap/>
            <w:vAlign w:val="center"/>
            <w:hideMark/>
          </w:tcPr>
          <w:p w14:paraId="19221609" w14:textId="77777777" w:rsidR="007A5817" w:rsidRPr="00D21137" w:rsidRDefault="007A5817" w:rsidP="004B738B">
            <w:pPr>
              <w:jc w:val="center"/>
              <w:rPr>
                <w:color w:val="000000"/>
                <w:sz w:val="22"/>
                <w:szCs w:val="22"/>
                <w:lang w:bidi="ne-NP"/>
              </w:rPr>
            </w:pPr>
            <w:r w:rsidRPr="00D21137">
              <w:rPr>
                <w:color w:val="000000"/>
                <w:sz w:val="22"/>
                <w:szCs w:val="22"/>
                <w:lang w:bidi="ne-NP"/>
              </w:rPr>
              <w:t>Glutamine</w:t>
            </w:r>
          </w:p>
        </w:tc>
        <w:tc>
          <w:tcPr>
            <w:tcW w:w="1650" w:type="dxa"/>
            <w:tcBorders>
              <w:top w:val="nil"/>
              <w:left w:val="nil"/>
              <w:bottom w:val="single" w:sz="4" w:space="0" w:color="000000"/>
              <w:right w:val="single" w:sz="4" w:space="0" w:color="000000"/>
            </w:tcBorders>
            <w:shd w:val="clear" w:color="auto" w:fill="auto"/>
            <w:noWrap/>
            <w:vAlign w:val="center"/>
            <w:hideMark/>
          </w:tcPr>
          <w:p w14:paraId="4BB40487" w14:textId="77777777" w:rsidR="007A5817" w:rsidRPr="00D21137" w:rsidRDefault="007A5817" w:rsidP="006408A7">
            <w:pPr>
              <w:jc w:val="center"/>
              <w:rPr>
                <w:color w:val="000000"/>
                <w:sz w:val="22"/>
                <w:szCs w:val="22"/>
                <w:lang w:bidi="ne-NP"/>
              </w:rPr>
            </w:pPr>
            <w:r w:rsidRPr="00D21137">
              <w:rPr>
                <w:color w:val="000000"/>
                <w:sz w:val="22"/>
                <w:szCs w:val="22"/>
                <w:lang w:bidi="ne-NP"/>
              </w:rPr>
              <w:t>E16Q</w:t>
            </w:r>
          </w:p>
        </w:tc>
        <w:tc>
          <w:tcPr>
            <w:tcW w:w="1559" w:type="dxa"/>
            <w:tcBorders>
              <w:top w:val="nil"/>
              <w:left w:val="nil"/>
              <w:bottom w:val="single" w:sz="4" w:space="0" w:color="000000"/>
              <w:right w:val="single" w:sz="4" w:space="0" w:color="000000"/>
            </w:tcBorders>
            <w:shd w:val="clear" w:color="auto" w:fill="auto"/>
            <w:noWrap/>
            <w:vAlign w:val="center"/>
            <w:hideMark/>
          </w:tcPr>
          <w:p w14:paraId="541E7DCB" w14:textId="77777777" w:rsidR="007A5817" w:rsidRPr="00D21137" w:rsidRDefault="007A5817" w:rsidP="006408A7">
            <w:pPr>
              <w:jc w:val="center"/>
              <w:rPr>
                <w:color w:val="000000"/>
                <w:sz w:val="22"/>
                <w:szCs w:val="22"/>
                <w:lang w:bidi="ne-NP"/>
              </w:rPr>
            </w:pPr>
            <w:r w:rsidRPr="00D21137">
              <w:rPr>
                <w:color w:val="000000"/>
                <w:sz w:val="22"/>
                <w:szCs w:val="22"/>
                <w:lang w:bidi="ne-NP"/>
              </w:rPr>
              <w:t>1.40</w:t>
            </w:r>
          </w:p>
        </w:tc>
      </w:tr>
      <w:tr w:rsidR="007A5817" w:rsidRPr="00D21137" w14:paraId="6AA4ED11" w14:textId="77777777" w:rsidTr="004B738B">
        <w:trPr>
          <w:trHeight w:val="427"/>
        </w:trPr>
        <w:tc>
          <w:tcPr>
            <w:tcW w:w="2138"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14:paraId="36C5A880" w14:textId="77777777" w:rsidR="007A5817" w:rsidRPr="00D21137" w:rsidRDefault="007A5817" w:rsidP="006408A7">
            <w:pPr>
              <w:jc w:val="center"/>
              <w:rPr>
                <w:color w:val="000000"/>
                <w:sz w:val="22"/>
                <w:szCs w:val="22"/>
                <w:lang w:bidi="ne-NP"/>
              </w:rPr>
            </w:pPr>
            <w:r w:rsidRPr="00D21137">
              <w:rPr>
                <w:color w:val="000000"/>
                <w:sz w:val="22"/>
                <w:szCs w:val="22"/>
                <w:lang w:bidi="ne-NP"/>
              </w:rPr>
              <w:t>Arginine</w:t>
            </w:r>
          </w:p>
        </w:tc>
        <w:tc>
          <w:tcPr>
            <w:tcW w:w="1431"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14:paraId="57DE1A01" w14:textId="77777777" w:rsidR="007A5817" w:rsidRPr="00D21137" w:rsidRDefault="007A5817" w:rsidP="006408A7">
            <w:pPr>
              <w:jc w:val="center"/>
              <w:rPr>
                <w:color w:val="000000"/>
                <w:sz w:val="22"/>
                <w:szCs w:val="22"/>
                <w:lang w:bidi="ne-NP"/>
              </w:rPr>
            </w:pPr>
            <w:r w:rsidRPr="00D21137">
              <w:rPr>
                <w:color w:val="000000"/>
                <w:sz w:val="22"/>
                <w:szCs w:val="22"/>
                <w:lang w:bidi="ne-NP"/>
              </w:rPr>
              <w:t>23</w:t>
            </w:r>
          </w:p>
        </w:tc>
        <w:tc>
          <w:tcPr>
            <w:tcW w:w="1722" w:type="dxa"/>
            <w:tcBorders>
              <w:top w:val="nil"/>
              <w:left w:val="nil"/>
              <w:bottom w:val="single" w:sz="4" w:space="0" w:color="000000"/>
              <w:right w:val="single" w:sz="4" w:space="0" w:color="000000"/>
            </w:tcBorders>
            <w:shd w:val="clear" w:color="auto" w:fill="auto"/>
            <w:noWrap/>
            <w:vAlign w:val="center"/>
            <w:hideMark/>
          </w:tcPr>
          <w:p w14:paraId="7E987A97" w14:textId="77777777" w:rsidR="007A5817" w:rsidRPr="00D21137" w:rsidRDefault="007A5817" w:rsidP="004B738B">
            <w:pPr>
              <w:jc w:val="center"/>
              <w:rPr>
                <w:color w:val="000000"/>
                <w:sz w:val="22"/>
                <w:szCs w:val="22"/>
                <w:lang w:bidi="ne-NP"/>
              </w:rPr>
            </w:pPr>
            <w:r w:rsidRPr="00D21137">
              <w:rPr>
                <w:color w:val="000000"/>
                <w:sz w:val="22"/>
                <w:szCs w:val="22"/>
                <w:lang w:bidi="ne-NP"/>
              </w:rPr>
              <w:t>Leucine</w:t>
            </w:r>
          </w:p>
        </w:tc>
        <w:tc>
          <w:tcPr>
            <w:tcW w:w="1650" w:type="dxa"/>
            <w:tcBorders>
              <w:top w:val="nil"/>
              <w:left w:val="nil"/>
              <w:bottom w:val="single" w:sz="4" w:space="0" w:color="000000"/>
              <w:right w:val="single" w:sz="4" w:space="0" w:color="000000"/>
            </w:tcBorders>
            <w:shd w:val="clear" w:color="auto" w:fill="auto"/>
            <w:noWrap/>
            <w:vAlign w:val="center"/>
            <w:hideMark/>
          </w:tcPr>
          <w:p w14:paraId="3AA3F814" w14:textId="77777777" w:rsidR="007A5817" w:rsidRPr="00D21137" w:rsidRDefault="007A5817" w:rsidP="006408A7">
            <w:pPr>
              <w:jc w:val="center"/>
              <w:rPr>
                <w:color w:val="000000"/>
                <w:sz w:val="22"/>
                <w:szCs w:val="22"/>
                <w:lang w:bidi="ne-NP"/>
              </w:rPr>
            </w:pPr>
            <w:r w:rsidRPr="00D21137">
              <w:rPr>
                <w:color w:val="000000"/>
                <w:sz w:val="22"/>
                <w:szCs w:val="22"/>
                <w:lang w:bidi="ne-NP"/>
              </w:rPr>
              <w:t>R23L</w:t>
            </w:r>
          </w:p>
        </w:tc>
        <w:tc>
          <w:tcPr>
            <w:tcW w:w="1559" w:type="dxa"/>
            <w:tcBorders>
              <w:top w:val="nil"/>
              <w:left w:val="nil"/>
              <w:bottom w:val="single" w:sz="4" w:space="0" w:color="000000"/>
              <w:right w:val="single" w:sz="4" w:space="0" w:color="000000"/>
            </w:tcBorders>
            <w:shd w:val="clear" w:color="auto" w:fill="auto"/>
            <w:noWrap/>
            <w:vAlign w:val="center"/>
            <w:hideMark/>
          </w:tcPr>
          <w:p w14:paraId="3F70EF9B" w14:textId="77777777" w:rsidR="007A5817" w:rsidRPr="00D21137" w:rsidRDefault="007A5817" w:rsidP="006408A7">
            <w:pPr>
              <w:jc w:val="center"/>
              <w:rPr>
                <w:color w:val="000000"/>
                <w:sz w:val="22"/>
                <w:szCs w:val="22"/>
                <w:lang w:bidi="ne-NP"/>
              </w:rPr>
            </w:pPr>
            <w:r w:rsidRPr="00D21137">
              <w:rPr>
                <w:color w:val="000000"/>
                <w:sz w:val="22"/>
                <w:szCs w:val="22"/>
                <w:lang w:bidi="ne-NP"/>
              </w:rPr>
              <w:t>1.68</w:t>
            </w:r>
          </w:p>
        </w:tc>
      </w:tr>
      <w:tr w:rsidR="007A5817" w:rsidRPr="00D21137" w14:paraId="6BE1C728" w14:textId="77777777" w:rsidTr="004B738B">
        <w:trPr>
          <w:trHeight w:val="427"/>
        </w:trPr>
        <w:tc>
          <w:tcPr>
            <w:tcW w:w="2138" w:type="dxa"/>
            <w:vMerge/>
            <w:tcBorders>
              <w:top w:val="nil"/>
              <w:left w:val="single" w:sz="4" w:space="0" w:color="000000"/>
              <w:bottom w:val="single" w:sz="4" w:space="0" w:color="000000"/>
              <w:right w:val="single" w:sz="4" w:space="0" w:color="000000"/>
            </w:tcBorders>
            <w:vAlign w:val="center"/>
            <w:hideMark/>
          </w:tcPr>
          <w:p w14:paraId="54278442" w14:textId="77777777" w:rsidR="007A5817" w:rsidRPr="00D21137" w:rsidRDefault="007A5817" w:rsidP="006408A7">
            <w:pPr>
              <w:rPr>
                <w:color w:val="000000"/>
                <w:sz w:val="22"/>
                <w:szCs w:val="22"/>
                <w:lang w:bidi="ne-NP"/>
              </w:rPr>
            </w:pPr>
          </w:p>
        </w:tc>
        <w:tc>
          <w:tcPr>
            <w:tcW w:w="1431" w:type="dxa"/>
            <w:vMerge/>
            <w:tcBorders>
              <w:top w:val="nil"/>
              <w:left w:val="single" w:sz="4" w:space="0" w:color="000000"/>
              <w:bottom w:val="single" w:sz="4" w:space="0" w:color="000000"/>
              <w:right w:val="single" w:sz="4" w:space="0" w:color="000000"/>
            </w:tcBorders>
            <w:vAlign w:val="center"/>
            <w:hideMark/>
          </w:tcPr>
          <w:p w14:paraId="0B09C513" w14:textId="77777777" w:rsidR="007A5817" w:rsidRPr="00D21137" w:rsidRDefault="007A5817" w:rsidP="006408A7">
            <w:pPr>
              <w:rPr>
                <w:color w:val="000000"/>
                <w:sz w:val="22"/>
                <w:szCs w:val="22"/>
                <w:lang w:bidi="ne-NP"/>
              </w:rPr>
            </w:pPr>
          </w:p>
        </w:tc>
        <w:tc>
          <w:tcPr>
            <w:tcW w:w="1722" w:type="dxa"/>
            <w:tcBorders>
              <w:top w:val="nil"/>
              <w:left w:val="nil"/>
              <w:bottom w:val="single" w:sz="4" w:space="0" w:color="000000"/>
              <w:right w:val="single" w:sz="4" w:space="0" w:color="000000"/>
            </w:tcBorders>
            <w:shd w:val="clear" w:color="auto" w:fill="auto"/>
            <w:noWrap/>
            <w:vAlign w:val="center"/>
            <w:hideMark/>
          </w:tcPr>
          <w:p w14:paraId="10DA2F5D" w14:textId="77777777" w:rsidR="007A5817" w:rsidRPr="00D21137" w:rsidRDefault="007A5817" w:rsidP="004B738B">
            <w:pPr>
              <w:jc w:val="center"/>
              <w:rPr>
                <w:color w:val="000000"/>
                <w:sz w:val="22"/>
                <w:szCs w:val="22"/>
                <w:lang w:bidi="ne-NP"/>
              </w:rPr>
            </w:pPr>
            <w:r w:rsidRPr="00D21137">
              <w:rPr>
                <w:color w:val="000000"/>
                <w:sz w:val="22"/>
                <w:szCs w:val="22"/>
                <w:lang w:bidi="ne-NP"/>
              </w:rPr>
              <w:t>Glutamate</w:t>
            </w:r>
          </w:p>
        </w:tc>
        <w:tc>
          <w:tcPr>
            <w:tcW w:w="1650" w:type="dxa"/>
            <w:tcBorders>
              <w:top w:val="nil"/>
              <w:left w:val="nil"/>
              <w:bottom w:val="single" w:sz="4" w:space="0" w:color="000000"/>
              <w:right w:val="single" w:sz="4" w:space="0" w:color="000000"/>
            </w:tcBorders>
            <w:shd w:val="clear" w:color="auto" w:fill="auto"/>
            <w:noWrap/>
            <w:vAlign w:val="center"/>
            <w:hideMark/>
          </w:tcPr>
          <w:p w14:paraId="1D57C4E0" w14:textId="77777777" w:rsidR="007A5817" w:rsidRPr="00D21137" w:rsidRDefault="007A5817" w:rsidP="006408A7">
            <w:pPr>
              <w:jc w:val="center"/>
              <w:rPr>
                <w:color w:val="000000"/>
                <w:sz w:val="22"/>
                <w:szCs w:val="22"/>
                <w:lang w:bidi="ne-NP"/>
              </w:rPr>
            </w:pPr>
            <w:r w:rsidRPr="00D21137">
              <w:rPr>
                <w:color w:val="000000"/>
                <w:sz w:val="22"/>
                <w:szCs w:val="22"/>
                <w:lang w:bidi="ne-NP"/>
              </w:rPr>
              <w:t>R23E</w:t>
            </w:r>
          </w:p>
        </w:tc>
        <w:tc>
          <w:tcPr>
            <w:tcW w:w="1559" w:type="dxa"/>
            <w:tcBorders>
              <w:top w:val="nil"/>
              <w:left w:val="nil"/>
              <w:bottom w:val="single" w:sz="4" w:space="0" w:color="000000"/>
              <w:right w:val="single" w:sz="4" w:space="0" w:color="000000"/>
            </w:tcBorders>
            <w:shd w:val="clear" w:color="auto" w:fill="auto"/>
            <w:noWrap/>
            <w:vAlign w:val="center"/>
            <w:hideMark/>
          </w:tcPr>
          <w:p w14:paraId="4B2880CB" w14:textId="77777777" w:rsidR="007A5817" w:rsidRPr="00D21137" w:rsidRDefault="007A5817" w:rsidP="006408A7">
            <w:pPr>
              <w:jc w:val="center"/>
              <w:rPr>
                <w:color w:val="000000"/>
                <w:sz w:val="22"/>
                <w:szCs w:val="22"/>
                <w:lang w:bidi="ne-NP"/>
              </w:rPr>
            </w:pPr>
            <w:r w:rsidRPr="00D21137">
              <w:rPr>
                <w:color w:val="000000"/>
                <w:sz w:val="22"/>
                <w:szCs w:val="22"/>
                <w:lang w:bidi="ne-NP"/>
              </w:rPr>
              <w:t>1.43</w:t>
            </w:r>
          </w:p>
        </w:tc>
      </w:tr>
      <w:tr w:rsidR="007A5817" w:rsidRPr="00D21137" w14:paraId="73AEAE60" w14:textId="77777777" w:rsidTr="004B738B">
        <w:trPr>
          <w:trHeight w:val="427"/>
        </w:trPr>
        <w:tc>
          <w:tcPr>
            <w:tcW w:w="2138"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14:paraId="4FA23A73" w14:textId="77777777" w:rsidR="007A5817" w:rsidRPr="00D21137" w:rsidRDefault="007A5817" w:rsidP="006408A7">
            <w:pPr>
              <w:jc w:val="center"/>
              <w:rPr>
                <w:color w:val="000000"/>
                <w:sz w:val="22"/>
                <w:szCs w:val="22"/>
                <w:lang w:bidi="ne-NP"/>
              </w:rPr>
            </w:pPr>
            <w:r w:rsidRPr="00D21137">
              <w:rPr>
                <w:color w:val="000000"/>
                <w:sz w:val="22"/>
                <w:szCs w:val="22"/>
                <w:lang w:bidi="ne-NP"/>
              </w:rPr>
              <w:t>Aspartate</w:t>
            </w:r>
          </w:p>
        </w:tc>
        <w:tc>
          <w:tcPr>
            <w:tcW w:w="1431"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14:paraId="1DA91D6E" w14:textId="77777777" w:rsidR="007A5817" w:rsidRPr="00D21137" w:rsidRDefault="007A5817" w:rsidP="006408A7">
            <w:pPr>
              <w:jc w:val="center"/>
              <w:rPr>
                <w:color w:val="000000"/>
                <w:sz w:val="22"/>
                <w:szCs w:val="22"/>
                <w:lang w:bidi="ne-NP"/>
              </w:rPr>
            </w:pPr>
            <w:r w:rsidRPr="00D21137">
              <w:rPr>
                <w:color w:val="000000"/>
                <w:sz w:val="22"/>
                <w:szCs w:val="22"/>
                <w:lang w:bidi="ne-NP"/>
              </w:rPr>
              <w:t>26</w:t>
            </w:r>
          </w:p>
        </w:tc>
        <w:tc>
          <w:tcPr>
            <w:tcW w:w="1722" w:type="dxa"/>
            <w:tcBorders>
              <w:top w:val="nil"/>
              <w:left w:val="nil"/>
              <w:bottom w:val="single" w:sz="4" w:space="0" w:color="000000"/>
              <w:right w:val="single" w:sz="4" w:space="0" w:color="000000"/>
            </w:tcBorders>
            <w:shd w:val="clear" w:color="auto" w:fill="auto"/>
            <w:noWrap/>
            <w:vAlign w:val="center"/>
            <w:hideMark/>
          </w:tcPr>
          <w:p w14:paraId="7BDABBA8" w14:textId="77777777" w:rsidR="007A5817" w:rsidRPr="00D21137" w:rsidRDefault="007A5817" w:rsidP="004B738B">
            <w:pPr>
              <w:jc w:val="center"/>
              <w:rPr>
                <w:color w:val="000000"/>
                <w:sz w:val="22"/>
                <w:szCs w:val="22"/>
                <w:lang w:bidi="ne-NP"/>
              </w:rPr>
            </w:pPr>
            <w:r w:rsidRPr="00D21137">
              <w:rPr>
                <w:color w:val="000000"/>
                <w:sz w:val="22"/>
                <w:szCs w:val="22"/>
                <w:lang w:bidi="ne-NP"/>
              </w:rPr>
              <w:t>Asparagine</w:t>
            </w:r>
          </w:p>
        </w:tc>
        <w:tc>
          <w:tcPr>
            <w:tcW w:w="1650" w:type="dxa"/>
            <w:tcBorders>
              <w:top w:val="nil"/>
              <w:left w:val="nil"/>
              <w:bottom w:val="single" w:sz="4" w:space="0" w:color="000000"/>
              <w:right w:val="single" w:sz="4" w:space="0" w:color="000000"/>
            </w:tcBorders>
            <w:shd w:val="clear" w:color="auto" w:fill="auto"/>
            <w:noWrap/>
            <w:vAlign w:val="center"/>
            <w:hideMark/>
          </w:tcPr>
          <w:p w14:paraId="115E0CCD" w14:textId="77777777" w:rsidR="007A5817" w:rsidRPr="00D21137" w:rsidRDefault="007A5817" w:rsidP="006408A7">
            <w:pPr>
              <w:jc w:val="center"/>
              <w:rPr>
                <w:color w:val="000000"/>
                <w:sz w:val="22"/>
                <w:szCs w:val="22"/>
                <w:lang w:bidi="ne-NP"/>
              </w:rPr>
            </w:pPr>
            <w:r w:rsidRPr="00D21137">
              <w:rPr>
                <w:color w:val="000000"/>
                <w:sz w:val="22"/>
                <w:szCs w:val="22"/>
                <w:lang w:bidi="ne-NP"/>
              </w:rPr>
              <w:t>D26N</w:t>
            </w:r>
          </w:p>
        </w:tc>
        <w:tc>
          <w:tcPr>
            <w:tcW w:w="1559" w:type="dxa"/>
            <w:tcBorders>
              <w:top w:val="nil"/>
              <w:left w:val="nil"/>
              <w:bottom w:val="single" w:sz="4" w:space="0" w:color="000000"/>
              <w:right w:val="single" w:sz="4" w:space="0" w:color="000000"/>
            </w:tcBorders>
            <w:shd w:val="clear" w:color="auto" w:fill="auto"/>
            <w:noWrap/>
            <w:vAlign w:val="center"/>
            <w:hideMark/>
          </w:tcPr>
          <w:p w14:paraId="601DD62F" w14:textId="77777777" w:rsidR="007A5817" w:rsidRPr="00D21137" w:rsidRDefault="007A5817" w:rsidP="006408A7">
            <w:pPr>
              <w:jc w:val="center"/>
              <w:rPr>
                <w:color w:val="000000"/>
                <w:sz w:val="22"/>
                <w:szCs w:val="22"/>
                <w:lang w:bidi="ne-NP"/>
              </w:rPr>
            </w:pPr>
            <w:r w:rsidRPr="00D21137">
              <w:rPr>
                <w:color w:val="000000"/>
                <w:sz w:val="22"/>
                <w:szCs w:val="22"/>
                <w:lang w:bidi="ne-NP"/>
              </w:rPr>
              <w:t>1.40</w:t>
            </w:r>
          </w:p>
        </w:tc>
      </w:tr>
      <w:tr w:rsidR="007A5817" w:rsidRPr="00D21137" w14:paraId="0DD8C01A" w14:textId="77777777" w:rsidTr="004B738B">
        <w:trPr>
          <w:trHeight w:val="427"/>
        </w:trPr>
        <w:tc>
          <w:tcPr>
            <w:tcW w:w="2138" w:type="dxa"/>
            <w:vMerge/>
            <w:tcBorders>
              <w:top w:val="nil"/>
              <w:left w:val="single" w:sz="4" w:space="0" w:color="000000"/>
              <w:bottom w:val="single" w:sz="4" w:space="0" w:color="000000"/>
              <w:right w:val="single" w:sz="4" w:space="0" w:color="000000"/>
            </w:tcBorders>
            <w:vAlign w:val="center"/>
            <w:hideMark/>
          </w:tcPr>
          <w:p w14:paraId="0F6488E5" w14:textId="77777777" w:rsidR="007A5817" w:rsidRPr="00D21137" w:rsidRDefault="007A5817" w:rsidP="006408A7">
            <w:pPr>
              <w:rPr>
                <w:color w:val="000000"/>
                <w:sz w:val="22"/>
                <w:szCs w:val="22"/>
                <w:lang w:bidi="ne-NP"/>
              </w:rPr>
            </w:pPr>
          </w:p>
        </w:tc>
        <w:tc>
          <w:tcPr>
            <w:tcW w:w="1431" w:type="dxa"/>
            <w:vMerge/>
            <w:tcBorders>
              <w:top w:val="nil"/>
              <w:left w:val="single" w:sz="4" w:space="0" w:color="000000"/>
              <w:bottom w:val="single" w:sz="4" w:space="0" w:color="000000"/>
              <w:right w:val="single" w:sz="4" w:space="0" w:color="000000"/>
            </w:tcBorders>
            <w:vAlign w:val="center"/>
            <w:hideMark/>
          </w:tcPr>
          <w:p w14:paraId="1EE481F3" w14:textId="77777777" w:rsidR="007A5817" w:rsidRPr="00D21137" w:rsidRDefault="007A5817" w:rsidP="006408A7">
            <w:pPr>
              <w:rPr>
                <w:color w:val="000000"/>
                <w:sz w:val="22"/>
                <w:szCs w:val="22"/>
                <w:lang w:bidi="ne-NP"/>
              </w:rPr>
            </w:pPr>
          </w:p>
        </w:tc>
        <w:tc>
          <w:tcPr>
            <w:tcW w:w="1722" w:type="dxa"/>
            <w:tcBorders>
              <w:top w:val="nil"/>
              <w:left w:val="nil"/>
              <w:bottom w:val="single" w:sz="4" w:space="0" w:color="000000"/>
              <w:right w:val="single" w:sz="4" w:space="0" w:color="000000"/>
            </w:tcBorders>
            <w:shd w:val="clear" w:color="auto" w:fill="auto"/>
            <w:noWrap/>
            <w:vAlign w:val="center"/>
            <w:hideMark/>
          </w:tcPr>
          <w:p w14:paraId="3F5A0911" w14:textId="77777777" w:rsidR="007A5817" w:rsidRPr="00D21137" w:rsidRDefault="007A5817" w:rsidP="004B738B">
            <w:pPr>
              <w:jc w:val="center"/>
              <w:rPr>
                <w:color w:val="000000"/>
                <w:sz w:val="22"/>
                <w:szCs w:val="22"/>
                <w:lang w:bidi="ne-NP"/>
              </w:rPr>
            </w:pPr>
            <w:r w:rsidRPr="00D21137">
              <w:rPr>
                <w:color w:val="000000"/>
                <w:sz w:val="22"/>
                <w:szCs w:val="22"/>
                <w:lang w:bidi="ne-NP"/>
              </w:rPr>
              <w:t>Lysine</w:t>
            </w:r>
          </w:p>
        </w:tc>
        <w:tc>
          <w:tcPr>
            <w:tcW w:w="1650" w:type="dxa"/>
            <w:tcBorders>
              <w:top w:val="nil"/>
              <w:left w:val="nil"/>
              <w:bottom w:val="single" w:sz="4" w:space="0" w:color="000000"/>
              <w:right w:val="single" w:sz="4" w:space="0" w:color="000000"/>
            </w:tcBorders>
            <w:shd w:val="clear" w:color="auto" w:fill="auto"/>
            <w:noWrap/>
            <w:vAlign w:val="center"/>
            <w:hideMark/>
          </w:tcPr>
          <w:p w14:paraId="7C1A9715" w14:textId="77777777" w:rsidR="007A5817" w:rsidRPr="00D21137" w:rsidRDefault="007A5817" w:rsidP="006408A7">
            <w:pPr>
              <w:jc w:val="center"/>
              <w:rPr>
                <w:color w:val="000000"/>
                <w:sz w:val="22"/>
                <w:szCs w:val="22"/>
                <w:lang w:bidi="ne-NP"/>
              </w:rPr>
            </w:pPr>
            <w:r w:rsidRPr="00D21137">
              <w:rPr>
                <w:color w:val="000000"/>
                <w:sz w:val="22"/>
                <w:szCs w:val="22"/>
                <w:lang w:bidi="ne-NP"/>
              </w:rPr>
              <w:t>D26K</w:t>
            </w:r>
          </w:p>
        </w:tc>
        <w:tc>
          <w:tcPr>
            <w:tcW w:w="1559" w:type="dxa"/>
            <w:tcBorders>
              <w:top w:val="nil"/>
              <w:left w:val="nil"/>
              <w:bottom w:val="single" w:sz="4" w:space="0" w:color="000000"/>
              <w:right w:val="single" w:sz="4" w:space="0" w:color="000000"/>
            </w:tcBorders>
            <w:shd w:val="clear" w:color="auto" w:fill="auto"/>
            <w:noWrap/>
            <w:vAlign w:val="center"/>
            <w:hideMark/>
          </w:tcPr>
          <w:p w14:paraId="2322EC87" w14:textId="77777777" w:rsidR="007A5817" w:rsidRPr="00D21137" w:rsidRDefault="007A5817" w:rsidP="006408A7">
            <w:pPr>
              <w:jc w:val="center"/>
              <w:rPr>
                <w:color w:val="000000"/>
                <w:sz w:val="22"/>
                <w:szCs w:val="22"/>
                <w:lang w:bidi="ne-NP"/>
              </w:rPr>
            </w:pPr>
            <w:r w:rsidRPr="00D21137">
              <w:rPr>
                <w:color w:val="000000"/>
                <w:sz w:val="22"/>
                <w:szCs w:val="22"/>
                <w:lang w:bidi="ne-NP"/>
              </w:rPr>
              <w:t>1.38</w:t>
            </w:r>
          </w:p>
        </w:tc>
      </w:tr>
      <w:tr w:rsidR="007A5817" w:rsidRPr="00D21137" w14:paraId="1AF8EBB8" w14:textId="77777777" w:rsidTr="004B738B">
        <w:trPr>
          <w:trHeight w:val="427"/>
        </w:trPr>
        <w:tc>
          <w:tcPr>
            <w:tcW w:w="2138"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14:paraId="4F4E5CBE" w14:textId="77777777" w:rsidR="007A5817" w:rsidRPr="00D21137" w:rsidRDefault="007A5817" w:rsidP="006408A7">
            <w:pPr>
              <w:jc w:val="center"/>
              <w:rPr>
                <w:color w:val="000000"/>
                <w:sz w:val="22"/>
                <w:szCs w:val="22"/>
                <w:lang w:bidi="ne-NP"/>
              </w:rPr>
            </w:pPr>
            <w:r w:rsidRPr="00D21137">
              <w:rPr>
                <w:color w:val="000000"/>
                <w:sz w:val="22"/>
                <w:szCs w:val="22"/>
                <w:lang w:bidi="ne-NP"/>
              </w:rPr>
              <w:t>Lysine</w:t>
            </w:r>
          </w:p>
        </w:tc>
        <w:tc>
          <w:tcPr>
            <w:tcW w:w="1431"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14:paraId="0C48C0D0" w14:textId="77777777" w:rsidR="007A5817" w:rsidRPr="00D21137" w:rsidRDefault="007A5817" w:rsidP="006408A7">
            <w:pPr>
              <w:jc w:val="center"/>
              <w:rPr>
                <w:color w:val="000000"/>
                <w:sz w:val="22"/>
                <w:szCs w:val="22"/>
                <w:lang w:bidi="ne-NP"/>
              </w:rPr>
            </w:pPr>
            <w:r w:rsidRPr="00D21137">
              <w:rPr>
                <w:color w:val="000000"/>
                <w:sz w:val="22"/>
                <w:szCs w:val="22"/>
                <w:lang w:bidi="ne-NP"/>
              </w:rPr>
              <w:t>29</w:t>
            </w:r>
          </w:p>
        </w:tc>
        <w:tc>
          <w:tcPr>
            <w:tcW w:w="1722" w:type="dxa"/>
            <w:tcBorders>
              <w:top w:val="nil"/>
              <w:left w:val="nil"/>
              <w:bottom w:val="single" w:sz="4" w:space="0" w:color="000000"/>
              <w:right w:val="single" w:sz="4" w:space="0" w:color="000000"/>
            </w:tcBorders>
            <w:shd w:val="clear" w:color="auto" w:fill="auto"/>
            <w:noWrap/>
            <w:vAlign w:val="center"/>
            <w:hideMark/>
          </w:tcPr>
          <w:p w14:paraId="5E19B298" w14:textId="77777777" w:rsidR="007A5817" w:rsidRPr="00D21137" w:rsidRDefault="007A5817" w:rsidP="004B738B">
            <w:pPr>
              <w:jc w:val="center"/>
              <w:rPr>
                <w:color w:val="000000"/>
                <w:sz w:val="22"/>
                <w:szCs w:val="22"/>
                <w:lang w:bidi="ne-NP"/>
              </w:rPr>
            </w:pPr>
            <w:r w:rsidRPr="00D21137">
              <w:rPr>
                <w:color w:val="000000"/>
                <w:sz w:val="22"/>
                <w:szCs w:val="22"/>
                <w:lang w:bidi="ne-NP"/>
              </w:rPr>
              <w:t>Glutamine</w:t>
            </w:r>
          </w:p>
        </w:tc>
        <w:tc>
          <w:tcPr>
            <w:tcW w:w="1650" w:type="dxa"/>
            <w:tcBorders>
              <w:top w:val="nil"/>
              <w:left w:val="nil"/>
              <w:bottom w:val="single" w:sz="4" w:space="0" w:color="000000"/>
              <w:right w:val="single" w:sz="4" w:space="0" w:color="000000"/>
            </w:tcBorders>
            <w:shd w:val="clear" w:color="auto" w:fill="auto"/>
            <w:noWrap/>
            <w:vAlign w:val="center"/>
            <w:hideMark/>
          </w:tcPr>
          <w:p w14:paraId="1AE5528E" w14:textId="77777777" w:rsidR="007A5817" w:rsidRPr="00D21137" w:rsidRDefault="007A5817" w:rsidP="006408A7">
            <w:pPr>
              <w:jc w:val="center"/>
              <w:rPr>
                <w:color w:val="000000"/>
                <w:sz w:val="22"/>
                <w:szCs w:val="22"/>
                <w:lang w:bidi="ne-NP"/>
              </w:rPr>
            </w:pPr>
            <w:r w:rsidRPr="00D21137">
              <w:rPr>
                <w:color w:val="000000"/>
                <w:sz w:val="22"/>
                <w:szCs w:val="22"/>
                <w:lang w:bidi="ne-NP"/>
              </w:rPr>
              <w:t>K29Q</w:t>
            </w:r>
          </w:p>
        </w:tc>
        <w:tc>
          <w:tcPr>
            <w:tcW w:w="1559" w:type="dxa"/>
            <w:tcBorders>
              <w:top w:val="nil"/>
              <w:left w:val="nil"/>
              <w:bottom w:val="single" w:sz="4" w:space="0" w:color="000000"/>
              <w:right w:val="single" w:sz="4" w:space="0" w:color="000000"/>
            </w:tcBorders>
            <w:shd w:val="clear" w:color="auto" w:fill="auto"/>
            <w:noWrap/>
            <w:vAlign w:val="center"/>
            <w:hideMark/>
          </w:tcPr>
          <w:p w14:paraId="6A9CC330" w14:textId="77777777" w:rsidR="007A5817" w:rsidRPr="00D21137" w:rsidRDefault="007A5817" w:rsidP="006408A7">
            <w:pPr>
              <w:jc w:val="center"/>
              <w:rPr>
                <w:color w:val="000000"/>
                <w:sz w:val="22"/>
                <w:szCs w:val="22"/>
                <w:lang w:bidi="ne-NP"/>
              </w:rPr>
            </w:pPr>
            <w:r w:rsidRPr="00D21137">
              <w:rPr>
                <w:color w:val="000000"/>
                <w:sz w:val="22"/>
                <w:szCs w:val="22"/>
                <w:lang w:bidi="ne-NP"/>
              </w:rPr>
              <w:t>1.41</w:t>
            </w:r>
          </w:p>
        </w:tc>
      </w:tr>
      <w:tr w:rsidR="007A5817" w:rsidRPr="00D21137" w14:paraId="3D1464A4" w14:textId="77777777" w:rsidTr="004B738B">
        <w:trPr>
          <w:trHeight w:val="427"/>
        </w:trPr>
        <w:tc>
          <w:tcPr>
            <w:tcW w:w="2138" w:type="dxa"/>
            <w:vMerge/>
            <w:tcBorders>
              <w:top w:val="nil"/>
              <w:left w:val="single" w:sz="4" w:space="0" w:color="000000"/>
              <w:bottom w:val="single" w:sz="4" w:space="0" w:color="000000"/>
              <w:right w:val="single" w:sz="4" w:space="0" w:color="000000"/>
            </w:tcBorders>
            <w:vAlign w:val="center"/>
            <w:hideMark/>
          </w:tcPr>
          <w:p w14:paraId="5A77BF2B" w14:textId="77777777" w:rsidR="007A5817" w:rsidRPr="00D21137" w:rsidRDefault="007A5817" w:rsidP="006408A7">
            <w:pPr>
              <w:rPr>
                <w:color w:val="000000"/>
                <w:sz w:val="22"/>
                <w:szCs w:val="22"/>
                <w:lang w:bidi="ne-NP"/>
              </w:rPr>
            </w:pPr>
          </w:p>
        </w:tc>
        <w:tc>
          <w:tcPr>
            <w:tcW w:w="1431" w:type="dxa"/>
            <w:vMerge/>
            <w:tcBorders>
              <w:top w:val="nil"/>
              <w:left w:val="single" w:sz="4" w:space="0" w:color="000000"/>
              <w:bottom w:val="single" w:sz="4" w:space="0" w:color="000000"/>
              <w:right w:val="single" w:sz="4" w:space="0" w:color="000000"/>
            </w:tcBorders>
            <w:vAlign w:val="center"/>
            <w:hideMark/>
          </w:tcPr>
          <w:p w14:paraId="3EEDBFD8" w14:textId="77777777" w:rsidR="007A5817" w:rsidRPr="00D21137" w:rsidRDefault="007A5817" w:rsidP="006408A7">
            <w:pPr>
              <w:rPr>
                <w:color w:val="000000"/>
                <w:sz w:val="22"/>
                <w:szCs w:val="22"/>
                <w:lang w:bidi="ne-NP"/>
              </w:rPr>
            </w:pPr>
          </w:p>
        </w:tc>
        <w:tc>
          <w:tcPr>
            <w:tcW w:w="1722" w:type="dxa"/>
            <w:tcBorders>
              <w:top w:val="nil"/>
              <w:left w:val="nil"/>
              <w:bottom w:val="single" w:sz="4" w:space="0" w:color="000000"/>
              <w:right w:val="single" w:sz="4" w:space="0" w:color="000000"/>
            </w:tcBorders>
            <w:shd w:val="clear" w:color="auto" w:fill="auto"/>
            <w:noWrap/>
            <w:vAlign w:val="center"/>
            <w:hideMark/>
          </w:tcPr>
          <w:p w14:paraId="41E59889" w14:textId="77777777" w:rsidR="007A5817" w:rsidRPr="00D21137" w:rsidRDefault="007A5817" w:rsidP="004B738B">
            <w:pPr>
              <w:jc w:val="center"/>
              <w:rPr>
                <w:color w:val="000000"/>
                <w:sz w:val="22"/>
                <w:szCs w:val="22"/>
                <w:lang w:bidi="ne-NP"/>
              </w:rPr>
            </w:pPr>
            <w:r w:rsidRPr="00D21137">
              <w:rPr>
                <w:color w:val="000000"/>
                <w:sz w:val="22"/>
                <w:szCs w:val="22"/>
                <w:lang w:bidi="ne-NP"/>
              </w:rPr>
              <w:t>Glutamate</w:t>
            </w:r>
          </w:p>
        </w:tc>
        <w:tc>
          <w:tcPr>
            <w:tcW w:w="1650" w:type="dxa"/>
            <w:tcBorders>
              <w:top w:val="nil"/>
              <w:left w:val="nil"/>
              <w:bottom w:val="single" w:sz="4" w:space="0" w:color="000000"/>
              <w:right w:val="single" w:sz="4" w:space="0" w:color="000000"/>
            </w:tcBorders>
            <w:shd w:val="clear" w:color="auto" w:fill="auto"/>
            <w:noWrap/>
            <w:vAlign w:val="center"/>
            <w:hideMark/>
          </w:tcPr>
          <w:p w14:paraId="20199C29" w14:textId="77777777" w:rsidR="007A5817" w:rsidRPr="00D21137" w:rsidRDefault="007A5817" w:rsidP="006408A7">
            <w:pPr>
              <w:jc w:val="center"/>
              <w:rPr>
                <w:color w:val="000000"/>
                <w:sz w:val="22"/>
                <w:szCs w:val="22"/>
                <w:lang w:bidi="ne-NP"/>
              </w:rPr>
            </w:pPr>
            <w:r w:rsidRPr="00D21137">
              <w:rPr>
                <w:color w:val="000000"/>
                <w:sz w:val="22"/>
                <w:szCs w:val="22"/>
                <w:lang w:bidi="ne-NP"/>
              </w:rPr>
              <w:t>K29E</w:t>
            </w:r>
          </w:p>
        </w:tc>
        <w:tc>
          <w:tcPr>
            <w:tcW w:w="1559" w:type="dxa"/>
            <w:tcBorders>
              <w:top w:val="nil"/>
              <w:left w:val="nil"/>
              <w:bottom w:val="single" w:sz="4" w:space="0" w:color="000000"/>
              <w:right w:val="single" w:sz="4" w:space="0" w:color="000000"/>
            </w:tcBorders>
            <w:shd w:val="clear" w:color="auto" w:fill="auto"/>
            <w:noWrap/>
            <w:vAlign w:val="center"/>
            <w:hideMark/>
          </w:tcPr>
          <w:p w14:paraId="118882F3" w14:textId="77777777" w:rsidR="007A5817" w:rsidRPr="00D21137" w:rsidRDefault="007A5817" w:rsidP="006408A7">
            <w:pPr>
              <w:jc w:val="center"/>
              <w:rPr>
                <w:color w:val="000000"/>
                <w:sz w:val="22"/>
                <w:szCs w:val="22"/>
                <w:lang w:bidi="ne-NP"/>
              </w:rPr>
            </w:pPr>
            <w:r w:rsidRPr="00D21137">
              <w:rPr>
                <w:color w:val="000000"/>
                <w:sz w:val="22"/>
                <w:szCs w:val="22"/>
                <w:lang w:bidi="ne-NP"/>
              </w:rPr>
              <w:t>1.41</w:t>
            </w:r>
          </w:p>
        </w:tc>
      </w:tr>
    </w:tbl>
    <w:p w14:paraId="5BDB673B" w14:textId="77777777" w:rsidR="007A5817" w:rsidRPr="00F33FC4" w:rsidRDefault="007A5817" w:rsidP="00F33FC4">
      <w:pPr>
        <w:spacing w:line="360" w:lineRule="auto"/>
        <w:rPr>
          <w:rFonts w:eastAsia="MS Mincho"/>
          <w:b/>
          <w:bCs/>
        </w:rPr>
      </w:pPr>
    </w:p>
    <w:p w14:paraId="4EF0869B" w14:textId="77777777" w:rsidR="007A5817" w:rsidRDefault="007A5817">
      <w:pPr>
        <w:rPr>
          <w:rFonts w:eastAsia="MS Mincho"/>
          <w:b/>
          <w:bCs/>
        </w:rPr>
      </w:pPr>
      <w:r>
        <w:rPr>
          <w:rFonts w:eastAsia="MS Mincho"/>
          <w:b/>
          <w:bCs/>
        </w:rPr>
        <w:br w:type="page"/>
      </w:r>
    </w:p>
    <w:p w14:paraId="7E165341" w14:textId="6C032006" w:rsidR="00F33FC4" w:rsidRPr="00F33FC4" w:rsidRDefault="00F33FC4" w:rsidP="00F33FC4">
      <w:pPr>
        <w:spacing w:line="360" w:lineRule="auto"/>
        <w:rPr>
          <w:rFonts w:eastAsia="MS Mincho"/>
          <w:b/>
          <w:bCs/>
        </w:rPr>
      </w:pPr>
      <w:r w:rsidRPr="00F33FC4">
        <w:rPr>
          <w:rFonts w:eastAsia="MS Mincho"/>
          <w:b/>
          <w:bCs/>
        </w:rPr>
        <w:lastRenderedPageBreak/>
        <w:t xml:space="preserve">Role of charged amino acid in </w:t>
      </w:r>
      <w:proofErr w:type="spellStart"/>
      <w:r w:rsidRPr="00F33FC4">
        <w:rPr>
          <w:rFonts w:eastAsia="MS Mincho"/>
          <w:b/>
          <w:bCs/>
        </w:rPr>
        <w:t>ZorO</w:t>
      </w:r>
      <w:proofErr w:type="spellEnd"/>
      <w:r w:rsidRPr="00F33FC4">
        <w:rPr>
          <w:rFonts w:eastAsia="MS Mincho"/>
          <w:b/>
          <w:bCs/>
        </w:rPr>
        <w:t xml:space="preserve"> induced growth inhibition</w:t>
      </w:r>
    </w:p>
    <w:p w14:paraId="3984F29A" w14:textId="77777777" w:rsidR="00F33FC4" w:rsidRPr="00F33FC4" w:rsidRDefault="00F33FC4" w:rsidP="00F33FC4">
      <w:pPr>
        <w:spacing w:line="360" w:lineRule="auto"/>
        <w:rPr>
          <w:rFonts w:eastAsia="MS Mincho"/>
        </w:rPr>
      </w:pPr>
      <w:r w:rsidRPr="00F33FC4">
        <w:rPr>
          <w:rFonts w:eastAsia="MS Mincho"/>
        </w:rPr>
        <w:tab/>
        <w:t xml:space="preserve">Despite lack of major differences in GRAVY, we elected to </w:t>
      </w:r>
      <w:proofErr w:type="spellStart"/>
      <w:r w:rsidRPr="00F33FC4">
        <w:rPr>
          <w:rFonts w:eastAsia="MS Mincho"/>
        </w:rPr>
        <w:t>examn</w:t>
      </w:r>
      <w:proofErr w:type="spellEnd"/>
      <w:r w:rsidRPr="00F33FC4">
        <w:rPr>
          <w:rFonts w:eastAsia="MS Mincho"/>
        </w:rPr>
        <w:t xml:space="preserve"> the charge residues by making the above point mutations within the appropriate codons and examine overexpression. The resulting mutant </w:t>
      </w:r>
      <w:proofErr w:type="spellStart"/>
      <w:r w:rsidRPr="00F33FC4">
        <w:rPr>
          <w:rFonts w:eastAsia="MS Mincho"/>
          <w:i/>
          <w:iCs/>
        </w:rPr>
        <w:t>zorO</w:t>
      </w:r>
      <w:proofErr w:type="spellEnd"/>
      <w:r w:rsidRPr="00F33FC4">
        <w:rPr>
          <w:rFonts w:eastAsia="MS Mincho"/>
        </w:rPr>
        <w:t xml:space="preserve"> sequences, which also contained sequence for an N-terminus FLAG tag were overexpressed from the arabinose inducible promoter (P</w:t>
      </w:r>
      <w:r w:rsidRPr="00F33FC4">
        <w:rPr>
          <w:rFonts w:eastAsia="MS Mincho"/>
          <w:vertAlign w:val="subscript"/>
        </w:rPr>
        <w:t>BAD</w:t>
      </w:r>
      <w:r w:rsidRPr="00F33FC4">
        <w:rPr>
          <w:rFonts w:eastAsia="MS Mincho"/>
        </w:rPr>
        <w:t>) on a high-copy plasmid by adding 3.33</w:t>
      </w:r>
      <w:r w:rsidRPr="00F33FC4">
        <w:rPr>
          <w:rFonts w:eastAsia="MS Mincho"/>
          <w:color w:val="000000"/>
          <w:sz w:val="22"/>
          <w:szCs w:val="22"/>
        </w:rPr>
        <w:t xml:space="preserve"> </w:t>
      </w:r>
      <w:r w:rsidRPr="00F33FC4">
        <w:rPr>
          <w:rFonts w:eastAsia="MS Mincho"/>
          <w:color w:val="000000"/>
        </w:rPr>
        <w:t>µM</w:t>
      </w:r>
      <w:r w:rsidRPr="00F33FC4">
        <w:rPr>
          <w:rFonts w:eastAsia="MS Mincho"/>
        </w:rPr>
        <w:t xml:space="preserve"> of arabinose during mid-log growth phase (OD600 ~0.3) and assessed for growth inhibition. To maximize </w:t>
      </w:r>
      <w:proofErr w:type="spellStart"/>
      <w:r w:rsidRPr="00F33FC4">
        <w:rPr>
          <w:rFonts w:eastAsia="MS Mincho"/>
        </w:rPr>
        <w:t>ZorO</w:t>
      </w:r>
      <w:proofErr w:type="spellEnd"/>
      <w:r w:rsidRPr="00F33FC4">
        <w:rPr>
          <w:rFonts w:eastAsia="MS Mincho"/>
        </w:rPr>
        <w:t xml:space="preserve"> translation, the 5’ UTR was eliminated, leaving only the ribosome binding site (22 </w:t>
      </w:r>
      <w:proofErr w:type="spellStart"/>
      <w:r w:rsidRPr="00F33FC4">
        <w:rPr>
          <w:rFonts w:eastAsia="MS Mincho"/>
        </w:rPr>
        <w:t>nt</w:t>
      </w:r>
      <w:proofErr w:type="spellEnd"/>
      <w:r w:rsidRPr="00F33FC4">
        <w:rPr>
          <w:rFonts w:eastAsia="MS Mincho"/>
        </w:rPr>
        <w:t xml:space="preserve"> before the start codon) and mutating the sequence to prevent stem formation with the ribosome binding site (RBS; </w:t>
      </w:r>
      <w:r w:rsidRPr="00F33FC4">
        <w:rPr>
          <w:rFonts w:eastAsia="MS Mincho"/>
          <w:noProof/>
        </w:rPr>
        <w:t>(26)</w:t>
      </w:r>
      <w:r w:rsidRPr="00F33FC4">
        <w:rPr>
          <w:rFonts w:eastAsia="MS Mincho"/>
        </w:rPr>
        <w:t xml:space="preserve">). </w:t>
      </w:r>
    </w:p>
    <w:p w14:paraId="3C5BDFE1" w14:textId="77777777" w:rsidR="00F33FC4" w:rsidRPr="00F33FC4" w:rsidRDefault="00F33FC4" w:rsidP="00F33FC4">
      <w:pPr>
        <w:spacing w:line="360" w:lineRule="auto"/>
        <w:ind w:firstLine="720"/>
        <w:rPr>
          <w:rFonts w:eastAsia="MS Mincho"/>
        </w:rPr>
      </w:pPr>
      <w:r w:rsidRPr="00F33FC4">
        <w:rPr>
          <w:rFonts w:eastAsia="MS Mincho"/>
        </w:rPr>
        <w:t xml:space="preserve">Of the negatively charged amino acid residues glutamate and aspartate (E16, D2 and D26), mutating E16 to glutamine (E16Q) still maintained growth inhibition although slightly reduced when compared to wild type </w:t>
      </w:r>
      <w:proofErr w:type="spellStart"/>
      <w:r w:rsidRPr="00F33FC4">
        <w:rPr>
          <w:rFonts w:eastAsia="MS Mincho"/>
        </w:rPr>
        <w:t>ZorO</w:t>
      </w:r>
      <w:proofErr w:type="spellEnd"/>
      <w:r w:rsidRPr="00F33FC4">
        <w:rPr>
          <w:rFonts w:eastAsia="MS Mincho"/>
        </w:rPr>
        <w:t xml:space="preserve"> whereas, mutating E16 to the oppositely charged arginine (E16R) abolished </w:t>
      </w:r>
      <w:proofErr w:type="spellStart"/>
      <w:r w:rsidRPr="00F33FC4">
        <w:rPr>
          <w:rFonts w:eastAsia="MS Mincho"/>
        </w:rPr>
        <w:t>ZorO</w:t>
      </w:r>
      <w:proofErr w:type="spellEnd"/>
      <w:r w:rsidRPr="00F33FC4">
        <w:rPr>
          <w:rFonts w:eastAsia="MS Mincho"/>
        </w:rPr>
        <w:t xml:space="preserve"> toxicity (Fig. 4.2A). When an aspartate at the C-terminus (D26) was mutated to either lysine or asparagine, this rescued the growth inhibition effects of </w:t>
      </w:r>
      <w:proofErr w:type="spellStart"/>
      <w:r w:rsidRPr="00F33FC4">
        <w:rPr>
          <w:rFonts w:eastAsia="MS Mincho"/>
        </w:rPr>
        <w:t>ZorO</w:t>
      </w:r>
      <w:proofErr w:type="spellEnd"/>
      <w:r w:rsidRPr="00F33FC4">
        <w:rPr>
          <w:rFonts w:eastAsia="MS Mincho"/>
        </w:rPr>
        <w:t xml:space="preserve"> (Fig. 4.2A). This indicated that this residue was critical for inducing growth stasis, whereas the mutation of the other aspartate residue (D2) to lysine or asparagine (D2K, D2N) mirrored the growth stasis induced by wild-type </w:t>
      </w:r>
      <w:proofErr w:type="spellStart"/>
      <w:r w:rsidRPr="00F33FC4">
        <w:rPr>
          <w:rFonts w:eastAsia="MS Mincho"/>
        </w:rPr>
        <w:t>ZorO</w:t>
      </w:r>
      <w:proofErr w:type="spellEnd"/>
      <w:r w:rsidRPr="00F33FC4">
        <w:rPr>
          <w:rFonts w:eastAsia="MS Mincho"/>
        </w:rPr>
        <w:t xml:space="preserve"> (Fig. 4.2B). </w:t>
      </w:r>
    </w:p>
    <w:p w14:paraId="35F0AECC" w14:textId="28E425C2" w:rsidR="004F5CA8" w:rsidRPr="00F33FC4" w:rsidRDefault="004F5CA8" w:rsidP="004F5CA8">
      <w:pPr>
        <w:spacing w:line="360" w:lineRule="auto"/>
        <w:rPr>
          <w:rFonts w:eastAsia="MS Mincho"/>
        </w:rPr>
      </w:pPr>
      <w:r>
        <w:rPr>
          <w:rFonts w:eastAsia="MS Mincho"/>
        </w:rPr>
        <w:tab/>
      </w:r>
      <w:r w:rsidR="00F33FC4" w:rsidRPr="00F33FC4">
        <w:rPr>
          <w:rFonts w:eastAsia="MS Mincho"/>
        </w:rPr>
        <w:t>Similar analyses with the positively charged amino acids arginine and lysine (R23, K7, K29) were also performed. The conversion of the lysine residues at the 7</w:t>
      </w:r>
      <w:r w:rsidR="00F33FC4" w:rsidRPr="00F33FC4">
        <w:rPr>
          <w:rFonts w:eastAsia="MS Mincho"/>
          <w:vertAlign w:val="superscript"/>
        </w:rPr>
        <w:t>th</w:t>
      </w:r>
      <w:r w:rsidR="00F33FC4" w:rsidRPr="00F33FC4">
        <w:rPr>
          <w:rFonts w:eastAsia="MS Mincho"/>
        </w:rPr>
        <w:t xml:space="preserve"> and 29</w:t>
      </w:r>
      <w:r w:rsidR="00F33FC4" w:rsidRPr="00F33FC4">
        <w:rPr>
          <w:rFonts w:eastAsia="MS Mincho"/>
          <w:vertAlign w:val="superscript"/>
        </w:rPr>
        <w:t>th</w:t>
      </w:r>
      <w:r w:rsidR="00F33FC4" w:rsidRPr="00F33FC4">
        <w:rPr>
          <w:rFonts w:eastAsia="MS Mincho"/>
        </w:rPr>
        <w:t xml:space="preserve"> position to the neutrally charged amino acid glutamine showed growth inhibition similar to the wild type </w:t>
      </w:r>
      <w:proofErr w:type="spellStart"/>
      <w:r w:rsidR="00F33FC4" w:rsidRPr="00F33FC4">
        <w:rPr>
          <w:rFonts w:eastAsia="MS Mincho"/>
        </w:rPr>
        <w:t>ZorO</w:t>
      </w:r>
      <w:proofErr w:type="spellEnd"/>
      <w:r w:rsidR="00F33FC4" w:rsidRPr="00F33FC4">
        <w:rPr>
          <w:rFonts w:eastAsia="MS Mincho"/>
        </w:rPr>
        <w:t xml:space="preserve"> (Fig 4.2C). However, there was no impact on cell growth if either lysine residue was mutated to a negatively charged glutamate (Fig. 4.2D). When arginine was converted to leucine which has a neutral charge (R23L), cells </w:t>
      </w:r>
      <w:r w:rsidRPr="00F33FC4">
        <w:rPr>
          <w:rFonts w:eastAsia="MS Mincho"/>
        </w:rPr>
        <w:t xml:space="preserve">grew normally (Fig. 4.2D), and we note that the GRAVY score for this was the most distinct from wild type </w:t>
      </w:r>
      <w:proofErr w:type="spellStart"/>
      <w:r w:rsidRPr="00F33FC4">
        <w:rPr>
          <w:rFonts w:eastAsia="MS Mincho"/>
        </w:rPr>
        <w:t>ZorO</w:t>
      </w:r>
      <w:proofErr w:type="spellEnd"/>
      <w:r w:rsidRPr="00F33FC4">
        <w:rPr>
          <w:rFonts w:eastAsia="MS Mincho"/>
        </w:rPr>
        <w:t xml:space="preserve"> than the other mutant proteins examined. Surprisingly, altering the arginine at the 23</w:t>
      </w:r>
      <w:r w:rsidRPr="00F33FC4">
        <w:rPr>
          <w:rFonts w:eastAsia="MS Mincho"/>
          <w:vertAlign w:val="superscript"/>
        </w:rPr>
        <w:t>rd</w:t>
      </w:r>
      <w:r w:rsidRPr="00F33FC4">
        <w:rPr>
          <w:rFonts w:eastAsia="MS Mincho"/>
        </w:rPr>
        <w:t xml:space="preserve"> position to negatively charged glutamate (R23E) still maintained toxicity (Fig. 4.2C). Overall, based on these data, altering the charged </w:t>
      </w:r>
    </w:p>
    <w:p w14:paraId="21D5C72F" w14:textId="6D6E9A0B" w:rsidR="00F33FC4" w:rsidRPr="00F33FC4" w:rsidRDefault="00F33FC4" w:rsidP="004F5CA8">
      <w:pPr>
        <w:spacing w:line="360" w:lineRule="auto"/>
        <w:ind w:firstLine="720"/>
        <w:rPr>
          <w:rFonts w:eastAsia="MS Mincho"/>
        </w:rPr>
      </w:pPr>
    </w:p>
    <w:p w14:paraId="214715D7" w14:textId="77777777" w:rsidR="00F33FC4" w:rsidRPr="00F33FC4" w:rsidRDefault="00F33FC4" w:rsidP="00F33FC4">
      <w:pPr>
        <w:rPr>
          <w:rFonts w:eastAsia="MS Mincho"/>
          <w:b/>
          <w:bCs/>
        </w:rPr>
      </w:pPr>
      <w:r w:rsidRPr="00F33FC4">
        <w:rPr>
          <w:rFonts w:ascii="Calibri" w:eastAsia="MS Mincho" w:hAnsi="Calibri" w:cs="Mangal"/>
          <w:noProof/>
        </w:rPr>
        <w:lastRenderedPageBreak/>
        <mc:AlternateContent>
          <mc:Choice Requires="wps">
            <w:drawing>
              <wp:anchor distT="0" distB="0" distL="114300" distR="114300" simplePos="0" relativeHeight="251723776" behindDoc="0" locked="0" layoutInCell="1" allowOverlap="1" wp14:anchorId="0D0AFFF5" wp14:editId="538DFE58">
                <wp:simplePos x="0" y="0"/>
                <wp:positionH relativeFrom="column">
                  <wp:posOffset>94615</wp:posOffset>
                </wp:positionH>
                <wp:positionV relativeFrom="paragraph">
                  <wp:posOffset>4752975</wp:posOffset>
                </wp:positionV>
                <wp:extent cx="5775960" cy="635"/>
                <wp:effectExtent l="0" t="0" r="2540" b="1905"/>
                <wp:wrapTopAndBottom/>
                <wp:docPr id="111" name="Text Box 111"/>
                <wp:cNvGraphicFramePr/>
                <a:graphic xmlns:a="http://schemas.openxmlformats.org/drawingml/2006/main">
                  <a:graphicData uri="http://schemas.microsoft.com/office/word/2010/wordprocessingShape">
                    <wps:wsp>
                      <wps:cNvSpPr txBox="1"/>
                      <wps:spPr>
                        <a:xfrm>
                          <a:off x="0" y="0"/>
                          <a:ext cx="5775960" cy="635"/>
                        </a:xfrm>
                        <a:prstGeom prst="rect">
                          <a:avLst/>
                        </a:prstGeom>
                        <a:solidFill>
                          <a:prstClr val="white"/>
                        </a:solidFill>
                        <a:ln>
                          <a:noFill/>
                        </a:ln>
                      </wps:spPr>
                      <wps:txbx>
                        <w:txbxContent>
                          <w:p w14:paraId="7003A870" w14:textId="77777777" w:rsidR="00F33FC4" w:rsidRPr="00CF23F0" w:rsidRDefault="00F33FC4" w:rsidP="00F33FC4">
                            <w:pPr>
                              <w:pStyle w:val="Caption"/>
                              <w:rPr>
                                <w:b/>
                                <w:bCs/>
                                <w:i/>
                                <w:iCs w:val="0"/>
                                <w:noProof/>
                                <w:sz w:val="22"/>
                                <w:szCs w:val="22"/>
                              </w:rPr>
                            </w:pPr>
                            <w:r w:rsidRPr="00CF23F0">
                              <w:rPr>
                                <w:iCs w:val="0"/>
                                <w:sz w:val="22"/>
                                <w:szCs w:val="22"/>
                              </w:rPr>
                              <w:t xml:space="preserve">Figure </w:t>
                            </w:r>
                            <w:r>
                              <w:rPr>
                                <w:iCs w:val="0"/>
                                <w:sz w:val="22"/>
                                <w:szCs w:val="22"/>
                              </w:rPr>
                              <w:t xml:space="preserve">4.2. Role of charged amino acid residues in </w:t>
                            </w:r>
                            <w:proofErr w:type="spellStart"/>
                            <w:r>
                              <w:rPr>
                                <w:iCs w:val="0"/>
                                <w:sz w:val="22"/>
                                <w:szCs w:val="22"/>
                              </w:rPr>
                              <w:t>ZorO</w:t>
                            </w:r>
                            <w:proofErr w:type="spellEnd"/>
                            <w:r>
                              <w:rPr>
                                <w:iCs w:val="0"/>
                                <w:sz w:val="22"/>
                                <w:szCs w:val="22"/>
                              </w:rPr>
                              <w:t xml:space="preserve"> mediated growth inhibition. Negatively charged amino acid mutations that result in a non-toxic </w:t>
                            </w:r>
                            <w:proofErr w:type="spellStart"/>
                            <w:r>
                              <w:rPr>
                                <w:iCs w:val="0"/>
                                <w:sz w:val="22"/>
                                <w:szCs w:val="22"/>
                              </w:rPr>
                              <w:t>ZorO</w:t>
                            </w:r>
                            <w:proofErr w:type="spellEnd"/>
                            <w:r>
                              <w:rPr>
                                <w:iCs w:val="0"/>
                                <w:sz w:val="22"/>
                                <w:szCs w:val="22"/>
                              </w:rPr>
                              <w:t xml:space="preserve"> (A) or maintain </w:t>
                            </w:r>
                            <w:proofErr w:type="spellStart"/>
                            <w:r>
                              <w:rPr>
                                <w:iCs w:val="0"/>
                                <w:sz w:val="22"/>
                                <w:szCs w:val="22"/>
                              </w:rPr>
                              <w:t>ZorO</w:t>
                            </w:r>
                            <w:proofErr w:type="spellEnd"/>
                            <w:r>
                              <w:rPr>
                                <w:iCs w:val="0"/>
                                <w:sz w:val="22"/>
                                <w:szCs w:val="22"/>
                              </w:rPr>
                              <w:t xml:space="preserve"> toxicity (B). Positively charged amino acid mutations that maintains </w:t>
                            </w:r>
                            <w:proofErr w:type="spellStart"/>
                            <w:r>
                              <w:rPr>
                                <w:iCs w:val="0"/>
                                <w:sz w:val="22"/>
                                <w:szCs w:val="22"/>
                              </w:rPr>
                              <w:t>ZorO</w:t>
                            </w:r>
                            <w:proofErr w:type="spellEnd"/>
                            <w:r>
                              <w:rPr>
                                <w:iCs w:val="0"/>
                                <w:sz w:val="22"/>
                                <w:szCs w:val="22"/>
                              </w:rPr>
                              <w:t xml:space="preserve"> toxicity (C) or makes </w:t>
                            </w:r>
                            <w:proofErr w:type="spellStart"/>
                            <w:r>
                              <w:rPr>
                                <w:iCs w:val="0"/>
                                <w:sz w:val="22"/>
                                <w:szCs w:val="22"/>
                              </w:rPr>
                              <w:t>ZorO</w:t>
                            </w:r>
                            <w:proofErr w:type="spellEnd"/>
                            <w:r>
                              <w:rPr>
                                <w:iCs w:val="0"/>
                                <w:sz w:val="22"/>
                                <w:szCs w:val="22"/>
                              </w:rPr>
                              <w:t xml:space="preserve"> non-toxic (D). LB medium with 3.33 µM arabinose induction at mid-log phase. </w:t>
                            </w:r>
                            <w:r w:rsidRPr="005B5B34">
                              <w:rPr>
                                <w:sz w:val="22"/>
                                <w:szCs w:val="22"/>
                              </w:rPr>
                              <w:t>n=3</w:t>
                            </w:r>
                            <w:r>
                              <w:rPr>
                                <w:iCs w:val="0"/>
                                <w:sz w:val="22"/>
                                <w:szCs w:val="22"/>
                              </w:rPr>
                              <w:t>, shown are mean ± standard deviation (SD).</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D0AFFF5" id="Text Box 111" o:spid="_x0000_s1051" type="#_x0000_t202" style="position:absolute;margin-left:7.45pt;margin-top:374.25pt;width:454.8pt;height:.05pt;z-index:251723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" stroked="f">
                <v:textbox style="mso-fit-shape-to-text:t" inset="0,0,0,0">
                  <w:txbxContent>
                    <w:p w14:paraId="7003A870" w14:textId="77777777" w:rsidR="00F33FC4" w:rsidRPr="00CF23F0" w:rsidRDefault="00F33FC4" w:rsidP="00F33FC4">
                      <w:pPr>
                        <w:pStyle w:val="Caption"/>
                        <w:rPr>
                          <w:b/>
                          <w:bCs/>
                          <w:i/>
                          <w:iCs w:val="0"/>
                          <w:noProof/>
                          <w:sz w:val="22"/>
                          <w:szCs w:val="22"/>
                        </w:rPr>
                      </w:pPr>
                      <w:r w:rsidRPr="00CF23F0">
                        <w:rPr>
                          <w:iCs w:val="0"/>
                          <w:sz w:val="22"/>
                          <w:szCs w:val="22"/>
                        </w:rPr>
                        <w:t xml:space="preserve">Figure </w:t>
                      </w:r>
                      <w:r>
                        <w:rPr>
                          <w:iCs w:val="0"/>
                          <w:sz w:val="22"/>
                          <w:szCs w:val="22"/>
                        </w:rPr>
                        <w:t xml:space="preserve">4.2. Role of charged amino acid residues in </w:t>
                      </w:r>
                      <w:proofErr w:type="spellStart"/>
                      <w:r>
                        <w:rPr>
                          <w:iCs w:val="0"/>
                          <w:sz w:val="22"/>
                          <w:szCs w:val="22"/>
                        </w:rPr>
                        <w:t>ZorO</w:t>
                      </w:r>
                      <w:proofErr w:type="spellEnd"/>
                      <w:r>
                        <w:rPr>
                          <w:iCs w:val="0"/>
                          <w:sz w:val="22"/>
                          <w:szCs w:val="22"/>
                        </w:rPr>
                        <w:t xml:space="preserve"> mediated growth inhibition. Negatively charged amino acid mutations that result in a non-toxic </w:t>
                      </w:r>
                      <w:proofErr w:type="spellStart"/>
                      <w:r>
                        <w:rPr>
                          <w:iCs w:val="0"/>
                          <w:sz w:val="22"/>
                          <w:szCs w:val="22"/>
                        </w:rPr>
                        <w:t>ZorO</w:t>
                      </w:r>
                      <w:proofErr w:type="spellEnd"/>
                      <w:r>
                        <w:rPr>
                          <w:iCs w:val="0"/>
                          <w:sz w:val="22"/>
                          <w:szCs w:val="22"/>
                        </w:rPr>
                        <w:t xml:space="preserve"> (A) or maintain </w:t>
                      </w:r>
                      <w:proofErr w:type="spellStart"/>
                      <w:r>
                        <w:rPr>
                          <w:iCs w:val="0"/>
                          <w:sz w:val="22"/>
                          <w:szCs w:val="22"/>
                        </w:rPr>
                        <w:t>ZorO</w:t>
                      </w:r>
                      <w:proofErr w:type="spellEnd"/>
                      <w:r>
                        <w:rPr>
                          <w:iCs w:val="0"/>
                          <w:sz w:val="22"/>
                          <w:szCs w:val="22"/>
                        </w:rPr>
                        <w:t xml:space="preserve"> toxicity (B). Positively charged amino acid mutations that maintains </w:t>
                      </w:r>
                      <w:proofErr w:type="spellStart"/>
                      <w:r>
                        <w:rPr>
                          <w:iCs w:val="0"/>
                          <w:sz w:val="22"/>
                          <w:szCs w:val="22"/>
                        </w:rPr>
                        <w:t>ZorO</w:t>
                      </w:r>
                      <w:proofErr w:type="spellEnd"/>
                      <w:r>
                        <w:rPr>
                          <w:iCs w:val="0"/>
                          <w:sz w:val="22"/>
                          <w:szCs w:val="22"/>
                        </w:rPr>
                        <w:t xml:space="preserve"> toxicity (C) or makes </w:t>
                      </w:r>
                      <w:proofErr w:type="spellStart"/>
                      <w:r>
                        <w:rPr>
                          <w:iCs w:val="0"/>
                          <w:sz w:val="22"/>
                          <w:szCs w:val="22"/>
                        </w:rPr>
                        <w:t>ZorO</w:t>
                      </w:r>
                      <w:proofErr w:type="spellEnd"/>
                      <w:r>
                        <w:rPr>
                          <w:iCs w:val="0"/>
                          <w:sz w:val="22"/>
                          <w:szCs w:val="22"/>
                        </w:rPr>
                        <w:t xml:space="preserve"> non-toxic (D). LB medium with 3.33 µM arabinose induction at mid-log phase. </w:t>
                      </w:r>
                      <w:r w:rsidRPr="005B5B34">
                        <w:rPr>
                          <w:sz w:val="22"/>
                          <w:szCs w:val="22"/>
                        </w:rPr>
                        <w:t>n=3</w:t>
                      </w:r>
                      <w:r>
                        <w:rPr>
                          <w:iCs w:val="0"/>
                          <w:sz w:val="22"/>
                          <w:szCs w:val="22"/>
                        </w:rPr>
                        <w:t>, shown are mean ± standard deviation (SD).</w:t>
                      </w:r>
                    </w:p>
                  </w:txbxContent>
                </v:textbox>
                <w10:wrap type="topAndBottom"/>
              </v:shape>
            </w:pict>
          </mc:Fallback>
        </mc:AlternateContent>
      </w:r>
      <w:r w:rsidRPr="00F33FC4">
        <w:rPr>
          <w:rFonts w:eastAsia="MS Mincho"/>
          <w:b/>
          <w:bCs/>
          <w:noProof/>
        </w:rPr>
        <w:drawing>
          <wp:anchor distT="0" distB="0" distL="114300" distR="114300" simplePos="0" relativeHeight="251722752" behindDoc="0" locked="0" layoutInCell="1" allowOverlap="1" wp14:anchorId="6E271FB1" wp14:editId="6DF7ACE1">
            <wp:simplePos x="0" y="0"/>
            <wp:positionH relativeFrom="column">
              <wp:posOffset>-76912</wp:posOffset>
            </wp:positionH>
            <wp:positionV relativeFrom="paragraph">
              <wp:posOffset>247828</wp:posOffset>
            </wp:positionV>
            <wp:extent cx="5943600" cy="4451985"/>
            <wp:effectExtent l="0" t="0" r="0" b="5715"/>
            <wp:wrapTopAndBottom/>
            <wp:docPr id="121" name="Picture 12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art&#10;&#10;Description automatically generated"/>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943600" cy="4451985"/>
                    </a:xfrm>
                    <a:prstGeom prst="rect">
                      <a:avLst/>
                    </a:prstGeom>
                  </pic:spPr>
                </pic:pic>
              </a:graphicData>
            </a:graphic>
            <wp14:sizeRelH relativeFrom="page">
              <wp14:pctWidth>0</wp14:pctWidth>
            </wp14:sizeRelH>
            <wp14:sizeRelV relativeFrom="page">
              <wp14:pctHeight>0</wp14:pctHeight>
            </wp14:sizeRelV>
          </wp:anchor>
        </w:drawing>
      </w:r>
      <w:r w:rsidRPr="00F33FC4">
        <w:rPr>
          <w:rFonts w:eastAsia="MS Mincho"/>
          <w:b/>
          <w:bCs/>
        </w:rPr>
        <w:br w:type="page"/>
      </w:r>
    </w:p>
    <w:p w14:paraId="53895C44" w14:textId="77777777" w:rsidR="004F5CA8" w:rsidRPr="00F33FC4" w:rsidRDefault="004F5CA8" w:rsidP="004F5CA8">
      <w:pPr>
        <w:spacing w:line="360" w:lineRule="auto"/>
        <w:rPr>
          <w:rFonts w:eastAsia="MS Mincho"/>
        </w:rPr>
      </w:pPr>
      <w:r w:rsidRPr="00F33FC4">
        <w:rPr>
          <w:rFonts w:eastAsia="MS Mincho"/>
        </w:rPr>
        <w:lastRenderedPageBreak/>
        <w:t xml:space="preserve">residues (other than D2) have impacts on their ability to inhibit growth after </w:t>
      </w:r>
      <w:proofErr w:type="spellStart"/>
      <w:r w:rsidRPr="00F33FC4">
        <w:rPr>
          <w:rFonts w:eastAsia="MS Mincho"/>
        </w:rPr>
        <w:t>ZorO</w:t>
      </w:r>
      <w:proofErr w:type="spellEnd"/>
      <w:r w:rsidRPr="00F33FC4">
        <w:rPr>
          <w:rFonts w:eastAsia="MS Mincho"/>
        </w:rPr>
        <w:t xml:space="preserve"> overproduction. This confirms that charged residues play a key role in </w:t>
      </w:r>
      <w:proofErr w:type="spellStart"/>
      <w:r w:rsidRPr="00F33FC4">
        <w:rPr>
          <w:rFonts w:eastAsia="MS Mincho"/>
        </w:rPr>
        <w:t>ZorO</w:t>
      </w:r>
      <w:proofErr w:type="spellEnd"/>
      <w:r w:rsidRPr="00F33FC4">
        <w:rPr>
          <w:rFonts w:eastAsia="MS Mincho"/>
        </w:rPr>
        <w:t xml:space="preserve"> toxicity.</w:t>
      </w:r>
    </w:p>
    <w:p w14:paraId="6EF6FBA6" w14:textId="77777777" w:rsidR="00F33FC4" w:rsidRPr="00F33FC4" w:rsidRDefault="00F33FC4" w:rsidP="00F33FC4">
      <w:pPr>
        <w:spacing w:line="360" w:lineRule="auto"/>
        <w:rPr>
          <w:rFonts w:eastAsia="MS Mincho"/>
          <w:b/>
          <w:bCs/>
        </w:rPr>
      </w:pPr>
    </w:p>
    <w:p w14:paraId="1420F49C" w14:textId="77777777" w:rsidR="00F33FC4" w:rsidRPr="00F33FC4" w:rsidRDefault="00F33FC4" w:rsidP="00F33FC4">
      <w:pPr>
        <w:spacing w:line="360" w:lineRule="auto"/>
        <w:rPr>
          <w:rFonts w:eastAsia="MS Mincho"/>
          <w:b/>
          <w:bCs/>
        </w:rPr>
      </w:pPr>
      <w:r w:rsidRPr="00F33FC4">
        <w:rPr>
          <w:rFonts w:eastAsia="MS Mincho"/>
          <w:b/>
          <w:bCs/>
        </w:rPr>
        <w:t xml:space="preserve">Impact of charged residues in </w:t>
      </w:r>
      <w:proofErr w:type="spellStart"/>
      <w:r w:rsidRPr="00F33FC4">
        <w:rPr>
          <w:rFonts w:eastAsia="MS Mincho"/>
          <w:b/>
          <w:bCs/>
        </w:rPr>
        <w:t>ZorO</w:t>
      </w:r>
      <w:proofErr w:type="spellEnd"/>
      <w:r w:rsidRPr="00F33FC4">
        <w:rPr>
          <w:rFonts w:eastAsia="MS Mincho"/>
          <w:b/>
          <w:bCs/>
        </w:rPr>
        <w:t xml:space="preserve"> localization</w:t>
      </w:r>
    </w:p>
    <w:p w14:paraId="4F54CE53" w14:textId="77777777" w:rsidR="00F33FC4" w:rsidRPr="00F33FC4" w:rsidRDefault="00F33FC4" w:rsidP="00F33FC4">
      <w:pPr>
        <w:spacing w:line="360" w:lineRule="auto"/>
        <w:ind w:firstLine="720"/>
        <w:rPr>
          <w:rFonts w:eastAsia="MS Mincho"/>
        </w:rPr>
      </w:pPr>
      <w:r w:rsidRPr="00F33FC4">
        <w:rPr>
          <w:rFonts w:eastAsia="MS Mincho"/>
        </w:rPr>
        <w:t xml:space="preserve">Previous overproduction studies indicated that </w:t>
      </w:r>
      <w:proofErr w:type="spellStart"/>
      <w:r w:rsidRPr="00F33FC4">
        <w:rPr>
          <w:rFonts w:eastAsia="MS Mincho"/>
        </w:rPr>
        <w:t>ZorO</w:t>
      </w:r>
      <w:proofErr w:type="spellEnd"/>
      <w:r w:rsidRPr="00F33FC4">
        <w:rPr>
          <w:rFonts w:eastAsia="MS Mincho"/>
        </w:rPr>
        <w:t xml:space="preserve"> predominantly localizes to the bacterial inner membrane </w:t>
      </w:r>
      <w:r w:rsidRPr="00F33FC4">
        <w:rPr>
          <w:rFonts w:eastAsia="MS Mincho"/>
          <w:noProof/>
        </w:rPr>
        <w:t>(25)</w:t>
      </w:r>
      <w:r w:rsidRPr="00F33FC4">
        <w:rPr>
          <w:rFonts w:eastAsia="MS Mincho"/>
        </w:rPr>
        <w:t xml:space="preserve">, which likely contributes to its effects on membrane polarization and ATP levels. The observed lack of toxicity of these point mutants could be due to inappropriate localization and/or reduced expression and/or stability of the </w:t>
      </w:r>
      <w:proofErr w:type="spellStart"/>
      <w:r w:rsidRPr="00F33FC4">
        <w:rPr>
          <w:rFonts w:eastAsia="MS Mincho"/>
        </w:rPr>
        <w:t>ZorO</w:t>
      </w:r>
      <w:proofErr w:type="spellEnd"/>
      <w:r w:rsidRPr="00F33FC4">
        <w:rPr>
          <w:rFonts w:eastAsia="MS Mincho"/>
        </w:rPr>
        <w:t xml:space="preserve"> variants. We thus examined the levels of the </w:t>
      </w:r>
      <w:proofErr w:type="spellStart"/>
      <w:r w:rsidRPr="00F33FC4">
        <w:rPr>
          <w:rFonts w:eastAsia="MS Mincho"/>
        </w:rPr>
        <w:t>ZorO</w:t>
      </w:r>
      <w:proofErr w:type="spellEnd"/>
      <w:r w:rsidRPr="00F33FC4">
        <w:rPr>
          <w:rFonts w:eastAsia="MS Mincho"/>
        </w:rPr>
        <w:t xml:space="preserve"> variants via western analysis and their localization after induction by 13.3 mM (0.2%) arabinose and separation of the soluble (cytoplasmic) and insoluble (membrane) fractions (Fig. 4.3).</w:t>
      </w:r>
    </w:p>
    <w:p w14:paraId="037C3533" w14:textId="5E37BEA0" w:rsidR="00F33FC4" w:rsidRDefault="00F33FC4" w:rsidP="00F33FC4">
      <w:pPr>
        <w:spacing w:line="360" w:lineRule="auto"/>
        <w:ind w:firstLine="720"/>
        <w:rPr>
          <w:rFonts w:eastAsia="MS Mincho"/>
        </w:rPr>
      </w:pPr>
      <w:r w:rsidRPr="00F33FC4">
        <w:rPr>
          <w:rFonts w:eastAsia="MS Mincho"/>
        </w:rPr>
        <w:t xml:space="preserve">The non-toxic </w:t>
      </w:r>
      <w:proofErr w:type="spellStart"/>
      <w:r w:rsidRPr="00F33FC4">
        <w:rPr>
          <w:rFonts w:eastAsia="MS Mincho"/>
        </w:rPr>
        <w:t>ZorO</w:t>
      </w:r>
      <w:proofErr w:type="spellEnd"/>
      <w:r w:rsidRPr="00F33FC4">
        <w:rPr>
          <w:rFonts w:eastAsia="MS Mincho"/>
        </w:rPr>
        <w:t xml:space="preserve"> mutants were present in large quantities in comparison to wild-type </w:t>
      </w:r>
      <w:proofErr w:type="spellStart"/>
      <w:r w:rsidRPr="00F33FC4">
        <w:rPr>
          <w:rFonts w:eastAsia="MS Mincho"/>
        </w:rPr>
        <w:t>ZorO</w:t>
      </w:r>
      <w:proofErr w:type="spellEnd"/>
      <w:r w:rsidRPr="00F33FC4">
        <w:rPr>
          <w:rFonts w:eastAsia="MS Mincho"/>
        </w:rPr>
        <w:t xml:space="preserve"> and accumulated both in the insoluble and soluble fraction (Fig. 4.3A and B). Despite a large fraction of the </w:t>
      </w:r>
      <w:proofErr w:type="spellStart"/>
      <w:r w:rsidRPr="00F33FC4">
        <w:rPr>
          <w:rFonts w:eastAsia="MS Mincho"/>
        </w:rPr>
        <w:t>ZorO</w:t>
      </w:r>
      <w:proofErr w:type="spellEnd"/>
      <w:r w:rsidRPr="00F33FC4">
        <w:rPr>
          <w:rFonts w:eastAsia="MS Mincho"/>
        </w:rPr>
        <w:t xml:space="preserve"> localizing to the membrane with these mutants, there were no observed effects on growth inhibition (Fig. 4.2). The R23L mutant was of particular interest as a large amount of </w:t>
      </w:r>
      <w:proofErr w:type="spellStart"/>
      <w:r w:rsidRPr="00F33FC4">
        <w:rPr>
          <w:rFonts w:eastAsia="MS Mincho"/>
        </w:rPr>
        <w:t>ZorO</w:t>
      </w:r>
      <w:proofErr w:type="spellEnd"/>
      <w:r w:rsidRPr="00F33FC4">
        <w:rPr>
          <w:rFonts w:eastAsia="MS Mincho"/>
        </w:rPr>
        <w:t xml:space="preserve"> protein in this mutant accumulated in the cytoplasmic fraction (47%) (Fig. 4.3B). Although the remaining 53% of the protein localized in the membrane, the mutant had no impact on cellular growth stasis (Fig. 4.2D). All the toxic mutants of </w:t>
      </w:r>
      <w:proofErr w:type="spellStart"/>
      <w:r w:rsidRPr="00F33FC4">
        <w:rPr>
          <w:rFonts w:eastAsia="MS Mincho"/>
        </w:rPr>
        <w:t>ZorO</w:t>
      </w:r>
      <w:proofErr w:type="spellEnd"/>
      <w:r w:rsidRPr="00F33FC4">
        <w:rPr>
          <w:rFonts w:eastAsia="MS Mincho"/>
        </w:rPr>
        <w:t xml:space="preserve"> (D2N, D2K, K7Q, E16Q, R23E and K29Q) were detected only in the membrane fraction and not in the soluble fraction, which corresponded to similar localization behavior seen in wild type </w:t>
      </w:r>
      <w:proofErr w:type="spellStart"/>
      <w:r w:rsidRPr="00F33FC4">
        <w:rPr>
          <w:rFonts w:eastAsia="MS Mincho"/>
        </w:rPr>
        <w:t>ZorO</w:t>
      </w:r>
      <w:proofErr w:type="spellEnd"/>
      <w:r w:rsidRPr="00F33FC4">
        <w:rPr>
          <w:rFonts w:eastAsia="MS Mincho"/>
        </w:rPr>
        <w:t xml:space="preserve"> (Fig. 4.3C). </w:t>
      </w:r>
    </w:p>
    <w:p w14:paraId="1B98D89E" w14:textId="51BAECBB" w:rsidR="004F5CA8" w:rsidRDefault="004F5CA8" w:rsidP="00F33FC4">
      <w:pPr>
        <w:spacing w:line="360" w:lineRule="auto"/>
        <w:ind w:firstLine="720"/>
        <w:rPr>
          <w:rFonts w:eastAsia="MS Mincho"/>
        </w:rPr>
      </w:pPr>
    </w:p>
    <w:p w14:paraId="49A9D1C6" w14:textId="77777777" w:rsidR="004F5CA8" w:rsidRPr="00F33FC4" w:rsidRDefault="004F5CA8" w:rsidP="004F5CA8">
      <w:pPr>
        <w:spacing w:line="360" w:lineRule="auto"/>
        <w:rPr>
          <w:rFonts w:eastAsia="MS Mincho"/>
          <w:b/>
          <w:bCs/>
        </w:rPr>
      </w:pPr>
      <w:r w:rsidRPr="00F33FC4">
        <w:rPr>
          <w:rFonts w:eastAsia="MS Mincho"/>
          <w:b/>
          <w:bCs/>
        </w:rPr>
        <w:t xml:space="preserve">Impact of charged amino acid residues on </w:t>
      </w:r>
      <w:proofErr w:type="spellStart"/>
      <w:r w:rsidRPr="00F33FC4">
        <w:rPr>
          <w:rFonts w:eastAsia="MS Mincho"/>
          <w:b/>
          <w:bCs/>
        </w:rPr>
        <w:t>ZorO</w:t>
      </w:r>
      <w:proofErr w:type="spellEnd"/>
      <w:r w:rsidRPr="00F33FC4">
        <w:rPr>
          <w:rFonts w:eastAsia="MS Mincho"/>
          <w:b/>
          <w:bCs/>
        </w:rPr>
        <w:t xml:space="preserve"> induced membrane depolarization and ATP depletion</w:t>
      </w:r>
    </w:p>
    <w:p w14:paraId="4F11A058" w14:textId="7C295313" w:rsidR="00F33FC4" w:rsidRPr="00F33FC4" w:rsidRDefault="004F5CA8" w:rsidP="004F5CA8">
      <w:pPr>
        <w:spacing w:line="360" w:lineRule="auto"/>
        <w:rPr>
          <w:rFonts w:eastAsia="MS Mincho"/>
        </w:rPr>
      </w:pPr>
      <w:r w:rsidRPr="00F33FC4">
        <w:rPr>
          <w:rFonts w:eastAsia="MS Mincho"/>
        </w:rPr>
        <w:tab/>
        <w:t xml:space="preserve">Apart from growth inhibition, </w:t>
      </w:r>
      <w:proofErr w:type="spellStart"/>
      <w:r w:rsidRPr="00F33FC4">
        <w:rPr>
          <w:rFonts w:eastAsia="MS Mincho"/>
        </w:rPr>
        <w:t>ZorO</w:t>
      </w:r>
      <w:proofErr w:type="spellEnd"/>
      <w:r w:rsidRPr="00F33FC4">
        <w:rPr>
          <w:rFonts w:eastAsia="MS Mincho"/>
        </w:rPr>
        <w:t xml:space="preserve"> overexpression results in membrane depolarization and ATP depletion. We, therefore, tested these impacts 30 minutes after overexpression of each of the charged residues mutants, regardless of toxicity or not, and compared to that of the wild type </w:t>
      </w:r>
      <w:proofErr w:type="spellStart"/>
      <w:r w:rsidRPr="00F33FC4">
        <w:rPr>
          <w:rFonts w:eastAsia="MS Mincho"/>
        </w:rPr>
        <w:t>ZorO</w:t>
      </w:r>
      <w:proofErr w:type="spellEnd"/>
      <w:r w:rsidRPr="00F33FC4">
        <w:rPr>
          <w:rFonts w:eastAsia="MS Mincho"/>
        </w:rPr>
        <w:t>.</w:t>
      </w:r>
      <w:r w:rsidRPr="004F5CA8">
        <w:rPr>
          <w:rFonts w:eastAsia="MS Mincho"/>
        </w:rPr>
        <w:t xml:space="preserve"> </w:t>
      </w:r>
      <w:r w:rsidRPr="00F33FC4">
        <w:rPr>
          <w:rFonts w:eastAsia="MS Mincho"/>
        </w:rPr>
        <w:t xml:space="preserve">Consistent with the results observed for the growth patterns, we found that the non-toxic </w:t>
      </w:r>
      <w:proofErr w:type="spellStart"/>
      <w:r w:rsidRPr="00F33FC4">
        <w:rPr>
          <w:rFonts w:eastAsia="MS Mincho"/>
        </w:rPr>
        <w:t>ZorO</w:t>
      </w:r>
      <w:proofErr w:type="spellEnd"/>
      <w:r w:rsidRPr="00F33FC4">
        <w:rPr>
          <w:rFonts w:eastAsia="MS Mincho"/>
        </w:rPr>
        <w:t xml:space="preserve"> mutants (K7E, R23L, D26K and K29E) had either eliminated, or significantly reduced membrane depolarization in </w:t>
      </w:r>
      <w:r w:rsidR="00F33FC4" w:rsidRPr="00F33FC4">
        <w:rPr>
          <w:rFonts w:eastAsia="MS Mincho"/>
        </w:rPr>
        <w:br w:type="page"/>
      </w:r>
    </w:p>
    <w:p w14:paraId="7241405C" w14:textId="77777777" w:rsidR="00F33FC4" w:rsidRPr="00F33FC4" w:rsidRDefault="00F33FC4" w:rsidP="00F33FC4">
      <w:pPr>
        <w:rPr>
          <w:rFonts w:eastAsia="MS Mincho"/>
          <w:b/>
          <w:bCs/>
        </w:rPr>
      </w:pPr>
      <w:r w:rsidRPr="00F33FC4">
        <w:rPr>
          <w:rFonts w:ascii="Calibri" w:eastAsia="MS Mincho" w:hAnsi="Calibri" w:cs="Mangal"/>
          <w:noProof/>
        </w:rPr>
        <w:lastRenderedPageBreak/>
        <mc:AlternateContent>
          <mc:Choice Requires="wps">
            <w:drawing>
              <wp:anchor distT="0" distB="0" distL="114300" distR="114300" simplePos="0" relativeHeight="251737088" behindDoc="0" locked="0" layoutInCell="1" allowOverlap="1" wp14:anchorId="51B01D03" wp14:editId="6C55DDDE">
                <wp:simplePos x="0" y="0"/>
                <wp:positionH relativeFrom="column">
                  <wp:posOffset>372110</wp:posOffset>
                </wp:positionH>
                <wp:positionV relativeFrom="paragraph">
                  <wp:posOffset>6297738</wp:posOffset>
                </wp:positionV>
                <wp:extent cx="5476875" cy="635"/>
                <wp:effectExtent l="0" t="0" r="0" b="1270"/>
                <wp:wrapTopAndBottom/>
                <wp:docPr id="112" name="Text Box 112"/>
                <wp:cNvGraphicFramePr/>
                <a:graphic xmlns:a="http://schemas.openxmlformats.org/drawingml/2006/main">
                  <a:graphicData uri="http://schemas.microsoft.com/office/word/2010/wordprocessingShape">
                    <wps:wsp>
                      <wps:cNvSpPr txBox="1"/>
                      <wps:spPr>
                        <a:xfrm>
                          <a:off x="0" y="0"/>
                          <a:ext cx="5476875" cy="635"/>
                        </a:xfrm>
                        <a:prstGeom prst="rect">
                          <a:avLst/>
                        </a:prstGeom>
                        <a:solidFill>
                          <a:prstClr val="white"/>
                        </a:solidFill>
                        <a:ln>
                          <a:noFill/>
                        </a:ln>
                      </wps:spPr>
                      <wps:txbx>
                        <w:txbxContent>
                          <w:p w14:paraId="5761C8CC" w14:textId="77777777" w:rsidR="00F33FC4" w:rsidRPr="00CF23F0" w:rsidRDefault="00F33FC4" w:rsidP="00F33FC4">
                            <w:pPr>
                              <w:pStyle w:val="Caption"/>
                              <w:rPr>
                                <w:b/>
                                <w:bCs/>
                                <w:i/>
                                <w:iCs w:val="0"/>
                                <w:noProof/>
                                <w:sz w:val="22"/>
                                <w:szCs w:val="22"/>
                              </w:rPr>
                            </w:pPr>
                            <w:r w:rsidRPr="00CF23F0">
                              <w:rPr>
                                <w:iCs w:val="0"/>
                                <w:sz w:val="22"/>
                                <w:szCs w:val="22"/>
                              </w:rPr>
                              <w:t xml:space="preserve">Figure </w:t>
                            </w:r>
                            <w:r>
                              <w:rPr>
                                <w:iCs w:val="0"/>
                                <w:sz w:val="22"/>
                                <w:szCs w:val="22"/>
                              </w:rPr>
                              <w:t xml:space="preserve">4.3. Western blot analysis of </w:t>
                            </w:r>
                            <w:proofErr w:type="spellStart"/>
                            <w:r>
                              <w:rPr>
                                <w:iCs w:val="0"/>
                                <w:sz w:val="22"/>
                                <w:szCs w:val="22"/>
                              </w:rPr>
                              <w:t>ZorO</w:t>
                            </w:r>
                            <w:proofErr w:type="spellEnd"/>
                            <w:r>
                              <w:rPr>
                                <w:iCs w:val="0"/>
                                <w:sz w:val="22"/>
                                <w:szCs w:val="22"/>
                              </w:rPr>
                              <w:t xml:space="preserve"> mutants. The non-toxic mutants of </w:t>
                            </w:r>
                            <w:proofErr w:type="spellStart"/>
                            <w:r>
                              <w:rPr>
                                <w:iCs w:val="0"/>
                                <w:sz w:val="22"/>
                                <w:szCs w:val="22"/>
                              </w:rPr>
                              <w:t>ZorO</w:t>
                            </w:r>
                            <w:proofErr w:type="spellEnd"/>
                            <w:r>
                              <w:rPr>
                                <w:iCs w:val="0"/>
                                <w:sz w:val="22"/>
                                <w:szCs w:val="22"/>
                              </w:rPr>
                              <w:t xml:space="preserve"> (A). Quantification of the non-toxic mutants in the cytoplasm and the membrane fraction (B). Localization of </w:t>
                            </w:r>
                            <w:proofErr w:type="spellStart"/>
                            <w:r>
                              <w:rPr>
                                <w:iCs w:val="0"/>
                                <w:sz w:val="22"/>
                                <w:szCs w:val="22"/>
                              </w:rPr>
                              <w:t>ZorO</w:t>
                            </w:r>
                            <w:proofErr w:type="spellEnd"/>
                            <w:r>
                              <w:rPr>
                                <w:iCs w:val="0"/>
                                <w:sz w:val="22"/>
                                <w:szCs w:val="22"/>
                              </w:rPr>
                              <w:t xml:space="preserve"> mutants that are toxic (C). The lane at ~38kD standard denotes to the </w:t>
                            </w:r>
                            <w:proofErr w:type="spellStart"/>
                            <w:r>
                              <w:rPr>
                                <w:iCs w:val="0"/>
                                <w:sz w:val="22"/>
                                <w:szCs w:val="22"/>
                              </w:rPr>
                              <w:t>LepB</w:t>
                            </w:r>
                            <w:proofErr w:type="spellEnd"/>
                            <w:r>
                              <w:rPr>
                                <w:iCs w:val="0"/>
                                <w:sz w:val="22"/>
                                <w:szCs w:val="22"/>
                              </w:rPr>
                              <w:t xml:space="preserve"> (membrane protein) that serves as control for separation of the soluble and insoluble protein and loading control.</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51B01D03" id="Text Box 112" o:spid="_x0000_s1052" type="#_x0000_t202" style="position:absolute;margin-left:29.3pt;margin-top:495.9pt;width:431.25pt;height:.05pt;z-index:2517370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" stroked="f">
                <v:textbox style="mso-fit-shape-to-text:t" inset="0,0,0,0">
                  <w:txbxContent>
                    <w:p w14:paraId="5761C8CC" w14:textId="77777777" w:rsidR="00F33FC4" w:rsidRPr="00CF23F0" w:rsidRDefault="00F33FC4" w:rsidP="00F33FC4">
                      <w:pPr>
                        <w:pStyle w:val="Caption"/>
                        <w:rPr>
                          <w:b/>
                          <w:bCs/>
                          <w:i/>
                          <w:iCs w:val="0"/>
                          <w:noProof/>
                          <w:sz w:val="22"/>
                          <w:szCs w:val="22"/>
                        </w:rPr>
                      </w:pPr>
                      <w:r w:rsidRPr="00CF23F0">
                        <w:rPr>
                          <w:iCs w:val="0"/>
                          <w:sz w:val="22"/>
                          <w:szCs w:val="22"/>
                        </w:rPr>
                        <w:t xml:space="preserve">Figure </w:t>
                      </w:r>
                      <w:r>
                        <w:rPr>
                          <w:iCs w:val="0"/>
                          <w:sz w:val="22"/>
                          <w:szCs w:val="22"/>
                        </w:rPr>
                        <w:t xml:space="preserve">4.3. Western blot analysis of </w:t>
                      </w:r>
                      <w:proofErr w:type="spellStart"/>
                      <w:r>
                        <w:rPr>
                          <w:iCs w:val="0"/>
                          <w:sz w:val="22"/>
                          <w:szCs w:val="22"/>
                        </w:rPr>
                        <w:t>ZorO</w:t>
                      </w:r>
                      <w:proofErr w:type="spellEnd"/>
                      <w:r>
                        <w:rPr>
                          <w:iCs w:val="0"/>
                          <w:sz w:val="22"/>
                          <w:szCs w:val="22"/>
                        </w:rPr>
                        <w:t xml:space="preserve"> mutants. The non-toxic mutants of </w:t>
                      </w:r>
                      <w:proofErr w:type="spellStart"/>
                      <w:r>
                        <w:rPr>
                          <w:iCs w:val="0"/>
                          <w:sz w:val="22"/>
                          <w:szCs w:val="22"/>
                        </w:rPr>
                        <w:t>ZorO</w:t>
                      </w:r>
                      <w:proofErr w:type="spellEnd"/>
                      <w:r>
                        <w:rPr>
                          <w:iCs w:val="0"/>
                          <w:sz w:val="22"/>
                          <w:szCs w:val="22"/>
                        </w:rPr>
                        <w:t xml:space="preserve"> (A). Quantification of the non-toxic mutants in the cytoplasm and the membrane fraction (B). Localization of </w:t>
                      </w:r>
                      <w:proofErr w:type="spellStart"/>
                      <w:r>
                        <w:rPr>
                          <w:iCs w:val="0"/>
                          <w:sz w:val="22"/>
                          <w:szCs w:val="22"/>
                        </w:rPr>
                        <w:t>ZorO</w:t>
                      </w:r>
                      <w:proofErr w:type="spellEnd"/>
                      <w:r>
                        <w:rPr>
                          <w:iCs w:val="0"/>
                          <w:sz w:val="22"/>
                          <w:szCs w:val="22"/>
                        </w:rPr>
                        <w:t xml:space="preserve"> mutants that are toxic (C). The lane at ~38kD standard denotes to the </w:t>
                      </w:r>
                      <w:proofErr w:type="spellStart"/>
                      <w:r>
                        <w:rPr>
                          <w:iCs w:val="0"/>
                          <w:sz w:val="22"/>
                          <w:szCs w:val="22"/>
                        </w:rPr>
                        <w:t>LepB</w:t>
                      </w:r>
                      <w:proofErr w:type="spellEnd"/>
                      <w:r>
                        <w:rPr>
                          <w:iCs w:val="0"/>
                          <w:sz w:val="22"/>
                          <w:szCs w:val="22"/>
                        </w:rPr>
                        <w:t xml:space="preserve"> (membrane protein) that serves as control for separation of the soluble and insoluble protein and loading control.</w:t>
                      </w:r>
                    </w:p>
                  </w:txbxContent>
                </v:textbox>
                <w10:wrap type="topAndBottom"/>
              </v:shape>
            </w:pict>
          </mc:Fallback>
        </mc:AlternateContent>
      </w:r>
      <w:r w:rsidRPr="00F33FC4">
        <w:rPr>
          <w:rFonts w:eastAsia="MS Mincho"/>
          <w:noProof/>
        </w:rPr>
        <w:drawing>
          <wp:anchor distT="0" distB="0" distL="114300" distR="114300" simplePos="0" relativeHeight="251736064" behindDoc="0" locked="0" layoutInCell="1" allowOverlap="1" wp14:anchorId="352D8F6D" wp14:editId="2FE41327">
            <wp:simplePos x="0" y="0"/>
            <wp:positionH relativeFrom="column">
              <wp:posOffset>371726</wp:posOffset>
            </wp:positionH>
            <wp:positionV relativeFrom="paragraph">
              <wp:posOffset>384</wp:posOffset>
            </wp:positionV>
            <wp:extent cx="5252085" cy="6021070"/>
            <wp:effectExtent l="0" t="0" r="5715" b="0"/>
            <wp:wrapTopAndBottom/>
            <wp:docPr id="122" name="Picture 122"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screenshot of a computer&#10;&#10;Description automatically generated with low confidence"/>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252085" cy="6021070"/>
                    </a:xfrm>
                    <a:prstGeom prst="rect">
                      <a:avLst/>
                    </a:prstGeom>
                  </pic:spPr>
                </pic:pic>
              </a:graphicData>
            </a:graphic>
            <wp14:sizeRelH relativeFrom="page">
              <wp14:pctWidth>0</wp14:pctWidth>
            </wp14:sizeRelH>
            <wp14:sizeRelV relativeFrom="page">
              <wp14:pctHeight>0</wp14:pctHeight>
            </wp14:sizeRelV>
          </wp:anchor>
        </w:drawing>
      </w:r>
      <w:r w:rsidRPr="00F33FC4">
        <w:rPr>
          <w:rFonts w:eastAsia="MS Mincho"/>
          <w:b/>
          <w:bCs/>
        </w:rPr>
        <w:br w:type="page"/>
      </w:r>
    </w:p>
    <w:p w14:paraId="34718CC3" w14:textId="2D288030" w:rsidR="004F5CA8" w:rsidRDefault="004F5CA8" w:rsidP="004F5CA8">
      <w:pPr>
        <w:spacing w:line="360" w:lineRule="auto"/>
        <w:rPr>
          <w:rFonts w:eastAsia="MS Mincho"/>
        </w:rPr>
      </w:pPr>
      <w:r w:rsidRPr="00F33FC4">
        <w:rPr>
          <w:rFonts w:eastAsia="MS Mincho"/>
        </w:rPr>
        <w:lastRenderedPageBreak/>
        <w:t xml:space="preserve">comparison to wild type </w:t>
      </w:r>
      <w:proofErr w:type="spellStart"/>
      <w:r w:rsidRPr="00F33FC4">
        <w:rPr>
          <w:rFonts w:eastAsia="MS Mincho"/>
        </w:rPr>
        <w:t>ZorO</w:t>
      </w:r>
      <w:proofErr w:type="spellEnd"/>
      <w:r w:rsidRPr="00F33FC4">
        <w:rPr>
          <w:rFonts w:eastAsia="MS Mincho"/>
        </w:rPr>
        <w:t xml:space="preserve"> (Fig. 4.4A). The toxic mutants were still able to depolarize the membrane as examined by DiBAC4(3) staining followed by flow cytometry analysis (Fig 4.4A). </w:t>
      </w:r>
    </w:p>
    <w:p w14:paraId="0476F18D" w14:textId="5864F756" w:rsidR="00F33FC4" w:rsidRPr="00F33FC4" w:rsidRDefault="00F33FC4" w:rsidP="00F33FC4">
      <w:pPr>
        <w:spacing w:line="360" w:lineRule="auto"/>
        <w:ind w:firstLine="720"/>
        <w:rPr>
          <w:rFonts w:eastAsia="MS Mincho"/>
        </w:rPr>
      </w:pPr>
      <w:r w:rsidRPr="00F33FC4">
        <w:rPr>
          <w:rFonts w:eastAsia="MS Mincho"/>
        </w:rPr>
        <w:t xml:space="preserve">We analyzed the ratio of relative ATP level of cells overexpressing </w:t>
      </w:r>
      <w:proofErr w:type="spellStart"/>
      <w:r w:rsidRPr="00F33FC4">
        <w:rPr>
          <w:rFonts w:eastAsia="MS Mincho"/>
        </w:rPr>
        <w:t>ZorO</w:t>
      </w:r>
      <w:proofErr w:type="spellEnd"/>
      <w:r w:rsidRPr="00F33FC4">
        <w:rPr>
          <w:rFonts w:eastAsia="MS Mincho"/>
        </w:rPr>
        <w:t xml:space="preserve"> mutants for 30 minutes (T30) after 3.33 </w:t>
      </w:r>
      <w:r w:rsidRPr="00F33FC4">
        <w:rPr>
          <w:rFonts w:eastAsia="MS Mincho"/>
          <w:color w:val="000000"/>
        </w:rPr>
        <w:t>µM</w:t>
      </w:r>
      <w:r w:rsidRPr="00F33FC4">
        <w:rPr>
          <w:rFonts w:eastAsia="MS Mincho"/>
        </w:rPr>
        <w:t xml:space="preserve"> arabinose induction to that before induction (T0). There was no ATP depletion observed with </w:t>
      </w:r>
      <w:proofErr w:type="spellStart"/>
      <w:r w:rsidRPr="00F33FC4">
        <w:rPr>
          <w:rFonts w:eastAsia="MS Mincho"/>
        </w:rPr>
        <w:t>ZorO</w:t>
      </w:r>
      <w:proofErr w:type="spellEnd"/>
      <w:r w:rsidRPr="00F33FC4">
        <w:rPr>
          <w:rFonts w:eastAsia="MS Mincho"/>
        </w:rPr>
        <w:t xml:space="preserve"> non-toxic mutants while the toxic variants did result in ATP loss upon their production (Fig. 4.4B). These data indicates that the specific charged residues are essential for the </w:t>
      </w:r>
      <w:proofErr w:type="spellStart"/>
      <w:r w:rsidRPr="00F33FC4">
        <w:rPr>
          <w:rFonts w:eastAsia="MS Mincho"/>
        </w:rPr>
        <w:t>ZorO</w:t>
      </w:r>
      <w:proofErr w:type="spellEnd"/>
      <w:r w:rsidRPr="00F33FC4">
        <w:rPr>
          <w:rFonts w:eastAsia="MS Mincho"/>
        </w:rPr>
        <w:t xml:space="preserve"> mediated effects on membrane depolarization and ATP depletion. </w:t>
      </w:r>
    </w:p>
    <w:p w14:paraId="621D5DA7" w14:textId="77777777" w:rsidR="00F33FC4" w:rsidRPr="00F33FC4" w:rsidRDefault="00F33FC4" w:rsidP="00F33FC4">
      <w:pPr>
        <w:spacing w:line="360" w:lineRule="auto"/>
        <w:rPr>
          <w:rFonts w:eastAsia="MS Mincho"/>
        </w:rPr>
      </w:pPr>
    </w:p>
    <w:p w14:paraId="1B9EA8AF" w14:textId="77777777" w:rsidR="00F33FC4" w:rsidRPr="00F33FC4" w:rsidRDefault="00F33FC4" w:rsidP="00F33FC4">
      <w:pPr>
        <w:spacing w:line="360" w:lineRule="auto"/>
        <w:rPr>
          <w:rFonts w:eastAsia="MS Mincho"/>
          <w:b/>
          <w:bCs/>
        </w:rPr>
      </w:pPr>
      <w:r w:rsidRPr="00F33FC4">
        <w:rPr>
          <w:rFonts w:eastAsia="MS Mincho"/>
          <w:b/>
          <w:bCs/>
        </w:rPr>
        <w:t xml:space="preserve">Role of </w:t>
      </w:r>
      <w:proofErr w:type="spellStart"/>
      <w:r w:rsidRPr="00F33FC4">
        <w:rPr>
          <w:rFonts w:eastAsia="MS Mincho"/>
          <w:b/>
          <w:bCs/>
          <w:i/>
          <w:iCs/>
        </w:rPr>
        <w:t>zorO-orzO</w:t>
      </w:r>
      <w:proofErr w:type="spellEnd"/>
      <w:r w:rsidRPr="00F33FC4">
        <w:rPr>
          <w:rFonts w:eastAsia="MS Mincho"/>
          <w:b/>
          <w:bCs/>
        </w:rPr>
        <w:t xml:space="preserve"> gene pair in bacterial growth in presence of aminoglycosides</w:t>
      </w:r>
    </w:p>
    <w:p w14:paraId="30BA1352" w14:textId="31E56A65" w:rsidR="00F33FC4" w:rsidRDefault="00F33FC4" w:rsidP="00F33FC4">
      <w:pPr>
        <w:spacing w:line="360" w:lineRule="auto"/>
        <w:ind w:firstLine="720"/>
        <w:rPr>
          <w:rFonts w:eastAsia="MS Mincho"/>
          <w:color w:val="000000"/>
          <w:spacing w:val="-4"/>
          <w:kern w:val="1"/>
          <w:lang w:bidi="ne-NP"/>
        </w:rPr>
      </w:pPr>
      <w:r w:rsidRPr="00F33FC4">
        <w:rPr>
          <w:rFonts w:eastAsia="MS Mincho"/>
        </w:rPr>
        <w:t xml:space="preserve">We previously observed that </w:t>
      </w:r>
      <w:proofErr w:type="spellStart"/>
      <w:r w:rsidRPr="00F33FC4">
        <w:rPr>
          <w:rFonts w:eastAsia="MS Mincho"/>
        </w:rPr>
        <w:t>ampilying</w:t>
      </w:r>
      <w:proofErr w:type="spellEnd"/>
      <w:r w:rsidRPr="00F33FC4">
        <w:rPr>
          <w:rFonts w:eastAsia="MS Mincho"/>
        </w:rPr>
        <w:t xml:space="preserve"> the</w:t>
      </w:r>
      <w:r w:rsidR="000725B7">
        <w:rPr>
          <w:rFonts w:eastAsia="MS Mincho"/>
        </w:rPr>
        <w:t xml:space="preserve"> </w:t>
      </w:r>
      <w:proofErr w:type="spellStart"/>
      <w:r w:rsidRPr="00F33FC4">
        <w:rPr>
          <w:rFonts w:eastAsia="MS Mincho"/>
          <w:i/>
          <w:iCs/>
        </w:rPr>
        <w:t>zor-orz</w:t>
      </w:r>
      <w:proofErr w:type="spellEnd"/>
      <w:r w:rsidRPr="00F33FC4">
        <w:rPr>
          <w:rFonts w:eastAsia="MS Mincho"/>
        </w:rPr>
        <w:t xml:space="preserve"> locus by cloning it onto a medium-copy plasmid (pBR322; referred to as </w:t>
      </w:r>
      <w:proofErr w:type="spellStart"/>
      <w:r w:rsidRPr="00F33FC4">
        <w:rPr>
          <w:rFonts w:eastAsia="MS Mincho"/>
        </w:rPr>
        <w:t>pBR-</w:t>
      </w:r>
      <w:r w:rsidRPr="00F33FC4">
        <w:rPr>
          <w:rFonts w:eastAsia="MS Mincho"/>
          <w:i/>
          <w:iCs/>
        </w:rPr>
        <w:t>zor-orz</w:t>
      </w:r>
      <w:proofErr w:type="spellEnd"/>
      <w:r w:rsidRPr="00F33FC4">
        <w:rPr>
          <w:rFonts w:eastAsia="MS Mincho"/>
        </w:rPr>
        <w:t xml:space="preserve">) with its native regulatory elements improves the growth of </w:t>
      </w:r>
      <w:r w:rsidRPr="00F33FC4">
        <w:rPr>
          <w:rFonts w:eastAsia="MS Mincho"/>
          <w:i/>
          <w:iCs/>
        </w:rPr>
        <w:t>E. coli</w:t>
      </w:r>
      <w:r w:rsidRPr="00F33FC4">
        <w:rPr>
          <w:rFonts w:eastAsia="MS Mincho"/>
        </w:rPr>
        <w:t xml:space="preserve"> in the presence of kanamycin and gentamycin </w:t>
      </w:r>
      <w:r w:rsidRPr="00F33FC4">
        <w:rPr>
          <w:rFonts w:eastAsia="MS Mincho"/>
          <w:noProof/>
          <w:sz w:val="22"/>
          <w:szCs w:val="22"/>
        </w:rPr>
        <w:t>(19)</w:t>
      </w:r>
      <w:r w:rsidRPr="00F33FC4">
        <w:rPr>
          <w:rFonts w:eastAsia="MS Mincho"/>
        </w:rPr>
        <w:t xml:space="preserve">. To test if the </w:t>
      </w:r>
      <w:proofErr w:type="spellStart"/>
      <w:r w:rsidRPr="00F33FC4">
        <w:rPr>
          <w:rFonts w:eastAsia="MS Mincho"/>
          <w:i/>
          <w:iCs/>
        </w:rPr>
        <w:t>zorO-orzO</w:t>
      </w:r>
      <w:proofErr w:type="spellEnd"/>
      <w:r w:rsidRPr="00F33FC4">
        <w:rPr>
          <w:rFonts w:eastAsia="MS Mincho"/>
        </w:rPr>
        <w:t xml:space="preserve"> gene pair is sufficient to improve bacterial growth we cloned the </w:t>
      </w:r>
      <w:proofErr w:type="spellStart"/>
      <w:r w:rsidRPr="00F33FC4">
        <w:rPr>
          <w:rFonts w:eastAsia="MS Mincho"/>
          <w:i/>
          <w:iCs/>
        </w:rPr>
        <w:t>zorO-orzO</w:t>
      </w:r>
      <w:proofErr w:type="spellEnd"/>
      <w:r w:rsidRPr="00F33FC4">
        <w:rPr>
          <w:rFonts w:eastAsia="MS Mincho"/>
        </w:rPr>
        <w:t xml:space="preserve"> gene pair onto pBR322 (</w:t>
      </w:r>
      <w:proofErr w:type="spellStart"/>
      <w:r w:rsidRPr="00F33FC4">
        <w:rPr>
          <w:rFonts w:eastAsia="MS Mincho"/>
        </w:rPr>
        <w:t>pBR-</w:t>
      </w:r>
      <w:r w:rsidRPr="00F33FC4">
        <w:rPr>
          <w:rFonts w:eastAsia="MS Mincho"/>
          <w:i/>
          <w:iCs/>
        </w:rPr>
        <w:t>zorO-orzO</w:t>
      </w:r>
      <w:proofErr w:type="spellEnd"/>
      <w:r w:rsidRPr="00F33FC4">
        <w:rPr>
          <w:rFonts w:eastAsia="MS Mincho"/>
        </w:rPr>
        <w:t xml:space="preserve">). Cells harboring </w:t>
      </w:r>
      <w:proofErr w:type="spellStart"/>
      <w:r w:rsidRPr="00F33FC4">
        <w:rPr>
          <w:rFonts w:eastAsia="MS Mincho"/>
        </w:rPr>
        <w:t>pBR-</w:t>
      </w:r>
      <w:r w:rsidRPr="00F33FC4">
        <w:rPr>
          <w:rFonts w:eastAsia="MS Mincho"/>
          <w:i/>
          <w:iCs/>
        </w:rPr>
        <w:t>zorO-orzO</w:t>
      </w:r>
      <w:proofErr w:type="spellEnd"/>
      <w:r w:rsidRPr="00F33FC4">
        <w:rPr>
          <w:rFonts w:eastAsia="MS Mincho"/>
        </w:rPr>
        <w:t xml:space="preserve"> were able to grow in a similar pattern compared to cells with </w:t>
      </w:r>
      <w:proofErr w:type="spellStart"/>
      <w:r w:rsidRPr="00F33FC4">
        <w:rPr>
          <w:rFonts w:eastAsia="MS Mincho"/>
        </w:rPr>
        <w:t>pBR-</w:t>
      </w:r>
      <w:r w:rsidRPr="00F33FC4">
        <w:rPr>
          <w:rFonts w:eastAsia="MS Mincho"/>
          <w:i/>
          <w:iCs/>
        </w:rPr>
        <w:t>zor-orz</w:t>
      </w:r>
      <w:proofErr w:type="spellEnd"/>
      <w:r w:rsidRPr="00F33FC4">
        <w:rPr>
          <w:rFonts w:eastAsia="MS Mincho"/>
        </w:rPr>
        <w:t xml:space="preserve">, and significantly better in compared to the empty vector in the presence, of kanamycin, gentamycin, streptomycin, and neomycin (Fig. 4.5). No difference in growth was observed for erythromycin (50 </w:t>
      </w:r>
      <w:r w:rsidRPr="00F33FC4">
        <w:rPr>
          <w:rFonts w:eastAsia="MS Mincho"/>
          <w:color w:val="000000"/>
          <w:spacing w:val="-4"/>
          <w:kern w:val="1"/>
          <w:lang w:val="el-GR" w:bidi="ne-NP"/>
        </w:rPr>
        <w:t>μ</w:t>
      </w:r>
      <w:r w:rsidRPr="00F33FC4">
        <w:rPr>
          <w:rFonts w:eastAsia="MS Mincho"/>
          <w:color w:val="000000"/>
          <w:spacing w:val="-4"/>
          <w:kern w:val="1"/>
          <w:lang w:bidi="ne-NP"/>
        </w:rPr>
        <w:t xml:space="preserve">g/ml). These results demonstrate that the </w:t>
      </w:r>
      <w:proofErr w:type="spellStart"/>
      <w:r w:rsidRPr="00F33FC4">
        <w:rPr>
          <w:rFonts w:eastAsia="MS Mincho"/>
          <w:i/>
          <w:iCs/>
          <w:color w:val="000000"/>
          <w:spacing w:val="-4"/>
          <w:kern w:val="1"/>
          <w:lang w:bidi="ne-NP"/>
        </w:rPr>
        <w:t>zor-orz</w:t>
      </w:r>
      <w:proofErr w:type="spellEnd"/>
      <w:r w:rsidRPr="00F33FC4">
        <w:rPr>
          <w:rFonts w:eastAsia="MS Mincho"/>
          <w:color w:val="000000"/>
          <w:spacing w:val="-4"/>
          <w:kern w:val="1"/>
          <w:lang w:bidi="ne-NP"/>
        </w:rPr>
        <w:t xml:space="preserve"> locus improves bacterial growth in the presence of several aminoglycosides and that the </w:t>
      </w:r>
      <w:proofErr w:type="spellStart"/>
      <w:r w:rsidRPr="00F33FC4">
        <w:rPr>
          <w:rFonts w:eastAsia="MS Mincho"/>
          <w:i/>
          <w:iCs/>
          <w:color w:val="000000"/>
          <w:spacing w:val="-4"/>
          <w:kern w:val="1"/>
          <w:lang w:bidi="ne-NP"/>
        </w:rPr>
        <w:t>zorO-orzO</w:t>
      </w:r>
      <w:proofErr w:type="spellEnd"/>
      <w:r w:rsidRPr="00F33FC4">
        <w:rPr>
          <w:rFonts w:eastAsia="MS Mincho"/>
          <w:i/>
          <w:iCs/>
          <w:color w:val="000000"/>
          <w:spacing w:val="-4"/>
          <w:kern w:val="1"/>
          <w:lang w:bidi="ne-NP"/>
        </w:rPr>
        <w:t xml:space="preserve"> </w:t>
      </w:r>
      <w:r w:rsidRPr="00F33FC4">
        <w:rPr>
          <w:rFonts w:eastAsia="MS Mincho"/>
          <w:color w:val="000000"/>
          <w:spacing w:val="-4"/>
          <w:kern w:val="1"/>
          <w:lang w:bidi="ne-NP"/>
        </w:rPr>
        <w:t>pair alone is sufficient to achieve this function.</w:t>
      </w:r>
    </w:p>
    <w:p w14:paraId="2C3ABEBF" w14:textId="23508BEC" w:rsidR="004F5CA8" w:rsidRPr="00F33FC4" w:rsidRDefault="004F5CA8" w:rsidP="00F33FC4">
      <w:pPr>
        <w:spacing w:line="360" w:lineRule="auto"/>
        <w:ind w:firstLine="720"/>
        <w:rPr>
          <w:rFonts w:eastAsia="MS Mincho"/>
          <w:color w:val="000000"/>
          <w:spacing w:val="-4"/>
          <w:kern w:val="1"/>
          <w:lang w:bidi="ne-NP"/>
        </w:rPr>
      </w:pPr>
      <w:r w:rsidRPr="00F33FC4">
        <w:rPr>
          <w:rFonts w:eastAsia="MS Mincho"/>
          <w:color w:val="000000"/>
          <w:spacing w:val="-4"/>
          <w:kern w:val="1"/>
          <w:lang w:bidi="ne-NP"/>
        </w:rPr>
        <w:t xml:space="preserve">Several type I toxins have been linked to persistence, a mechanism by which a subpopulation of cells can survive lethal dose of antibiotics, mainly by cell growth arrest and making the antibiotic target unavailable. In case of the </w:t>
      </w:r>
      <w:proofErr w:type="spellStart"/>
      <w:r w:rsidRPr="00F33FC4">
        <w:rPr>
          <w:rFonts w:eastAsia="MS Mincho"/>
          <w:i/>
          <w:iCs/>
          <w:color w:val="000000"/>
          <w:spacing w:val="-4"/>
          <w:kern w:val="1"/>
          <w:lang w:bidi="ne-NP"/>
        </w:rPr>
        <w:t>zor-orz</w:t>
      </w:r>
      <w:proofErr w:type="spellEnd"/>
      <w:r w:rsidRPr="00F33FC4">
        <w:rPr>
          <w:rFonts w:eastAsia="MS Mincho"/>
          <w:color w:val="000000"/>
          <w:spacing w:val="-4"/>
          <w:kern w:val="1"/>
          <w:lang w:bidi="ne-NP"/>
        </w:rPr>
        <w:t xml:space="preserve"> locus we observed resistance against aminoglycoside antibiotics (with an increase in MIC) rather than persistence </w:t>
      </w:r>
      <w:r w:rsidRPr="00F33FC4">
        <w:rPr>
          <w:rFonts w:eastAsia="MS Mincho"/>
          <w:noProof/>
          <w:color w:val="000000"/>
          <w:spacing w:val="-4"/>
          <w:kern w:val="1"/>
          <w:lang w:bidi="ne-NP"/>
        </w:rPr>
        <w:t>(19)</w:t>
      </w:r>
      <w:r w:rsidRPr="00F33FC4">
        <w:rPr>
          <w:rFonts w:eastAsia="MS Mincho"/>
          <w:color w:val="000000"/>
          <w:spacing w:val="-4"/>
          <w:kern w:val="1"/>
          <w:lang w:bidi="ne-NP"/>
        </w:rPr>
        <w:t xml:space="preserve">. We were curious how the non-toxic mutant </w:t>
      </w:r>
      <w:proofErr w:type="spellStart"/>
      <w:r w:rsidRPr="00F33FC4">
        <w:rPr>
          <w:rFonts w:eastAsia="MS Mincho"/>
          <w:color w:val="000000"/>
          <w:spacing w:val="-4"/>
          <w:kern w:val="1"/>
          <w:lang w:bidi="ne-NP"/>
        </w:rPr>
        <w:t>ZorO</w:t>
      </w:r>
      <w:proofErr w:type="spellEnd"/>
      <w:r w:rsidRPr="00F33FC4">
        <w:rPr>
          <w:rFonts w:eastAsia="MS Mincho"/>
          <w:color w:val="000000"/>
          <w:spacing w:val="-4"/>
          <w:kern w:val="1"/>
          <w:lang w:bidi="ne-NP"/>
        </w:rPr>
        <w:t xml:space="preserve"> R23L impacted growth in kanamycin to conclude if the beneficial effect of </w:t>
      </w:r>
      <w:proofErr w:type="spellStart"/>
      <w:r w:rsidRPr="00F33FC4">
        <w:rPr>
          <w:rFonts w:eastAsia="MS Mincho"/>
          <w:i/>
          <w:iCs/>
          <w:color w:val="000000"/>
          <w:spacing w:val="-4"/>
          <w:kern w:val="1"/>
          <w:lang w:bidi="ne-NP"/>
        </w:rPr>
        <w:t>zorO</w:t>
      </w:r>
      <w:proofErr w:type="spellEnd"/>
      <w:r w:rsidRPr="00F33FC4">
        <w:rPr>
          <w:rFonts w:eastAsia="MS Mincho"/>
          <w:i/>
          <w:iCs/>
          <w:color w:val="000000"/>
          <w:spacing w:val="-4"/>
          <w:kern w:val="1"/>
          <w:lang w:bidi="ne-NP"/>
        </w:rPr>
        <w:t xml:space="preserve"> </w:t>
      </w:r>
      <w:r w:rsidRPr="00F33FC4">
        <w:rPr>
          <w:rFonts w:eastAsia="MS Mincho"/>
          <w:color w:val="000000"/>
          <w:spacing w:val="-4"/>
          <w:kern w:val="1"/>
          <w:lang w:bidi="ne-NP"/>
        </w:rPr>
        <w:t xml:space="preserve">could be separated from its inherent toxicity (Fig. 4.2 and 4.3). To test this, we performed site directed mutagenesis of </w:t>
      </w:r>
      <w:proofErr w:type="spellStart"/>
      <w:r w:rsidRPr="00F33FC4">
        <w:rPr>
          <w:rFonts w:eastAsia="MS Mincho"/>
          <w:color w:val="000000"/>
          <w:spacing w:val="-4"/>
          <w:kern w:val="1"/>
          <w:lang w:bidi="ne-NP"/>
        </w:rPr>
        <w:t>pBR-</w:t>
      </w:r>
      <w:r w:rsidRPr="00F33FC4">
        <w:rPr>
          <w:rFonts w:eastAsia="MS Mincho"/>
          <w:i/>
          <w:iCs/>
          <w:color w:val="000000"/>
          <w:spacing w:val="-4"/>
          <w:kern w:val="1"/>
          <w:lang w:bidi="ne-NP"/>
        </w:rPr>
        <w:t>zorO-orzO</w:t>
      </w:r>
      <w:proofErr w:type="spellEnd"/>
      <w:r w:rsidRPr="00F33FC4">
        <w:rPr>
          <w:rFonts w:eastAsia="MS Mincho"/>
          <w:color w:val="000000"/>
          <w:spacing w:val="-4"/>
          <w:kern w:val="1"/>
          <w:lang w:bidi="ne-NP"/>
        </w:rPr>
        <w:t xml:space="preserve"> to create pBR-</w:t>
      </w:r>
      <w:r w:rsidRPr="00F33FC4">
        <w:rPr>
          <w:rFonts w:eastAsia="MS Mincho"/>
          <w:i/>
          <w:iCs/>
          <w:color w:val="000000"/>
          <w:spacing w:val="-4"/>
          <w:kern w:val="1"/>
          <w:lang w:bidi="ne-NP"/>
        </w:rPr>
        <w:t>zorO</w:t>
      </w:r>
      <w:r w:rsidRPr="00F33FC4">
        <w:rPr>
          <w:rFonts w:eastAsia="MS Mincho"/>
          <w:color w:val="000000"/>
          <w:spacing w:val="-4"/>
          <w:kern w:val="1"/>
          <w:lang w:bidi="ne-NP"/>
        </w:rPr>
        <w:t>-R23L-</w:t>
      </w:r>
      <w:r w:rsidRPr="00F33FC4">
        <w:rPr>
          <w:rFonts w:eastAsia="MS Mincho"/>
          <w:i/>
          <w:iCs/>
          <w:color w:val="000000"/>
          <w:spacing w:val="-4"/>
          <w:kern w:val="1"/>
          <w:lang w:bidi="ne-NP"/>
        </w:rPr>
        <w:t>orzO</w:t>
      </w:r>
      <w:r w:rsidRPr="00F33FC4">
        <w:rPr>
          <w:rFonts w:eastAsia="MS Mincho"/>
          <w:color w:val="000000"/>
          <w:spacing w:val="-4"/>
          <w:kern w:val="1"/>
          <w:lang w:bidi="ne-NP"/>
        </w:rPr>
        <w:t xml:space="preserve">. </w:t>
      </w:r>
      <w:r w:rsidRPr="00F33FC4">
        <w:rPr>
          <w:rFonts w:eastAsia="MS Mincho"/>
          <w:i/>
          <w:iCs/>
          <w:color w:val="000000"/>
          <w:spacing w:val="-4"/>
          <w:kern w:val="1"/>
          <w:lang w:bidi="ne-NP"/>
        </w:rPr>
        <w:t>E. coli</w:t>
      </w:r>
      <w:r w:rsidRPr="00F33FC4">
        <w:rPr>
          <w:rFonts w:eastAsia="MS Mincho"/>
          <w:color w:val="000000"/>
          <w:spacing w:val="-4"/>
          <w:kern w:val="1"/>
          <w:lang w:bidi="ne-NP"/>
        </w:rPr>
        <w:t xml:space="preserve"> harboring this plasmid grew </w:t>
      </w:r>
    </w:p>
    <w:p w14:paraId="6D841125" w14:textId="77777777" w:rsidR="00F33FC4" w:rsidRPr="00F33FC4" w:rsidRDefault="00F33FC4" w:rsidP="00F33FC4">
      <w:pPr>
        <w:spacing w:line="360" w:lineRule="auto"/>
        <w:ind w:firstLine="720"/>
        <w:rPr>
          <w:rFonts w:eastAsia="MS Mincho"/>
          <w:color w:val="000000"/>
          <w:spacing w:val="-4"/>
          <w:kern w:val="1"/>
          <w:lang w:bidi="ne-NP"/>
        </w:rPr>
      </w:pPr>
      <w:r w:rsidRPr="00F33FC4">
        <w:rPr>
          <w:rFonts w:eastAsia="MS Mincho"/>
          <w:noProof/>
          <w:color w:val="000000"/>
          <w:spacing w:val="-4"/>
          <w:kern w:val="1"/>
          <w:lang w:bidi="ne-NP"/>
        </w:rPr>
        <w:lastRenderedPageBreak/>
        <w:drawing>
          <wp:anchor distT="0" distB="0" distL="114300" distR="114300" simplePos="0" relativeHeight="251741184" behindDoc="0" locked="0" layoutInCell="1" allowOverlap="1" wp14:anchorId="5BBF8EBE" wp14:editId="5ED3E51D">
            <wp:simplePos x="0" y="0"/>
            <wp:positionH relativeFrom="column">
              <wp:posOffset>445105</wp:posOffset>
            </wp:positionH>
            <wp:positionV relativeFrom="paragraph">
              <wp:posOffset>148295</wp:posOffset>
            </wp:positionV>
            <wp:extent cx="4837430" cy="5274310"/>
            <wp:effectExtent l="0" t="0" r="0" b="0"/>
            <wp:wrapTopAndBottom/>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28A0092B-C50C-407E-A947-70E740481C1C}">
                          <a14:useLocalDpi xmlns:a14="http://schemas.microsoft.com/office/drawing/2010/main" val="0"/>
                        </a:ext>
                      </a:extLst>
                    </a:blip>
                    <a:stretch>
                      <a:fillRect/>
                    </a:stretch>
                  </pic:blipFill>
                  <pic:spPr>
                    <a:xfrm>
                      <a:off x="0" y="0"/>
                      <a:ext cx="4837430" cy="5274310"/>
                    </a:xfrm>
                    <a:prstGeom prst="rect">
                      <a:avLst/>
                    </a:prstGeom>
                  </pic:spPr>
                </pic:pic>
              </a:graphicData>
            </a:graphic>
            <wp14:sizeRelH relativeFrom="page">
              <wp14:pctWidth>0</wp14:pctWidth>
            </wp14:sizeRelH>
            <wp14:sizeRelV relativeFrom="page">
              <wp14:pctHeight>0</wp14:pctHeight>
            </wp14:sizeRelV>
          </wp:anchor>
        </w:drawing>
      </w:r>
      <w:r w:rsidRPr="00F33FC4">
        <w:rPr>
          <w:rFonts w:ascii="Calibri" w:eastAsia="MS Mincho" w:hAnsi="Calibri" w:cs="Mangal"/>
          <w:noProof/>
        </w:rPr>
        <mc:AlternateContent>
          <mc:Choice Requires="wps">
            <w:drawing>
              <wp:anchor distT="0" distB="0" distL="114300" distR="114300" simplePos="0" relativeHeight="251726848" behindDoc="0" locked="0" layoutInCell="1" allowOverlap="1" wp14:anchorId="02097E6D" wp14:editId="4143DCDC">
                <wp:simplePos x="0" y="0"/>
                <wp:positionH relativeFrom="column">
                  <wp:posOffset>371652</wp:posOffset>
                </wp:positionH>
                <wp:positionV relativeFrom="paragraph">
                  <wp:posOffset>5421630</wp:posOffset>
                </wp:positionV>
                <wp:extent cx="5454015" cy="635"/>
                <wp:effectExtent l="0" t="0" r="0" b="1905"/>
                <wp:wrapTopAndBottom/>
                <wp:docPr id="113" name="Text Box 113"/>
                <wp:cNvGraphicFramePr/>
                <a:graphic xmlns:a="http://schemas.openxmlformats.org/drawingml/2006/main">
                  <a:graphicData uri="http://schemas.microsoft.com/office/word/2010/wordprocessingShape">
                    <wps:wsp>
                      <wps:cNvSpPr txBox="1"/>
                      <wps:spPr>
                        <a:xfrm>
                          <a:off x="0" y="0"/>
                          <a:ext cx="5454015" cy="635"/>
                        </a:xfrm>
                        <a:prstGeom prst="rect">
                          <a:avLst/>
                        </a:prstGeom>
                        <a:solidFill>
                          <a:prstClr val="white"/>
                        </a:solidFill>
                        <a:ln>
                          <a:noFill/>
                        </a:ln>
                      </wps:spPr>
                      <wps:txbx>
                        <w:txbxContent>
                          <w:p w14:paraId="5D611A8A" w14:textId="77777777" w:rsidR="00F33FC4" w:rsidRPr="002869DE" w:rsidRDefault="00F33FC4" w:rsidP="00F33FC4">
                            <w:pPr>
                              <w:pStyle w:val="Caption"/>
                              <w:rPr>
                                <w:b/>
                                <w:bCs/>
                                <w:i/>
                                <w:iCs w:val="0"/>
                                <w:noProof/>
                                <w:sz w:val="22"/>
                                <w:szCs w:val="22"/>
                              </w:rPr>
                            </w:pPr>
                            <w:r w:rsidRPr="002869DE">
                              <w:rPr>
                                <w:iCs w:val="0"/>
                                <w:sz w:val="22"/>
                                <w:szCs w:val="22"/>
                              </w:rPr>
                              <w:t xml:space="preserve">Figure </w:t>
                            </w:r>
                            <w:r>
                              <w:rPr>
                                <w:iCs w:val="0"/>
                                <w:sz w:val="22"/>
                                <w:szCs w:val="22"/>
                              </w:rPr>
                              <w:t>4.4</w:t>
                            </w:r>
                            <w:r w:rsidRPr="002869DE">
                              <w:rPr>
                                <w:iCs w:val="0"/>
                                <w:sz w:val="22"/>
                                <w:szCs w:val="22"/>
                              </w:rPr>
                              <w:t xml:space="preserve">. </w:t>
                            </w:r>
                            <w:r>
                              <w:rPr>
                                <w:iCs w:val="0"/>
                                <w:sz w:val="22"/>
                                <w:szCs w:val="22"/>
                              </w:rPr>
                              <w:t xml:space="preserve">Role of charged amino acid residues in </w:t>
                            </w:r>
                            <w:proofErr w:type="spellStart"/>
                            <w:r>
                              <w:rPr>
                                <w:iCs w:val="0"/>
                                <w:sz w:val="22"/>
                                <w:szCs w:val="22"/>
                              </w:rPr>
                              <w:t>ZorO</w:t>
                            </w:r>
                            <w:proofErr w:type="spellEnd"/>
                            <w:r>
                              <w:rPr>
                                <w:iCs w:val="0"/>
                                <w:sz w:val="22"/>
                                <w:szCs w:val="22"/>
                              </w:rPr>
                              <w:t xml:space="preserve"> mediated membrane depolarization and ATP depletion. Ratio of mean fluorescence intensity compared to that of the wild type </w:t>
                            </w:r>
                            <w:proofErr w:type="spellStart"/>
                            <w:r>
                              <w:rPr>
                                <w:iCs w:val="0"/>
                                <w:sz w:val="22"/>
                                <w:szCs w:val="22"/>
                              </w:rPr>
                              <w:t>ZorO</w:t>
                            </w:r>
                            <w:proofErr w:type="spellEnd"/>
                            <w:r>
                              <w:rPr>
                                <w:iCs w:val="0"/>
                                <w:sz w:val="22"/>
                                <w:szCs w:val="22"/>
                              </w:rPr>
                              <w:t xml:space="preserve"> of the cells after overexpression of indicated </w:t>
                            </w:r>
                            <w:proofErr w:type="spellStart"/>
                            <w:r>
                              <w:rPr>
                                <w:iCs w:val="0"/>
                                <w:sz w:val="22"/>
                                <w:szCs w:val="22"/>
                              </w:rPr>
                              <w:t>ZorO</w:t>
                            </w:r>
                            <w:proofErr w:type="spellEnd"/>
                            <w:r>
                              <w:rPr>
                                <w:iCs w:val="0"/>
                                <w:sz w:val="22"/>
                                <w:szCs w:val="22"/>
                              </w:rPr>
                              <w:t xml:space="preserve"> mutant and DiBAC4(3) staining (A). The non-toxic mutants (white bars) have less membrane depolarized cells. Ratio of normalized relative luciferase unit corresponding to cellular ATP levels in the cells after 30 minutes overexpression of indicated </w:t>
                            </w:r>
                            <w:proofErr w:type="spellStart"/>
                            <w:r>
                              <w:rPr>
                                <w:iCs w:val="0"/>
                                <w:sz w:val="22"/>
                                <w:szCs w:val="22"/>
                              </w:rPr>
                              <w:t>ZorO</w:t>
                            </w:r>
                            <w:proofErr w:type="spellEnd"/>
                            <w:r>
                              <w:rPr>
                                <w:iCs w:val="0"/>
                                <w:sz w:val="22"/>
                                <w:szCs w:val="22"/>
                              </w:rPr>
                              <w:t xml:space="preserve"> mutant to the ATP level at the time of induction (B).</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2097E6D" id="Text Box 113" o:spid="_x0000_s1053" type="#_x0000_t202" style="position:absolute;left:0;text-align:left;margin-left:29.25pt;margin-top:426.9pt;width:429.45pt;height:.05pt;z-index:251726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" stroked="f">
                <v:textbox style="mso-fit-shape-to-text:t" inset="0,0,0,0">
                  <w:txbxContent>
                    <w:p w14:paraId="5D611A8A" w14:textId="77777777" w:rsidR="00F33FC4" w:rsidRPr="002869DE" w:rsidRDefault="00F33FC4" w:rsidP="00F33FC4">
                      <w:pPr>
                        <w:pStyle w:val="Caption"/>
                        <w:rPr>
                          <w:b/>
                          <w:bCs/>
                          <w:i/>
                          <w:iCs w:val="0"/>
                          <w:noProof/>
                          <w:sz w:val="22"/>
                          <w:szCs w:val="22"/>
                        </w:rPr>
                      </w:pPr>
                      <w:r w:rsidRPr="002869DE">
                        <w:rPr>
                          <w:iCs w:val="0"/>
                          <w:sz w:val="22"/>
                          <w:szCs w:val="22"/>
                        </w:rPr>
                        <w:t xml:space="preserve">Figure </w:t>
                      </w:r>
                      <w:r>
                        <w:rPr>
                          <w:iCs w:val="0"/>
                          <w:sz w:val="22"/>
                          <w:szCs w:val="22"/>
                        </w:rPr>
                        <w:t>4.4</w:t>
                      </w:r>
                      <w:r w:rsidRPr="002869DE">
                        <w:rPr>
                          <w:iCs w:val="0"/>
                          <w:sz w:val="22"/>
                          <w:szCs w:val="22"/>
                        </w:rPr>
                        <w:t xml:space="preserve">. </w:t>
                      </w:r>
                      <w:r>
                        <w:rPr>
                          <w:iCs w:val="0"/>
                          <w:sz w:val="22"/>
                          <w:szCs w:val="22"/>
                        </w:rPr>
                        <w:t xml:space="preserve">Role of charged amino acid residues in </w:t>
                      </w:r>
                      <w:proofErr w:type="spellStart"/>
                      <w:r>
                        <w:rPr>
                          <w:iCs w:val="0"/>
                          <w:sz w:val="22"/>
                          <w:szCs w:val="22"/>
                        </w:rPr>
                        <w:t>ZorO</w:t>
                      </w:r>
                      <w:proofErr w:type="spellEnd"/>
                      <w:r>
                        <w:rPr>
                          <w:iCs w:val="0"/>
                          <w:sz w:val="22"/>
                          <w:szCs w:val="22"/>
                        </w:rPr>
                        <w:t xml:space="preserve"> mediated membrane depolarization and ATP depletion. Ratio of mean fluorescence intensity compared to that of the wild type </w:t>
                      </w:r>
                      <w:proofErr w:type="spellStart"/>
                      <w:r>
                        <w:rPr>
                          <w:iCs w:val="0"/>
                          <w:sz w:val="22"/>
                          <w:szCs w:val="22"/>
                        </w:rPr>
                        <w:t>ZorO</w:t>
                      </w:r>
                      <w:proofErr w:type="spellEnd"/>
                      <w:r>
                        <w:rPr>
                          <w:iCs w:val="0"/>
                          <w:sz w:val="22"/>
                          <w:szCs w:val="22"/>
                        </w:rPr>
                        <w:t xml:space="preserve"> of the cells after overexpression of indicated </w:t>
                      </w:r>
                      <w:proofErr w:type="spellStart"/>
                      <w:r>
                        <w:rPr>
                          <w:iCs w:val="0"/>
                          <w:sz w:val="22"/>
                          <w:szCs w:val="22"/>
                        </w:rPr>
                        <w:t>ZorO</w:t>
                      </w:r>
                      <w:proofErr w:type="spellEnd"/>
                      <w:r>
                        <w:rPr>
                          <w:iCs w:val="0"/>
                          <w:sz w:val="22"/>
                          <w:szCs w:val="22"/>
                        </w:rPr>
                        <w:t xml:space="preserve"> mutant and DiBAC4(3) staining (A). The non-toxic mutants (white bars) have less membrane depolarized cells. Ratio of normalized relative luciferase unit corresponding to cellular ATP levels in the cells after 30 minutes overexpression of indicated </w:t>
                      </w:r>
                      <w:proofErr w:type="spellStart"/>
                      <w:r>
                        <w:rPr>
                          <w:iCs w:val="0"/>
                          <w:sz w:val="22"/>
                          <w:szCs w:val="22"/>
                        </w:rPr>
                        <w:t>ZorO</w:t>
                      </w:r>
                      <w:proofErr w:type="spellEnd"/>
                      <w:r>
                        <w:rPr>
                          <w:iCs w:val="0"/>
                          <w:sz w:val="22"/>
                          <w:szCs w:val="22"/>
                        </w:rPr>
                        <w:t xml:space="preserve"> mutant to the ATP level at the time of induction (B).</w:t>
                      </w:r>
                    </w:p>
                  </w:txbxContent>
                </v:textbox>
                <w10:wrap type="topAndBottom"/>
              </v:shape>
            </w:pict>
          </mc:Fallback>
        </mc:AlternateContent>
      </w:r>
      <w:r w:rsidRPr="00F33FC4">
        <w:rPr>
          <w:rFonts w:eastAsia="MS Mincho"/>
          <w:color w:val="000000"/>
          <w:spacing w:val="-4"/>
          <w:kern w:val="1"/>
          <w:lang w:bidi="ne-NP"/>
        </w:rPr>
        <w:t xml:space="preserve"> </w:t>
      </w:r>
    </w:p>
    <w:p w14:paraId="4AE2D467" w14:textId="7AFB4DC7" w:rsidR="004F7E75" w:rsidRDefault="004F7E75">
      <w:pPr>
        <w:rPr>
          <w:rFonts w:eastAsia="MS Mincho"/>
          <w:color w:val="000000"/>
          <w:spacing w:val="-4"/>
          <w:kern w:val="1"/>
          <w:lang w:bidi="ne-NP"/>
        </w:rPr>
      </w:pPr>
      <w:r>
        <w:rPr>
          <w:rFonts w:eastAsia="MS Mincho"/>
          <w:color w:val="000000"/>
          <w:spacing w:val="-4"/>
          <w:kern w:val="1"/>
          <w:lang w:bidi="ne-NP"/>
        </w:rPr>
        <w:br w:type="page"/>
      </w:r>
    </w:p>
    <w:p w14:paraId="7B67359C" w14:textId="58A84819" w:rsidR="00F871C2" w:rsidRPr="00F871C2" w:rsidRDefault="00F871C2" w:rsidP="00F871C2">
      <w:pPr>
        <w:rPr>
          <w:rFonts w:eastAsia="MS Mincho"/>
          <w:color w:val="000000"/>
          <w:spacing w:val="-4"/>
          <w:kern w:val="1"/>
          <w:lang w:bidi="ne-NP"/>
        </w:rPr>
      </w:pPr>
      <w:r w:rsidRPr="00F33FC4">
        <w:rPr>
          <w:rFonts w:ascii="Calibri" w:eastAsia="MS Mincho" w:hAnsi="Calibri" w:cs="Mangal"/>
          <w:noProof/>
        </w:rPr>
        <w:lastRenderedPageBreak/>
        <mc:AlternateContent>
          <mc:Choice Requires="wps">
            <w:drawing>
              <wp:anchor distT="0" distB="0" distL="114300" distR="114300" simplePos="0" relativeHeight="251784192" behindDoc="0" locked="0" layoutInCell="1" allowOverlap="1" wp14:anchorId="3629D951" wp14:editId="6CCA73D7">
                <wp:simplePos x="0" y="0"/>
                <wp:positionH relativeFrom="column">
                  <wp:posOffset>207645</wp:posOffset>
                </wp:positionH>
                <wp:positionV relativeFrom="paragraph">
                  <wp:posOffset>171450</wp:posOffset>
                </wp:positionV>
                <wp:extent cx="5504180" cy="635"/>
                <wp:effectExtent l="0" t="0" r="0" b="1905"/>
                <wp:wrapTopAndBottom/>
                <wp:docPr id="114" name="Text Box 114"/>
                <wp:cNvGraphicFramePr/>
                <a:graphic xmlns:a="http://schemas.openxmlformats.org/drawingml/2006/main">
                  <a:graphicData uri="http://schemas.microsoft.com/office/word/2010/wordprocessingShape">
                    <wps:wsp>
                      <wps:cNvSpPr txBox="1"/>
                      <wps:spPr>
                        <a:xfrm>
                          <a:off x="0" y="0"/>
                          <a:ext cx="5504180" cy="635"/>
                        </a:xfrm>
                        <a:prstGeom prst="rect">
                          <a:avLst/>
                        </a:prstGeom>
                        <a:solidFill>
                          <a:prstClr val="white"/>
                        </a:solidFill>
                        <a:ln>
                          <a:noFill/>
                        </a:ln>
                      </wps:spPr>
                      <wps:txbx>
                        <w:txbxContent>
                          <w:p w14:paraId="58186E47" w14:textId="77777777" w:rsidR="00F871C2" w:rsidRPr="002869DE" w:rsidRDefault="00F871C2" w:rsidP="00F871C2">
                            <w:pPr>
                              <w:pStyle w:val="Caption"/>
                              <w:rPr>
                                <w:b/>
                                <w:bCs/>
                                <w:i/>
                                <w:iCs w:val="0"/>
                                <w:noProof/>
                                <w:sz w:val="22"/>
                                <w:szCs w:val="22"/>
                              </w:rPr>
                            </w:pPr>
                            <w:r w:rsidRPr="002869DE">
                              <w:rPr>
                                <w:iCs w:val="0"/>
                                <w:sz w:val="22"/>
                                <w:szCs w:val="22"/>
                              </w:rPr>
                              <w:t xml:space="preserve">Figure </w:t>
                            </w:r>
                            <w:r>
                              <w:rPr>
                                <w:iCs w:val="0"/>
                                <w:sz w:val="22"/>
                                <w:szCs w:val="22"/>
                              </w:rPr>
                              <w:t>4</w:t>
                            </w:r>
                            <w:r w:rsidRPr="002869DE">
                              <w:rPr>
                                <w:iCs w:val="0"/>
                                <w:sz w:val="22"/>
                                <w:szCs w:val="22"/>
                              </w:rPr>
                              <w:t>.</w:t>
                            </w:r>
                            <w:r>
                              <w:rPr>
                                <w:iCs w:val="0"/>
                                <w:sz w:val="22"/>
                                <w:szCs w:val="22"/>
                              </w:rPr>
                              <w:t>5</w:t>
                            </w:r>
                            <w:r w:rsidRPr="002869DE">
                              <w:rPr>
                                <w:iCs w:val="0"/>
                                <w:sz w:val="22"/>
                                <w:szCs w:val="22"/>
                              </w:rPr>
                              <w:t xml:space="preserve">. </w:t>
                            </w:r>
                            <w:r>
                              <w:rPr>
                                <w:iCs w:val="0"/>
                                <w:sz w:val="22"/>
                                <w:szCs w:val="22"/>
                              </w:rPr>
                              <w:t xml:space="preserve">The </w:t>
                            </w:r>
                            <w:proofErr w:type="spellStart"/>
                            <w:r w:rsidRPr="00F871C2">
                              <w:rPr>
                                <w:i/>
                                <w:iCs w:val="0"/>
                                <w:sz w:val="22"/>
                                <w:szCs w:val="22"/>
                              </w:rPr>
                              <w:t>zorO-orzO</w:t>
                            </w:r>
                            <w:proofErr w:type="spellEnd"/>
                            <w:r>
                              <w:rPr>
                                <w:iCs w:val="0"/>
                                <w:sz w:val="22"/>
                                <w:szCs w:val="22"/>
                              </w:rPr>
                              <w:t xml:space="preserve"> gene pair is sufficient to improve growth of </w:t>
                            </w:r>
                            <w:r w:rsidRPr="00C57C27">
                              <w:rPr>
                                <w:sz w:val="22"/>
                                <w:szCs w:val="22"/>
                              </w:rPr>
                              <w:t>E. coli</w:t>
                            </w:r>
                            <w:r>
                              <w:rPr>
                                <w:iCs w:val="0"/>
                                <w:sz w:val="22"/>
                                <w:szCs w:val="22"/>
                              </w:rPr>
                              <w:t xml:space="preserve"> in the presence of several aminoglycoside antibiotics. Growth in LB (A), LB with 4 µg/ml kanamycin (B), 4 µg/ml gentamycin (C), 50 µg/ml erythromycin (D), 8 µg/ml streptomycin (E), and 8 µg/ml of neomycin (F) in </w:t>
                            </w:r>
                            <w:r w:rsidRPr="00870104">
                              <w:rPr>
                                <w:i/>
                                <w:iCs w:val="0"/>
                                <w:sz w:val="22"/>
                                <w:szCs w:val="22"/>
                              </w:rPr>
                              <w:t>E. coli</w:t>
                            </w:r>
                            <w:r>
                              <w:rPr>
                                <w:iCs w:val="0"/>
                                <w:sz w:val="22"/>
                                <w:szCs w:val="22"/>
                              </w:rPr>
                              <w:t xml:space="preserve"> UTK 007 strain with indicated plasmids. </w:t>
                            </w:r>
                            <w:r w:rsidRPr="00870104">
                              <w:rPr>
                                <w:i/>
                                <w:iCs w:val="0"/>
                                <w:sz w:val="22"/>
                                <w:szCs w:val="22"/>
                              </w:rPr>
                              <w:t>n ≥ 3</w:t>
                            </w:r>
                            <w:r>
                              <w:rPr>
                                <w:iCs w:val="0"/>
                                <w:sz w:val="22"/>
                                <w:szCs w:val="22"/>
                              </w:rPr>
                              <w:t>, shown are mean ± standard deviation (SD).</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629D951" id="Text Box 114" o:spid="_x0000_s1054" type="#_x0000_t202" style="position:absolute;margin-left:16.35pt;margin-top:13.5pt;width:433.4pt;height:.0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" stroked="f">
                <v:textbox style="mso-fit-shape-to-text:t" inset="0,0,0,0">
                  <w:txbxContent>
                    <w:p w14:paraId="58186E47" w14:textId="77777777" w:rsidR="00F871C2" w:rsidRPr="002869DE" w:rsidRDefault="00F871C2" w:rsidP="00F871C2">
                      <w:pPr>
                        <w:pStyle w:val="Caption"/>
                        <w:rPr>
                          <w:b/>
                          <w:bCs/>
                          <w:i/>
                          <w:iCs w:val="0"/>
                          <w:noProof/>
                          <w:sz w:val="22"/>
                          <w:szCs w:val="22"/>
                        </w:rPr>
                      </w:pPr>
                      <w:r w:rsidRPr="002869DE">
                        <w:rPr>
                          <w:iCs w:val="0"/>
                          <w:sz w:val="22"/>
                          <w:szCs w:val="22"/>
                        </w:rPr>
                        <w:t xml:space="preserve">Figure </w:t>
                      </w:r>
                      <w:r>
                        <w:rPr>
                          <w:iCs w:val="0"/>
                          <w:sz w:val="22"/>
                          <w:szCs w:val="22"/>
                        </w:rPr>
                        <w:t>4</w:t>
                      </w:r>
                      <w:r w:rsidRPr="002869DE">
                        <w:rPr>
                          <w:iCs w:val="0"/>
                          <w:sz w:val="22"/>
                          <w:szCs w:val="22"/>
                        </w:rPr>
                        <w:t>.</w:t>
                      </w:r>
                      <w:r>
                        <w:rPr>
                          <w:iCs w:val="0"/>
                          <w:sz w:val="22"/>
                          <w:szCs w:val="22"/>
                        </w:rPr>
                        <w:t>5</w:t>
                      </w:r>
                      <w:r w:rsidRPr="002869DE">
                        <w:rPr>
                          <w:iCs w:val="0"/>
                          <w:sz w:val="22"/>
                          <w:szCs w:val="22"/>
                        </w:rPr>
                        <w:t xml:space="preserve">. </w:t>
                      </w:r>
                      <w:r>
                        <w:rPr>
                          <w:iCs w:val="0"/>
                          <w:sz w:val="22"/>
                          <w:szCs w:val="22"/>
                        </w:rPr>
                        <w:t xml:space="preserve">The </w:t>
                      </w:r>
                      <w:proofErr w:type="spellStart"/>
                      <w:r w:rsidRPr="00F871C2">
                        <w:rPr>
                          <w:i/>
                          <w:iCs w:val="0"/>
                          <w:sz w:val="22"/>
                          <w:szCs w:val="22"/>
                        </w:rPr>
                        <w:t>zorO-orzO</w:t>
                      </w:r>
                      <w:proofErr w:type="spellEnd"/>
                      <w:r>
                        <w:rPr>
                          <w:iCs w:val="0"/>
                          <w:sz w:val="22"/>
                          <w:szCs w:val="22"/>
                        </w:rPr>
                        <w:t xml:space="preserve"> gene pair is sufficient to improve growth of </w:t>
                      </w:r>
                      <w:r w:rsidRPr="00C57C27">
                        <w:rPr>
                          <w:sz w:val="22"/>
                          <w:szCs w:val="22"/>
                        </w:rPr>
                        <w:t>E. coli</w:t>
                      </w:r>
                      <w:r>
                        <w:rPr>
                          <w:iCs w:val="0"/>
                          <w:sz w:val="22"/>
                          <w:szCs w:val="22"/>
                        </w:rPr>
                        <w:t xml:space="preserve"> in the presence of several aminoglycoside antibiotics. Growth in LB (A), LB with 4 µg/ml kanamycin (B), 4 µg/ml gentamycin (C), 50 µg/ml erythromycin (D), 8 µg/ml streptomycin (E), and 8 µg/ml of neomycin (F) in </w:t>
                      </w:r>
                      <w:r w:rsidRPr="00870104">
                        <w:rPr>
                          <w:i/>
                          <w:iCs w:val="0"/>
                          <w:sz w:val="22"/>
                          <w:szCs w:val="22"/>
                        </w:rPr>
                        <w:t>E. coli</w:t>
                      </w:r>
                      <w:r>
                        <w:rPr>
                          <w:iCs w:val="0"/>
                          <w:sz w:val="22"/>
                          <w:szCs w:val="22"/>
                        </w:rPr>
                        <w:t xml:space="preserve"> UTK 007 strain with indicated plasmids. </w:t>
                      </w:r>
                      <w:r w:rsidRPr="00870104">
                        <w:rPr>
                          <w:i/>
                          <w:iCs w:val="0"/>
                          <w:sz w:val="22"/>
                          <w:szCs w:val="22"/>
                        </w:rPr>
                        <w:t>n ≥ 3</w:t>
                      </w:r>
                      <w:r>
                        <w:rPr>
                          <w:iCs w:val="0"/>
                          <w:sz w:val="22"/>
                          <w:szCs w:val="22"/>
                        </w:rPr>
                        <w:t>, shown are mean ± standard deviation (SD).</w:t>
                      </w:r>
                    </w:p>
                  </w:txbxContent>
                </v:textbox>
                <w10:wrap type="topAndBottom"/>
              </v:shape>
            </w:pict>
          </mc:Fallback>
        </mc:AlternateContent>
      </w:r>
    </w:p>
    <w:p w14:paraId="63990664" w14:textId="0CCCA85E" w:rsidR="004F5CA8" w:rsidRPr="00F871C2" w:rsidRDefault="00F871C2" w:rsidP="00194719">
      <w:pPr>
        <w:spacing w:line="360" w:lineRule="auto"/>
        <w:rPr>
          <w:color w:val="000000" w:themeColor="text1"/>
          <w:sz w:val="22"/>
          <w:szCs w:val="22"/>
        </w:rPr>
      </w:pPr>
      <w:r w:rsidRPr="00F33FC4">
        <w:rPr>
          <w:rFonts w:eastAsia="MS Mincho"/>
          <w:noProof/>
        </w:rPr>
        <w:lastRenderedPageBreak/>
        <w:drawing>
          <wp:anchor distT="0" distB="0" distL="114300" distR="114300" simplePos="0" relativeHeight="251786240" behindDoc="0" locked="0" layoutInCell="1" allowOverlap="1" wp14:anchorId="4464B3D4" wp14:editId="6653B5BD">
            <wp:simplePos x="0" y="0"/>
            <wp:positionH relativeFrom="column">
              <wp:posOffset>0</wp:posOffset>
            </wp:positionH>
            <wp:positionV relativeFrom="paragraph">
              <wp:posOffset>163195</wp:posOffset>
            </wp:positionV>
            <wp:extent cx="5956300" cy="6671945"/>
            <wp:effectExtent l="0" t="0" r="0" b="0"/>
            <wp:wrapTopAndBottom/>
            <wp:docPr id="124" name="Picture 12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956300" cy="6671945"/>
                    </a:xfrm>
                    <a:prstGeom prst="rect">
                      <a:avLst/>
                    </a:prstGeom>
                  </pic:spPr>
                </pic:pic>
              </a:graphicData>
            </a:graphic>
            <wp14:sizeRelH relativeFrom="page">
              <wp14:pctWidth>0</wp14:pctWidth>
            </wp14:sizeRelH>
            <wp14:sizeRelV relativeFrom="page">
              <wp14:pctHeight>0</wp14:pctHeight>
            </wp14:sizeRelV>
          </wp:anchor>
        </w:drawing>
      </w:r>
      <w:r w:rsidR="00F33FC4" w:rsidRPr="00F33FC4">
        <w:rPr>
          <w:rFonts w:eastAsia="MS Mincho"/>
        </w:rPr>
        <w:br w:type="page"/>
      </w:r>
      <w:r w:rsidR="004F5CA8" w:rsidRPr="00F33FC4">
        <w:rPr>
          <w:rFonts w:eastAsia="MS Mincho"/>
          <w:color w:val="000000"/>
          <w:spacing w:val="-4"/>
          <w:kern w:val="1"/>
          <w:lang w:bidi="ne-NP"/>
        </w:rPr>
        <w:lastRenderedPageBreak/>
        <w:t>similarly to the others in LB media (Fig. 4.6A). Surprisingly, pBR-</w:t>
      </w:r>
      <w:r w:rsidR="004F5CA8" w:rsidRPr="00F33FC4">
        <w:rPr>
          <w:rFonts w:eastAsia="MS Mincho"/>
          <w:i/>
          <w:iCs/>
          <w:color w:val="000000"/>
          <w:spacing w:val="-4"/>
          <w:kern w:val="1"/>
          <w:lang w:bidi="ne-NP"/>
        </w:rPr>
        <w:t>zorO</w:t>
      </w:r>
      <w:r w:rsidR="004F5CA8" w:rsidRPr="00F33FC4">
        <w:rPr>
          <w:rFonts w:eastAsia="MS Mincho"/>
          <w:color w:val="000000"/>
          <w:spacing w:val="-4"/>
          <w:kern w:val="1"/>
          <w:lang w:bidi="ne-NP"/>
        </w:rPr>
        <w:t>-R23L-</w:t>
      </w:r>
      <w:r w:rsidR="004F5CA8" w:rsidRPr="00F33FC4">
        <w:rPr>
          <w:rFonts w:eastAsia="MS Mincho"/>
          <w:i/>
          <w:iCs/>
          <w:color w:val="000000"/>
          <w:spacing w:val="-4"/>
          <w:kern w:val="1"/>
          <w:lang w:bidi="ne-NP"/>
        </w:rPr>
        <w:t>orzO</w:t>
      </w:r>
      <w:r w:rsidR="004F5CA8" w:rsidRPr="00F33FC4">
        <w:rPr>
          <w:rFonts w:eastAsia="MS Mincho"/>
          <w:color w:val="000000"/>
          <w:spacing w:val="-4"/>
          <w:kern w:val="1"/>
          <w:lang w:bidi="ne-NP"/>
        </w:rPr>
        <w:t xml:space="preserve"> was also able to improve the growth of </w:t>
      </w:r>
      <w:r w:rsidR="004F5CA8" w:rsidRPr="00F33FC4">
        <w:rPr>
          <w:rFonts w:eastAsia="MS Mincho"/>
          <w:i/>
          <w:iCs/>
          <w:color w:val="000000"/>
          <w:spacing w:val="-4"/>
          <w:kern w:val="1"/>
          <w:lang w:bidi="ne-NP"/>
        </w:rPr>
        <w:t>E. coli</w:t>
      </w:r>
      <w:r w:rsidR="004F5CA8" w:rsidRPr="00F33FC4">
        <w:rPr>
          <w:rFonts w:eastAsia="MS Mincho"/>
          <w:color w:val="000000"/>
          <w:spacing w:val="-4"/>
          <w:kern w:val="1"/>
          <w:lang w:bidi="ne-NP"/>
        </w:rPr>
        <w:t xml:space="preserve"> in the presence of kanamycin (4</w:t>
      </w:r>
      <w:r w:rsidR="004F5CA8" w:rsidRPr="00F33FC4">
        <w:rPr>
          <w:rFonts w:eastAsia="MS Mincho"/>
          <w:color w:val="000000"/>
          <w:spacing w:val="-4"/>
          <w:kern w:val="1"/>
          <w:lang w:val="el-GR" w:bidi="ne-NP"/>
        </w:rPr>
        <w:t xml:space="preserve"> μ</w:t>
      </w:r>
      <w:r w:rsidR="004F5CA8" w:rsidRPr="00F33FC4">
        <w:rPr>
          <w:rFonts w:eastAsia="MS Mincho"/>
          <w:color w:val="000000"/>
          <w:spacing w:val="-4"/>
          <w:kern w:val="1"/>
          <w:lang w:bidi="ne-NP"/>
        </w:rPr>
        <w:t>g/ml) in LB medium (Fig. 4.6B).</w:t>
      </w:r>
    </w:p>
    <w:p w14:paraId="5B66BED8" w14:textId="08249519" w:rsidR="00F33FC4" w:rsidRPr="00F33FC4" w:rsidRDefault="004F5CA8" w:rsidP="00194719">
      <w:pPr>
        <w:spacing w:line="360" w:lineRule="auto"/>
        <w:rPr>
          <w:rFonts w:eastAsia="MS Mincho"/>
        </w:rPr>
      </w:pPr>
      <w:r>
        <w:rPr>
          <w:rFonts w:eastAsia="MS Mincho"/>
          <w:color w:val="000000"/>
          <w:spacing w:val="-4"/>
          <w:kern w:val="1"/>
          <w:lang w:bidi="ne-NP"/>
        </w:rPr>
        <w:tab/>
      </w:r>
      <w:r w:rsidR="00F33FC4" w:rsidRPr="00F33FC4">
        <w:rPr>
          <w:rFonts w:eastAsia="MS Mincho"/>
          <w:color w:val="000000"/>
          <w:spacing w:val="-4"/>
          <w:kern w:val="1"/>
          <w:lang w:bidi="ne-NP"/>
        </w:rPr>
        <w:t>This was unexpected especially as the overexpression study showed that the R23L mutant does not results in a significant growth inhibition, membrane depolarization and ATP depletion, all of which have been associated with kanamycin resistance.</w:t>
      </w:r>
    </w:p>
    <w:p w14:paraId="0FB45A56" w14:textId="77777777" w:rsidR="00F33FC4" w:rsidRPr="00F33FC4" w:rsidRDefault="00F33FC4" w:rsidP="00F33FC4">
      <w:pPr>
        <w:spacing w:line="360" w:lineRule="auto"/>
        <w:rPr>
          <w:rFonts w:eastAsia="MS Mincho"/>
          <w:color w:val="000000"/>
          <w:spacing w:val="-4"/>
          <w:kern w:val="1"/>
          <w:lang w:bidi="ne-NP"/>
        </w:rPr>
      </w:pPr>
    </w:p>
    <w:p w14:paraId="14FA3E02" w14:textId="77777777" w:rsidR="00F33FC4" w:rsidRPr="00F33FC4" w:rsidRDefault="00F33FC4" w:rsidP="00F33FC4">
      <w:pPr>
        <w:spacing w:line="360" w:lineRule="auto"/>
        <w:rPr>
          <w:rFonts w:eastAsia="MS Mincho"/>
          <w:b/>
          <w:bCs/>
        </w:rPr>
      </w:pPr>
      <w:r w:rsidRPr="00F33FC4">
        <w:rPr>
          <w:rFonts w:eastAsia="MS Mincho"/>
          <w:b/>
          <w:bCs/>
        </w:rPr>
        <w:t xml:space="preserve">Bacterial growth after removal of the two regulatory elements: antitoxin </w:t>
      </w:r>
      <w:proofErr w:type="spellStart"/>
      <w:r w:rsidRPr="00F33FC4">
        <w:rPr>
          <w:rFonts w:eastAsia="MS Mincho"/>
          <w:b/>
          <w:bCs/>
        </w:rPr>
        <w:t>OrzO</w:t>
      </w:r>
      <w:proofErr w:type="spellEnd"/>
      <w:r w:rsidRPr="00F33FC4">
        <w:rPr>
          <w:rFonts w:eastAsia="MS Mincho"/>
          <w:b/>
          <w:bCs/>
        </w:rPr>
        <w:t xml:space="preserve"> and first 28 </w:t>
      </w:r>
      <w:proofErr w:type="spellStart"/>
      <w:r w:rsidRPr="00F33FC4">
        <w:rPr>
          <w:rFonts w:eastAsia="MS Mincho"/>
          <w:b/>
          <w:bCs/>
        </w:rPr>
        <w:t>nts</w:t>
      </w:r>
      <w:proofErr w:type="spellEnd"/>
      <w:r w:rsidRPr="00F33FC4">
        <w:rPr>
          <w:rFonts w:eastAsia="MS Mincho"/>
          <w:b/>
          <w:bCs/>
        </w:rPr>
        <w:t xml:space="preserve"> of </w:t>
      </w:r>
      <w:proofErr w:type="spellStart"/>
      <w:r w:rsidRPr="00F33FC4">
        <w:rPr>
          <w:rFonts w:eastAsia="MS Mincho"/>
          <w:b/>
          <w:bCs/>
          <w:i/>
          <w:iCs/>
        </w:rPr>
        <w:t>zorO</w:t>
      </w:r>
      <w:proofErr w:type="spellEnd"/>
      <w:r w:rsidRPr="00F33FC4">
        <w:rPr>
          <w:rFonts w:eastAsia="MS Mincho"/>
          <w:b/>
          <w:bCs/>
        </w:rPr>
        <w:t xml:space="preserve"> </w:t>
      </w:r>
    </w:p>
    <w:p w14:paraId="5F297F02" w14:textId="77777777" w:rsidR="00F33FC4" w:rsidRPr="00F33FC4" w:rsidRDefault="00F33FC4" w:rsidP="00F33FC4">
      <w:pPr>
        <w:spacing w:line="360" w:lineRule="auto"/>
        <w:ind w:firstLine="720"/>
        <w:rPr>
          <w:rFonts w:eastAsia="MS Mincho"/>
        </w:rPr>
      </w:pPr>
      <w:r w:rsidRPr="00F33FC4">
        <w:rPr>
          <w:rFonts w:eastAsia="MS Mincho"/>
        </w:rPr>
        <w:t xml:space="preserve">We observed that cells have improved growth in the presence of kanamycin when harboring multiple copies of the </w:t>
      </w:r>
      <w:proofErr w:type="spellStart"/>
      <w:r w:rsidRPr="00F33FC4">
        <w:rPr>
          <w:rFonts w:eastAsia="MS Mincho"/>
          <w:i/>
          <w:iCs/>
        </w:rPr>
        <w:t>zor-orz</w:t>
      </w:r>
      <w:proofErr w:type="spellEnd"/>
      <w:r w:rsidRPr="00F33FC4">
        <w:rPr>
          <w:rFonts w:eastAsia="MS Mincho"/>
        </w:rPr>
        <w:t xml:space="preserve"> locus or the </w:t>
      </w:r>
      <w:proofErr w:type="spellStart"/>
      <w:r w:rsidRPr="00F33FC4">
        <w:rPr>
          <w:rFonts w:eastAsia="MS Mincho"/>
          <w:i/>
          <w:iCs/>
        </w:rPr>
        <w:t>zorO-orzO</w:t>
      </w:r>
      <w:proofErr w:type="spellEnd"/>
      <w:r w:rsidRPr="00F33FC4">
        <w:rPr>
          <w:rFonts w:eastAsia="MS Mincho"/>
        </w:rPr>
        <w:t xml:space="preserve"> gene pair (Fig. 4.5, </w:t>
      </w:r>
      <w:r w:rsidRPr="00F33FC4">
        <w:rPr>
          <w:rFonts w:eastAsia="MS Mincho"/>
          <w:noProof/>
        </w:rPr>
        <w:t>(19)</w:t>
      </w:r>
      <w:r w:rsidRPr="00F33FC4">
        <w:rPr>
          <w:rFonts w:eastAsia="MS Mincho"/>
        </w:rPr>
        <w:t xml:space="preserve">). Translation of the </w:t>
      </w:r>
      <w:proofErr w:type="spellStart"/>
      <w:r w:rsidRPr="00F33FC4">
        <w:rPr>
          <w:rFonts w:eastAsia="MS Mincho"/>
          <w:i/>
          <w:iCs/>
        </w:rPr>
        <w:t>zorO</w:t>
      </w:r>
      <w:proofErr w:type="spellEnd"/>
      <w:r w:rsidRPr="00F33FC4">
        <w:rPr>
          <w:rFonts w:eastAsia="MS Mincho"/>
        </w:rPr>
        <w:t xml:space="preserve"> mRNA is regulated by the antitoxin </w:t>
      </w:r>
      <w:proofErr w:type="spellStart"/>
      <w:r w:rsidRPr="00F33FC4">
        <w:rPr>
          <w:rFonts w:eastAsia="MS Mincho"/>
        </w:rPr>
        <w:t>OrzO</w:t>
      </w:r>
      <w:proofErr w:type="spellEnd"/>
      <w:r w:rsidRPr="00F33FC4">
        <w:rPr>
          <w:rFonts w:eastAsia="MS Mincho"/>
        </w:rPr>
        <w:t xml:space="preserve"> and the long 5’ UTR </w:t>
      </w:r>
      <w:r w:rsidRPr="00F33FC4">
        <w:rPr>
          <w:rFonts w:eastAsia="MS Mincho"/>
          <w:noProof/>
        </w:rPr>
        <w:t>(17,26)</w:t>
      </w:r>
      <w:r w:rsidRPr="00F33FC4">
        <w:rPr>
          <w:rFonts w:eastAsia="MS Mincho"/>
        </w:rPr>
        <w:t xml:space="preserve">. The processed form of </w:t>
      </w:r>
      <w:proofErr w:type="spellStart"/>
      <w:r w:rsidRPr="00F33FC4">
        <w:rPr>
          <w:rFonts w:eastAsia="MS Mincho"/>
          <w:i/>
          <w:iCs/>
        </w:rPr>
        <w:t>zorO</w:t>
      </w:r>
      <w:proofErr w:type="spellEnd"/>
      <w:r w:rsidRPr="00F33FC4">
        <w:rPr>
          <w:rFonts w:eastAsia="MS Mincho"/>
        </w:rPr>
        <w:t xml:space="preserve"> (missing first 28 </w:t>
      </w:r>
      <w:proofErr w:type="spellStart"/>
      <w:r w:rsidRPr="00F33FC4">
        <w:rPr>
          <w:rFonts w:eastAsia="MS Mincho"/>
        </w:rPr>
        <w:t>nts</w:t>
      </w:r>
      <w:proofErr w:type="spellEnd"/>
      <w:r w:rsidRPr="00F33FC4">
        <w:rPr>
          <w:rFonts w:eastAsia="MS Mincho"/>
        </w:rPr>
        <w:t xml:space="preserve"> at 5’UTR, Δ28) is translated far greater than when expressed from full-length 5’ UTR. Therefore, we hypothesized that the cells harboring multiple copies of </w:t>
      </w:r>
      <w:proofErr w:type="spellStart"/>
      <w:r w:rsidRPr="00F33FC4">
        <w:rPr>
          <w:rFonts w:eastAsia="MS Mincho"/>
          <w:i/>
          <w:iCs/>
        </w:rPr>
        <w:t>zorO</w:t>
      </w:r>
      <w:proofErr w:type="spellEnd"/>
      <w:r w:rsidRPr="00F33FC4">
        <w:rPr>
          <w:rFonts w:eastAsia="MS Mincho"/>
        </w:rPr>
        <w:t xml:space="preserve"> either with its full-length or processed 5’ UTR would have even better growth in presence of kanamycin antibiotics. To this end plasmids were constructed with a full-length 5’UTR </w:t>
      </w:r>
      <w:proofErr w:type="spellStart"/>
      <w:r w:rsidRPr="00F33FC4">
        <w:rPr>
          <w:rFonts w:eastAsia="MS Mincho"/>
          <w:i/>
          <w:iCs/>
        </w:rPr>
        <w:t>zorO</w:t>
      </w:r>
      <w:proofErr w:type="spellEnd"/>
      <w:r w:rsidRPr="00F33FC4">
        <w:rPr>
          <w:rFonts w:eastAsia="MS Mincho"/>
        </w:rPr>
        <w:t xml:space="preserve"> (</w:t>
      </w:r>
      <w:proofErr w:type="spellStart"/>
      <w:r w:rsidRPr="00F33FC4">
        <w:rPr>
          <w:rFonts w:eastAsia="MS Mincho"/>
        </w:rPr>
        <w:t>pBR-</w:t>
      </w:r>
      <w:r w:rsidRPr="00F33FC4">
        <w:rPr>
          <w:rFonts w:eastAsia="MS Mincho"/>
          <w:i/>
          <w:iCs/>
        </w:rPr>
        <w:t>zorO</w:t>
      </w:r>
      <w:proofErr w:type="spellEnd"/>
      <w:r w:rsidRPr="00F33FC4">
        <w:rPr>
          <w:rFonts w:eastAsia="MS Mincho"/>
        </w:rPr>
        <w:t>) and a processed 5’UTR (pBR-Δ28-FLAG-</w:t>
      </w:r>
      <w:r w:rsidRPr="00F33FC4">
        <w:rPr>
          <w:rFonts w:eastAsia="MS Mincho"/>
          <w:i/>
          <w:iCs/>
        </w:rPr>
        <w:t>zorO</w:t>
      </w:r>
      <w:r w:rsidRPr="00F33FC4">
        <w:rPr>
          <w:rFonts w:eastAsia="MS Mincho"/>
        </w:rPr>
        <w:t>) with an N-terminus FLAG tag. Further, to test if R23L shows any differences in the growth pattern, we also constructed a pBR-Δ28-FLAG-</w:t>
      </w:r>
      <w:r w:rsidRPr="00F33FC4">
        <w:rPr>
          <w:rFonts w:eastAsia="MS Mincho"/>
          <w:i/>
          <w:iCs/>
        </w:rPr>
        <w:t>zorO</w:t>
      </w:r>
      <w:r w:rsidRPr="00F33FC4">
        <w:rPr>
          <w:rFonts w:eastAsia="MS Mincho"/>
        </w:rPr>
        <w:t>-R23L.</w:t>
      </w:r>
    </w:p>
    <w:p w14:paraId="46B303F5" w14:textId="70801CE2" w:rsidR="004F5CA8" w:rsidRPr="00F33FC4" w:rsidRDefault="00194719" w:rsidP="004F5CA8">
      <w:pPr>
        <w:spacing w:line="360" w:lineRule="auto"/>
        <w:rPr>
          <w:rFonts w:eastAsia="MS Mincho"/>
        </w:rPr>
      </w:pPr>
      <w:r>
        <w:rPr>
          <w:rFonts w:eastAsia="MS Mincho"/>
        </w:rPr>
        <w:tab/>
      </w:r>
      <w:r w:rsidR="00F33FC4" w:rsidRPr="00F33FC4">
        <w:rPr>
          <w:rFonts w:eastAsia="MS Mincho"/>
        </w:rPr>
        <w:t xml:space="preserve">The growth of cells harboring these plasmids was similar in LB media (Fig. 4.7A). Unlike the significant improvement in growth observed with the </w:t>
      </w:r>
      <w:proofErr w:type="spellStart"/>
      <w:r w:rsidR="00F33FC4" w:rsidRPr="00F33FC4">
        <w:rPr>
          <w:rFonts w:eastAsia="MS Mincho"/>
          <w:i/>
          <w:iCs/>
        </w:rPr>
        <w:t>zor-orz</w:t>
      </w:r>
      <w:proofErr w:type="spellEnd"/>
      <w:r w:rsidR="00F33FC4" w:rsidRPr="00F33FC4">
        <w:rPr>
          <w:rFonts w:eastAsia="MS Mincho"/>
        </w:rPr>
        <w:t xml:space="preserve"> locus or the </w:t>
      </w:r>
      <w:proofErr w:type="spellStart"/>
      <w:r w:rsidR="00F33FC4" w:rsidRPr="00F33FC4">
        <w:rPr>
          <w:rFonts w:eastAsia="MS Mincho"/>
          <w:i/>
          <w:iCs/>
        </w:rPr>
        <w:t>zorO-orzO</w:t>
      </w:r>
      <w:proofErr w:type="spellEnd"/>
      <w:r w:rsidR="00F33FC4" w:rsidRPr="00F33FC4">
        <w:rPr>
          <w:rFonts w:eastAsia="MS Mincho"/>
        </w:rPr>
        <w:t xml:space="preserve"> gene pair in presence of aminoglycoside antibiotics (Fig. 4.5), </w:t>
      </w:r>
      <w:r w:rsidR="00F33FC4" w:rsidRPr="00F33FC4">
        <w:rPr>
          <w:rFonts w:eastAsia="MS Mincho"/>
          <w:i/>
          <w:iCs/>
        </w:rPr>
        <w:t>E. coli</w:t>
      </w:r>
      <w:r w:rsidR="00F33FC4" w:rsidRPr="00F33FC4">
        <w:rPr>
          <w:rFonts w:eastAsia="MS Mincho"/>
        </w:rPr>
        <w:t xml:space="preserve"> </w:t>
      </w:r>
      <w:r w:rsidR="004F5CA8" w:rsidRPr="00F33FC4">
        <w:rPr>
          <w:rFonts w:eastAsia="MS Mincho"/>
        </w:rPr>
        <w:t xml:space="preserve">harboring </w:t>
      </w:r>
      <w:proofErr w:type="spellStart"/>
      <w:r w:rsidR="004F5CA8" w:rsidRPr="00F33FC4">
        <w:rPr>
          <w:rFonts w:eastAsia="MS Mincho"/>
        </w:rPr>
        <w:t>pBR-</w:t>
      </w:r>
      <w:r w:rsidR="004F5CA8" w:rsidRPr="00F33FC4">
        <w:rPr>
          <w:rFonts w:eastAsia="MS Mincho"/>
          <w:i/>
          <w:iCs/>
        </w:rPr>
        <w:t>zorO</w:t>
      </w:r>
      <w:proofErr w:type="spellEnd"/>
      <w:r w:rsidR="004F5CA8" w:rsidRPr="00F33FC4">
        <w:rPr>
          <w:rFonts w:eastAsia="MS Mincho"/>
        </w:rPr>
        <w:t>, pBR-Δ28-FLAG-</w:t>
      </w:r>
      <w:r w:rsidR="004F5CA8" w:rsidRPr="00F33FC4">
        <w:rPr>
          <w:rFonts w:eastAsia="MS Mincho"/>
          <w:i/>
          <w:iCs/>
        </w:rPr>
        <w:t xml:space="preserve">zorO </w:t>
      </w:r>
      <w:r w:rsidR="004F5CA8" w:rsidRPr="00F33FC4">
        <w:rPr>
          <w:rFonts w:eastAsia="MS Mincho"/>
        </w:rPr>
        <w:t>or pBR-Δ28-FLAG-</w:t>
      </w:r>
      <w:r w:rsidR="004F5CA8" w:rsidRPr="00F33FC4">
        <w:rPr>
          <w:rFonts w:eastAsia="MS Mincho"/>
          <w:i/>
          <w:iCs/>
        </w:rPr>
        <w:t>zorO</w:t>
      </w:r>
      <w:r w:rsidR="004F5CA8" w:rsidRPr="00F33FC4">
        <w:rPr>
          <w:rFonts w:eastAsia="MS Mincho"/>
        </w:rPr>
        <w:t>-R23L did not result in improved growth pattern in LB with kanamycin (</w:t>
      </w:r>
      <w:r w:rsidR="004F5CA8" w:rsidRPr="00F33FC4">
        <w:rPr>
          <w:rFonts w:eastAsia="MS Mincho"/>
          <w:color w:val="000000"/>
          <w:spacing w:val="-4"/>
          <w:kern w:val="1"/>
          <w:lang w:bidi="ne-NP"/>
        </w:rPr>
        <w:t>4</w:t>
      </w:r>
      <w:r w:rsidR="004F5CA8" w:rsidRPr="00F33FC4">
        <w:rPr>
          <w:rFonts w:eastAsia="MS Mincho"/>
          <w:color w:val="000000"/>
          <w:spacing w:val="-4"/>
          <w:kern w:val="1"/>
          <w:lang w:val="el-GR" w:bidi="ne-NP"/>
        </w:rPr>
        <w:t xml:space="preserve"> μ</w:t>
      </w:r>
      <w:r w:rsidR="004F5CA8" w:rsidRPr="00F33FC4">
        <w:rPr>
          <w:rFonts w:eastAsia="MS Mincho"/>
          <w:color w:val="000000"/>
          <w:spacing w:val="-4"/>
          <w:kern w:val="1"/>
          <w:lang w:bidi="ne-NP"/>
        </w:rPr>
        <w:t>g/ml</w:t>
      </w:r>
      <w:r w:rsidR="004F5CA8" w:rsidRPr="00F33FC4">
        <w:rPr>
          <w:rFonts w:eastAsia="MS Mincho"/>
        </w:rPr>
        <w:t xml:space="preserve">) (Fig. 4.7B). </w:t>
      </w:r>
    </w:p>
    <w:p w14:paraId="5CABA1EC" w14:textId="77777777" w:rsidR="004F5CA8" w:rsidRPr="00F33FC4" w:rsidRDefault="004F5CA8" w:rsidP="004F5CA8">
      <w:pPr>
        <w:spacing w:line="360" w:lineRule="auto"/>
        <w:ind w:firstLine="720"/>
        <w:rPr>
          <w:rFonts w:eastAsia="MS Mincho"/>
        </w:rPr>
      </w:pPr>
      <w:r w:rsidRPr="00F33FC4">
        <w:rPr>
          <w:rFonts w:eastAsia="MS Mincho"/>
        </w:rPr>
        <w:t xml:space="preserve">To test if the </w:t>
      </w:r>
      <w:proofErr w:type="spellStart"/>
      <w:r w:rsidRPr="00F33FC4">
        <w:rPr>
          <w:rFonts w:eastAsia="MS Mincho"/>
          <w:i/>
          <w:iCs/>
        </w:rPr>
        <w:t>zorO</w:t>
      </w:r>
      <w:proofErr w:type="spellEnd"/>
      <w:r w:rsidRPr="00F33FC4">
        <w:rPr>
          <w:rFonts w:eastAsia="MS Mincho"/>
        </w:rPr>
        <w:t xml:space="preserve"> is translated when present with its own promoter, we used the pBR-Δ28-FLAG-</w:t>
      </w:r>
      <w:r w:rsidRPr="00F33FC4">
        <w:rPr>
          <w:rFonts w:eastAsia="MS Mincho"/>
          <w:i/>
          <w:iCs/>
        </w:rPr>
        <w:t xml:space="preserve">zor </w:t>
      </w:r>
      <w:r w:rsidRPr="00F33FC4">
        <w:rPr>
          <w:rFonts w:eastAsia="MS Mincho"/>
        </w:rPr>
        <w:t xml:space="preserve">vectors and extracted the protein after growing cells until mid-log phase in LB. Although we were not able to detect </w:t>
      </w:r>
      <w:proofErr w:type="spellStart"/>
      <w:r w:rsidRPr="00F33FC4">
        <w:rPr>
          <w:rFonts w:eastAsia="MS Mincho"/>
        </w:rPr>
        <w:t>ZorO</w:t>
      </w:r>
      <w:proofErr w:type="spellEnd"/>
      <w:r w:rsidRPr="00F33FC4">
        <w:rPr>
          <w:rFonts w:eastAsia="MS Mincho"/>
        </w:rPr>
        <w:t xml:space="preserve"> via western blot we were successful in detecting it using the dot-blot assay (Fig. 4.8). </w:t>
      </w:r>
    </w:p>
    <w:p w14:paraId="55FA56FA" w14:textId="3F6FC55C" w:rsidR="00F33FC4" w:rsidRPr="00F33FC4" w:rsidRDefault="00F33FC4" w:rsidP="00F33FC4">
      <w:pPr>
        <w:spacing w:line="360" w:lineRule="auto"/>
        <w:ind w:firstLine="720"/>
        <w:rPr>
          <w:rFonts w:eastAsia="MS Mincho"/>
        </w:rPr>
      </w:pPr>
    </w:p>
    <w:p w14:paraId="7FE79A32" w14:textId="77777777" w:rsidR="00F33FC4" w:rsidRPr="00F33FC4" w:rsidRDefault="00F33FC4" w:rsidP="00F33FC4">
      <w:pPr>
        <w:rPr>
          <w:rFonts w:eastAsia="MS Mincho"/>
        </w:rPr>
      </w:pPr>
      <w:r w:rsidRPr="00F33FC4">
        <w:rPr>
          <w:rFonts w:ascii="Calibri" w:eastAsia="MS Mincho" w:hAnsi="Calibri" w:cs="Mangal"/>
          <w:noProof/>
        </w:rPr>
        <w:lastRenderedPageBreak/>
        <mc:AlternateContent>
          <mc:Choice Requires="wps">
            <w:drawing>
              <wp:anchor distT="0" distB="0" distL="114300" distR="114300" simplePos="0" relativeHeight="251727872" behindDoc="0" locked="0" layoutInCell="1" allowOverlap="1" wp14:anchorId="2522E2A1" wp14:editId="465D13CE">
                <wp:simplePos x="0" y="0"/>
                <wp:positionH relativeFrom="column">
                  <wp:posOffset>585470</wp:posOffset>
                </wp:positionH>
                <wp:positionV relativeFrom="paragraph">
                  <wp:posOffset>6409690</wp:posOffset>
                </wp:positionV>
                <wp:extent cx="5712460" cy="635"/>
                <wp:effectExtent l="0" t="0" r="2540" b="12065"/>
                <wp:wrapTopAndBottom/>
                <wp:docPr id="115" name="Text Box 115"/>
                <wp:cNvGraphicFramePr/>
                <a:graphic xmlns:a="http://schemas.openxmlformats.org/drawingml/2006/main">
                  <a:graphicData uri="http://schemas.microsoft.com/office/word/2010/wordprocessingShape">
                    <wps:wsp>
                      <wps:cNvSpPr txBox="1"/>
                      <wps:spPr>
                        <a:xfrm>
                          <a:off x="0" y="0"/>
                          <a:ext cx="5712460" cy="635"/>
                        </a:xfrm>
                        <a:prstGeom prst="rect">
                          <a:avLst/>
                        </a:prstGeom>
                        <a:solidFill>
                          <a:prstClr val="white"/>
                        </a:solidFill>
                        <a:ln>
                          <a:noFill/>
                        </a:ln>
                      </wps:spPr>
                      <wps:txbx>
                        <w:txbxContent>
                          <w:p w14:paraId="782D0943" w14:textId="77777777" w:rsidR="00F33FC4" w:rsidRPr="00CF23F0" w:rsidRDefault="00F33FC4" w:rsidP="00F33FC4">
                            <w:pPr>
                              <w:pStyle w:val="Caption"/>
                              <w:rPr>
                                <w:b/>
                                <w:bCs/>
                                <w:i/>
                                <w:iCs w:val="0"/>
                                <w:noProof/>
                                <w:sz w:val="22"/>
                                <w:szCs w:val="22"/>
                              </w:rPr>
                            </w:pPr>
                            <w:r w:rsidRPr="002869DE">
                              <w:rPr>
                                <w:iCs w:val="0"/>
                                <w:sz w:val="22"/>
                                <w:szCs w:val="22"/>
                              </w:rPr>
                              <w:t xml:space="preserve">Figure </w:t>
                            </w:r>
                            <w:r>
                              <w:rPr>
                                <w:iCs w:val="0"/>
                                <w:sz w:val="22"/>
                                <w:szCs w:val="22"/>
                              </w:rPr>
                              <w:t>4</w:t>
                            </w:r>
                            <w:r w:rsidRPr="002869DE">
                              <w:rPr>
                                <w:iCs w:val="0"/>
                                <w:sz w:val="22"/>
                                <w:szCs w:val="22"/>
                              </w:rPr>
                              <w:t>.</w:t>
                            </w:r>
                            <w:r>
                              <w:rPr>
                                <w:iCs w:val="0"/>
                                <w:sz w:val="22"/>
                                <w:szCs w:val="22"/>
                              </w:rPr>
                              <w:t>6</w:t>
                            </w:r>
                            <w:r w:rsidRPr="002869DE">
                              <w:rPr>
                                <w:iCs w:val="0"/>
                                <w:sz w:val="22"/>
                                <w:szCs w:val="22"/>
                              </w:rPr>
                              <w:t xml:space="preserve">. </w:t>
                            </w:r>
                            <w:r>
                              <w:rPr>
                                <w:iCs w:val="0"/>
                                <w:sz w:val="22"/>
                                <w:szCs w:val="22"/>
                              </w:rPr>
                              <w:t xml:space="preserve">Growth curve of the UTK007 cells with indicated plasmids in LB (A) and LB with 4 µg/ml kanamycin (B). </w:t>
                            </w:r>
                            <w:r>
                              <w:rPr>
                                <w:sz w:val="22"/>
                                <w:szCs w:val="22"/>
                              </w:rPr>
                              <w:t xml:space="preserve">n </w:t>
                            </w:r>
                            <w:r w:rsidRPr="00B31475">
                              <w:rPr>
                                <w:sz w:val="22"/>
                                <w:szCs w:val="22"/>
                              </w:rPr>
                              <w:t>≥</w:t>
                            </w:r>
                            <w:r>
                              <w:rPr>
                                <w:sz w:val="22"/>
                                <w:szCs w:val="22"/>
                              </w:rPr>
                              <w:t xml:space="preserve"> </w:t>
                            </w:r>
                            <w:r w:rsidRPr="005B5B34">
                              <w:rPr>
                                <w:sz w:val="22"/>
                                <w:szCs w:val="22"/>
                              </w:rPr>
                              <w:t>3</w:t>
                            </w:r>
                            <w:r>
                              <w:rPr>
                                <w:iCs w:val="0"/>
                                <w:sz w:val="22"/>
                                <w:szCs w:val="22"/>
                              </w:rPr>
                              <w:t>, shown are mean ± standard deviation (SD).</w:t>
                            </w:r>
                          </w:p>
                          <w:p w14:paraId="72C9456D" w14:textId="77777777" w:rsidR="00F33FC4" w:rsidRPr="002869DE" w:rsidRDefault="00F33FC4" w:rsidP="00F33FC4">
                            <w:pPr>
                              <w:pStyle w:val="Caption"/>
                              <w:rPr>
                                <w:b/>
                                <w:bCs/>
                                <w:i/>
                                <w:iCs w:val="0"/>
                                <w:noProof/>
                                <w:sz w:val="22"/>
                                <w:szCs w:val="2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522E2A1" id="Text Box 115" o:spid="_x0000_s1055" type="#_x0000_t202" style="position:absolute;margin-left:46.1pt;margin-top:504.7pt;width:449.8pt;height:.05pt;z-index:251727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" stroked="f">
                <v:textbox style="mso-fit-shape-to-text:t" inset="0,0,0,0">
                  <w:txbxContent>
                    <w:p w14:paraId="782D0943" w14:textId="77777777" w:rsidR="00F33FC4" w:rsidRPr="00CF23F0" w:rsidRDefault="00F33FC4" w:rsidP="00F33FC4">
                      <w:pPr>
                        <w:pStyle w:val="Caption"/>
                        <w:rPr>
                          <w:b/>
                          <w:bCs/>
                          <w:i/>
                          <w:iCs w:val="0"/>
                          <w:noProof/>
                          <w:sz w:val="22"/>
                          <w:szCs w:val="22"/>
                        </w:rPr>
                      </w:pPr>
                      <w:r w:rsidRPr="002869DE">
                        <w:rPr>
                          <w:iCs w:val="0"/>
                          <w:sz w:val="22"/>
                          <w:szCs w:val="22"/>
                        </w:rPr>
                        <w:t xml:space="preserve">Figure </w:t>
                      </w:r>
                      <w:r>
                        <w:rPr>
                          <w:iCs w:val="0"/>
                          <w:sz w:val="22"/>
                          <w:szCs w:val="22"/>
                        </w:rPr>
                        <w:t>4</w:t>
                      </w:r>
                      <w:r w:rsidRPr="002869DE">
                        <w:rPr>
                          <w:iCs w:val="0"/>
                          <w:sz w:val="22"/>
                          <w:szCs w:val="22"/>
                        </w:rPr>
                        <w:t>.</w:t>
                      </w:r>
                      <w:r>
                        <w:rPr>
                          <w:iCs w:val="0"/>
                          <w:sz w:val="22"/>
                          <w:szCs w:val="22"/>
                        </w:rPr>
                        <w:t>6</w:t>
                      </w:r>
                      <w:r w:rsidRPr="002869DE">
                        <w:rPr>
                          <w:iCs w:val="0"/>
                          <w:sz w:val="22"/>
                          <w:szCs w:val="22"/>
                        </w:rPr>
                        <w:t xml:space="preserve">. </w:t>
                      </w:r>
                      <w:r>
                        <w:rPr>
                          <w:iCs w:val="0"/>
                          <w:sz w:val="22"/>
                          <w:szCs w:val="22"/>
                        </w:rPr>
                        <w:t xml:space="preserve">Growth curve of the UTK007 cells with indicated plasmids in LB (A) and LB with 4 µg/ml kanamycin (B). </w:t>
                      </w:r>
                      <w:r>
                        <w:rPr>
                          <w:sz w:val="22"/>
                          <w:szCs w:val="22"/>
                        </w:rPr>
                        <w:t xml:space="preserve">n </w:t>
                      </w:r>
                      <w:r w:rsidRPr="00B31475">
                        <w:rPr>
                          <w:sz w:val="22"/>
                          <w:szCs w:val="22"/>
                        </w:rPr>
                        <w:t>≥</w:t>
                      </w:r>
                      <w:r>
                        <w:rPr>
                          <w:sz w:val="22"/>
                          <w:szCs w:val="22"/>
                        </w:rPr>
                        <w:t xml:space="preserve"> </w:t>
                      </w:r>
                      <w:r w:rsidRPr="005B5B34">
                        <w:rPr>
                          <w:sz w:val="22"/>
                          <w:szCs w:val="22"/>
                        </w:rPr>
                        <w:t>3</w:t>
                      </w:r>
                      <w:r>
                        <w:rPr>
                          <w:iCs w:val="0"/>
                          <w:sz w:val="22"/>
                          <w:szCs w:val="22"/>
                        </w:rPr>
                        <w:t>, shown are mean ± standard deviation (SD).</w:t>
                      </w:r>
                    </w:p>
                    <w:p w14:paraId="72C9456D" w14:textId="77777777" w:rsidR="00F33FC4" w:rsidRPr="002869DE" w:rsidRDefault="00F33FC4" w:rsidP="00F33FC4">
                      <w:pPr>
                        <w:pStyle w:val="Caption"/>
                        <w:rPr>
                          <w:b/>
                          <w:bCs/>
                          <w:i/>
                          <w:iCs w:val="0"/>
                          <w:noProof/>
                          <w:sz w:val="22"/>
                          <w:szCs w:val="22"/>
                        </w:rPr>
                      </w:pPr>
                    </w:p>
                  </w:txbxContent>
                </v:textbox>
                <w10:wrap type="topAndBottom"/>
              </v:shape>
            </w:pict>
          </mc:Fallback>
        </mc:AlternateContent>
      </w:r>
      <w:r w:rsidRPr="00F33FC4">
        <w:rPr>
          <w:rFonts w:eastAsia="MS Mincho"/>
          <w:noProof/>
        </w:rPr>
        <w:drawing>
          <wp:anchor distT="0" distB="0" distL="114300" distR="114300" simplePos="0" relativeHeight="251728896" behindDoc="0" locked="0" layoutInCell="1" allowOverlap="1" wp14:anchorId="7BCD8D17" wp14:editId="17AAA198">
            <wp:simplePos x="0" y="0"/>
            <wp:positionH relativeFrom="column">
              <wp:posOffset>1100455</wp:posOffset>
            </wp:positionH>
            <wp:positionV relativeFrom="paragraph">
              <wp:posOffset>270510</wp:posOffset>
            </wp:positionV>
            <wp:extent cx="3987800" cy="5765800"/>
            <wp:effectExtent l="0" t="0" r="0" b="0"/>
            <wp:wrapTopAndBottom/>
            <wp:docPr id="125" name="Picture 125" descr="Chart, diagram,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Chart, diagram, histogram&#10;&#10;Description automatically generated"/>
                    <pic:cNvPicPr/>
                  </pic:nvPicPr>
                  <pic:blipFill>
                    <a:blip r:embed="rId42" cstate="print">
                      <a:extLst>
                        <a:ext uri="{28A0092B-C50C-407E-A947-70E740481C1C}">
                          <a14:useLocalDpi xmlns:a14="http://schemas.microsoft.com/office/drawing/2010/main" val="0"/>
                        </a:ext>
                      </a:extLst>
                    </a:blip>
                    <a:stretch>
                      <a:fillRect/>
                    </a:stretch>
                  </pic:blipFill>
                  <pic:spPr>
                    <a:xfrm>
                      <a:off x="0" y="0"/>
                      <a:ext cx="3987800" cy="5765800"/>
                    </a:xfrm>
                    <a:prstGeom prst="rect">
                      <a:avLst/>
                    </a:prstGeom>
                  </pic:spPr>
                </pic:pic>
              </a:graphicData>
            </a:graphic>
            <wp14:sizeRelH relativeFrom="page">
              <wp14:pctWidth>0</wp14:pctWidth>
            </wp14:sizeRelH>
            <wp14:sizeRelV relativeFrom="page">
              <wp14:pctHeight>0</wp14:pctHeight>
            </wp14:sizeRelV>
          </wp:anchor>
        </w:drawing>
      </w:r>
      <w:r w:rsidRPr="00F33FC4">
        <w:rPr>
          <w:rFonts w:eastAsia="MS Mincho"/>
        </w:rPr>
        <w:t xml:space="preserve"> </w:t>
      </w:r>
      <w:r w:rsidRPr="00F33FC4">
        <w:rPr>
          <w:rFonts w:eastAsia="MS Mincho"/>
        </w:rPr>
        <w:br w:type="page"/>
      </w:r>
    </w:p>
    <w:p w14:paraId="352A345E" w14:textId="3DF3201B" w:rsidR="00F33FC4" w:rsidRPr="00F33FC4" w:rsidRDefault="00F33FC4" w:rsidP="004F5CA8">
      <w:pPr>
        <w:rPr>
          <w:rFonts w:eastAsia="MS Mincho"/>
        </w:rPr>
      </w:pPr>
      <w:r w:rsidRPr="00F33FC4">
        <w:rPr>
          <w:rFonts w:ascii="Calibri" w:eastAsia="MS Mincho" w:hAnsi="Calibri" w:cs="Mangal"/>
          <w:noProof/>
        </w:rPr>
        <w:lastRenderedPageBreak/>
        <mc:AlternateContent>
          <mc:Choice Requires="wps">
            <w:drawing>
              <wp:anchor distT="0" distB="0" distL="114300" distR="114300" simplePos="0" relativeHeight="251730944" behindDoc="0" locked="0" layoutInCell="1" allowOverlap="1" wp14:anchorId="08060FFA" wp14:editId="6B9F8F6F">
                <wp:simplePos x="0" y="0"/>
                <wp:positionH relativeFrom="column">
                  <wp:posOffset>243191</wp:posOffset>
                </wp:positionH>
                <wp:positionV relativeFrom="paragraph">
                  <wp:posOffset>6247386</wp:posOffset>
                </wp:positionV>
                <wp:extent cx="5712460" cy="635"/>
                <wp:effectExtent l="0" t="0" r="2540" b="12065"/>
                <wp:wrapTopAndBottom/>
                <wp:docPr id="116" name="Text Box 116"/>
                <wp:cNvGraphicFramePr/>
                <a:graphic xmlns:a="http://schemas.openxmlformats.org/drawingml/2006/main">
                  <a:graphicData uri="http://schemas.microsoft.com/office/word/2010/wordprocessingShape">
                    <wps:wsp>
                      <wps:cNvSpPr txBox="1"/>
                      <wps:spPr>
                        <a:xfrm>
                          <a:off x="0" y="0"/>
                          <a:ext cx="5712460" cy="635"/>
                        </a:xfrm>
                        <a:prstGeom prst="rect">
                          <a:avLst/>
                        </a:prstGeom>
                        <a:solidFill>
                          <a:prstClr val="white"/>
                        </a:solidFill>
                        <a:ln>
                          <a:noFill/>
                        </a:ln>
                      </wps:spPr>
                      <wps:txbx>
                        <w:txbxContent>
                          <w:p w14:paraId="2E794AA1" w14:textId="77777777" w:rsidR="00F33FC4" w:rsidRPr="00CF23F0" w:rsidRDefault="00F33FC4" w:rsidP="00F33FC4">
                            <w:pPr>
                              <w:pStyle w:val="Caption"/>
                              <w:rPr>
                                <w:b/>
                                <w:bCs/>
                                <w:i/>
                                <w:iCs w:val="0"/>
                                <w:noProof/>
                                <w:sz w:val="22"/>
                                <w:szCs w:val="22"/>
                              </w:rPr>
                            </w:pPr>
                            <w:r w:rsidRPr="002869DE">
                              <w:rPr>
                                <w:iCs w:val="0"/>
                                <w:sz w:val="22"/>
                                <w:szCs w:val="22"/>
                              </w:rPr>
                              <w:t xml:space="preserve">Figure </w:t>
                            </w:r>
                            <w:r>
                              <w:rPr>
                                <w:iCs w:val="0"/>
                                <w:sz w:val="22"/>
                                <w:szCs w:val="22"/>
                              </w:rPr>
                              <w:t>4</w:t>
                            </w:r>
                            <w:r w:rsidRPr="002869DE">
                              <w:rPr>
                                <w:iCs w:val="0"/>
                                <w:sz w:val="22"/>
                                <w:szCs w:val="22"/>
                              </w:rPr>
                              <w:t>.</w:t>
                            </w:r>
                            <w:r>
                              <w:rPr>
                                <w:iCs w:val="0"/>
                                <w:sz w:val="22"/>
                                <w:szCs w:val="22"/>
                              </w:rPr>
                              <w:t>7</w:t>
                            </w:r>
                            <w:r w:rsidRPr="002869DE">
                              <w:rPr>
                                <w:iCs w:val="0"/>
                                <w:sz w:val="22"/>
                                <w:szCs w:val="22"/>
                              </w:rPr>
                              <w:t xml:space="preserve">. </w:t>
                            </w:r>
                            <w:r>
                              <w:rPr>
                                <w:iCs w:val="0"/>
                                <w:sz w:val="22"/>
                                <w:szCs w:val="22"/>
                              </w:rPr>
                              <w:t xml:space="preserve">Growth curve of the UTK007 cells with indicated plasmids in LB (A) and LB with 4 µg/ml kanamycin (B). </w:t>
                            </w:r>
                            <w:r>
                              <w:rPr>
                                <w:sz w:val="22"/>
                                <w:szCs w:val="22"/>
                              </w:rPr>
                              <w:t xml:space="preserve">n </w:t>
                            </w:r>
                            <w:r w:rsidRPr="00B31475">
                              <w:rPr>
                                <w:sz w:val="22"/>
                                <w:szCs w:val="22"/>
                              </w:rPr>
                              <w:t>≥</w:t>
                            </w:r>
                            <w:r>
                              <w:rPr>
                                <w:sz w:val="22"/>
                                <w:szCs w:val="22"/>
                              </w:rPr>
                              <w:t xml:space="preserve"> </w:t>
                            </w:r>
                            <w:r w:rsidRPr="005B5B34">
                              <w:rPr>
                                <w:sz w:val="22"/>
                                <w:szCs w:val="22"/>
                              </w:rPr>
                              <w:t>3</w:t>
                            </w:r>
                            <w:r>
                              <w:rPr>
                                <w:iCs w:val="0"/>
                                <w:sz w:val="22"/>
                                <w:szCs w:val="22"/>
                              </w:rPr>
                              <w:t>, shown are mean ± standard deviation (SD).</w:t>
                            </w:r>
                          </w:p>
                          <w:p w14:paraId="7E30C8D8" w14:textId="77777777" w:rsidR="00F33FC4" w:rsidRPr="002869DE" w:rsidRDefault="00F33FC4" w:rsidP="00F33FC4">
                            <w:pPr>
                              <w:pStyle w:val="Caption"/>
                              <w:rPr>
                                <w:b/>
                                <w:bCs/>
                                <w:i/>
                                <w:iCs w:val="0"/>
                                <w:noProof/>
                                <w:sz w:val="22"/>
                                <w:szCs w:val="2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8060FFA" id="Text Box 116" o:spid="_x0000_s1056" type="#_x0000_t202" style="position:absolute;margin-left:19.15pt;margin-top:491.9pt;width:449.8pt;height:.05pt;z-index:2517309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" stroked="f">
                <v:textbox style="mso-fit-shape-to-text:t" inset="0,0,0,0">
                  <w:txbxContent>
                    <w:p w14:paraId="2E794AA1" w14:textId="77777777" w:rsidR="00F33FC4" w:rsidRPr="00CF23F0" w:rsidRDefault="00F33FC4" w:rsidP="00F33FC4">
                      <w:pPr>
                        <w:pStyle w:val="Caption"/>
                        <w:rPr>
                          <w:b/>
                          <w:bCs/>
                          <w:i/>
                          <w:iCs w:val="0"/>
                          <w:noProof/>
                          <w:sz w:val="22"/>
                          <w:szCs w:val="22"/>
                        </w:rPr>
                      </w:pPr>
                      <w:r w:rsidRPr="002869DE">
                        <w:rPr>
                          <w:iCs w:val="0"/>
                          <w:sz w:val="22"/>
                          <w:szCs w:val="22"/>
                        </w:rPr>
                        <w:t xml:space="preserve">Figure </w:t>
                      </w:r>
                      <w:r>
                        <w:rPr>
                          <w:iCs w:val="0"/>
                          <w:sz w:val="22"/>
                          <w:szCs w:val="22"/>
                        </w:rPr>
                        <w:t>4</w:t>
                      </w:r>
                      <w:r w:rsidRPr="002869DE">
                        <w:rPr>
                          <w:iCs w:val="0"/>
                          <w:sz w:val="22"/>
                          <w:szCs w:val="22"/>
                        </w:rPr>
                        <w:t>.</w:t>
                      </w:r>
                      <w:r>
                        <w:rPr>
                          <w:iCs w:val="0"/>
                          <w:sz w:val="22"/>
                          <w:szCs w:val="22"/>
                        </w:rPr>
                        <w:t>7</w:t>
                      </w:r>
                      <w:r w:rsidRPr="002869DE">
                        <w:rPr>
                          <w:iCs w:val="0"/>
                          <w:sz w:val="22"/>
                          <w:szCs w:val="22"/>
                        </w:rPr>
                        <w:t xml:space="preserve">. </w:t>
                      </w:r>
                      <w:r>
                        <w:rPr>
                          <w:iCs w:val="0"/>
                          <w:sz w:val="22"/>
                          <w:szCs w:val="22"/>
                        </w:rPr>
                        <w:t xml:space="preserve">Growth curve of the UTK007 cells with indicated plasmids in LB (A) and LB with 4 µg/ml kanamycin (B). </w:t>
                      </w:r>
                      <w:r>
                        <w:rPr>
                          <w:sz w:val="22"/>
                          <w:szCs w:val="22"/>
                        </w:rPr>
                        <w:t xml:space="preserve">n </w:t>
                      </w:r>
                      <w:r w:rsidRPr="00B31475">
                        <w:rPr>
                          <w:sz w:val="22"/>
                          <w:szCs w:val="22"/>
                        </w:rPr>
                        <w:t>≥</w:t>
                      </w:r>
                      <w:r>
                        <w:rPr>
                          <w:sz w:val="22"/>
                          <w:szCs w:val="22"/>
                        </w:rPr>
                        <w:t xml:space="preserve"> </w:t>
                      </w:r>
                      <w:r w:rsidRPr="005B5B34">
                        <w:rPr>
                          <w:sz w:val="22"/>
                          <w:szCs w:val="22"/>
                        </w:rPr>
                        <w:t>3</w:t>
                      </w:r>
                      <w:r>
                        <w:rPr>
                          <w:iCs w:val="0"/>
                          <w:sz w:val="22"/>
                          <w:szCs w:val="22"/>
                        </w:rPr>
                        <w:t>, shown are mean ± standard deviation (SD).</w:t>
                      </w:r>
                    </w:p>
                    <w:p w14:paraId="7E30C8D8" w14:textId="77777777" w:rsidR="00F33FC4" w:rsidRPr="002869DE" w:rsidRDefault="00F33FC4" w:rsidP="00F33FC4">
                      <w:pPr>
                        <w:pStyle w:val="Caption"/>
                        <w:rPr>
                          <w:b/>
                          <w:bCs/>
                          <w:i/>
                          <w:iCs w:val="0"/>
                          <w:noProof/>
                          <w:sz w:val="22"/>
                          <w:szCs w:val="22"/>
                        </w:rPr>
                      </w:pPr>
                    </w:p>
                  </w:txbxContent>
                </v:textbox>
                <w10:wrap type="topAndBottom"/>
              </v:shape>
            </w:pict>
          </mc:Fallback>
        </mc:AlternateContent>
      </w:r>
      <w:r w:rsidRPr="00F33FC4">
        <w:rPr>
          <w:rFonts w:eastAsia="MS Mincho"/>
          <w:noProof/>
        </w:rPr>
        <w:drawing>
          <wp:anchor distT="0" distB="0" distL="114300" distR="114300" simplePos="0" relativeHeight="251729920" behindDoc="0" locked="0" layoutInCell="1" allowOverlap="1" wp14:anchorId="634E7634" wp14:editId="5419A3D9">
            <wp:simplePos x="0" y="0"/>
            <wp:positionH relativeFrom="column">
              <wp:posOffset>389106</wp:posOffset>
            </wp:positionH>
            <wp:positionV relativeFrom="paragraph">
              <wp:posOffset>0</wp:posOffset>
            </wp:positionV>
            <wp:extent cx="4876800" cy="6121400"/>
            <wp:effectExtent l="0" t="0" r="0" b="0"/>
            <wp:wrapTopAndBottom/>
            <wp:docPr id="126" name="Picture 126" descr="Chart, diagram,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Chart, diagram, histogram&#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4876800" cy="6121400"/>
                    </a:xfrm>
                    <a:prstGeom prst="rect">
                      <a:avLst/>
                    </a:prstGeom>
                  </pic:spPr>
                </pic:pic>
              </a:graphicData>
            </a:graphic>
            <wp14:sizeRelH relativeFrom="page">
              <wp14:pctWidth>0</wp14:pctWidth>
            </wp14:sizeRelH>
            <wp14:sizeRelV relativeFrom="page">
              <wp14:pctHeight>0</wp14:pctHeight>
            </wp14:sizeRelV>
          </wp:anchor>
        </w:drawing>
      </w:r>
      <w:r w:rsidRPr="00F33FC4">
        <w:rPr>
          <w:rFonts w:eastAsia="MS Mincho"/>
        </w:rPr>
        <w:br w:type="page"/>
      </w:r>
    </w:p>
    <w:p w14:paraId="2F27CCF2" w14:textId="77777777" w:rsidR="00F33FC4" w:rsidRPr="00F33FC4" w:rsidRDefault="00F33FC4" w:rsidP="00F33FC4">
      <w:pPr>
        <w:spacing w:line="360" w:lineRule="auto"/>
        <w:rPr>
          <w:rFonts w:eastAsia="MS Mincho"/>
          <w:b/>
          <w:bCs/>
        </w:rPr>
      </w:pPr>
      <w:r w:rsidRPr="00F33FC4">
        <w:rPr>
          <w:rFonts w:eastAsia="MS Mincho"/>
          <w:b/>
          <w:bCs/>
        </w:rPr>
        <w:lastRenderedPageBreak/>
        <w:t xml:space="preserve">Role of </w:t>
      </w:r>
      <w:proofErr w:type="spellStart"/>
      <w:r w:rsidRPr="00F33FC4">
        <w:rPr>
          <w:rFonts w:eastAsia="MS Mincho"/>
          <w:b/>
          <w:bCs/>
          <w:i/>
          <w:iCs/>
        </w:rPr>
        <w:t>zorO-orzO</w:t>
      </w:r>
      <w:proofErr w:type="spellEnd"/>
      <w:r w:rsidRPr="00F33FC4">
        <w:rPr>
          <w:rFonts w:eastAsia="MS Mincho"/>
          <w:b/>
          <w:bCs/>
        </w:rPr>
        <w:t xml:space="preserve"> gene pair and </w:t>
      </w:r>
      <w:proofErr w:type="spellStart"/>
      <w:r w:rsidRPr="00F33FC4">
        <w:rPr>
          <w:rFonts w:eastAsia="MS Mincho"/>
          <w:b/>
          <w:bCs/>
          <w:i/>
          <w:iCs/>
        </w:rPr>
        <w:t>zorO</w:t>
      </w:r>
      <w:proofErr w:type="spellEnd"/>
      <w:r w:rsidRPr="00F33FC4">
        <w:rPr>
          <w:rFonts w:eastAsia="MS Mincho"/>
          <w:b/>
          <w:bCs/>
        </w:rPr>
        <w:t xml:space="preserve"> variants at chromosomal level in MG1655 strain</w:t>
      </w:r>
    </w:p>
    <w:p w14:paraId="24EE2EBE" w14:textId="77777777" w:rsidR="00F33FC4" w:rsidRPr="00F33FC4" w:rsidRDefault="00F33FC4" w:rsidP="00F33FC4">
      <w:pPr>
        <w:spacing w:line="360" w:lineRule="auto"/>
        <w:ind w:firstLine="720"/>
        <w:rPr>
          <w:rFonts w:eastAsia="MS Mincho"/>
        </w:rPr>
      </w:pPr>
      <w:r w:rsidRPr="00F33FC4">
        <w:rPr>
          <w:rFonts w:eastAsia="MS Mincho"/>
        </w:rPr>
        <w:t xml:space="preserve">Given our above data, we wanted to determine if kanamycin protection could be induced via production from the chromosome, as opposed to multicopy, we investigated the effects at the chromosomal level by recombineering </w:t>
      </w:r>
      <w:proofErr w:type="spellStart"/>
      <w:r w:rsidRPr="00F33FC4">
        <w:rPr>
          <w:rFonts w:eastAsia="MS Mincho"/>
          <w:i/>
          <w:iCs/>
        </w:rPr>
        <w:t>zorO-orzO</w:t>
      </w:r>
      <w:proofErr w:type="spellEnd"/>
      <w:r w:rsidRPr="00F33FC4">
        <w:rPr>
          <w:rFonts w:eastAsia="MS Mincho"/>
        </w:rPr>
        <w:t xml:space="preserve">, </w:t>
      </w:r>
      <w:proofErr w:type="spellStart"/>
      <w:r w:rsidRPr="00F33FC4">
        <w:rPr>
          <w:rFonts w:eastAsia="MS Mincho"/>
          <w:i/>
          <w:iCs/>
        </w:rPr>
        <w:t>zorO</w:t>
      </w:r>
      <w:proofErr w:type="spellEnd"/>
      <w:r w:rsidRPr="00F33FC4">
        <w:rPr>
          <w:rFonts w:eastAsia="MS Mincho"/>
        </w:rPr>
        <w:t xml:space="preserve"> and Δ28-FLAG-</w:t>
      </w:r>
      <w:r w:rsidRPr="00F33FC4">
        <w:rPr>
          <w:rFonts w:eastAsia="MS Mincho"/>
          <w:i/>
          <w:iCs/>
        </w:rPr>
        <w:t xml:space="preserve">zorO </w:t>
      </w:r>
      <w:r w:rsidRPr="00F33FC4">
        <w:rPr>
          <w:rFonts w:eastAsia="MS Mincho"/>
        </w:rPr>
        <w:t xml:space="preserve">into the chromosome of </w:t>
      </w:r>
      <w:r w:rsidRPr="00F33FC4">
        <w:rPr>
          <w:rFonts w:eastAsia="MS Mincho"/>
          <w:i/>
          <w:iCs/>
        </w:rPr>
        <w:t>E. coli</w:t>
      </w:r>
      <w:r w:rsidRPr="00F33FC4">
        <w:rPr>
          <w:rFonts w:eastAsia="MS Mincho"/>
        </w:rPr>
        <w:t xml:space="preserve"> MG1655 strain. In LB media alone the growth of these strains was similar (Fig. 4.9A). Unlike the improved growth in kanamycin that was observed with </w:t>
      </w:r>
      <w:proofErr w:type="spellStart"/>
      <w:r w:rsidRPr="00F33FC4">
        <w:rPr>
          <w:rFonts w:eastAsia="MS Mincho"/>
        </w:rPr>
        <w:t>pBR-</w:t>
      </w:r>
      <w:r w:rsidRPr="00F33FC4">
        <w:rPr>
          <w:rFonts w:eastAsia="MS Mincho"/>
          <w:i/>
          <w:iCs/>
        </w:rPr>
        <w:t>zorO-orzO</w:t>
      </w:r>
      <w:proofErr w:type="spellEnd"/>
      <w:r w:rsidRPr="00F33FC4">
        <w:rPr>
          <w:rFonts w:eastAsia="MS Mincho"/>
        </w:rPr>
        <w:t xml:space="preserve">, we were unable to see the growth benefit with the chromosomal copy of </w:t>
      </w:r>
      <w:proofErr w:type="spellStart"/>
      <w:r w:rsidRPr="00F33FC4">
        <w:rPr>
          <w:rFonts w:eastAsia="MS Mincho"/>
          <w:i/>
          <w:iCs/>
        </w:rPr>
        <w:t>zorO-orzO</w:t>
      </w:r>
      <w:proofErr w:type="spellEnd"/>
      <w:r w:rsidRPr="00F33FC4">
        <w:rPr>
          <w:rFonts w:eastAsia="MS Mincho"/>
        </w:rPr>
        <w:t xml:space="preserve"> in MG1655 (Fig. 4.9B). Similarly, MG-</w:t>
      </w:r>
      <w:proofErr w:type="spellStart"/>
      <w:r w:rsidRPr="00F33FC4">
        <w:rPr>
          <w:rFonts w:eastAsia="MS Mincho"/>
          <w:i/>
          <w:iCs/>
        </w:rPr>
        <w:t>zorO</w:t>
      </w:r>
      <w:proofErr w:type="spellEnd"/>
      <w:r w:rsidRPr="00F33FC4">
        <w:rPr>
          <w:rFonts w:eastAsia="MS Mincho"/>
        </w:rPr>
        <w:t>, MG-Δ28-FLAG-</w:t>
      </w:r>
      <w:r w:rsidRPr="00F33FC4">
        <w:rPr>
          <w:rFonts w:eastAsia="MS Mincho"/>
          <w:i/>
          <w:iCs/>
        </w:rPr>
        <w:t xml:space="preserve">zorO, </w:t>
      </w:r>
      <w:r w:rsidRPr="00F33FC4">
        <w:rPr>
          <w:rFonts w:eastAsia="MS Mincho"/>
        </w:rPr>
        <w:t>and MG</w:t>
      </w:r>
      <w:r w:rsidRPr="00F33FC4">
        <w:rPr>
          <w:rFonts w:eastAsia="MS Mincho"/>
          <w:i/>
          <w:iCs/>
        </w:rPr>
        <w:t>-</w:t>
      </w:r>
      <w:r w:rsidRPr="00F33FC4">
        <w:rPr>
          <w:rFonts w:eastAsia="MS Mincho"/>
        </w:rPr>
        <w:t>Δ28-FLAG-</w:t>
      </w:r>
      <w:r w:rsidRPr="00F33FC4">
        <w:rPr>
          <w:rFonts w:eastAsia="MS Mincho"/>
          <w:i/>
          <w:iCs/>
        </w:rPr>
        <w:t>zorO-</w:t>
      </w:r>
      <w:r w:rsidRPr="00F33FC4">
        <w:rPr>
          <w:rFonts w:eastAsia="MS Mincho"/>
        </w:rPr>
        <w:t>R23L</w:t>
      </w:r>
      <w:r w:rsidRPr="00F33FC4">
        <w:rPr>
          <w:rFonts w:eastAsia="MS Mincho"/>
          <w:i/>
          <w:iCs/>
        </w:rPr>
        <w:t xml:space="preserve"> </w:t>
      </w:r>
      <w:r w:rsidRPr="00F33FC4">
        <w:rPr>
          <w:rFonts w:eastAsia="MS Mincho"/>
        </w:rPr>
        <w:t>also had similar growth patterns in LB with kanamycin (Fig. 4.9B).</w:t>
      </w:r>
    </w:p>
    <w:p w14:paraId="6083E5CB" w14:textId="77777777" w:rsidR="00F33FC4" w:rsidRPr="00F33FC4" w:rsidRDefault="00F33FC4" w:rsidP="00F33FC4">
      <w:pPr>
        <w:spacing w:line="360" w:lineRule="auto"/>
        <w:rPr>
          <w:rFonts w:eastAsia="MS Mincho"/>
          <w:b/>
          <w:bCs/>
        </w:rPr>
      </w:pPr>
    </w:p>
    <w:p w14:paraId="3F13947B" w14:textId="77777777" w:rsidR="00F33FC4" w:rsidRPr="00F33FC4" w:rsidRDefault="00F33FC4" w:rsidP="00F33FC4">
      <w:pPr>
        <w:spacing w:line="360" w:lineRule="auto"/>
        <w:rPr>
          <w:rFonts w:eastAsia="MS Mincho"/>
          <w:b/>
          <w:bCs/>
        </w:rPr>
      </w:pPr>
      <w:proofErr w:type="spellStart"/>
      <w:r w:rsidRPr="00F33FC4">
        <w:rPr>
          <w:rFonts w:eastAsia="MS Mincho"/>
          <w:b/>
          <w:bCs/>
        </w:rPr>
        <w:t>OrzO</w:t>
      </w:r>
      <w:proofErr w:type="spellEnd"/>
      <w:r w:rsidRPr="00F33FC4">
        <w:rPr>
          <w:rFonts w:eastAsia="MS Mincho"/>
          <w:b/>
          <w:bCs/>
        </w:rPr>
        <w:t xml:space="preserve"> overexpression does not improve growth in kanamycin</w:t>
      </w:r>
    </w:p>
    <w:p w14:paraId="6D341690" w14:textId="39707025" w:rsidR="00F33FC4" w:rsidRPr="00F33FC4" w:rsidRDefault="00F33FC4" w:rsidP="00F33FC4">
      <w:pPr>
        <w:spacing w:line="360" w:lineRule="auto"/>
        <w:ind w:firstLine="720"/>
        <w:rPr>
          <w:rFonts w:eastAsia="MS Mincho"/>
        </w:rPr>
      </w:pPr>
      <w:r w:rsidRPr="00F33FC4">
        <w:rPr>
          <w:rFonts w:eastAsia="MS Mincho"/>
        </w:rPr>
        <w:t xml:space="preserve">The above results (Fig. 4.9) raised the question if the improved growth in kanamycin was due to the antitoxin </w:t>
      </w:r>
      <w:proofErr w:type="spellStart"/>
      <w:r w:rsidRPr="00F33FC4">
        <w:rPr>
          <w:rFonts w:eastAsia="MS Mincho"/>
        </w:rPr>
        <w:t>OrzO</w:t>
      </w:r>
      <w:proofErr w:type="spellEnd"/>
      <w:r w:rsidRPr="00F33FC4">
        <w:rPr>
          <w:rFonts w:eastAsia="MS Mincho"/>
        </w:rPr>
        <w:t>.</w:t>
      </w:r>
      <w:r w:rsidR="000725B7">
        <w:rPr>
          <w:rFonts w:eastAsia="MS Mincho"/>
        </w:rPr>
        <w:t xml:space="preserve"> </w:t>
      </w:r>
      <w:r w:rsidRPr="00F33FC4">
        <w:rPr>
          <w:rFonts w:eastAsia="MS Mincho"/>
          <w:color w:val="000000"/>
          <w:spacing w:val="-4"/>
          <w:kern w:val="1"/>
          <w:lang w:bidi="ne-NP"/>
        </w:rPr>
        <w:t xml:space="preserve">To test this, we overexpressed </w:t>
      </w:r>
      <w:proofErr w:type="spellStart"/>
      <w:r w:rsidRPr="00F33FC4">
        <w:rPr>
          <w:rFonts w:eastAsia="MS Mincho"/>
          <w:color w:val="000000"/>
          <w:spacing w:val="-4"/>
          <w:kern w:val="1"/>
          <w:lang w:bidi="ne-NP"/>
        </w:rPr>
        <w:t>orzO</w:t>
      </w:r>
      <w:proofErr w:type="spellEnd"/>
      <w:r w:rsidRPr="00F33FC4">
        <w:rPr>
          <w:rFonts w:eastAsia="MS Mincho"/>
          <w:color w:val="000000"/>
          <w:spacing w:val="-4"/>
          <w:kern w:val="1"/>
          <w:lang w:bidi="ne-NP"/>
        </w:rPr>
        <w:t xml:space="preserve"> from the </w:t>
      </w:r>
      <w:proofErr w:type="spellStart"/>
      <w:r w:rsidRPr="00F33FC4">
        <w:rPr>
          <w:rFonts w:eastAsia="MS Mincho"/>
          <w:color w:val="000000"/>
          <w:spacing w:val="-4"/>
          <w:kern w:val="1"/>
          <w:lang w:bidi="ne-NP"/>
        </w:rPr>
        <w:t>Placo</w:t>
      </w:r>
      <w:proofErr w:type="spellEnd"/>
      <w:r w:rsidRPr="00F33FC4">
        <w:rPr>
          <w:rFonts w:eastAsia="MS Mincho"/>
          <w:color w:val="000000"/>
          <w:spacing w:val="-4"/>
          <w:kern w:val="1"/>
          <w:lang w:bidi="ne-NP"/>
        </w:rPr>
        <w:t xml:space="preserve"> promoter from </w:t>
      </w:r>
      <w:proofErr w:type="spellStart"/>
      <w:r w:rsidRPr="00F33FC4">
        <w:rPr>
          <w:rFonts w:eastAsia="MS Mincho"/>
          <w:color w:val="000000"/>
          <w:spacing w:val="-4"/>
          <w:kern w:val="1"/>
          <w:lang w:bidi="ne-NP"/>
        </w:rPr>
        <w:t>pBR-plac-OrzO</w:t>
      </w:r>
      <w:proofErr w:type="spellEnd"/>
      <w:r w:rsidRPr="00F33FC4">
        <w:rPr>
          <w:rFonts w:eastAsia="MS Mincho"/>
          <w:color w:val="000000"/>
          <w:spacing w:val="-4"/>
          <w:kern w:val="1"/>
          <w:lang w:bidi="ne-NP"/>
        </w:rPr>
        <w:t xml:space="preserve"> and monitored cell growth in LB or LB with kanamycin </w:t>
      </w:r>
      <w:r w:rsidRPr="00F33FC4">
        <w:rPr>
          <w:rFonts w:eastAsia="MS Mincho"/>
          <w:noProof/>
          <w:color w:val="000000"/>
          <w:spacing w:val="-4"/>
          <w:kern w:val="1"/>
          <w:lang w:bidi="ne-NP"/>
        </w:rPr>
        <w:t>(17)</w:t>
      </w:r>
      <w:r w:rsidRPr="00F33FC4">
        <w:rPr>
          <w:rFonts w:eastAsia="MS Mincho"/>
          <w:color w:val="000000"/>
          <w:spacing w:val="-4"/>
          <w:kern w:val="1"/>
          <w:lang w:bidi="ne-NP"/>
        </w:rPr>
        <w:t>.</w:t>
      </w:r>
      <w:r w:rsidR="000725B7">
        <w:rPr>
          <w:rFonts w:eastAsia="MS Mincho"/>
          <w:color w:val="000000"/>
          <w:spacing w:val="-4"/>
          <w:kern w:val="1"/>
          <w:lang w:bidi="ne-NP"/>
        </w:rPr>
        <w:t xml:space="preserve"> </w:t>
      </w:r>
      <w:r w:rsidRPr="00F33FC4">
        <w:rPr>
          <w:rFonts w:eastAsia="MS Mincho"/>
          <w:color w:val="000000"/>
          <w:spacing w:val="-4"/>
          <w:kern w:val="1"/>
          <w:lang w:bidi="ne-NP"/>
        </w:rPr>
        <w:t xml:space="preserve">cells overexpressing </w:t>
      </w:r>
      <w:proofErr w:type="spellStart"/>
      <w:r w:rsidRPr="00F33FC4">
        <w:rPr>
          <w:rFonts w:eastAsia="MS Mincho"/>
          <w:color w:val="000000"/>
          <w:spacing w:val="-4"/>
          <w:kern w:val="1"/>
          <w:lang w:bidi="ne-NP"/>
        </w:rPr>
        <w:t>OrzO</w:t>
      </w:r>
      <w:proofErr w:type="spellEnd"/>
      <w:r w:rsidRPr="00F33FC4">
        <w:rPr>
          <w:rFonts w:eastAsia="MS Mincho"/>
          <w:color w:val="000000"/>
          <w:spacing w:val="-4"/>
          <w:kern w:val="1"/>
          <w:lang w:bidi="ne-NP"/>
        </w:rPr>
        <w:t xml:space="preserve"> had similar growth pattern to those with empty vector in LB medium and did not improve growth in LB with kanamycin Fig. 4.10A and 4.10B). Interestingly, cell growth was slowed with </w:t>
      </w:r>
      <w:proofErr w:type="spellStart"/>
      <w:r w:rsidRPr="00F33FC4">
        <w:rPr>
          <w:rFonts w:eastAsia="MS Mincho"/>
          <w:color w:val="000000"/>
          <w:spacing w:val="-4"/>
          <w:kern w:val="1"/>
          <w:lang w:bidi="ne-NP"/>
        </w:rPr>
        <w:t>OrzO</w:t>
      </w:r>
      <w:proofErr w:type="spellEnd"/>
      <w:r w:rsidRPr="00F33FC4">
        <w:rPr>
          <w:rFonts w:eastAsia="MS Mincho"/>
          <w:color w:val="000000"/>
          <w:spacing w:val="-4"/>
          <w:kern w:val="1"/>
          <w:lang w:bidi="ne-NP"/>
        </w:rPr>
        <w:t xml:space="preserve"> overexpression in kanamycin (Fig. 4.10B).</w:t>
      </w:r>
    </w:p>
    <w:p w14:paraId="02527107" w14:textId="2842A908" w:rsidR="00F33FC4" w:rsidRDefault="00F33FC4" w:rsidP="00F33FC4">
      <w:pPr>
        <w:spacing w:line="360" w:lineRule="auto"/>
        <w:rPr>
          <w:rFonts w:eastAsia="MS Mincho"/>
          <w:b/>
          <w:bCs/>
        </w:rPr>
      </w:pPr>
    </w:p>
    <w:p w14:paraId="6D9DAFC6" w14:textId="77777777" w:rsidR="00862E05" w:rsidRPr="00F33FC4" w:rsidRDefault="00862E05" w:rsidP="00862E05">
      <w:pPr>
        <w:spacing w:line="360" w:lineRule="auto"/>
        <w:rPr>
          <w:rFonts w:eastAsia="MS Mincho"/>
          <w:b/>
          <w:bCs/>
        </w:rPr>
      </w:pPr>
      <w:r w:rsidRPr="00F33FC4">
        <w:rPr>
          <w:rFonts w:eastAsia="MS Mincho"/>
          <w:b/>
          <w:bCs/>
        </w:rPr>
        <w:t xml:space="preserve">IV. Discussion </w:t>
      </w:r>
    </w:p>
    <w:p w14:paraId="205B677B" w14:textId="1609AF01" w:rsidR="00862E05" w:rsidRPr="00F33FC4" w:rsidRDefault="00194719" w:rsidP="00862E05">
      <w:pPr>
        <w:spacing w:line="360" w:lineRule="auto"/>
        <w:rPr>
          <w:rFonts w:eastAsia="MS Mincho"/>
          <w:b/>
          <w:bCs/>
        </w:rPr>
      </w:pPr>
      <w:r>
        <w:rPr>
          <w:rFonts w:eastAsia="Calibri"/>
        </w:rPr>
        <w:tab/>
      </w:r>
      <w:r w:rsidR="00862E05" w:rsidRPr="00F33FC4">
        <w:rPr>
          <w:rFonts w:eastAsia="Calibri"/>
        </w:rPr>
        <w:t xml:space="preserve">The inner membrane localization of </w:t>
      </w:r>
      <w:proofErr w:type="spellStart"/>
      <w:r w:rsidR="00862E05" w:rsidRPr="00F33FC4">
        <w:rPr>
          <w:rFonts w:eastAsia="Calibri"/>
        </w:rPr>
        <w:t>ZorO</w:t>
      </w:r>
      <w:proofErr w:type="spellEnd"/>
      <w:r w:rsidR="00862E05" w:rsidRPr="00F33FC4">
        <w:rPr>
          <w:rFonts w:eastAsia="Calibri"/>
        </w:rPr>
        <w:t xml:space="preserve"> in </w:t>
      </w:r>
      <w:r w:rsidR="00862E05" w:rsidRPr="00F33FC4">
        <w:rPr>
          <w:rFonts w:eastAsia="Calibri"/>
          <w:i/>
          <w:iCs/>
        </w:rPr>
        <w:t xml:space="preserve">E. coli </w:t>
      </w:r>
      <w:r w:rsidR="00862E05" w:rsidRPr="00F33FC4">
        <w:rPr>
          <w:rFonts w:eastAsia="Calibri"/>
        </w:rPr>
        <w:t xml:space="preserve">and its effect on membrane potential and ATP depletion has been established using an overexpression system </w:t>
      </w:r>
      <w:r w:rsidR="00862E05" w:rsidRPr="00F33FC4">
        <w:rPr>
          <w:rFonts w:eastAsia="Calibri"/>
          <w:noProof/>
        </w:rPr>
        <w:t>(19,25)</w:t>
      </w:r>
      <w:r w:rsidR="00862E05" w:rsidRPr="00F33FC4">
        <w:rPr>
          <w:rFonts w:eastAsia="Calibri"/>
        </w:rPr>
        <w:t xml:space="preserve">. We also showed previously that the 5’ UTR regulates the translation and subsequent impacts of </w:t>
      </w:r>
      <w:proofErr w:type="spellStart"/>
      <w:r w:rsidR="00862E05" w:rsidRPr="00F33FC4">
        <w:rPr>
          <w:rFonts w:eastAsia="Calibri"/>
        </w:rPr>
        <w:t>ZorO</w:t>
      </w:r>
      <w:proofErr w:type="spellEnd"/>
      <w:r w:rsidR="00862E05" w:rsidRPr="00F33FC4">
        <w:rPr>
          <w:rFonts w:eastAsia="Calibri"/>
        </w:rPr>
        <w:t xml:space="preserve"> </w:t>
      </w:r>
      <w:r w:rsidR="00862E05" w:rsidRPr="00F33FC4">
        <w:rPr>
          <w:rFonts w:eastAsia="Calibri"/>
          <w:noProof/>
        </w:rPr>
        <w:t>(19)</w:t>
      </w:r>
      <w:r w:rsidR="00862E05" w:rsidRPr="00F33FC4">
        <w:rPr>
          <w:rFonts w:eastAsia="Calibri"/>
        </w:rPr>
        <w:t xml:space="preserve">. Herein, we demonstrate that the charged amino acid of </w:t>
      </w:r>
      <w:proofErr w:type="spellStart"/>
      <w:r w:rsidR="00862E05" w:rsidRPr="00F33FC4">
        <w:rPr>
          <w:rFonts w:eastAsia="Calibri"/>
        </w:rPr>
        <w:t>ZorO</w:t>
      </w:r>
      <w:proofErr w:type="spellEnd"/>
      <w:r w:rsidR="00862E05" w:rsidRPr="00F33FC4">
        <w:rPr>
          <w:rFonts w:eastAsia="Calibri"/>
        </w:rPr>
        <w:t xml:space="preserve"> are critical for growth inhibition, membrane depolarization and depletion of cellular ATP levels. Specifically, </w:t>
      </w:r>
      <w:r w:rsidR="00862E05" w:rsidRPr="00F33FC4">
        <w:rPr>
          <w:rFonts w:eastAsia="MS Mincho"/>
        </w:rPr>
        <w:t xml:space="preserve">five out of six charged amino when mutated individually had impacts on </w:t>
      </w:r>
      <w:proofErr w:type="spellStart"/>
      <w:r w:rsidR="00862E05" w:rsidRPr="00F33FC4">
        <w:rPr>
          <w:rFonts w:eastAsia="MS Mincho"/>
        </w:rPr>
        <w:t>ZorO</w:t>
      </w:r>
      <w:proofErr w:type="spellEnd"/>
      <w:r w:rsidR="00862E05" w:rsidRPr="00F33FC4">
        <w:rPr>
          <w:rFonts w:eastAsia="MS Mincho"/>
        </w:rPr>
        <w:t xml:space="preserve"> mediated cell growth inhibition showing the significance of the interaction with these residues in </w:t>
      </w:r>
      <w:proofErr w:type="spellStart"/>
      <w:r w:rsidR="00862E05" w:rsidRPr="00F33FC4">
        <w:rPr>
          <w:rFonts w:eastAsia="MS Mincho"/>
        </w:rPr>
        <w:t>ZorO</w:t>
      </w:r>
      <w:proofErr w:type="spellEnd"/>
      <w:r w:rsidR="00862E05" w:rsidRPr="00F33FC4">
        <w:rPr>
          <w:rFonts w:eastAsia="MS Mincho"/>
        </w:rPr>
        <w:t xml:space="preserve"> toxicity.</w:t>
      </w:r>
      <w:r w:rsidR="00862E05" w:rsidRPr="00862E05">
        <w:rPr>
          <w:rFonts w:eastAsia="Calibri"/>
        </w:rPr>
        <w:t xml:space="preserve"> </w:t>
      </w:r>
      <w:r w:rsidR="00862E05" w:rsidRPr="00F33FC4">
        <w:rPr>
          <w:rFonts w:eastAsia="Calibri"/>
        </w:rPr>
        <w:t xml:space="preserve">Further, improved growth of the bacterial </w:t>
      </w:r>
    </w:p>
    <w:p w14:paraId="2FC6BD6F" w14:textId="3D42BC7E" w:rsidR="00F33FC4" w:rsidRPr="00F33FC4" w:rsidRDefault="00F33FC4" w:rsidP="00F33FC4">
      <w:pPr>
        <w:rPr>
          <w:rFonts w:eastAsia="MS Mincho"/>
          <w:b/>
          <w:bCs/>
        </w:rPr>
      </w:pPr>
      <w:r w:rsidRPr="00F33FC4">
        <w:rPr>
          <w:rFonts w:eastAsia="MS Mincho"/>
          <w:b/>
          <w:bCs/>
        </w:rPr>
        <w:t xml:space="preserve"> </w:t>
      </w:r>
    </w:p>
    <w:p w14:paraId="765E2563" w14:textId="77777777" w:rsidR="00F33FC4" w:rsidRPr="00F33FC4" w:rsidRDefault="00F33FC4" w:rsidP="00F33FC4">
      <w:pPr>
        <w:rPr>
          <w:rFonts w:eastAsia="MS Mincho"/>
          <w:b/>
          <w:bCs/>
        </w:rPr>
      </w:pPr>
      <w:r w:rsidRPr="00F33FC4">
        <w:rPr>
          <w:rFonts w:ascii="Calibri" w:eastAsia="MS Mincho" w:hAnsi="Calibri" w:cs="Mangal"/>
          <w:noProof/>
        </w:rPr>
        <w:lastRenderedPageBreak/>
        <mc:AlternateContent>
          <mc:Choice Requires="wps">
            <w:drawing>
              <wp:anchor distT="0" distB="0" distL="114300" distR="114300" simplePos="0" relativeHeight="251731968" behindDoc="0" locked="0" layoutInCell="1" allowOverlap="1" wp14:anchorId="76AF9871" wp14:editId="4978145F">
                <wp:simplePos x="0" y="0"/>
                <wp:positionH relativeFrom="column">
                  <wp:posOffset>931752</wp:posOffset>
                </wp:positionH>
                <wp:positionV relativeFrom="paragraph">
                  <wp:posOffset>3276010</wp:posOffset>
                </wp:positionV>
                <wp:extent cx="4173220" cy="635"/>
                <wp:effectExtent l="0" t="0" r="5080" b="635"/>
                <wp:wrapTopAndBottom/>
                <wp:docPr id="117" name="Text Box 117"/>
                <wp:cNvGraphicFramePr/>
                <a:graphic xmlns:a="http://schemas.openxmlformats.org/drawingml/2006/main">
                  <a:graphicData uri="http://schemas.microsoft.com/office/word/2010/wordprocessingShape">
                    <wps:wsp>
                      <wps:cNvSpPr txBox="1"/>
                      <wps:spPr>
                        <a:xfrm>
                          <a:off x="0" y="0"/>
                          <a:ext cx="4173220" cy="635"/>
                        </a:xfrm>
                        <a:prstGeom prst="rect">
                          <a:avLst/>
                        </a:prstGeom>
                        <a:solidFill>
                          <a:prstClr val="white"/>
                        </a:solidFill>
                        <a:ln>
                          <a:noFill/>
                        </a:ln>
                      </wps:spPr>
                      <wps:txbx>
                        <w:txbxContent>
                          <w:p w14:paraId="3095F5D0" w14:textId="77777777" w:rsidR="00F33FC4" w:rsidRPr="00CF1AAB" w:rsidRDefault="00F33FC4" w:rsidP="00F33FC4">
                            <w:pPr>
                              <w:pStyle w:val="Caption"/>
                              <w:rPr>
                                <w:i/>
                                <w:iCs w:val="0"/>
                              </w:rPr>
                            </w:pPr>
                            <w:r w:rsidRPr="002869DE">
                              <w:rPr>
                                <w:iCs w:val="0"/>
                                <w:sz w:val="22"/>
                                <w:szCs w:val="22"/>
                              </w:rPr>
                              <w:t xml:space="preserve">Figure </w:t>
                            </w:r>
                            <w:r>
                              <w:rPr>
                                <w:iCs w:val="0"/>
                                <w:sz w:val="22"/>
                                <w:szCs w:val="22"/>
                              </w:rPr>
                              <w:t>4.8</w:t>
                            </w:r>
                            <w:r w:rsidRPr="002869DE">
                              <w:rPr>
                                <w:iCs w:val="0"/>
                                <w:sz w:val="22"/>
                                <w:szCs w:val="22"/>
                              </w:rPr>
                              <w:t xml:space="preserve">. </w:t>
                            </w:r>
                            <w:r>
                              <w:rPr>
                                <w:iCs w:val="0"/>
                                <w:sz w:val="22"/>
                                <w:szCs w:val="22"/>
                              </w:rPr>
                              <w:t xml:space="preserve">Dot blot analyses for the detection of </w:t>
                            </w:r>
                            <w:proofErr w:type="spellStart"/>
                            <w:r>
                              <w:rPr>
                                <w:iCs w:val="0"/>
                                <w:sz w:val="22"/>
                                <w:szCs w:val="22"/>
                              </w:rPr>
                              <w:t>ZorO</w:t>
                            </w:r>
                            <w:proofErr w:type="spellEnd"/>
                            <w:r>
                              <w:rPr>
                                <w:iCs w:val="0"/>
                                <w:sz w:val="22"/>
                                <w:szCs w:val="22"/>
                              </w:rPr>
                              <w:t xml:space="preserve"> from </w:t>
                            </w:r>
                            <w:r w:rsidRPr="0028267E">
                              <w:rPr>
                                <w:sz w:val="22"/>
                                <w:szCs w:val="22"/>
                              </w:rPr>
                              <w:t>E. coli</w:t>
                            </w:r>
                            <w:r>
                              <w:rPr>
                                <w:iCs w:val="0"/>
                                <w:sz w:val="22"/>
                                <w:szCs w:val="22"/>
                              </w:rPr>
                              <w:t xml:space="preserve"> UTK007 cells with pBR</w:t>
                            </w:r>
                            <w:r w:rsidRPr="00EB189B">
                              <w:rPr>
                                <w:iCs w:val="0"/>
                                <w:sz w:val="22"/>
                                <w:szCs w:val="22"/>
                              </w:rPr>
                              <w:t>-Δ28-F</w:t>
                            </w:r>
                            <w:r>
                              <w:rPr>
                                <w:iCs w:val="0"/>
                                <w:sz w:val="22"/>
                                <w:szCs w:val="22"/>
                              </w:rPr>
                              <w:t>LAG</w:t>
                            </w:r>
                            <w:r w:rsidRPr="00EB189B">
                              <w:rPr>
                                <w:iCs w:val="0"/>
                                <w:sz w:val="22"/>
                                <w:szCs w:val="22"/>
                              </w:rPr>
                              <w:t>-</w:t>
                            </w:r>
                            <w:r w:rsidRPr="00F871C2">
                              <w:rPr>
                                <w:i/>
                                <w:iCs w:val="0"/>
                                <w:sz w:val="22"/>
                                <w:szCs w:val="22"/>
                              </w:rPr>
                              <w:t>zorO</w:t>
                            </w:r>
                            <w:r>
                              <w:rPr>
                                <w:sz w:val="22"/>
                                <w:szCs w:val="22"/>
                              </w:rPr>
                              <w:t>.</w:t>
                            </w:r>
                            <w:r w:rsidRPr="00EB189B">
                              <w:rPr>
                                <w:sz w:val="22"/>
                                <w:szCs w:val="22"/>
                              </w:rPr>
                              <w:t xml:space="preserve"> </w:t>
                            </w:r>
                            <w:r>
                              <w:rPr>
                                <w:iCs w:val="0"/>
                                <w:sz w:val="22"/>
                                <w:szCs w:val="22"/>
                              </w:rPr>
                              <w:t>NC- Negative control with empty vector. PC- Positive control with P</w:t>
                            </w:r>
                            <w:r w:rsidRPr="00A14502">
                              <w:rPr>
                                <w:iCs w:val="0"/>
                                <w:sz w:val="22"/>
                                <w:szCs w:val="22"/>
                                <w:vertAlign w:val="subscript"/>
                              </w:rPr>
                              <w:t>BAD</w:t>
                            </w:r>
                            <w:r>
                              <w:rPr>
                                <w:iCs w:val="0"/>
                                <w:sz w:val="22"/>
                                <w:szCs w:val="22"/>
                              </w:rPr>
                              <w:t>-FLAG-</w:t>
                            </w:r>
                            <w:proofErr w:type="spellStart"/>
                            <w:r w:rsidRPr="00F871C2">
                              <w:rPr>
                                <w:i/>
                                <w:iCs w:val="0"/>
                                <w:sz w:val="22"/>
                                <w:szCs w:val="22"/>
                              </w:rPr>
                              <w:t>zorO</w:t>
                            </w:r>
                            <w:proofErr w:type="spellEnd"/>
                            <w:r>
                              <w:rPr>
                                <w:iCs w:val="0"/>
                                <w:sz w:val="22"/>
                                <w:szCs w:val="22"/>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76AF9871" id="Text Box 117" o:spid="_x0000_s1057" type="#_x0000_t202" style="position:absolute;margin-left:73.35pt;margin-top:257.95pt;width:328.6pt;height:.05pt;z-index:251731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" stroked="f">
                <v:textbox style="mso-fit-shape-to-text:t" inset="0,0,0,0">
                  <w:txbxContent>
                    <w:p w14:paraId="3095F5D0" w14:textId="77777777" w:rsidR="00F33FC4" w:rsidRPr="00CF1AAB" w:rsidRDefault="00F33FC4" w:rsidP="00F33FC4">
                      <w:pPr>
                        <w:pStyle w:val="Caption"/>
                        <w:rPr>
                          <w:i/>
                          <w:iCs w:val="0"/>
                        </w:rPr>
                      </w:pPr>
                      <w:r w:rsidRPr="002869DE">
                        <w:rPr>
                          <w:iCs w:val="0"/>
                          <w:sz w:val="22"/>
                          <w:szCs w:val="22"/>
                        </w:rPr>
                        <w:t xml:space="preserve">Figure </w:t>
                      </w:r>
                      <w:r>
                        <w:rPr>
                          <w:iCs w:val="0"/>
                          <w:sz w:val="22"/>
                          <w:szCs w:val="22"/>
                        </w:rPr>
                        <w:t>4.8</w:t>
                      </w:r>
                      <w:r w:rsidRPr="002869DE">
                        <w:rPr>
                          <w:iCs w:val="0"/>
                          <w:sz w:val="22"/>
                          <w:szCs w:val="22"/>
                        </w:rPr>
                        <w:t xml:space="preserve">. </w:t>
                      </w:r>
                      <w:r>
                        <w:rPr>
                          <w:iCs w:val="0"/>
                          <w:sz w:val="22"/>
                          <w:szCs w:val="22"/>
                        </w:rPr>
                        <w:t xml:space="preserve">Dot blot analyses for the detection of </w:t>
                      </w:r>
                      <w:proofErr w:type="spellStart"/>
                      <w:r>
                        <w:rPr>
                          <w:iCs w:val="0"/>
                          <w:sz w:val="22"/>
                          <w:szCs w:val="22"/>
                        </w:rPr>
                        <w:t>ZorO</w:t>
                      </w:r>
                      <w:proofErr w:type="spellEnd"/>
                      <w:r>
                        <w:rPr>
                          <w:iCs w:val="0"/>
                          <w:sz w:val="22"/>
                          <w:szCs w:val="22"/>
                        </w:rPr>
                        <w:t xml:space="preserve"> from </w:t>
                      </w:r>
                      <w:r w:rsidRPr="0028267E">
                        <w:rPr>
                          <w:sz w:val="22"/>
                          <w:szCs w:val="22"/>
                        </w:rPr>
                        <w:t>E. coli</w:t>
                      </w:r>
                      <w:r>
                        <w:rPr>
                          <w:iCs w:val="0"/>
                          <w:sz w:val="22"/>
                          <w:szCs w:val="22"/>
                        </w:rPr>
                        <w:t xml:space="preserve"> UTK007 cells with pBR</w:t>
                      </w:r>
                      <w:r w:rsidRPr="00EB189B">
                        <w:rPr>
                          <w:iCs w:val="0"/>
                          <w:sz w:val="22"/>
                          <w:szCs w:val="22"/>
                        </w:rPr>
                        <w:t>-Δ28-F</w:t>
                      </w:r>
                      <w:r>
                        <w:rPr>
                          <w:iCs w:val="0"/>
                          <w:sz w:val="22"/>
                          <w:szCs w:val="22"/>
                        </w:rPr>
                        <w:t>LAG</w:t>
                      </w:r>
                      <w:r w:rsidRPr="00EB189B">
                        <w:rPr>
                          <w:iCs w:val="0"/>
                          <w:sz w:val="22"/>
                          <w:szCs w:val="22"/>
                        </w:rPr>
                        <w:t>-</w:t>
                      </w:r>
                      <w:r w:rsidRPr="00F871C2">
                        <w:rPr>
                          <w:i/>
                          <w:iCs w:val="0"/>
                          <w:sz w:val="22"/>
                          <w:szCs w:val="22"/>
                        </w:rPr>
                        <w:t>zorO</w:t>
                      </w:r>
                      <w:r>
                        <w:rPr>
                          <w:sz w:val="22"/>
                          <w:szCs w:val="22"/>
                        </w:rPr>
                        <w:t>.</w:t>
                      </w:r>
                      <w:r w:rsidRPr="00EB189B">
                        <w:rPr>
                          <w:sz w:val="22"/>
                          <w:szCs w:val="22"/>
                        </w:rPr>
                        <w:t xml:space="preserve"> </w:t>
                      </w:r>
                      <w:r>
                        <w:rPr>
                          <w:iCs w:val="0"/>
                          <w:sz w:val="22"/>
                          <w:szCs w:val="22"/>
                        </w:rPr>
                        <w:t>NC- Negative control with empty vector. PC- Positive control with P</w:t>
                      </w:r>
                      <w:r w:rsidRPr="00A14502">
                        <w:rPr>
                          <w:iCs w:val="0"/>
                          <w:sz w:val="22"/>
                          <w:szCs w:val="22"/>
                          <w:vertAlign w:val="subscript"/>
                        </w:rPr>
                        <w:t>BAD</w:t>
                      </w:r>
                      <w:r>
                        <w:rPr>
                          <w:iCs w:val="0"/>
                          <w:sz w:val="22"/>
                          <w:szCs w:val="22"/>
                        </w:rPr>
                        <w:t>-FLAG-</w:t>
                      </w:r>
                      <w:proofErr w:type="spellStart"/>
                      <w:r w:rsidRPr="00F871C2">
                        <w:rPr>
                          <w:i/>
                          <w:iCs w:val="0"/>
                          <w:sz w:val="22"/>
                          <w:szCs w:val="22"/>
                        </w:rPr>
                        <w:t>zorO</w:t>
                      </w:r>
                      <w:proofErr w:type="spellEnd"/>
                      <w:r>
                        <w:rPr>
                          <w:iCs w:val="0"/>
                          <w:sz w:val="22"/>
                          <w:szCs w:val="22"/>
                        </w:rPr>
                        <w:t>.</w:t>
                      </w:r>
                    </w:p>
                  </w:txbxContent>
                </v:textbox>
                <w10:wrap type="topAndBottom"/>
              </v:shape>
            </w:pict>
          </mc:Fallback>
        </mc:AlternateContent>
      </w:r>
      <w:r w:rsidRPr="00F33FC4">
        <w:rPr>
          <w:rFonts w:eastAsia="MS Mincho"/>
          <w:b/>
          <w:bCs/>
          <w:noProof/>
        </w:rPr>
        <w:drawing>
          <wp:anchor distT="0" distB="0" distL="114300" distR="114300" simplePos="0" relativeHeight="251740160" behindDoc="0" locked="0" layoutInCell="1" allowOverlap="1" wp14:anchorId="1EB25AF4" wp14:editId="3B57FF55">
            <wp:simplePos x="0" y="0"/>
            <wp:positionH relativeFrom="column">
              <wp:posOffset>1094740</wp:posOffset>
            </wp:positionH>
            <wp:positionV relativeFrom="paragraph">
              <wp:posOffset>297372</wp:posOffset>
            </wp:positionV>
            <wp:extent cx="3572510" cy="2811780"/>
            <wp:effectExtent l="0" t="0" r="0" b="0"/>
            <wp:wrapTopAndBottom/>
            <wp:docPr id="127" name="Picture 127" descr="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Chart&#10;&#10;Description automatically generated with medium confidence"/>
                    <pic:cNvPicPr/>
                  </pic:nvPicPr>
                  <pic:blipFill>
                    <a:blip r:embed="rId44" cstate="print">
                      <a:extLst>
                        <a:ext uri="{28A0092B-C50C-407E-A947-70E740481C1C}">
                          <a14:useLocalDpi xmlns:a14="http://schemas.microsoft.com/office/drawing/2010/main" val="0"/>
                        </a:ext>
                      </a:extLst>
                    </a:blip>
                    <a:stretch>
                      <a:fillRect/>
                    </a:stretch>
                  </pic:blipFill>
                  <pic:spPr>
                    <a:xfrm>
                      <a:off x="0" y="0"/>
                      <a:ext cx="3572510" cy="2811780"/>
                    </a:xfrm>
                    <a:prstGeom prst="rect">
                      <a:avLst/>
                    </a:prstGeom>
                  </pic:spPr>
                </pic:pic>
              </a:graphicData>
            </a:graphic>
            <wp14:sizeRelH relativeFrom="page">
              <wp14:pctWidth>0</wp14:pctWidth>
            </wp14:sizeRelH>
            <wp14:sizeRelV relativeFrom="page">
              <wp14:pctHeight>0</wp14:pctHeight>
            </wp14:sizeRelV>
          </wp:anchor>
        </w:drawing>
      </w:r>
      <w:r w:rsidRPr="00F33FC4">
        <w:rPr>
          <w:rFonts w:eastAsia="MS Mincho"/>
          <w:b/>
          <w:bCs/>
        </w:rPr>
        <w:br w:type="page"/>
      </w:r>
    </w:p>
    <w:p w14:paraId="14CD448C" w14:textId="77777777" w:rsidR="00F33FC4" w:rsidRPr="00F33FC4" w:rsidRDefault="00F33FC4" w:rsidP="00F33FC4">
      <w:pPr>
        <w:rPr>
          <w:rFonts w:eastAsia="MS Mincho"/>
          <w:b/>
          <w:bCs/>
        </w:rPr>
      </w:pPr>
      <w:r w:rsidRPr="00F33FC4">
        <w:rPr>
          <w:rFonts w:ascii="Calibri" w:eastAsia="MS Mincho" w:hAnsi="Calibri" w:cs="Mangal"/>
          <w:noProof/>
        </w:rPr>
        <w:lastRenderedPageBreak/>
        <mc:AlternateContent>
          <mc:Choice Requires="wps">
            <w:drawing>
              <wp:anchor distT="0" distB="0" distL="114300" distR="114300" simplePos="0" relativeHeight="251732992" behindDoc="0" locked="0" layoutInCell="1" allowOverlap="1" wp14:anchorId="39EB3EAA" wp14:editId="10CFD0FC">
                <wp:simplePos x="0" y="0"/>
                <wp:positionH relativeFrom="column">
                  <wp:posOffset>671708</wp:posOffset>
                </wp:positionH>
                <wp:positionV relativeFrom="paragraph">
                  <wp:posOffset>6029663</wp:posOffset>
                </wp:positionV>
                <wp:extent cx="5387340" cy="635"/>
                <wp:effectExtent l="0" t="0" r="0" b="635"/>
                <wp:wrapTopAndBottom/>
                <wp:docPr id="118" name="Text Box 118"/>
                <wp:cNvGraphicFramePr/>
                <a:graphic xmlns:a="http://schemas.openxmlformats.org/drawingml/2006/main">
                  <a:graphicData uri="http://schemas.microsoft.com/office/word/2010/wordprocessingShape">
                    <wps:wsp>
                      <wps:cNvSpPr txBox="1"/>
                      <wps:spPr>
                        <a:xfrm>
                          <a:off x="0" y="0"/>
                          <a:ext cx="5387340" cy="635"/>
                        </a:xfrm>
                        <a:prstGeom prst="rect">
                          <a:avLst/>
                        </a:prstGeom>
                        <a:solidFill>
                          <a:prstClr val="white"/>
                        </a:solidFill>
                        <a:ln>
                          <a:noFill/>
                        </a:ln>
                      </wps:spPr>
                      <wps:txbx>
                        <w:txbxContent>
                          <w:p w14:paraId="04040369" w14:textId="77777777" w:rsidR="00F33FC4" w:rsidRPr="00CF23F0" w:rsidRDefault="00F33FC4" w:rsidP="00F33FC4">
                            <w:pPr>
                              <w:pStyle w:val="Caption"/>
                              <w:rPr>
                                <w:b/>
                                <w:bCs/>
                                <w:i/>
                                <w:iCs w:val="0"/>
                                <w:noProof/>
                                <w:sz w:val="22"/>
                                <w:szCs w:val="22"/>
                              </w:rPr>
                            </w:pPr>
                            <w:r w:rsidRPr="002869DE">
                              <w:rPr>
                                <w:iCs w:val="0"/>
                                <w:sz w:val="22"/>
                                <w:szCs w:val="22"/>
                              </w:rPr>
                              <w:t xml:space="preserve">Figure </w:t>
                            </w:r>
                            <w:r>
                              <w:rPr>
                                <w:iCs w:val="0"/>
                                <w:sz w:val="22"/>
                                <w:szCs w:val="22"/>
                              </w:rPr>
                              <w:t>4.9</w:t>
                            </w:r>
                            <w:r w:rsidRPr="002869DE">
                              <w:rPr>
                                <w:iCs w:val="0"/>
                                <w:sz w:val="22"/>
                                <w:szCs w:val="22"/>
                              </w:rPr>
                              <w:t xml:space="preserve">. </w:t>
                            </w:r>
                            <w:r>
                              <w:rPr>
                                <w:iCs w:val="0"/>
                                <w:sz w:val="22"/>
                                <w:szCs w:val="22"/>
                              </w:rPr>
                              <w:t xml:space="preserve">Growth curve of the </w:t>
                            </w:r>
                            <w:r w:rsidRPr="00CF1AAB">
                              <w:rPr>
                                <w:sz w:val="22"/>
                                <w:szCs w:val="22"/>
                              </w:rPr>
                              <w:t>E. coli</w:t>
                            </w:r>
                            <w:r>
                              <w:rPr>
                                <w:iCs w:val="0"/>
                                <w:sz w:val="22"/>
                                <w:szCs w:val="22"/>
                              </w:rPr>
                              <w:t xml:space="preserve"> MG1655 strains </w:t>
                            </w:r>
                            <w:proofErr w:type="spellStart"/>
                            <w:r>
                              <w:rPr>
                                <w:iCs w:val="0"/>
                                <w:sz w:val="22"/>
                                <w:szCs w:val="22"/>
                              </w:rPr>
                              <w:t>recombineered</w:t>
                            </w:r>
                            <w:proofErr w:type="spellEnd"/>
                            <w:r>
                              <w:rPr>
                                <w:iCs w:val="0"/>
                                <w:sz w:val="22"/>
                                <w:szCs w:val="22"/>
                              </w:rPr>
                              <w:t xml:space="preserve"> with different </w:t>
                            </w:r>
                            <w:proofErr w:type="spellStart"/>
                            <w:r w:rsidRPr="00F871C2">
                              <w:rPr>
                                <w:i/>
                                <w:iCs w:val="0"/>
                                <w:sz w:val="22"/>
                                <w:szCs w:val="22"/>
                              </w:rPr>
                              <w:t>zorO</w:t>
                            </w:r>
                            <w:proofErr w:type="spellEnd"/>
                            <w:r>
                              <w:rPr>
                                <w:iCs w:val="0"/>
                                <w:sz w:val="22"/>
                                <w:szCs w:val="22"/>
                              </w:rPr>
                              <w:t xml:space="preserve"> variants in the chromosome </w:t>
                            </w:r>
                            <w:r w:rsidRPr="00F871C2">
                              <w:rPr>
                                <w:i/>
                                <w:sz w:val="22"/>
                                <w:szCs w:val="22"/>
                              </w:rPr>
                              <w:t>(</w:t>
                            </w:r>
                            <w:proofErr w:type="spellStart"/>
                            <w:r w:rsidRPr="00F871C2">
                              <w:rPr>
                                <w:i/>
                                <w:sz w:val="22"/>
                                <w:szCs w:val="22"/>
                              </w:rPr>
                              <w:t>zorO-orzO</w:t>
                            </w:r>
                            <w:proofErr w:type="spellEnd"/>
                            <w:r w:rsidRPr="00F871C2">
                              <w:rPr>
                                <w:i/>
                                <w:sz w:val="22"/>
                                <w:szCs w:val="22"/>
                              </w:rPr>
                              <w:t xml:space="preserve">, </w:t>
                            </w:r>
                            <w:proofErr w:type="spellStart"/>
                            <w:r w:rsidRPr="00F871C2">
                              <w:rPr>
                                <w:i/>
                                <w:sz w:val="22"/>
                                <w:szCs w:val="22"/>
                              </w:rPr>
                              <w:t>zorO</w:t>
                            </w:r>
                            <w:proofErr w:type="spellEnd"/>
                            <w:r>
                              <w:rPr>
                                <w:iCs w:val="0"/>
                                <w:sz w:val="22"/>
                                <w:szCs w:val="22"/>
                              </w:rPr>
                              <w:t xml:space="preserve"> and </w:t>
                            </w:r>
                            <w:r w:rsidRPr="00EB189B">
                              <w:rPr>
                                <w:iCs w:val="0"/>
                                <w:sz w:val="22"/>
                                <w:szCs w:val="22"/>
                              </w:rPr>
                              <w:t>Δ28-F</w:t>
                            </w:r>
                            <w:r>
                              <w:rPr>
                                <w:iCs w:val="0"/>
                                <w:sz w:val="22"/>
                                <w:szCs w:val="22"/>
                              </w:rPr>
                              <w:t>LAG</w:t>
                            </w:r>
                            <w:r w:rsidRPr="00EB189B">
                              <w:rPr>
                                <w:iCs w:val="0"/>
                                <w:sz w:val="22"/>
                                <w:szCs w:val="22"/>
                              </w:rPr>
                              <w:t>-</w:t>
                            </w:r>
                            <w:r w:rsidRPr="00F871C2">
                              <w:rPr>
                                <w:i/>
                                <w:iCs w:val="0"/>
                                <w:sz w:val="22"/>
                                <w:szCs w:val="22"/>
                              </w:rPr>
                              <w:t>zorO</w:t>
                            </w:r>
                            <w:r w:rsidRPr="00EB189B">
                              <w:rPr>
                                <w:sz w:val="22"/>
                                <w:szCs w:val="22"/>
                              </w:rPr>
                              <w:t xml:space="preserve"> </w:t>
                            </w:r>
                            <w:r>
                              <w:rPr>
                                <w:iCs w:val="0"/>
                                <w:sz w:val="22"/>
                                <w:szCs w:val="22"/>
                              </w:rPr>
                              <w:t xml:space="preserve">LB (A) and LB with 4 µg/ml kanamycin (B). </w:t>
                            </w:r>
                            <w:r>
                              <w:rPr>
                                <w:sz w:val="22"/>
                                <w:szCs w:val="22"/>
                              </w:rPr>
                              <w:t xml:space="preserve">n </w:t>
                            </w:r>
                            <w:r w:rsidRPr="00B31475">
                              <w:rPr>
                                <w:sz w:val="22"/>
                                <w:szCs w:val="22"/>
                              </w:rPr>
                              <w:t>≥</w:t>
                            </w:r>
                            <w:r>
                              <w:rPr>
                                <w:sz w:val="22"/>
                                <w:szCs w:val="22"/>
                              </w:rPr>
                              <w:t xml:space="preserve"> </w:t>
                            </w:r>
                            <w:r w:rsidRPr="005B5B34">
                              <w:rPr>
                                <w:sz w:val="22"/>
                                <w:szCs w:val="22"/>
                              </w:rPr>
                              <w:t>3</w:t>
                            </w:r>
                            <w:r>
                              <w:rPr>
                                <w:iCs w:val="0"/>
                                <w:sz w:val="22"/>
                                <w:szCs w:val="22"/>
                              </w:rPr>
                              <w:t>, shown are mean ± standard deviation (SD).</w:t>
                            </w:r>
                          </w:p>
                          <w:p w14:paraId="29037444" w14:textId="77777777" w:rsidR="00F33FC4" w:rsidRPr="00CF1AAB" w:rsidRDefault="00F33FC4" w:rsidP="00F33FC4">
                            <w:pPr>
                              <w:pStyle w:val="Caption"/>
                              <w:rPr>
                                <w:i/>
                                <w:iCs w:val="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9EB3EAA" id="Text Box 118" o:spid="_x0000_s1058" type="#_x0000_t202" style="position:absolute;margin-left:52.9pt;margin-top:474.8pt;width:424.2pt;height:.05pt;z-index:2517329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" stroked="f">
                <v:textbox style="mso-fit-shape-to-text:t" inset="0,0,0,0">
                  <w:txbxContent>
                    <w:p w14:paraId="04040369" w14:textId="77777777" w:rsidR="00F33FC4" w:rsidRPr="00CF23F0" w:rsidRDefault="00F33FC4" w:rsidP="00F33FC4">
                      <w:pPr>
                        <w:pStyle w:val="Caption"/>
                        <w:rPr>
                          <w:b/>
                          <w:bCs/>
                          <w:i/>
                          <w:iCs w:val="0"/>
                          <w:noProof/>
                          <w:sz w:val="22"/>
                          <w:szCs w:val="22"/>
                        </w:rPr>
                      </w:pPr>
                      <w:r w:rsidRPr="002869DE">
                        <w:rPr>
                          <w:iCs w:val="0"/>
                          <w:sz w:val="22"/>
                          <w:szCs w:val="22"/>
                        </w:rPr>
                        <w:t xml:space="preserve">Figure </w:t>
                      </w:r>
                      <w:r>
                        <w:rPr>
                          <w:iCs w:val="0"/>
                          <w:sz w:val="22"/>
                          <w:szCs w:val="22"/>
                        </w:rPr>
                        <w:t>4.9</w:t>
                      </w:r>
                      <w:r w:rsidRPr="002869DE">
                        <w:rPr>
                          <w:iCs w:val="0"/>
                          <w:sz w:val="22"/>
                          <w:szCs w:val="22"/>
                        </w:rPr>
                        <w:t xml:space="preserve">. </w:t>
                      </w:r>
                      <w:r>
                        <w:rPr>
                          <w:iCs w:val="0"/>
                          <w:sz w:val="22"/>
                          <w:szCs w:val="22"/>
                        </w:rPr>
                        <w:t xml:space="preserve">Growth curve of the </w:t>
                      </w:r>
                      <w:r w:rsidRPr="00CF1AAB">
                        <w:rPr>
                          <w:sz w:val="22"/>
                          <w:szCs w:val="22"/>
                        </w:rPr>
                        <w:t>E. coli</w:t>
                      </w:r>
                      <w:r>
                        <w:rPr>
                          <w:iCs w:val="0"/>
                          <w:sz w:val="22"/>
                          <w:szCs w:val="22"/>
                        </w:rPr>
                        <w:t xml:space="preserve"> MG1655 strains </w:t>
                      </w:r>
                      <w:proofErr w:type="spellStart"/>
                      <w:r>
                        <w:rPr>
                          <w:iCs w:val="0"/>
                          <w:sz w:val="22"/>
                          <w:szCs w:val="22"/>
                        </w:rPr>
                        <w:t>recombineered</w:t>
                      </w:r>
                      <w:proofErr w:type="spellEnd"/>
                      <w:r>
                        <w:rPr>
                          <w:iCs w:val="0"/>
                          <w:sz w:val="22"/>
                          <w:szCs w:val="22"/>
                        </w:rPr>
                        <w:t xml:space="preserve"> with different </w:t>
                      </w:r>
                      <w:proofErr w:type="spellStart"/>
                      <w:r w:rsidRPr="00F871C2">
                        <w:rPr>
                          <w:i/>
                          <w:iCs w:val="0"/>
                          <w:sz w:val="22"/>
                          <w:szCs w:val="22"/>
                        </w:rPr>
                        <w:t>zorO</w:t>
                      </w:r>
                      <w:proofErr w:type="spellEnd"/>
                      <w:r>
                        <w:rPr>
                          <w:iCs w:val="0"/>
                          <w:sz w:val="22"/>
                          <w:szCs w:val="22"/>
                        </w:rPr>
                        <w:t xml:space="preserve"> variants in the chromosome </w:t>
                      </w:r>
                      <w:r w:rsidRPr="00F871C2">
                        <w:rPr>
                          <w:i/>
                          <w:sz w:val="22"/>
                          <w:szCs w:val="22"/>
                        </w:rPr>
                        <w:t>(</w:t>
                      </w:r>
                      <w:proofErr w:type="spellStart"/>
                      <w:r w:rsidRPr="00F871C2">
                        <w:rPr>
                          <w:i/>
                          <w:sz w:val="22"/>
                          <w:szCs w:val="22"/>
                        </w:rPr>
                        <w:t>zorO-orzO</w:t>
                      </w:r>
                      <w:proofErr w:type="spellEnd"/>
                      <w:r w:rsidRPr="00F871C2">
                        <w:rPr>
                          <w:i/>
                          <w:sz w:val="22"/>
                          <w:szCs w:val="22"/>
                        </w:rPr>
                        <w:t xml:space="preserve">, </w:t>
                      </w:r>
                      <w:proofErr w:type="spellStart"/>
                      <w:r w:rsidRPr="00F871C2">
                        <w:rPr>
                          <w:i/>
                          <w:sz w:val="22"/>
                          <w:szCs w:val="22"/>
                        </w:rPr>
                        <w:t>zorO</w:t>
                      </w:r>
                      <w:proofErr w:type="spellEnd"/>
                      <w:r>
                        <w:rPr>
                          <w:iCs w:val="0"/>
                          <w:sz w:val="22"/>
                          <w:szCs w:val="22"/>
                        </w:rPr>
                        <w:t xml:space="preserve"> and </w:t>
                      </w:r>
                      <w:r w:rsidRPr="00EB189B">
                        <w:rPr>
                          <w:iCs w:val="0"/>
                          <w:sz w:val="22"/>
                          <w:szCs w:val="22"/>
                        </w:rPr>
                        <w:t>Δ28-F</w:t>
                      </w:r>
                      <w:r>
                        <w:rPr>
                          <w:iCs w:val="0"/>
                          <w:sz w:val="22"/>
                          <w:szCs w:val="22"/>
                        </w:rPr>
                        <w:t>LAG</w:t>
                      </w:r>
                      <w:r w:rsidRPr="00EB189B">
                        <w:rPr>
                          <w:iCs w:val="0"/>
                          <w:sz w:val="22"/>
                          <w:szCs w:val="22"/>
                        </w:rPr>
                        <w:t>-</w:t>
                      </w:r>
                      <w:r w:rsidRPr="00F871C2">
                        <w:rPr>
                          <w:i/>
                          <w:iCs w:val="0"/>
                          <w:sz w:val="22"/>
                          <w:szCs w:val="22"/>
                        </w:rPr>
                        <w:t>zorO</w:t>
                      </w:r>
                      <w:r w:rsidRPr="00EB189B">
                        <w:rPr>
                          <w:sz w:val="22"/>
                          <w:szCs w:val="22"/>
                        </w:rPr>
                        <w:t xml:space="preserve"> </w:t>
                      </w:r>
                      <w:r>
                        <w:rPr>
                          <w:iCs w:val="0"/>
                          <w:sz w:val="22"/>
                          <w:szCs w:val="22"/>
                        </w:rPr>
                        <w:t xml:space="preserve">LB (A) and LB with 4 µg/ml kanamycin (B). </w:t>
                      </w:r>
                      <w:r>
                        <w:rPr>
                          <w:sz w:val="22"/>
                          <w:szCs w:val="22"/>
                        </w:rPr>
                        <w:t xml:space="preserve">n </w:t>
                      </w:r>
                      <w:r w:rsidRPr="00B31475">
                        <w:rPr>
                          <w:sz w:val="22"/>
                          <w:szCs w:val="22"/>
                        </w:rPr>
                        <w:t>≥</w:t>
                      </w:r>
                      <w:r>
                        <w:rPr>
                          <w:sz w:val="22"/>
                          <w:szCs w:val="22"/>
                        </w:rPr>
                        <w:t xml:space="preserve"> </w:t>
                      </w:r>
                      <w:r w:rsidRPr="005B5B34">
                        <w:rPr>
                          <w:sz w:val="22"/>
                          <w:szCs w:val="22"/>
                        </w:rPr>
                        <w:t>3</w:t>
                      </w:r>
                      <w:r>
                        <w:rPr>
                          <w:iCs w:val="0"/>
                          <w:sz w:val="22"/>
                          <w:szCs w:val="22"/>
                        </w:rPr>
                        <w:t>, shown are mean ± standard deviation (SD).</w:t>
                      </w:r>
                    </w:p>
                    <w:p w14:paraId="29037444" w14:textId="77777777" w:rsidR="00F33FC4" w:rsidRPr="00CF1AAB" w:rsidRDefault="00F33FC4" w:rsidP="00F33FC4">
                      <w:pPr>
                        <w:pStyle w:val="Caption"/>
                        <w:rPr>
                          <w:i/>
                          <w:iCs w:val="0"/>
                        </w:rPr>
                      </w:pPr>
                    </w:p>
                  </w:txbxContent>
                </v:textbox>
                <w10:wrap type="topAndBottom"/>
              </v:shape>
            </w:pict>
          </mc:Fallback>
        </mc:AlternateContent>
      </w:r>
      <w:r w:rsidRPr="00F33FC4">
        <w:rPr>
          <w:rFonts w:eastAsia="MS Mincho"/>
          <w:b/>
          <w:bCs/>
          <w:noProof/>
        </w:rPr>
        <w:drawing>
          <wp:anchor distT="0" distB="0" distL="114300" distR="114300" simplePos="0" relativeHeight="251734016" behindDoc="0" locked="0" layoutInCell="1" allowOverlap="1" wp14:anchorId="0F910321" wp14:editId="4931C994">
            <wp:simplePos x="0" y="0"/>
            <wp:positionH relativeFrom="column">
              <wp:posOffset>768350</wp:posOffset>
            </wp:positionH>
            <wp:positionV relativeFrom="paragraph">
              <wp:posOffset>272415</wp:posOffset>
            </wp:positionV>
            <wp:extent cx="4020820" cy="5560060"/>
            <wp:effectExtent l="0" t="0" r="5080" b="2540"/>
            <wp:wrapTopAndBottom/>
            <wp:docPr id="128" name="Picture 128"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hart, line chart&#10;&#10;Description automatically generated"/>
                    <pic:cNvPicPr/>
                  </pic:nvPicPr>
                  <pic:blipFill>
                    <a:blip r:embed="rId45" cstate="print">
                      <a:extLst>
                        <a:ext uri="{28A0092B-C50C-407E-A947-70E740481C1C}">
                          <a14:useLocalDpi xmlns:a14="http://schemas.microsoft.com/office/drawing/2010/main" val="0"/>
                        </a:ext>
                      </a:extLst>
                    </a:blip>
                    <a:stretch>
                      <a:fillRect/>
                    </a:stretch>
                  </pic:blipFill>
                  <pic:spPr>
                    <a:xfrm>
                      <a:off x="0" y="0"/>
                      <a:ext cx="4020820" cy="5560060"/>
                    </a:xfrm>
                    <a:prstGeom prst="rect">
                      <a:avLst/>
                    </a:prstGeom>
                  </pic:spPr>
                </pic:pic>
              </a:graphicData>
            </a:graphic>
            <wp14:sizeRelH relativeFrom="page">
              <wp14:pctWidth>0</wp14:pctWidth>
            </wp14:sizeRelH>
            <wp14:sizeRelV relativeFrom="page">
              <wp14:pctHeight>0</wp14:pctHeight>
            </wp14:sizeRelV>
          </wp:anchor>
        </w:drawing>
      </w:r>
      <w:r w:rsidRPr="00F33FC4">
        <w:rPr>
          <w:rFonts w:eastAsia="MS Mincho"/>
          <w:b/>
          <w:bCs/>
        </w:rPr>
        <w:br w:type="page"/>
      </w:r>
    </w:p>
    <w:p w14:paraId="21CB72D2" w14:textId="77777777" w:rsidR="00F33FC4" w:rsidRPr="00F33FC4" w:rsidRDefault="00F33FC4" w:rsidP="00F33FC4">
      <w:pPr>
        <w:rPr>
          <w:rFonts w:eastAsia="MS Mincho"/>
          <w:b/>
          <w:bCs/>
        </w:rPr>
      </w:pPr>
      <w:r w:rsidRPr="00F33FC4">
        <w:rPr>
          <w:rFonts w:ascii="Calibri" w:eastAsia="MS Mincho" w:hAnsi="Calibri" w:cs="Mangal"/>
          <w:noProof/>
        </w:rPr>
        <w:lastRenderedPageBreak/>
        <mc:AlternateContent>
          <mc:Choice Requires="wps">
            <w:drawing>
              <wp:anchor distT="0" distB="0" distL="114300" distR="114300" simplePos="0" relativeHeight="251739136" behindDoc="0" locked="0" layoutInCell="1" allowOverlap="1" wp14:anchorId="160EFC46" wp14:editId="57F0C42C">
                <wp:simplePos x="0" y="0"/>
                <wp:positionH relativeFrom="column">
                  <wp:posOffset>0</wp:posOffset>
                </wp:positionH>
                <wp:positionV relativeFrom="paragraph">
                  <wp:posOffset>6097433</wp:posOffset>
                </wp:positionV>
                <wp:extent cx="5066665" cy="635"/>
                <wp:effectExtent l="0" t="0" r="635" b="1270"/>
                <wp:wrapTopAndBottom/>
                <wp:docPr id="119" name="Text Box 119"/>
                <wp:cNvGraphicFramePr/>
                <a:graphic xmlns:a="http://schemas.openxmlformats.org/drawingml/2006/main">
                  <a:graphicData uri="http://schemas.microsoft.com/office/word/2010/wordprocessingShape">
                    <wps:wsp>
                      <wps:cNvSpPr txBox="1"/>
                      <wps:spPr>
                        <a:xfrm>
                          <a:off x="0" y="0"/>
                          <a:ext cx="5066665" cy="635"/>
                        </a:xfrm>
                        <a:prstGeom prst="rect">
                          <a:avLst/>
                        </a:prstGeom>
                        <a:solidFill>
                          <a:prstClr val="white"/>
                        </a:solidFill>
                        <a:ln>
                          <a:noFill/>
                        </a:ln>
                      </wps:spPr>
                      <wps:txbx>
                        <w:txbxContent>
                          <w:p w14:paraId="0490131F" w14:textId="77777777" w:rsidR="00F33FC4" w:rsidRPr="00B31475" w:rsidRDefault="00F33FC4" w:rsidP="00F33FC4">
                            <w:pPr>
                              <w:pStyle w:val="Caption"/>
                              <w:rPr>
                                <w:b/>
                                <w:bCs/>
                                <w:i/>
                                <w:iCs w:val="0"/>
                                <w:noProof/>
                                <w:sz w:val="22"/>
                                <w:szCs w:val="22"/>
                              </w:rPr>
                            </w:pPr>
                            <w:r w:rsidRPr="002869DE">
                              <w:rPr>
                                <w:iCs w:val="0"/>
                                <w:sz w:val="22"/>
                                <w:szCs w:val="22"/>
                              </w:rPr>
                              <w:t xml:space="preserve">Figure </w:t>
                            </w:r>
                            <w:r>
                              <w:rPr>
                                <w:iCs w:val="0"/>
                                <w:sz w:val="22"/>
                                <w:szCs w:val="22"/>
                              </w:rPr>
                              <w:t>4.10</w:t>
                            </w:r>
                            <w:r w:rsidRPr="002869DE">
                              <w:rPr>
                                <w:iCs w:val="0"/>
                                <w:sz w:val="22"/>
                                <w:szCs w:val="22"/>
                              </w:rPr>
                              <w:t xml:space="preserve"> </w:t>
                            </w:r>
                            <w:r>
                              <w:rPr>
                                <w:iCs w:val="0"/>
                                <w:sz w:val="22"/>
                                <w:szCs w:val="22"/>
                              </w:rPr>
                              <w:t xml:space="preserve">Growth curve of </w:t>
                            </w:r>
                            <w:r w:rsidRPr="00F871C2">
                              <w:rPr>
                                <w:i/>
                                <w:iCs w:val="0"/>
                                <w:sz w:val="22"/>
                                <w:szCs w:val="22"/>
                              </w:rPr>
                              <w:t>E. coli</w:t>
                            </w:r>
                            <w:r>
                              <w:rPr>
                                <w:iCs w:val="0"/>
                                <w:sz w:val="22"/>
                                <w:szCs w:val="22"/>
                              </w:rPr>
                              <w:t xml:space="preserve"> UTK007 harboring </w:t>
                            </w:r>
                            <w:proofErr w:type="spellStart"/>
                            <w:r>
                              <w:rPr>
                                <w:iCs w:val="0"/>
                                <w:sz w:val="22"/>
                                <w:szCs w:val="22"/>
                              </w:rPr>
                              <w:t>pBR-plac</w:t>
                            </w:r>
                            <w:proofErr w:type="spellEnd"/>
                            <w:r>
                              <w:rPr>
                                <w:iCs w:val="0"/>
                                <w:sz w:val="22"/>
                                <w:szCs w:val="22"/>
                              </w:rPr>
                              <w:t xml:space="preserve"> or </w:t>
                            </w:r>
                            <w:proofErr w:type="spellStart"/>
                            <w:r>
                              <w:rPr>
                                <w:iCs w:val="0"/>
                                <w:sz w:val="22"/>
                                <w:szCs w:val="22"/>
                              </w:rPr>
                              <w:t>pBR-plac-</w:t>
                            </w:r>
                            <w:r w:rsidRPr="00F871C2">
                              <w:rPr>
                                <w:i/>
                                <w:iCs w:val="0"/>
                                <w:sz w:val="22"/>
                                <w:szCs w:val="22"/>
                              </w:rPr>
                              <w:t>orzO</w:t>
                            </w:r>
                            <w:proofErr w:type="spellEnd"/>
                            <w:r>
                              <w:rPr>
                                <w:iCs w:val="0"/>
                                <w:sz w:val="22"/>
                                <w:szCs w:val="22"/>
                              </w:rPr>
                              <w:t xml:space="preserve"> in LB medium (A) and in LB with 4 µg/ml kanamycin (B). 1 mM IPTG was added at the beginning to induce </w:t>
                            </w:r>
                            <w:proofErr w:type="spellStart"/>
                            <w:r>
                              <w:rPr>
                                <w:iCs w:val="0"/>
                                <w:sz w:val="22"/>
                                <w:szCs w:val="22"/>
                              </w:rPr>
                              <w:t>OrzO</w:t>
                            </w:r>
                            <w:proofErr w:type="spellEnd"/>
                            <w:r>
                              <w:rPr>
                                <w:iCs w:val="0"/>
                                <w:sz w:val="22"/>
                                <w:szCs w:val="22"/>
                              </w:rPr>
                              <w:t xml:space="preserve"> production.</w:t>
                            </w:r>
                            <w:r>
                              <w:rPr>
                                <w:iCs w:val="0"/>
                              </w:rPr>
                              <w:t xml:space="preserve"> </w:t>
                            </w:r>
                            <w:r>
                              <w:rPr>
                                <w:sz w:val="22"/>
                                <w:szCs w:val="22"/>
                              </w:rPr>
                              <w:t xml:space="preserve">n </w:t>
                            </w:r>
                            <w:r w:rsidRPr="00B31475">
                              <w:rPr>
                                <w:sz w:val="22"/>
                                <w:szCs w:val="22"/>
                              </w:rPr>
                              <w:t>≥</w:t>
                            </w:r>
                            <w:r>
                              <w:rPr>
                                <w:sz w:val="22"/>
                                <w:szCs w:val="22"/>
                              </w:rPr>
                              <w:t xml:space="preserve"> </w:t>
                            </w:r>
                            <w:r w:rsidRPr="005B5B34">
                              <w:rPr>
                                <w:sz w:val="22"/>
                                <w:szCs w:val="22"/>
                              </w:rPr>
                              <w:t>3</w:t>
                            </w:r>
                            <w:r>
                              <w:rPr>
                                <w:iCs w:val="0"/>
                                <w:sz w:val="22"/>
                                <w:szCs w:val="22"/>
                              </w:rPr>
                              <w:t>, shown are mean ± standard deviation (SD).</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60EFC46" id="Text Box 119" o:spid="_x0000_s1059" type="#_x0000_t202" style="position:absolute;margin-left:0;margin-top:480.1pt;width:398.95pt;height:.05pt;z-index:2517391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" stroked="f">
                <v:textbox style="mso-fit-shape-to-text:t" inset="0,0,0,0">
                  <w:txbxContent>
                    <w:p w14:paraId="0490131F" w14:textId="77777777" w:rsidR="00F33FC4" w:rsidRPr="00B31475" w:rsidRDefault="00F33FC4" w:rsidP="00F33FC4">
                      <w:pPr>
                        <w:pStyle w:val="Caption"/>
                        <w:rPr>
                          <w:b/>
                          <w:bCs/>
                          <w:i/>
                          <w:iCs w:val="0"/>
                          <w:noProof/>
                          <w:sz w:val="22"/>
                          <w:szCs w:val="22"/>
                        </w:rPr>
                      </w:pPr>
                      <w:r w:rsidRPr="002869DE">
                        <w:rPr>
                          <w:iCs w:val="0"/>
                          <w:sz w:val="22"/>
                          <w:szCs w:val="22"/>
                        </w:rPr>
                        <w:t xml:space="preserve">Figure </w:t>
                      </w:r>
                      <w:r>
                        <w:rPr>
                          <w:iCs w:val="0"/>
                          <w:sz w:val="22"/>
                          <w:szCs w:val="22"/>
                        </w:rPr>
                        <w:t>4.10</w:t>
                      </w:r>
                      <w:r w:rsidRPr="002869DE">
                        <w:rPr>
                          <w:iCs w:val="0"/>
                          <w:sz w:val="22"/>
                          <w:szCs w:val="22"/>
                        </w:rPr>
                        <w:t xml:space="preserve"> </w:t>
                      </w:r>
                      <w:r>
                        <w:rPr>
                          <w:iCs w:val="0"/>
                          <w:sz w:val="22"/>
                          <w:szCs w:val="22"/>
                        </w:rPr>
                        <w:t xml:space="preserve">Growth curve of </w:t>
                      </w:r>
                      <w:r w:rsidRPr="00F871C2">
                        <w:rPr>
                          <w:i/>
                          <w:iCs w:val="0"/>
                          <w:sz w:val="22"/>
                          <w:szCs w:val="22"/>
                        </w:rPr>
                        <w:t>E. coli</w:t>
                      </w:r>
                      <w:r>
                        <w:rPr>
                          <w:iCs w:val="0"/>
                          <w:sz w:val="22"/>
                          <w:szCs w:val="22"/>
                        </w:rPr>
                        <w:t xml:space="preserve"> UTK007 harboring </w:t>
                      </w:r>
                      <w:proofErr w:type="spellStart"/>
                      <w:r>
                        <w:rPr>
                          <w:iCs w:val="0"/>
                          <w:sz w:val="22"/>
                          <w:szCs w:val="22"/>
                        </w:rPr>
                        <w:t>pBR-plac</w:t>
                      </w:r>
                      <w:proofErr w:type="spellEnd"/>
                      <w:r>
                        <w:rPr>
                          <w:iCs w:val="0"/>
                          <w:sz w:val="22"/>
                          <w:szCs w:val="22"/>
                        </w:rPr>
                        <w:t xml:space="preserve"> or </w:t>
                      </w:r>
                      <w:proofErr w:type="spellStart"/>
                      <w:r>
                        <w:rPr>
                          <w:iCs w:val="0"/>
                          <w:sz w:val="22"/>
                          <w:szCs w:val="22"/>
                        </w:rPr>
                        <w:t>pBR-plac-</w:t>
                      </w:r>
                      <w:r w:rsidRPr="00F871C2">
                        <w:rPr>
                          <w:i/>
                          <w:iCs w:val="0"/>
                          <w:sz w:val="22"/>
                          <w:szCs w:val="22"/>
                        </w:rPr>
                        <w:t>orzO</w:t>
                      </w:r>
                      <w:proofErr w:type="spellEnd"/>
                      <w:r>
                        <w:rPr>
                          <w:iCs w:val="0"/>
                          <w:sz w:val="22"/>
                          <w:szCs w:val="22"/>
                        </w:rPr>
                        <w:t xml:space="preserve"> in LB medium (A) and in LB with 4 µg/ml kanamycin (B). 1 mM IPTG was added at the beginning to induce </w:t>
                      </w:r>
                      <w:proofErr w:type="spellStart"/>
                      <w:r>
                        <w:rPr>
                          <w:iCs w:val="0"/>
                          <w:sz w:val="22"/>
                          <w:szCs w:val="22"/>
                        </w:rPr>
                        <w:t>OrzO</w:t>
                      </w:r>
                      <w:proofErr w:type="spellEnd"/>
                      <w:r>
                        <w:rPr>
                          <w:iCs w:val="0"/>
                          <w:sz w:val="22"/>
                          <w:szCs w:val="22"/>
                        </w:rPr>
                        <w:t xml:space="preserve"> production.</w:t>
                      </w:r>
                      <w:r>
                        <w:rPr>
                          <w:iCs w:val="0"/>
                        </w:rPr>
                        <w:t xml:space="preserve"> </w:t>
                      </w:r>
                      <w:r>
                        <w:rPr>
                          <w:sz w:val="22"/>
                          <w:szCs w:val="22"/>
                        </w:rPr>
                        <w:t xml:space="preserve">n </w:t>
                      </w:r>
                      <w:r w:rsidRPr="00B31475">
                        <w:rPr>
                          <w:sz w:val="22"/>
                          <w:szCs w:val="22"/>
                        </w:rPr>
                        <w:t>≥</w:t>
                      </w:r>
                      <w:r>
                        <w:rPr>
                          <w:sz w:val="22"/>
                          <w:szCs w:val="22"/>
                        </w:rPr>
                        <w:t xml:space="preserve"> </w:t>
                      </w:r>
                      <w:r w:rsidRPr="005B5B34">
                        <w:rPr>
                          <w:sz w:val="22"/>
                          <w:szCs w:val="22"/>
                        </w:rPr>
                        <w:t>3</w:t>
                      </w:r>
                      <w:r>
                        <w:rPr>
                          <w:iCs w:val="0"/>
                          <w:sz w:val="22"/>
                          <w:szCs w:val="22"/>
                        </w:rPr>
                        <w:t>, shown are mean ± standard deviation (SD).</w:t>
                      </w:r>
                    </w:p>
                  </w:txbxContent>
                </v:textbox>
                <w10:wrap type="topAndBottom"/>
              </v:shape>
            </w:pict>
          </mc:Fallback>
        </mc:AlternateContent>
      </w:r>
      <w:r w:rsidRPr="00F33FC4">
        <w:rPr>
          <w:rFonts w:eastAsia="MS Mincho"/>
          <w:b/>
          <w:bCs/>
          <w:noProof/>
        </w:rPr>
        <w:drawing>
          <wp:anchor distT="0" distB="0" distL="114300" distR="114300" simplePos="0" relativeHeight="251738112" behindDoc="0" locked="0" layoutInCell="1" allowOverlap="1" wp14:anchorId="4AA2B568" wp14:editId="5F16466C">
            <wp:simplePos x="0" y="0"/>
            <wp:positionH relativeFrom="column">
              <wp:posOffset>281940</wp:posOffset>
            </wp:positionH>
            <wp:positionV relativeFrom="paragraph">
              <wp:posOffset>170180</wp:posOffset>
            </wp:positionV>
            <wp:extent cx="3987800" cy="5791200"/>
            <wp:effectExtent l="0" t="0" r="0" b="0"/>
            <wp:wrapTopAndBottom/>
            <wp:docPr id="129" name="Picture 129" descr="A picture containing dark, las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picture containing dark, laser&#10;&#10;Description automatically generated"/>
                    <pic:cNvPicPr/>
                  </pic:nvPicPr>
                  <pic:blipFill>
                    <a:blip r:embed="rId46" cstate="print">
                      <a:extLst>
                        <a:ext uri="{28A0092B-C50C-407E-A947-70E740481C1C}">
                          <a14:useLocalDpi xmlns:a14="http://schemas.microsoft.com/office/drawing/2010/main" val="0"/>
                        </a:ext>
                      </a:extLst>
                    </a:blip>
                    <a:stretch>
                      <a:fillRect/>
                    </a:stretch>
                  </pic:blipFill>
                  <pic:spPr>
                    <a:xfrm>
                      <a:off x="0" y="0"/>
                      <a:ext cx="3987800" cy="5791200"/>
                    </a:xfrm>
                    <a:prstGeom prst="rect">
                      <a:avLst/>
                    </a:prstGeom>
                  </pic:spPr>
                </pic:pic>
              </a:graphicData>
            </a:graphic>
            <wp14:sizeRelH relativeFrom="page">
              <wp14:pctWidth>0</wp14:pctWidth>
            </wp14:sizeRelH>
            <wp14:sizeRelV relativeFrom="page">
              <wp14:pctHeight>0</wp14:pctHeight>
            </wp14:sizeRelV>
          </wp:anchor>
        </w:drawing>
      </w:r>
      <w:r w:rsidRPr="00F33FC4">
        <w:rPr>
          <w:rFonts w:eastAsia="MS Mincho"/>
          <w:b/>
          <w:bCs/>
        </w:rPr>
        <w:br w:type="page"/>
      </w:r>
    </w:p>
    <w:p w14:paraId="56CB4058" w14:textId="0C8B6E91" w:rsidR="00F33FC4" w:rsidRPr="00F33FC4" w:rsidRDefault="00194719" w:rsidP="00862E05">
      <w:pPr>
        <w:spacing w:line="360" w:lineRule="auto"/>
        <w:rPr>
          <w:rFonts w:eastAsia="MS Mincho"/>
          <w:b/>
          <w:bCs/>
        </w:rPr>
      </w:pPr>
      <w:r w:rsidRPr="00F33FC4">
        <w:rPr>
          <w:rFonts w:eastAsia="Calibri"/>
        </w:rPr>
        <w:lastRenderedPageBreak/>
        <w:t xml:space="preserve">cells conferred by harboring multiple copies of the </w:t>
      </w:r>
      <w:proofErr w:type="spellStart"/>
      <w:r w:rsidRPr="00F33FC4">
        <w:rPr>
          <w:rFonts w:eastAsia="Calibri"/>
          <w:i/>
          <w:iCs/>
        </w:rPr>
        <w:t>zor-orz</w:t>
      </w:r>
      <w:proofErr w:type="spellEnd"/>
      <w:r w:rsidRPr="00F33FC4">
        <w:rPr>
          <w:rFonts w:eastAsia="Calibri"/>
        </w:rPr>
        <w:t xml:space="preserve"> locus (</w:t>
      </w:r>
      <w:proofErr w:type="spellStart"/>
      <w:r w:rsidRPr="00F33FC4">
        <w:rPr>
          <w:rFonts w:eastAsia="Calibri"/>
        </w:rPr>
        <w:t>pBR-</w:t>
      </w:r>
      <w:r w:rsidRPr="00F33FC4">
        <w:rPr>
          <w:rFonts w:eastAsia="Calibri"/>
          <w:i/>
          <w:iCs/>
        </w:rPr>
        <w:t>zor-orz</w:t>
      </w:r>
      <w:proofErr w:type="spellEnd"/>
      <w:r w:rsidRPr="00F33FC4">
        <w:rPr>
          <w:rFonts w:eastAsia="Calibri"/>
        </w:rPr>
        <w:t xml:space="preserve">) with the native regulatory </w:t>
      </w:r>
      <w:r w:rsidR="00862E05" w:rsidRPr="00F33FC4">
        <w:rPr>
          <w:rFonts w:eastAsia="Calibri"/>
        </w:rPr>
        <w:t xml:space="preserve">elements is maintained by </w:t>
      </w:r>
      <w:proofErr w:type="spellStart"/>
      <w:r w:rsidR="00862E05" w:rsidRPr="00F33FC4">
        <w:rPr>
          <w:rFonts w:eastAsia="Calibri"/>
        </w:rPr>
        <w:t>pBR-</w:t>
      </w:r>
      <w:r w:rsidR="00862E05" w:rsidRPr="00F33FC4">
        <w:rPr>
          <w:rFonts w:eastAsia="Calibri"/>
          <w:i/>
          <w:iCs/>
        </w:rPr>
        <w:t>zorO-orzO</w:t>
      </w:r>
      <w:proofErr w:type="spellEnd"/>
      <w:r w:rsidR="00862E05" w:rsidRPr="00F33FC4">
        <w:rPr>
          <w:rFonts w:eastAsia="Calibri"/>
        </w:rPr>
        <w:t xml:space="preserve">, </w:t>
      </w:r>
      <w:proofErr w:type="spellStart"/>
      <w:r w:rsidR="00862E05" w:rsidRPr="00F33FC4">
        <w:rPr>
          <w:rFonts w:eastAsia="Calibri"/>
        </w:rPr>
        <w:t>pBR-</w:t>
      </w:r>
      <w:r w:rsidR="00862E05" w:rsidRPr="00F33FC4">
        <w:rPr>
          <w:rFonts w:eastAsia="Calibri"/>
          <w:i/>
          <w:iCs/>
        </w:rPr>
        <w:t>zorO</w:t>
      </w:r>
      <w:proofErr w:type="spellEnd"/>
      <w:r w:rsidR="00862E05" w:rsidRPr="00F33FC4">
        <w:rPr>
          <w:rFonts w:eastAsia="Calibri"/>
        </w:rPr>
        <w:t>, pBR-</w:t>
      </w:r>
      <w:r w:rsidR="00862E05" w:rsidRPr="00F33FC4">
        <w:rPr>
          <w:rFonts w:eastAsia="MS Mincho"/>
        </w:rPr>
        <w:t>Δ28-FLAG-</w:t>
      </w:r>
      <w:r w:rsidR="00862E05" w:rsidRPr="00F33FC4">
        <w:rPr>
          <w:rFonts w:eastAsia="MS Mincho"/>
          <w:i/>
          <w:iCs/>
        </w:rPr>
        <w:t xml:space="preserve">zorO </w:t>
      </w:r>
      <w:r w:rsidR="00862E05" w:rsidRPr="00F33FC4">
        <w:rPr>
          <w:rFonts w:eastAsia="MS Mincho"/>
        </w:rPr>
        <w:t xml:space="preserve">and a non-toxic mutant of </w:t>
      </w:r>
      <w:proofErr w:type="spellStart"/>
      <w:r w:rsidR="00862E05" w:rsidRPr="00F33FC4">
        <w:rPr>
          <w:rFonts w:eastAsia="MS Mincho"/>
        </w:rPr>
        <w:t>ZorO</w:t>
      </w:r>
      <w:proofErr w:type="spellEnd"/>
      <w:r w:rsidR="00862E05" w:rsidRPr="00F33FC4">
        <w:rPr>
          <w:rFonts w:eastAsia="MS Mincho"/>
        </w:rPr>
        <w:t xml:space="preserve"> (Δ28-FLAG-</w:t>
      </w:r>
      <w:r w:rsidR="00862E05" w:rsidRPr="00F33FC4">
        <w:rPr>
          <w:rFonts w:eastAsia="MS Mincho"/>
          <w:i/>
          <w:iCs/>
        </w:rPr>
        <w:t>zorO</w:t>
      </w:r>
      <w:r w:rsidR="00862E05" w:rsidRPr="00F33FC4">
        <w:rPr>
          <w:rFonts w:eastAsia="MS Mincho"/>
        </w:rPr>
        <w:t>-R23L).</w:t>
      </w:r>
      <w:r w:rsidR="00862E05">
        <w:rPr>
          <w:rFonts w:eastAsia="MS Mincho"/>
          <w:b/>
          <w:bCs/>
        </w:rPr>
        <w:t xml:space="preserve"> </w:t>
      </w:r>
      <w:r w:rsidR="00F33FC4" w:rsidRPr="00F33FC4">
        <w:rPr>
          <w:rFonts w:eastAsia="MS Mincho"/>
        </w:rPr>
        <w:t xml:space="preserve">As the non-toxic mutant </w:t>
      </w:r>
      <w:r w:rsidR="00F33FC4" w:rsidRPr="00F33FC4">
        <w:rPr>
          <w:rFonts w:eastAsia="Calibri"/>
        </w:rPr>
        <w:t>pBR-</w:t>
      </w:r>
      <w:r w:rsidR="00F33FC4" w:rsidRPr="00F33FC4">
        <w:rPr>
          <w:rFonts w:eastAsia="Calibri"/>
          <w:i/>
          <w:iCs/>
        </w:rPr>
        <w:t>zorO-</w:t>
      </w:r>
      <w:r w:rsidR="00F33FC4" w:rsidRPr="00F33FC4">
        <w:rPr>
          <w:rFonts w:eastAsia="Calibri"/>
        </w:rPr>
        <w:t>R23L</w:t>
      </w:r>
      <w:r w:rsidR="00F33FC4" w:rsidRPr="00F33FC4">
        <w:rPr>
          <w:rFonts w:eastAsia="Calibri"/>
          <w:i/>
          <w:iCs/>
        </w:rPr>
        <w:t xml:space="preserve">-orzO </w:t>
      </w:r>
      <w:r w:rsidR="00F33FC4" w:rsidRPr="00F33FC4">
        <w:rPr>
          <w:rFonts w:eastAsia="Calibri"/>
        </w:rPr>
        <w:t xml:space="preserve">was able to allow for improved growth in kanamycin, membrane depolarization and ATP depletion are not required for this benefit. </w:t>
      </w:r>
    </w:p>
    <w:p w14:paraId="4E7043E3" w14:textId="77777777" w:rsidR="00F33FC4" w:rsidRPr="00F33FC4" w:rsidRDefault="00F33FC4" w:rsidP="00F33FC4">
      <w:pPr>
        <w:rPr>
          <w:rFonts w:eastAsia="MS Mincho"/>
        </w:rPr>
      </w:pPr>
    </w:p>
    <w:p w14:paraId="43E94616" w14:textId="77777777" w:rsidR="00F33FC4" w:rsidRPr="00F33FC4" w:rsidRDefault="00F33FC4" w:rsidP="00F33FC4">
      <w:pPr>
        <w:spacing w:line="360" w:lineRule="auto"/>
        <w:rPr>
          <w:rFonts w:eastAsia="MS Mincho"/>
          <w:b/>
          <w:bCs/>
        </w:rPr>
      </w:pPr>
      <w:r w:rsidRPr="00F33FC4">
        <w:rPr>
          <w:rFonts w:eastAsia="MS Mincho"/>
          <w:b/>
          <w:bCs/>
        </w:rPr>
        <w:t xml:space="preserve">Charged residues in </w:t>
      </w:r>
      <w:proofErr w:type="spellStart"/>
      <w:r w:rsidRPr="00F33FC4">
        <w:rPr>
          <w:rFonts w:eastAsia="MS Mincho"/>
          <w:b/>
          <w:bCs/>
        </w:rPr>
        <w:t>ZorO</w:t>
      </w:r>
      <w:proofErr w:type="spellEnd"/>
      <w:r w:rsidRPr="00F33FC4">
        <w:rPr>
          <w:rFonts w:eastAsia="MS Mincho"/>
          <w:b/>
          <w:bCs/>
        </w:rPr>
        <w:t xml:space="preserve"> are important for </w:t>
      </w:r>
      <w:proofErr w:type="spellStart"/>
      <w:r w:rsidRPr="00F33FC4">
        <w:rPr>
          <w:rFonts w:eastAsia="MS Mincho"/>
          <w:b/>
          <w:bCs/>
        </w:rPr>
        <w:t>ZorO</w:t>
      </w:r>
      <w:proofErr w:type="spellEnd"/>
      <w:r w:rsidRPr="00F33FC4">
        <w:rPr>
          <w:rFonts w:eastAsia="MS Mincho"/>
          <w:b/>
          <w:bCs/>
        </w:rPr>
        <w:t xml:space="preserve"> mediated toxicity</w:t>
      </w:r>
    </w:p>
    <w:p w14:paraId="6732A609" w14:textId="77777777" w:rsidR="00F33FC4" w:rsidRPr="00F33FC4" w:rsidRDefault="00F33FC4" w:rsidP="00F33FC4">
      <w:pPr>
        <w:spacing w:line="360" w:lineRule="auto"/>
        <w:ind w:firstLine="720"/>
        <w:rPr>
          <w:rFonts w:eastAsia="MS Mincho"/>
        </w:rPr>
      </w:pPr>
      <w:r w:rsidRPr="00F33FC4">
        <w:rPr>
          <w:rFonts w:eastAsia="MS Mincho"/>
        </w:rPr>
        <w:t xml:space="preserve">The inner membrane targeting small toxin protein </w:t>
      </w:r>
      <w:proofErr w:type="spellStart"/>
      <w:r w:rsidRPr="00F33FC4">
        <w:rPr>
          <w:rFonts w:eastAsia="MS Mincho"/>
        </w:rPr>
        <w:t>ZorO</w:t>
      </w:r>
      <w:proofErr w:type="spellEnd"/>
      <w:r w:rsidRPr="00F33FC4">
        <w:rPr>
          <w:rFonts w:eastAsia="MS Mincho"/>
        </w:rPr>
        <w:t xml:space="preserve"> is hydrophobic and contains six charged amino acid residues (20% of its sequence) distributed within the sequence. Most prediction tools show a transmembrane ((TM)) domain within the sequence, although the length of the predicted domain varies based on the tool used (Fig. 4.1B). Two charged residues, glutamate at 16</w:t>
      </w:r>
      <w:r w:rsidRPr="00F33FC4">
        <w:rPr>
          <w:rFonts w:eastAsia="MS Mincho"/>
          <w:vertAlign w:val="superscript"/>
        </w:rPr>
        <w:t>th</w:t>
      </w:r>
      <w:r w:rsidRPr="00F33FC4">
        <w:rPr>
          <w:rFonts w:eastAsia="MS Mincho"/>
        </w:rPr>
        <w:t xml:space="preserve"> position and arginine at 23</w:t>
      </w:r>
      <w:r w:rsidRPr="00F33FC4">
        <w:rPr>
          <w:rFonts w:eastAsia="MS Mincho"/>
          <w:vertAlign w:val="superscript"/>
        </w:rPr>
        <w:t>rd</w:t>
      </w:r>
      <w:r w:rsidRPr="00F33FC4">
        <w:rPr>
          <w:rFonts w:eastAsia="MS Mincho"/>
        </w:rPr>
        <w:t xml:space="preserve"> position, that are predicted to be in TM domain by all the tools used. Upon mutation of these residues, we observed a loss in </w:t>
      </w:r>
      <w:proofErr w:type="spellStart"/>
      <w:r w:rsidRPr="00F33FC4">
        <w:rPr>
          <w:rFonts w:eastAsia="MS Mincho"/>
        </w:rPr>
        <w:t>ZorO</w:t>
      </w:r>
      <w:proofErr w:type="spellEnd"/>
      <w:r w:rsidRPr="00F33FC4">
        <w:rPr>
          <w:rFonts w:eastAsia="MS Mincho"/>
        </w:rPr>
        <w:t xml:space="preserve"> mediated toxicity (Fig. 4.2). While the mutation of aspartate at the 2</w:t>
      </w:r>
      <w:r w:rsidRPr="00F33FC4">
        <w:rPr>
          <w:rFonts w:eastAsia="MS Mincho"/>
          <w:vertAlign w:val="superscript"/>
        </w:rPr>
        <w:t>nd</w:t>
      </w:r>
      <w:r w:rsidRPr="00F33FC4">
        <w:rPr>
          <w:rFonts w:eastAsia="MS Mincho"/>
        </w:rPr>
        <w:t xml:space="preserve"> position did not impact </w:t>
      </w:r>
      <w:proofErr w:type="spellStart"/>
      <w:r w:rsidRPr="00F33FC4">
        <w:rPr>
          <w:rFonts w:eastAsia="MS Mincho"/>
        </w:rPr>
        <w:t>ZorO</w:t>
      </w:r>
      <w:proofErr w:type="spellEnd"/>
      <w:r w:rsidRPr="00F33FC4">
        <w:rPr>
          <w:rFonts w:eastAsia="MS Mincho"/>
        </w:rPr>
        <w:t xml:space="preserve"> mediated toxicity, all other amino acid residues (5 of 6) had either made the </w:t>
      </w:r>
      <w:proofErr w:type="spellStart"/>
      <w:r w:rsidRPr="00F33FC4">
        <w:rPr>
          <w:rFonts w:eastAsia="MS Mincho"/>
        </w:rPr>
        <w:t>ZorO</w:t>
      </w:r>
      <w:proofErr w:type="spellEnd"/>
      <w:r w:rsidRPr="00F33FC4">
        <w:rPr>
          <w:rFonts w:eastAsia="MS Mincho"/>
        </w:rPr>
        <w:t xml:space="preserve"> less toxic or completely rescued the cells from the </w:t>
      </w:r>
      <w:proofErr w:type="spellStart"/>
      <w:r w:rsidRPr="00F33FC4">
        <w:rPr>
          <w:rFonts w:eastAsia="MS Mincho"/>
        </w:rPr>
        <w:t>ZorO</w:t>
      </w:r>
      <w:proofErr w:type="spellEnd"/>
      <w:r w:rsidRPr="00F33FC4">
        <w:rPr>
          <w:rFonts w:eastAsia="MS Mincho"/>
        </w:rPr>
        <w:t xml:space="preserve"> toxicity (Fig. 4.2 and 4.3). Most of the prediction tools suggest </w:t>
      </w:r>
      <w:proofErr w:type="spellStart"/>
      <w:r w:rsidRPr="00F33FC4">
        <w:rPr>
          <w:rFonts w:eastAsia="MS Mincho"/>
        </w:rPr>
        <w:t>ZorO</w:t>
      </w:r>
      <w:proofErr w:type="spellEnd"/>
      <w:r w:rsidRPr="00F33FC4">
        <w:rPr>
          <w:rFonts w:eastAsia="MS Mincho"/>
        </w:rPr>
        <w:t xml:space="preserve"> is oriented with N-terminus at the periplasmic side (Fig. 4.1B) and the aspartate at the 2</w:t>
      </w:r>
      <w:r w:rsidRPr="00F33FC4">
        <w:rPr>
          <w:rFonts w:eastAsia="MS Mincho"/>
          <w:vertAlign w:val="superscript"/>
        </w:rPr>
        <w:t>nd</w:t>
      </w:r>
      <w:r w:rsidRPr="00F33FC4">
        <w:rPr>
          <w:rFonts w:eastAsia="MS Mincho"/>
        </w:rPr>
        <w:t xml:space="preserve"> position is not predicted to be in the TM domain which might be the possible reasons that mutation of this residue does not impact </w:t>
      </w:r>
      <w:proofErr w:type="spellStart"/>
      <w:r w:rsidRPr="00F33FC4">
        <w:rPr>
          <w:rFonts w:eastAsia="MS Mincho"/>
        </w:rPr>
        <w:t>ZorO</w:t>
      </w:r>
      <w:proofErr w:type="spellEnd"/>
      <w:r w:rsidRPr="00F33FC4">
        <w:rPr>
          <w:rFonts w:eastAsia="MS Mincho"/>
        </w:rPr>
        <w:t xml:space="preserve"> toxicity. This demonstrates that the charged amino acid residues are critical, either to form an oligomer of </w:t>
      </w:r>
      <w:proofErr w:type="spellStart"/>
      <w:r w:rsidRPr="00F33FC4">
        <w:rPr>
          <w:rFonts w:eastAsia="MS Mincho"/>
        </w:rPr>
        <w:t>ZorO</w:t>
      </w:r>
      <w:proofErr w:type="spellEnd"/>
      <w:r w:rsidRPr="00F33FC4">
        <w:rPr>
          <w:rFonts w:eastAsia="MS Mincho"/>
        </w:rPr>
        <w:t xml:space="preserve"> or to bind to the bacterial membrane and result in subsequent toxic effects. </w:t>
      </w:r>
    </w:p>
    <w:p w14:paraId="1D18A4A1" w14:textId="77777777" w:rsidR="00F33FC4" w:rsidRPr="00F33FC4" w:rsidRDefault="00F33FC4" w:rsidP="00F33FC4">
      <w:pPr>
        <w:spacing w:line="360" w:lineRule="auto"/>
        <w:ind w:firstLine="720"/>
        <w:rPr>
          <w:rFonts w:eastAsia="Calibri"/>
        </w:rPr>
      </w:pPr>
      <w:r w:rsidRPr="00F33FC4">
        <w:rPr>
          <w:rFonts w:eastAsia="MS Mincho"/>
        </w:rPr>
        <w:t xml:space="preserve">Examination of the localization of the non-toxic mutants reveals that the interaction of </w:t>
      </w:r>
      <w:proofErr w:type="spellStart"/>
      <w:r w:rsidRPr="00F33FC4">
        <w:rPr>
          <w:rFonts w:eastAsia="MS Mincho"/>
        </w:rPr>
        <w:t>ZorO</w:t>
      </w:r>
      <w:proofErr w:type="spellEnd"/>
      <w:r w:rsidRPr="00F33FC4">
        <w:rPr>
          <w:rFonts w:eastAsia="MS Mincho"/>
        </w:rPr>
        <w:t xml:space="preserve"> with the membrane alone is not sufficient for inhibiting cell growth. The non-toxic mutants of </w:t>
      </w:r>
      <w:proofErr w:type="spellStart"/>
      <w:r w:rsidRPr="00F33FC4">
        <w:rPr>
          <w:rFonts w:eastAsia="MS Mincho"/>
        </w:rPr>
        <w:t>ZorO</w:t>
      </w:r>
      <w:proofErr w:type="spellEnd"/>
      <w:r w:rsidRPr="00F33FC4">
        <w:rPr>
          <w:rFonts w:eastAsia="MS Mincho"/>
        </w:rPr>
        <w:t xml:space="preserve"> have the protein accumulated in the cytoplasm in addition to membrane localization (Fig. 4.4A). </w:t>
      </w:r>
      <w:r w:rsidRPr="00F33FC4">
        <w:rPr>
          <w:rFonts w:eastAsia="Calibri"/>
        </w:rPr>
        <w:t xml:space="preserve">These results show that the effects of </w:t>
      </w:r>
      <w:proofErr w:type="spellStart"/>
      <w:r w:rsidRPr="00F33FC4">
        <w:rPr>
          <w:rFonts w:eastAsia="Calibri"/>
        </w:rPr>
        <w:t>ZorO</w:t>
      </w:r>
      <w:proofErr w:type="spellEnd"/>
      <w:r w:rsidRPr="00F33FC4">
        <w:rPr>
          <w:rFonts w:eastAsia="Calibri"/>
        </w:rPr>
        <w:t xml:space="preserve"> on cells upon overproduction are not simply due to membrane saturation by these artificially overproduced membrane-targeting proteins. Further, the accumulation of the protein in the cytoplasm could be the result of the cells being able to continuously grow and translate the protein (as it is not toxic) after arabinose induction.</w:t>
      </w:r>
    </w:p>
    <w:p w14:paraId="5570638B" w14:textId="77777777" w:rsidR="00F33FC4" w:rsidRPr="00F33FC4" w:rsidRDefault="00F33FC4" w:rsidP="00F33FC4">
      <w:pPr>
        <w:spacing w:line="360" w:lineRule="auto"/>
        <w:ind w:firstLine="720"/>
        <w:rPr>
          <w:rFonts w:eastAsia="Calibri"/>
        </w:rPr>
      </w:pPr>
    </w:p>
    <w:p w14:paraId="53A7A808" w14:textId="77777777" w:rsidR="00F33FC4" w:rsidRPr="00F33FC4" w:rsidRDefault="00F33FC4" w:rsidP="00F33FC4">
      <w:pPr>
        <w:spacing w:line="360" w:lineRule="auto"/>
        <w:rPr>
          <w:rFonts w:eastAsia="MS Mincho"/>
          <w:b/>
          <w:bCs/>
        </w:rPr>
      </w:pPr>
      <w:r w:rsidRPr="00F33FC4">
        <w:rPr>
          <w:rFonts w:eastAsia="MS Mincho"/>
          <w:b/>
          <w:bCs/>
        </w:rPr>
        <w:t xml:space="preserve">Role of </w:t>
      </w:r>
      <w:proofErr w:type="spellStart"/>
      <w:r w:rsidRPr="00F33FC4">
        <w:rPr>
          <w:rFonts w:eastAsia="MS Mincho"/>
          <w:b/>
          <w:bCs/>
        </w:rPr>
        <w:t>pBR-</w:t>
      </w:r>
      <w:r w:rsidRPr="00F33FC4">
        <w:rPr>
          <w:rFonts w:eastAsia="MS Mincho"/>
          <w:b/>
          <w:bCs/>
          <w:i/>
          <w:iCs/>
        </w:rPr>
        <w:t>zorO-orzO</w:t>
      </w:r>
      <w:proofErr w:type="spellEnd"/>
      <w:r w:rsidRPr="00F33FC4">
        <w:rPr>
          <w:rFonts w:eastAsia="MS Mincho"/>
          <w:b/>
          <w:bCs/>
          <w:i/>
          <w:iCs/>
        </w:rPr>
        <w:t>,</w:t>
      </w:r>
      <w:r w:rsidRPr="00F33FC4">
        <w:rPr>
          <w:rFonts w:eastAsia="MS Mincho"/>
          <w:b/>
          <w:bCs/>
        </w:rPr>
        <w:t xml:space="preserve"> </w:t>
      </w:r>
      <w:proofErr w:type="spellStart"/>
      <w:r w:rsidRPr="00F33FC4">
        <w:rPr>
          <w:rFonts w:eastAsia="MS Mincho"/>
          <w:b/>
          <w:bCs/>
        </w:rPr>
        <w:t>pBR-</w:t>
      </w:r>
      <w:r w:rsidRPr="00F33FC4">
        <w:rPr>
          <w:rFonts w:eastAsia="MS Mincho"/>
          <w:b/>
          <w:bCs/>
          <w:i/>
          <w:iCs/>
        </w:rPr>
        <w:t>zorO</w:t>
      </w:r>
      <w:proofErr w:type="spellEnd"/>
      <w:r w:rsidRPr="00F33FC4">
        <w:rPr>
          <w:rFonts w:eastAsia="MS Mincho"/>
          <w:b/>
          <w:bCs/>
        </w:rPr>
        <w:t xml:space="preserve"> and pBR-Δ28-FLAG-</w:t>
      </w:r>
      <w:r w:rsidRPr="00F33FC4">
        <w:rPr>
          <w:rFonts w:eastAsia="MS Mincho"/>
          <w:b/>
          <w:bCs/>
          <w:i/>
          <w:iCs/>
        </w:rPr>
        <w:t>zorO</w:t>
      </w:r>
      <w:r w:rsidRPr="00F33FC4">
        <w:rPr>
          <w:rFonts w:eastAsia="MS Mincho"/>
        </w:rPr>
        <w:t xml:space="preserve"> </w:t>
      </w:r>
      <w:r w:rsidRPr="00F33FC4">
        <w:rPr>
          <w:rFonts w:eastAsia="MS Mincho"/>
          <w:b/>
          <w:bCs/>
        </w:rPr>
        <w:t>gene pair in bacterial growth in presence of aminoglycoside</w:t>
      </w:r>
    </w:p>
    <w:p w14:paraId="61E62142" w14:textId="77777777" w:rsidR="00F33FC4" w:rsidRPr="00F33FC4" w:rsidRDefault="00F33FC4" w:rsidP="00F33FC4">
      <w:pPr>
        <w:spacing w:line="360" w:lineRule="auto"/>
        <w:ind w:firstLine="720"/>
        <w:rPr>
          <w:rFonts w:eastAsia="MS Mincho"/>
        </w:rPr>
      </w:pPr>
      <w:r w:rsidRPr="00F33FC4">
        <w:rPr>
          <w:rFonts w:eastAsia="MS Mincho"/>
        </w:rPr>
        <w:t xml:space="preserve"> Using </w:t>
      </w:r>
      <w:proofErr w:type="spellStart"/>
      <w:r w:rsidRPr="00F33FC4">
        <w:rPr>
          <w:rFonts w:eastAsia="MS Mincho"/>
        </w:rPr>
        <w:t>pBR-</w:t>
      </w:r>
      <w:r w:rsidRPr="00F33FC4">
        <w:rPr>
          <w:rFonts w:eastAsia="MS Mincho"/>
          <w:i/>
          <w:iCs/>
        </w:rPr>
        <w:t>zorO-orzO</w:t>
      </w:r>
      <w:proofErr w:type="spellEnd"/>
      <w:r w:rsidRPr="00F33FC4">
        <w:rPr>
          <w:rFonts w:eastAsia="MS Mincho"/>
        </w:rPr>
        <w:t xml:space="preserve">, we verified that </w:t>
      </w:r>
      <w:proofErr w:type="spellStart"/>
      <w:r w:rsidRPr="00F33FC4">
        <w:rPr>
          <w:rFonts w:eastAsia="MS Mincho"/>
          <w:i/>
          <w:iCs/>
        </w:rPr>
        <w:t>zorO-orzO</w:t>
      </w:r>
      <w:proofErr w:type="spellEnd"/>
      <w:r w:rsidRPr="00F33FC4">
        <w:rPr>
          <w:rFonts w:eastAsia="MS Mincho"/>
        </w:rPr>
        <w:t xml:space="preserve"> is sufficient and can improve cellular growth to a similar degree as that of </w:t>
      </w:r>
      <w:proofErr w:type="spellStart"/>
      <w:r w:rsidRPr="00F33FC4">
        <w:rPr>
          <w:rFonts w:eastAsia="MS Mincho"/>
        </w:rPr>
        <w:t>pBR-</w:t>
      </w:r>
      <w:r w:rsidRPr="00F33FC4">
        <w:rPr>
          <w:rFonts w:eastAsia="MS Mincho"/>
          <w:i/>
          <w:iCs/>
        </w:rPr>
        <w:t>zor-orz</w:t>
      </w:r>
      <w:proofErr w:type="spellEnd"/>
      <w:r w:rsidRPr="00F33FC4">
        <w:rPr>
          <w:rFonts w:eastAsia="MS Mincho"/>
        </w:rPr>
        <w:t xml:space="preserve"> against several aminoglycoside antibiotics (Fig. 4.5). We also confirmed that the non-toxic (R23L) mutant of </w:t>
      </w:r>
      <w:proofErr w:type="spellStart"/>
      <w:r w:rsidRPr="00F33FC4">
        <w:rPr>
          <w:rFonts w:eastAsia="MS Mincho"/>
          <w:i/>
          <w:iCs/>
        </w:rPr>
        <w:t>zorO</w:t>
      </w:r>
      <w:proofErr w:type="spellEnd"/>
      <w:r w:rsidRPr="00F33FC4">
        <w:rPr>
          <w:rFonts w:eastAsia="MS Mincho"/>
        </w:rPr>
        <w:t xml:space="preserve"> (pBR-</w:t>
      </w:r>
      <w:r w:rsidRPr="00F33FC4">
        <w:rPr>
          <w:rFonts w:eastAsia="MS Mincho"/>
          <w:i/>
          <w:iCs/>
        </w:rPr>
        <w:t>zorO</w:t>
      </w:r>
      <w:r w:rsidRPr="00F33FC4">
        <w:rPr>
          <w:rFonts w:eastAsia="MS Mincho"/>
        </w:rPr>
        <w:t>-R23L-</w:t>
      </w:r>
      <w:r w:rsidRPr="00F33FC4">
        <w:rPr>
          <w:rFonts w:eastAsia="MS Mincho"/>
          <w:i/>
          <w:iCs/>
        </w:rPr>
        <w:t>orzO</w:t>
      </w:r>
      <w:r w:rsidRPr="00F33FC4">
        <w:rPr>
          <w:rFonts w:eastAsia="MS Mincho"/>
        </w:rPr>
        <w:t xml:space="preserve">) equally improved the growth of the cells in presence of kanamycin (Fig. 4.6B), suggesting that toxicity can be decoupled from growth in kanamycin. </w:t>
      </w:r>
    </w:p>
    <w:p w14:paraId="5496BF76" w14:textId="77777777" w:rsidR="00F33FC4" w:rsidRPr="00F33FC4" w:rsidRDefault="00F33FC4" w:rsidP="00F33FC4">
      <w:pPr>
        <w:spacing w:line="360" w:lineRule="auto"/>
        <w:ind w:firstLine="720"/>
        <w:rPr>
          <w:rFonts w:eastAsia="MS Mincho"/>
        </w:rPr>
      </w:pPr>
      <w:r w:rsidRPr="00F33FC4">
        <w:rPr>
          <w:rFonts w:eastAsia="Calibri"/>
        </w:rPr>
        <w:t xml:space="preserve">Based on these observations we expected removal of the regulatory elements of </w:t>
      </w:r>
      <w:proofErr w:type="spellStart"/>
      <w:r w:rsidRPr="00F33FC4">
        <w:rPr>
          <w:rFonts w:eastAsia="Calibri"/>
          <w:i/>
          <w:iCs/>
        </w:rPr>
        <w:t>zorO</w:t>
      </w:r>
      <w:proofErr w:type="spellEnd"/>
      <w:r w:rsidRPr="00F33FC4">
        <w:rPr>
          <w:rFonts w:eastAsia="Calibri"/>
        </w:rPr>
        <w:t xml:space="preserve"> translation, the </w:t>
      </w:r>
      <w:proofErr w:type="spellStart"/>
      <w:r w:rsidRPr="00F33FC4">
        <w:rPr>
          <w:rFonts w:eastAsia="Calibri"/>
        </w:rPr>
        <w:t>OrzO</w:t>
      </w:r>
      <w:proofErr w:type="spellEnd"/>
      <w:r w:rsidRPr="00F33FC4">
        <w:rPr>
          <w:rFonts w:eastAsia="Calibri"/>
        </w:rPr>
        <w:t xml:space="preserve"> sRNA and the first 28 </w:t>
      </w:r>
      <w:proofErr w:type="spellStart"/>
      <w:r w:rsidRPr="00F33FC4">
        <w:rPr>
          <w:rFonts w:eastAsia="Calibri"/>
        </w:rPr>
        <w:t>nts</w:t>
      </w:r>
      <w:proofErr w:type="spellEnd"/>
      <w:r w:rsidRPr="00F33FC4">
        <w:rPr>
          <w:rFonts w:eastAsia="Calibri"/>
        </w:rPr>
        <w:t xml:space="preserve"> of the </w:t>
      </w:r>
      <w:proofErr w:type="spellStart"/>
      <w:r w:rsidRPr="00F33FC4">
        <w:rPr>
          <w:rFonts w:eastAsia="Calibri"/>
          <w:i/>
          <w:iCs/>
        </w:rPr>
        <w:t>zorO</w:t>
      </w:r>
      <w:proofErr w:type="spellEnd"/>
      <w:r w:rsidRPr="00F33FC4">
        <w:rPr>
          <w:rFonts w:eastAsia="Calibri"/>
        </w:rPr>
        <w:t xml:space="preserve"> 5’UTR would increase the growth in presence of kanamycin. However, cells harboring </w:t>
      </w:r>
      <w:proofErr w:type="spellStart"/>
      <w:r w:rsidRPr="00F33FC4">
        <w:rPr>
          <w:rFonts w:eastAsia="Calibri"/>
        </w:rPr>
        <w:t>pBR-</w:t>
      </w:r>
      <w:r w:rsidRPr="00F33FC4">
        <w:rPr>
          <w:rFonts w:eastAsia="Calibri"/>
          <w:i/>
          <w:iCs/>
        </w:rPr>
        <w:t>zorO</w:t>
      </w:r>
      <w:proofErr w:type="spellEnd"/>
      <w:r w:rsidRPr="00F33FC4">
        <w:rPr>
          <w:rFonts w:eastAsia="Calibri"/>
          <w:i/>
          <w:iCs/>
        </w:rPr>
        <w:t xml:space="preserve"> </w:t>
      </w:r>
      <w:r w:rsidRPr="00F33FC4">
        <w:rPr>
          <w:rFonts w:eastAsia="Calibri"/>
        </w:rPr>
        <w:t>or pBR-</w:t>
      </w:r>
      <w:r w:rsidRPr="00F33FC4">
        <w:rPr>
          <w:rFonts w:eastAsia="MS Mincho"/>
        </w:rPr>
        <w:t>Δ28-FLAG-</w:t>
      </w:r>
      <w:r w:rsidRPr="00F33FC4">
        <w:rPr>
          <w:rFonts w:eastAsia="MS Mincho"/>
          <w:i/>
          <w:iCs/>
        </w:rPr>
        <w:t>zorO</w:t>
      </w:r>
      <w:r w:rsidRPr="00F33FC4">
        <w:rPr>
          <w:rFonts w:eastAsia="MS Mincho"/>
        </w:rPr>
        <w:t xml:space="preserve"> did not show improved growth in kanamycin (Fig. 4.7B). Since these constructs did not have the antitoxin </w:t>
      </w:r>
      <w:proofErr w:type="spellStart"/>
      <w:r w:rsidRPr="00F33FC4">
        <w:rPr>
          <w:rFonts w:eastAsia="MS Mincho"/>
        </w:rPr>
        <w:t>OrzO</w:t>
      </w:r>
      <w:proofErr w:type="spellEnd"/>
      <w:r w:rsidRPr="00F33FC4">
        <w:rPr>
          <w:rFonts w:eastAsia="MS Mincho"/>
        </w:rPr>
        <w:t xml:space="preserve">, to rule out if the improved growth in kanamycin was due to </w:t>
      </w:r>
      <w:proofErr w:type="spellStart"/>
      <w:r w:rsidRPr="00F33FC4">
        <w:rPr>
          <w:rFonts w:eastAsia="MS Mincho"/>
        </w:rPr>
        <w:t>OrzO</w:t>
      </w:r>
      <w:proofErr w:type="spellEnd"/>
      <w:r w:rsidRPr="00F33FC4">
        <w:rPr>
          <w:rFonts w:eastAsia="MS Mincho"/>
        </w:rPr>
        <w:t xml:space="preserve">, we overexpressed </w:t>
      </w:r>
      <w:proofErr w:type="spellStart"/>
      <w:r w:rsidRPr="00F33FC4">
        <w:rPr>
          <w:rFonts w:eastAsia="MS Mincho"/>
        </w:rPr>
        <w:t>OrzO</w:t>
      </w:r>
      <w:proofErr w:type="spellEnd"/>
      <w:r w:rsidRPr="00F33FC4">
        <w:rPr>
          <w:rFonts w:eastAsia="MS Mincho"/>
        </w:rPr>
        <w:t xml:space="preserve"> using </w:t>
      </w:r>
      <w:proofErr w:type="spellStart"/>
      <w:r w:rsidRPr="00F33FC4">
        <w:rPr>
          <w:rFonts w:eastAsia="MS Mincho"/>
        </w:rPr>
        <w:t>pBR-plac-</w:t>
      </w:r>
      <w:r w:rsidRPr="00F33FC4">
        <w:rPr>
          <w:rFonts w:eastAsia="MS Mincho"/>
          <w:i/>
          <w:iCs/>
        </w:rPr>
        <w:t>orzO</w:t>
      </w:r>
      <w:proofErr w:type="spellEnd"/>
      <w:r w:rsidRPr="00F33FC4">
        <w:rPr>
          <w:rFonts w:eastAsia="MS Mincho"/>
        </w:rPr>
        <w:t xml:space="preserve"> and noted no improved growth (Fig. 4.10A and 4.10B). Since the </w:t>
      </w:r>
      <w:proofErr w:type="spellStart"/>
      <w:r w:rsidRPr="00F33FC4">
        <w:rPr>
          <w:rFonts w:eastAsia="MS Mincho"/>
        </w:rPr>
        <w:t>pBR-plac-orzO</w:t>
      </w:r>
      <w:proofErr w:type="spellEnd"/>
      <w:r w:rsidRPr="00F33FC4">
        <w:rPr>
          <w:rFonts w:eastAsia="MS Mincho"/>
        </w:rPr>
        <w:t xml:space="preserve"> is overproducing </w:t>
      </w:r>
      <w:proofErr w:type="spellStart"/>
      <w:r w:rsidRPr="00F33FC4">
        <w:rPr>
          <w:rFonts w:eastAsia="MS Mincho"/>
        </w:rPr>
        <w:t>OrzO</w:t>
      </w:r>
      <w:proofErr w:type="spellEnd"/>
      <w:r w:rsidRPr="00F33FC4">
        <w:rPr>
          <w:rFonts w:eastAsia="MS Mincho"/>
        </w:rPr>
        <w:t xml:space="preserve"> unlike the other </w:t>
      </w:r>
      <w:proofErr w:type="spellStart"/>
      <w:r w:rsidRPr="00F33FC4">
        <w:rPr>
          <w:rFonts w:eastAsia="MS Mincho"/>
        </w:rPr>
        <w:t>pBR</w:t>
      </w:r>
      <w:proofErr w:type="spellEnd"/>
      <w:r w:rsidRPr="00F33FC4">
        <w:rPr>
          <w:rFonts w:eastAsia="MS Mincho"/>
        </w:rPr>
        <w:t xml:space="preserve"> plasmids we used previously to study the impact on growth in presence of kanamycin, further work is ongoing to analyze differences when </w:t>
      </w:r>
      <w:proofErr w:type="spellStart"/>
      <w:r w:rsidRPr="00F33FC4">
        <w:rPr>
          <w:rFonts w:eastAsia="MS Mincho"/>
        </w:rPr>
        <w:t>OrzO</w:t>
      </w:r>
      <w:proofErr w:type="spellEnd"/>
      <w:r w:rsidRPr="00F33FC4">
        <w:rPr>
          <w:rFonts w:eastAsia="MS Mincho"/>
        </w:rPr>
        <w:t xml:space="preserve"> alone is expressed from its own promoter or a constitutive promoter. </w:t>
      </w:r>
    </w:p>
    <w:p w14:paraId="363BED95" w14:textId="5906CDF4" w:rsidR="00F33FC4" w:rsidRPr="00F33FC4" w:rsidRDefault="00F33FC4" w:rsidP="00F33FC4">
      <w:pPr>
        <w:spacing w:line="360" w:lineRule="auto"/>
        <w:ind w:firstLine="720"/>
        <w:rPr>
          <w:rFonts w:eastAsia="MS Mincho"/>
        </w:rPr>
      </w:pPr>
      <w:r w:rsidRPr="00F33FC4">
        <w:rPr>
          <w:rFonts w:eastAsia="MS Mincho"/>
        </w:rPr>
        <w:t xml:space="preserve">These results are intriguing as we observe a clear growth advantage of cells that harbor multiple copies of the </w:t>
      </w:r>
      <w:proofErr w:type="spellStart"/>
      <w:r w:rsidRPr="00F33FC4">
        <w:rPr>
          <w:rFonts w:eastAsia="MS Mincho"/>
          <w:i/>
          <w:iCs/>
        </w:rPr>
        <w:t>zorO-orzO</w:t>
      </w:r>
      <w:proofErr w:type="spellEnd"/>
      <w:r w:rsidRPr="00F33FC4">
        <w:rPr>
          <w:rFonts w:eastAsia="MS Mincho"/>
        </w:rPr>
        <w:t xml:space="preserve"> gene pair and even the R23L mutant. However, the absence of such effects with the </w:t>
      </w:r>
      <w:proofErr w:type="spellStart"/>
      <w:r w:rsidRPr="00F33FC4">
        <w:rPr>
          <w:rFonts w:eastAsia="MS Mincho"/>
        </w:rPr>
        <w:t>pBR-zorO</w:t>
      </w:r>
      <w:proofErr w:type="spellEnd"/>
      <w:r w:rsidRPr="00F33FC4">
        <w:rPr>
          <w:rFonts w:eastAsia="MS Mincho"/>
        </w:rPr>
        <w:t xml:space="preserve">, </w:t>
      </w:r>
      <w:r w:rsidRPr="00F33FC4">
        <w:rPr>
          <w:rFonts w:eastAsia="Calibri"/>
        </w:rPr>
        <w:t>pBR-</w:t>
      </w:r>
      <w:r w:rsidRPr="00F33FC4">
        <w:rPr>
          <w:rFonts w:eastAsia="MS Mincho"/>
        </w:rPr>
        <w:t>Δ28-FLAG-</w:t>
      </w:r>
      <w:r w:rsidRPr="00F33FC4">
        <w:rPr>
          <w:rFonts w:eastAsia="MS Mincho"/>
          <w:i/>
          <w:iCs/>
        </w:rPr>
        <w:t>zorO</w:t>
      </w:r>
      <w:r w:rsidRPr="00F33FC4">
        <w:rPr>
          <w:rFonts w:eastAsia="MS Mincho"/>
        </w:rPr>
        <w:t xml:space="preserve"> (Fig. 4.7B) or overexpression of </w:t>
      </w:r>
      <w:proofErr w:type="spellStart"/>
      <w:r w:rsidRPr="00F33FC4">
        <w:rPr>
          <w:rFonts w:eastAsia="MS Mincho"/>
        </w:rPr>
        <w:t>OrzO</w:t>
      </w:r>
      <w:proofErr w:type="spellEnd"/>
      <w:r w:rsidRPr="00F33FC4">
        <w:rPr>
          <w:rFonts w:eastAsia="MS Mincho"/>
        </w:rPr>
        <w:t xml:space="preserve"> (Fig. 4.10B) indicates that </w:t>
      </w:r>
      <w:proofErr w:type="spellStart"/>
      <w:r w:rsidRPr="00F33FC4">
        <w:rPr>
          <w:rFonts w:eastAsia="MS Mincho"/>
          <w:i/>
          <w:iCs/>
        </w:rPr>
        <w:t>zorO</w:t>
      </w:r>
      <w:proofErr w:type="spellEnd"/>
      <w:r w:rsidRPr="00F33FC4">
        <w:rPr>
          <w:rFonts w:eastAsia="MS Mincho"/>
        </w:rPr>
        <w:t xml:space="preserve"> mRNA could be responsible for such improved growth in kanamycin. Cells overexpressing </w:t>
      </w:r>
      <w:proofErr w:type="spellStart"/>
      <w:r w:rsidRPr="00F33FC4">
        <w:rPr>
          <w:rFonts w:eastAsia="MS Mincho"/>
        </w:rPr>
        <w:t>OrzO</w:t>
      </w:r>
      <w:proofErr w:type="spellEnd"/>
      <w:r w:rsidRPr="00F33FC4">
        <w:rPr>
          <w:rFonts w:eastAsia="MS Mincho"/>
        </w:rPr>
        <w:t xml:space="preserve"> had a mild negative effect on growth (Fig. 4.10B) which might be the result of accumulation of </w:t>
      </w:r>
      <w:proofErr w:type="spellStart"/>
      <w:r w:rsidRPr="00F33FC4">
        <w:rPr>
          <w:rFonts w:eastAsia="MS Mincho"/>
        </w:rPr>
        <w:t>OrzO</w:t>
      </w:r>
      <w:proofErr w:type="spellEnd"/>
      <w:r w:rsidRPr="00F33FC4">
        <w:rPr>
          <w:rFonts w:eastAsia="MS Mincho"/>
        </w:rPr>
        <w:t xml:space="preserve"> sRNA in absence of </w:t>
      </w:r>
      <w:proofErr w:type="spellStart"/>
      <w:r w:rsidRPr="00F33FC4">
        <w:rPr>
          <w:rFonts w:eastAsia="MS Mincho"/>
          <w:i/>
          <w:iCs/>
        </w:rPr>
        <w:t>zorO</w:t>
      </w:r>
      <w:proofErr w:type="spellEnd"/>
      <w:r w:rsidRPr="00F33FC4">
        <w:rPr>
          <w:rFonts w:eastAsia="MS Mincho"/>
        </w:rPr>
        <w:t xml:space="preserve"> mRNA. If </w:t>
      </w:r>
      <w:proofErr w:type="spellStart"/>
      <w:r w:rsidRPr="00F33FC4">
        <w:rPr>
          <w:rFonts w:eastAsia="MS Mincho"/>
          <w:i/>
          <w:iCs/>
        </w:rPr>
        <w:t>zorO</w:t>
      </w:r>
      <w:proofErr w:type="spellEnd"/>
      <w:r w:rsidRPr="00F33FC4">
        <w:rPr>
          <w:rFonts w:eastAsia="MS Mincho"/>
        </w:rPr>
        <w:t xml:space="preserve"> mRNA is responsible for the improved growth in kanamycin, then it would explain why the non-toxic R23L mutant is also able to improve growth.</w:t>
      </w:r>
      <w:r w:rsidR="000725B7">
        <w:rPr>
          <w:rFonts w:eastAsia="MS Mincho"/>
        </w:rPr>
        <w:t xml:space="preserve"> </w:t>
      </w:r>
      <w:r w:rsidRPr="00F33FC4">
        <w:rPr>
          <w:rFonts w:eastAsia="MS Mincho"/>
        </w:rPr>
        <w:t xml:space="preserve">Perhaps translation occurs too quickly in our other constructs lacking repressive elements such that the mRNA cannot accumulate and function. Additional work is </w:t>
      </w:r>
      <w:r w:rsidRPr="00F33FC4">
        <w:rPr>
          <w:rFonts w:eastAsia="MS Mincho"/>
        </w:rPr>
        <w:lastRenderedPageBreak/>
        <w:t xml:space="preserve">ongoing to distinguish the underlying mechanism behind these differences in the growth in kanamycin. </w:t>
      </w:r>
    </w:p>
    <w:p w14:paraId="34162D32" w14:textId="77777777" w:rsidR="00F33FC4" w:rsidRPr="00F33FC4" w:rsidRDefault="00F33FC4" w:rsidP="00F33FC4">
      <w:pPr>
        <w:spacing w:line="360" w:lineRule="auto"/>
        <w:ind w:firstLine="720"/>
        <w:rPr>
          <w:rFonts w:eastAsia="MS Mincho"/>
        </w:rPr>
      </w:pPr>
    </w:p>
    <w:p w14:paraId="51D09641" w14:textId="77777777" w:rsidR="00F33FC4" w:rsidRPr="00F33FC4" w:rsidRDefault="00F33FC4" w:rsidP="00F33FC4">
      <w:pPr>
        <w:spacing w:line="360" w:lineRule="auto"/>
        <w:rPr>
          <w:rFonts w:eastAsia="Calibri"/>
          <w:b/>
          <w:bCs/>
        </w:rPr>
      </w:pPr>
      <w:proofErr w:type="spellStart"/>
      <w:r w:rsidRPr="00F33FC4">
        <w:rPr>
          <w:rFonts w:eastAsia="Calibri"/>
          <w:b/>
          <w:bCs/>
        </w:rPr>
        <w:t>ZorO</w:t>
      </w:r>
      <w:proofErr w:type="spellEnd"/>
      <w:r w:rsidRPr="00F33FC4">
        <w:rPr>
          <w:rFonts w:eastAsia="Calibri"/>
          <w:b/>
          <w:bCs/>
        </w:rPr>
        <w:t xml:space="preserve"> translation </w:t>
      </w:r>
      <w:r w:rsidRPr="00F33FC4">
        <w:rPr>
          <w:rFonts w:eastAsia="Calibri"/>
          <w:b/>
          <w:bCs/>
          <w:i/>
          <w:iCs/>
        </w:rPr>
        <w:t xml:space="preserve">in vivo </w:t>
      </w:r>
      <w:r w:rsidRPr="00F33FC4">
        <w:rPr>
          <w:rFonts w:eastAsia="Calibri"/>
          <w:b/>
          <w:bCs/>
        </w:rPr>
        <w:t xml:space="preserve">without ectopic overproduction </w:t>
      </w:r>
    </w:p>
    <w:p w14:paraId="4A211334" w14:textId="77777777" w:rsidR="00F33FC4" w:rsidRPr="00F33FC4" w:rsidRDefault="00F33FC4" w:rsidP="00F33FC4">
      <w:pPr>
        <w:spacing w:line="360" w:lineRule="auto"/>
        <w:ind w:firstLine="720"/>
        <w:rPr>
          <w:rFonts w:eastAsia="Calibri"/>
        </w:rPr>
      </w:pPr>
      <w:r w:rsidRPr="00F33FC4">
        <w:rPr>
          <w:rFonts w:eastAsia="Calibri"/>
        </w:rPr>
        <w:t xml:space="preserve">The transcription of the genes in </w:t>
      </w:r>
      <w:proofErr w:type="spellStart"/>
      <w:r w:rsidRPr="00F33FC4">
        <w:rPr>
          <w:rFonts w:eastAsia="Calibri"/>
          <w:i/>
          <w:iCs/>
        </w:rPr>
        <w:t>zor-orz</w:t>
      </w:r>
      <w:proofErr w:type="spellEnd"/>
      <w:r w:rsidRPr="00F33FC4">
        <w:rPr>
          <w:rFonts w:eastAsia="Calibri"/>
        </w:rPr>
        <w:t xml:space="preserve"> locus has been shown from the chromosome in the EDL933 strain </w:t>
      </w:r>
      <w:r w:rsidRPr="00F33FC4">
        <w:rPr>
          <w:rFonts w:eastAsia="Calibri"/>
          <w:noProof/>
        </w:rPr>
        <w:t>(18)</w:t>
      </w:r>
      <w:r w:rsidRPr="00F33FC4">
        <w:rPr>
          <w:rFonts w:eastAsia="Calibri"/>
        </w:rPr>
        <w:t>. However,</w:t>
      </w:r>
      <w:r w:rsidRPr="00F33FC4">
        <w:rPr>
          <w:rFonts w:eastAsia="MS Mincho"/>
        </w:rPr>
        <w:t xml:space="preserve"> in case of the type I TA system where the regulation occurs post-transcriptionally at multiple levels </w:t>
      </w:r>
      <w:r w:rsidRPr="00F33FC4">
        <w:rPr>
          <w:rFonts w:eastAsia="MS Mincho"/>
          <w:noProof/>
        </w:rPr>
        <w:t>(2,31)</w:t>
      </w:r>
      <w:r w:rsidRPr="00F33FC4">
        <w:rPr>
          <w:rFonts w:eastAsia="MS Mincho"/>
        </w:rPr>
        <w:t xml:space="preserve">, mere presence of transcripts might not correspond to the translation. </w:t>
      </w:r>
      <w:r w:rsidRPr="00F33FC4">
        <w:rPr>
          <w:rFonts w:eastAsia="Calibri"/>
          <w:i/>
          <w:iCs/>
        </w:rPr>
        <w:t>In vivo</w:t>
      </w:r>
      <w:r w:rsidRPr="00F33FC4">
        <w:rPr>
          <w:rFonts w:eastAsia="Calibri"/>
        </w:rPr>
        <w:t xml:space="preserve"> </w:t>
      </w:r>
      <w:proofErr w:type="spellStart"/>
      <w:r w:rsidRPr="00F33FC4">
        <w:rPr>
          <w:rFonts w:eastAsia="Calibri"/>
        </w:rPr>
        <w:t>ZorO</w:t>
      </w:r>
      <w:proofErr w:type="spellEnd"/>
      <w:r w:rsidRPr="00F33FC4">
        <w:rPr>
          <w:rFonts w:eastAsia="Calibri"/>
        </w:rPr>
        <w:t xml:space="preserve"> translation has been demonstrated only by utilizing the ectopic overexpression system </w:t>
      </w:r>
      <w:r w:rsidRPr="00F33FC4">
        <w:rPr>
          <w:rFonts w:eastAsia="Calibri"/>
          <w:noProof/>
        </w:rPr>
        <w:t>(19,25)</w:t>
      </w:r>
      <w:r w:rsidRPr="00F33FC4">
        <w:rPr>
          <w:rFonts w:eastAsia="Calibri"/>
        </w:rPr>
        <w:t xml:space="preserve">. Herein, we showed that the </w:t>
      </w:r>
      <w:proofErr w:type="spellStart"/>
      <w:r w:rsidRPr="00F33FC4">
        <w:rPr>
          <w:rFonts w:eastAsia="Calibri"/>
        </w:rPr>
        <w:t>ZorO</w:t>
      </w:r>
      <w:proofErr w:type="spellEnd"/>
      <w:r w:rsidRPr="00F33FC4">
        <w:rPr>
          <w:rFonts w:eastAsia="Calibri"/>
        </w:rPr>
        <w:t xml:space="preserve"> translation can occur </w:t>
      </w:r>
      <w:r w:rsidRPr="00F33FC4">
        <w:rPr>
          <w:rFonts w:eastAsia="Calibri"/>
          <w:i/>
          <w:iCs/>
        </w:rPr>
        <w:t>in vivo</w:t>
      </w:r>
      <w:r w:rsidRPr="00F33FC4">
        <w:rPr>
          <w:rFonts w:eastAsia="Calibri"/>
        </w:rPr>
        <w:t xml:space="preserve"> derived from its own promoter after the two regulatory elements- antitoxin </w:t>
      </w:r>
      <w:proofErr w:type="spellStart"/>
      <w:r w:rsidRPr="00F33FC4">
        <w:rPr>
          <w:rFonts w:eastAsia="Calibri"/>
        </w:rPr>
        <w:t>OrzO</w:t>
      </w:r>
      <w:proofErr w:type="spellEnd"/>
      <w:r w:rsidRPr="00F33FC4">
        <w:rPr>
          <w:rFonts w:eastAsia="Calibri"/>
        </w:rPr>
        <w:t xml:space="preserve"> and the first 28 </w:t>
      </w:r>
      <w:proofErr w:type="spellStart"/>
      <w:r w:rsidRPr="00F33FC4">
        <w:rPr>
          <w:rFonts w:eastAsia="Calibri"/>
        </w:rPr>
        <w:t>nt</w:t>
      </w:r>
      <w:proofErr w:type="spellEnd"/>
      <w:r w:rsidRPr="00F33FC4">
        <w:rPr>
          <w:rFonts w:eastAsia="Calibri"/>
        </w:rPr>
        <w:t xml:space="preserve"> of </w:t>
      </w:r>
      <w:proofErr w:type="spellStart"/>
      <w:r w:rsidRPr="00F33FC4">
        <w:rPr>
          <w:rFonts w:eastAsia="Calibri"/>
          <w:i/>
          <w:iCs/>
        </w:rPr>
        <w:t>zorO</w:t>
      </w:r>
      <w:proofErr w:type="spellEnd"/>
      <w:r w:rsidRPr="00F33FC4">
        <w:rPr>
          <w:rFonts w:eastAsia="Calibri"/>
        </w:rPr>
        <w:t xml:space="preserve"> 5’UTR are removed (Fig. 4.8). only a few studies have reported the detection of the translated toxin protein from the chromosome (without overexpression) in the strain that lack antitoxin or cannot transcribe the antitoxin </w:t>
      </w:r>
      <w:r w:rsidRPr="00F33FC4">
        <w:rPr>
          <w:rFonts w:eastAsia="Calibri"/>
          <w:noProof/>
        </w:rPr>
        <w:t>(4,32)</w:t>
      </w:r>
      <w:r w:rsidRPr="00F33FC4">
        <w:rPr>
          <w:rFonts w:eastAsia="Calibri"/>
        </w:rPr>
        <w:t xml:space="preserve">. We were unable to detect the translated </w:t>
      </w:r>
      <w:proofErr w:type="spellStart"/>
      <w:r w:rsidRPr="00F33FC4">
        <w:rPr>
          <w:rFonts w:eastAsia="Calibri"/>
        </w:rPr>
        <w:t>ZorO</w:t>
      </w:r>
      <w:proofErr w:type="spellEnd"/>
      <w:r w:rsidRPr="00F33FC4">
        <w:rPr>
          <w:rFonts w:eastAsia="Calibri"/>
        </w:rPr>
        <w:t xml:space="preserve"> protein from the chromosome, even after removing the translation-preventing elements which suggest that the translation occurs at very low levels. By amplifying the signal, we successfully detected </w:t>
      </w:r>
      <w:proofErr w:type="spellStart"/>
      <w:r w:rsidRPr="00F33FC4">
        <w:rPr>
          <w:rFonts w:eastAsia="Calibri"/>
        </w:rPr>
        <w:t>ZorO</w:t>
      </w:r>
      <w:proofErr w:type="spellEnd"/>
      <w:r w:rsidRPr="00F33FC4">
        <w:rPr>
          <w:rFonts w:eastAsia="Calibri"/>
        </w:rPr>
        <w:t xml:space="preserve"> in the dot blot assay in cells harboring the </w:t>
      </w:r>
      <w:r w:rsidRPr="00F33FC4">
        <w:rPr>
          <w:rFonts w:eastAsia="MS Mincho"/>
        </w:rPr>
        <w:t>pBR-Δ28-FLAG-</w:t>
      </w:r>
      <w:r w:rsidRPr="00F33FC4">
        <w:rPr>
          <w:rFonts w:eastAsia="MS Mincho"/>
          <w:i/>
          <w:iCs/>
        </w:rPr>
        <w:t xml:space="preserve">zorO </w:t>
      </w:r>
      <w:r w:rsidRPr="00F33FC4">
        <w:rPr>
          <w:rFonts w:eastAsia="MS Mincho"/>
        </w:rPr>
        <w:t>(Fig. 4.8)</w:t>
      </w:r>
      <w:r w:rsidRPr="00F33FC4">
        <w:rPr>
          <w:rFonts w:eastAsia="Calibri"/>
        </w:rPr>
        <w:t xml:space="preserve">. This demonstrates that the amplification of </w:t>
      </w:r>
      <w:proofErr w:type="spellStart"/>
      <w:r w:rsidRPr="00F33FC4">
        <w:rPr>
          <w:rFonts w:eastAsia="Calibri"/>
        </w:rPr>
        <w:t>ZorO</w:t>
      </w:r>
      <w:proofErr w:type="spellEnd"/>
      <w:r w:rsidRPr="00F33FC4">
        <w:rPr>
          <w:rFonts w:eastAsia="Calibri"/>
        </w:rPr>
        <w:t xml:space="preserve"> signal and/or other type I toxins using such vectors can be useful to verify their </w:t>
      </w:r>
      <w:r w:rsidRPr="00F33FC4">
        <w:rPr>
          <w:rFonts w:eastAsia="Calibri"/>
          <w:i/>
          <w:iCs/>
        </w:rPr>
        <w:t>in vivo</w:t>
      </w:r>
      <w:r w:rsidRPr="00F33FC4">
        <w:rPr>
          <w:rFonts w:eastAsia="Calibri"/>
        </w:rPr>
        <w:t xml:space="preserve"> translation. They can also be useful to identify the conditions in which type I toxin translation is increased without having to deal with the toxic effects seen during the ectopic overexpression. </w:t>
      </w:r>
    </w:p>
    <w:p w14:paraId="71EA98B1" w14:textId="77777777" w:rsidR="00F33FC4" w:rsidRPr="00F33FC4" w:rsidRDefault="00F33FC4" w:rsidP="00F33FC4">
      <w:pPr>
        <w:spacing w:line="360" w:lineRule="auto"/>
        <w:rPr>
          <w:rFonts w:eastAsia="MS Mincho"/>
        </w:rPr>
      </w:pPr>
      <w:r w:rsidRPr="00F33FC4">
        <w:rPr>
          <w:rFonts w:eastAsia="Calibri"/>
        </w:rPr>
        <w:tab/>
      </w:r>
    </w:p>
    <w:p w14:paraId="4FF0A03B" w14:textId="77777777" w:rsidR="00F33FC4" w:rsidRPr="00F33FC4" w:rsidRDefault="00F33FC4" w:rsidP="00F33FC4">
      <w:pPr>
        <w:spacing w:line="360" w:lineRule="auto"/>
        <w:rPr>
          <w:rFonts w:eastAsia="MS Mincho"/>
          <w:b/>
          <w:bCs/>
        </w:rPr>
      </w:pPr>
      <w:r w:rsidRPr="00F33FC4">
        <w:rPr>
          <w:rFonts w:eastAsia="MS Mincho"/>
          <w:b/>
          <w:bCs/>
        </w:rPr>
        <w:t xml:space="preserve">Chromosomal copy of </w:t>
      </w:r>
      <w:proofErr w:type="spellStart"/>
      <w:r w:rsidRPr="00F33FC4">
        <w:rPr>
          <w:rFonts w:eastAsia="MS Mincho"/>
          <w:b/>
          <w:bCs/>
          <w:i/>
          <w:iCs/>
        </w:rPr>
        <w:t>zorO-orzO</w:t>
      </w:r>
      <w:proofErr w:type="spellEnd"/>
      <w:r w:rsidRPr="00F33FC4">
        <w:rPr>
          <w:rFonts w:eastAsia="MS Mincho"/>
          <w:b/>
          <w:bCs/>
        </w:rPr>
        <w:t xml:space="preserve">, </w:t>
      </w:r>
      <w:proofErr w:type="spellStart"/>
      <w:r w:rsidRPr="00F33FC4">
        <w:rPr>
          <w:rFonts w:eastAsia="MS Mincho"/>
          <w:b/>
          <w:bCs/>
          <w:i/>
          <w:iCs/>
        </w:rPr>
        <w:t>zorO</w:t>
      </w:r>
      <w:proofErr w:type="spellEnd"/>
      <w:r w:rsidRPr="00F33FC4">
        <w:rPr>
          <w:rFonts w:eastAsia="MS Mincho"/>
          <w:b/>
          <w:bCs/>
        </w:rPr>
        <w:t xml:space="preserve"> or Δ28-F-</w:t>
      </w:r>
      <w:r w:rsidRPr="00F33FC4">
        <w:rPr>
          <w:rFonts w:eastAsia="MS Mincho"/>
          <w:b/>
          <w:bCs/>
          <w:i/>
          <w:iCs/>
        </w:rPr>
        <w:t xml:space="preserve">zorO </w:t>
      </w:r>
      <w:r w:rsidRPr="00F33FC4">
        <w:rPr>
          <w:rFonts w:eastAsia="MS Mincho"/>
          <w:b/>
          <w:bCs/>
        </w:rPr>
        <w:t>is not sufficient to improve growth</w:t>
      </w:r>
    </w:p>
    <w:p w14:paraId="76A22133" w14:textId="332382CD" w:rsidR="00F33FC4" w:rsidRPr="00F33FC4" w:rsidRDefault="00F33FC4" w:rsidP="00F33FC4">
      <w:pPr>
        <w:spacing w:line="360" w:lineRule="auto"/>
        <w:rPr>
          <w:rFonts w:eastAsia="MS Mincho"/>
        </w:rPr>
      </w:pPr>
      <w:r w:rsidRPr="00F33FC4">
        <w:rPr>
          <w:rFonts w:eastAsia="MS Mincho"/>
        </w:rPr>
        <w:tab/>
        <w:t xml:space="preserve">There is one copy of the </w:t>
      </w:r>
      <w:proofErr w:type="spellStart"/>
      <w:r w:rsidRPr="00F33FC4">
        <w:rPr>
          <w:rFonts w:eastAsia="MS Mincho"/>
          <w:i/>
          <w:iCs/>
        </w:rPr>
        <w:t>zorO-orzO</w:t>
      </w:r>
      <w:proofErr w:type="spellEnd"/>
      <w:r w:rsidRPr="00F33FC4">
        <w:rPr>
          <w:rFonts w:eastAsia="MS Mincho"/>
        </w:rPr>
        <w:t xml:space="preserve"> gene pair and a homolog </w:t>
      </w:r>
      <w:proofErr w:type="spellStart"/>
      <w:r w:rsidRPr="00F33FC4">
        <w:rPr>
          <w:rFonts w:eastAsia="MS Mincho"/>
          <w:i/>
          <w:iCs/>
        </w:rPr>
        <w:t>zorP-orzP</w:t>
      </w:r>
      <w:proofErr w:type="spellEnd"/>
      <w:r w:rsidRPr="00F33FC4">
        <w:rPr>
          <w:rFonts w:eastAsia="MS Mincho"/>
          <w:i/>
          <w:iCs/>
        </w:rPr>
        <w:t xml:space="preserve"> </w:t>
      </w:r>
      <w:r w:rsidRPr="00F33FC4">
        <w:rPr>
          <w:rFonts w:eastAsia="MS Mincho"/>
        </w:rPr>
        <w:t xml:space="preserve">in the chromosome of EDL933 </w:t>
      </w:r>
      <w:r w:rsidRPr="00F33FC4">
        <w:rPr>
          <w:rFonts w:eastAsia="MS Mincho"/>
          <w:noProof/>
        </w:rPr>
        <w:t>(17,18)</w:t>
      </w:r>
      <w:r w:rsidRPr="00F33FC4">
        <w:rPr>
          <w:rFonts w:eastAsia="MS Mincho"/>
        </w:rPr>
        <w:t xml:space="preserve">. To understand the physiological relevance of this gene pair, we constructed the </w:t>
      </w:r>
      <w:r w:rsidRPr="00F33FC4">
        <w:rPr>
          <w:rFonts w:eastAsia="MS Mincho"/>
          <w:i/>
          <w:iCs/>
        </w:rPr>
        <w:t>E. coli</w:t>
      </w:r>
      <w:r w:rsidRPr="00F33FC4">
        <w:rPr>
          <w:rFonts w:eastAsia="MS Mincho"/>
        </w:rPr>
        <w:t xml:space="preserve"> MG1655 cells (that naturally lacks </w:t>
      </w:r>
      <w:proofErr w:type="spellStart"/>
      <w:r w:rsidRPr="00F33FC4">
        <w:rPr>
          <w:rFonts w:eastAsia="MS Mincho"/>
          <w:i/>
          <w:iCs/>
        </w:rPr>
        <w:t>zor-orz</w:t>
      </w:r>
      <w:proofErr w:type="spellEnd"/>
      <w:r w:rsidRPr="00F33FC4">
        <w:rPr>
          <w:rFonts w:eastAsia="MS Mincho"/>
        </w:rPr>
        <w:t xml:space="preserve"> locus) by recombineering </w:t>
      </w:r>
      <w:proofErr w:type="spellStart"/>
      <w:r w:rsidRPr="00F33FC4">
        <w:rPr>
          <w:rFonts w:eastAsia="MS Mincho"/>
          <w:i/>
          <w:iCs/>
        </w:rPr>
        <w:t>zorO-orzO</w:t>
      </w:r>
      <w:proofErr w:type="spellEnd"/>
      <w:r w:rsidRPr="00F33FC4">
        <w:rPr>
          <w:rFonts w:eastAsia="MS Mincho"/>
        </w:rPr>
        <w:t xml:space="preserve"> gene pair, </w:t>
      </w:r>
      <w:proofErr w:type="spellStart"/>
      <w:r w:rsidRPr="00F33FC4">
        <w:rPr>
          <w:rFonts w:eastAsia="MS Mincho"/>
          <w:i/>
          <w:iCs/>
        </w:rPr>
        <w:t>zorO</w:t>
      </w:r>
      <w:proofErr w:type="spellEnd"/>
      <w:r w:rsidRPr="00F33FC4">
        <w:rPr>
          <w:rFonts w:eastAsia="MS Mincho"/>
        </w:rPr>
        <w:t xml:space="preserve"> or Δ28-FLAG-</w:t>
      </w:r>
      <w:r w:rsidRPr="00F33FC4">
        <w:rPr>
          <w:rFonts w:eastAsia="MS Mincho"/>
          <w:i/>
          <w:iCs/>
        </w:rPr>
        <w:t>zorO</w:t>
      </w:r>
      <w:r w:rsidRPr="00F33FC4">
        <w:rPr>
          <w:rFonts w:eastAsia="MS Mincho"/>
        </w:rPr>
        <w:t xml:space="preserve"> in its chromosome. Upon investigation of the growth pattern of these cells we did not see an improved growth in presence of kanamycin as compared to the wild-type MG1655 strain. We </w:t>
      </w:r>
      <w:r w:rsidRPr="00F33FC4">
        <w:rPr>
          <w:rFonts w:eastAsia="MS Mincho"/>
        </w:rPr>
        <w:lastRenderedPageBreak/>
        <w:t xml:space="preserve">were also not able to detect the translated </w:t>
      </w:r>
      <w:proofErr w:type="spellStart"/>
      <w:r w:rsidRPr="00F33FC4">
        <w:rPr>
          <w:rFonts w:eastAsia="MS Mincho"/>
        </w:rPr>
        <w:t>ZorO</w:t>
      </w:r>
      <w:proofErr w:type="spellEnd"/>
      <w:r w:rsidRPr="00F33FC4">
        <w:rPr>
          <w:rFonts w:eastAsia="MS Mincho"/>
        </w:rPr>
        <w:t xml:space="preserve"> protein from the MG-Δ28-FLAG-</w:t>
      </w:r>
      <w:r w:rsidRPr="00F33FC4">
        <w:rPr>
          <w:rFonts w:eastAsia="MS Mincho"/>
          <w:i/>
          <w:iCs/>
        </w:rPr>
        <w:t xml:space="preserve">zorO </w:t>
      </w:r>
      <w:r w:rsidRPr="00F33FC4">
        <w:rPr>
          <w:rFonts w:eastAsia="MS Mincho"/>
        </w:rPr>
        <w:t xml:space="preserve">strain via dot-blot even when a large quantity of protein (100 µg) was loaded. The lack of phenotype upon chromosomal mutation and or deletion of the type I TA system is common and therefore demands tools alternative to the ectopic overexpression system. The use of medium copy plasmid vectors with native regulatory elements (as done in this study) is one way to approach this. Further use of more sensitive methods such as mass spectrometry with focus on small hydrophobic proteins could resolve the issue with the detection of the protein. </w:t>
      </w:r>
    </w:p>
    <w:p w14:paraId="44E09418" w14:textId="77777777" w:rsidR="00F33FC4" w:rsidRPr="00F33FC4" w:rsidRDefault="00F33FC4" w:rsidP="00F33FC4">
      <w:pPr>
        <w:spacing w:line="360" w:lineRule="auto"/>
        <w:rPr>
          <w:rFonts w:eastAsia="MS Mincho"/>
          <w:b/>
          <w:bCs/>
        </w:rPr>
      </w:pPr>
      <w:r w:rsidRPr="00F33FC4">
        <w:rPr>
          <w:rFonts w:eastAsia="MS Mincho"/>
        </w:rPr>
        <w:tab/>
        <w:t xml:space="preserve">Overall, the result from our study demonstrates a method to identify translated toxin protein under its native promoter. Further our results indicate the possibility of type I toxins functioning not only as small proteins but also as RNAs. </w:t>
      </w:r>
      <w:r w:rsidRPr="00F33FC4">
        <w:rPr>
          <w:rFonts w:eastAsia="MS Mincho"/>
        </w:rPr>
        <w:br w:type="page"/>
      </w:r>
    </w:p>
    <w:p w14:paraId="769E2C37" w14:textId="77777777" w:rsidR="00F33FC4" w:rsidRPr="00F33FC4" w:rsidRDefault="00F33FC4" w:rsidP="00F33FC4">
      <w:pPr>
        <w:spacing w:line="360" w:lineRule="auto"/>
        <w:rPr>
          <w:rFonts w:eastAsia="MS Mincho"/>
          <w:b/>
          <w:bCs/>
        </w:rPr>
      </w:pPr>
      <w:r w:rsidRPr="00F33FC4">
        <w:rPr>
          <w:rFonts w:eastAsia="MS Mincho"/>
          <w:b/>
          <w:bCs/>
        </w:rPr>
        <w:lastRenderedPageBreak/>
        <w:t>References</w:t>
      </w:r>
    </w:p>
    <w:p w14:paraId="2D132F78" w14:textId="77777777" w:rsidR="00F33FC4" w:rsidRPr="00F33FC4" w:rsidRDefault="00F33FC4" w:rsidP="00F33FC4">
      <w:pPr>
        <w:widowControl w:val="0"/>
        <w:autoSpaceDE w:val="0"/>
        <w:autoSpaceDN w:val="0"/>
        <w:adjustRightInd w:val="0"/>
        <w:spacing w:line="360" w:lineRule="auto"/>
        <w:rPr>
          <w:rFonts w:eastAsia="MS Mincho"/>
          <w:noProof/>
        </w:rPr>
      </w:pPr>
    </w:p>
    <w:p w14:paraId="5410E13D" w14:textId="77777777" w:rsidR="00F33FC4" w:rsidRPr="00F33FC4" w:rsidRDefault="00F33FC4" w:rsidP="00F33FC4">
      <w:pPr>
        <w:widowControl w:val="0"/>
        <w:autoSpaceDE w:val="0"/>
        <w:autoSpaceDN w:val="0"/>
        <w:adjustRightInd w:val="0"/>
        <w:spacing w:line="360" w:lineRule="auto"/>
        <w:ind w:left="560" w:hanging="560"/>
        <w:rPr>
          <w:rFonts w:eastAsia="MS Mincho"/>
          <w:noProof/>
        </w:rPr>
      </w:pPr>
      <w:r w:rsidRPr="00F33FC4">
        <w:rPr>
          <w:rFonts w:eastAsia="MS Mincho"/>
          <w:noProof/>
        </w:rPr>
        <w:t xml:space="preserve">1. </w:t>
      </w:r>
      <w:r w:rsidRPr="00F33FC4">
        <w:rPr>
          <w:rFonts w:eastAsia="MS Mincho"/>
          <w:noProof/>
        </w:rPr>
        <w:tab/>
        <w:t xml:space="preserve">Brantl S. Bacterial type I toxin-antitoxin systems. RNA Biol. 2012 Dec 1;9(12):1488–90. </w:t>
      </w:r>
    </w:p>
    <w:p w14:paraId="269DC86A" w14:textId="77777777" w:rsidR="00F33FC4" w:rsidRPr="00F33FC4" w:rsidRDefault="00F33FC4" w:rsidP="00F33FC4">
      <w:pPr>
        <w:widowControl w:val="0"/>
        <w:autoSpaceDE w:val="0"/>
        <w:autoSpaceDN w:val="0"/>
        <w:adjustRightInd w:val="0"/>
        <w:spacing w:line="360" w:lineRule="auto"/>
        <w:ind w:left="560" w:hanging="560"/>
        <w:rPr>
          <w:rFonts w:eastAsia="MS Mincho"/>
          <w:noProof/>
        </w:rPr>
      </w:pPr>
      <w:r w:rsidRPr="00F33FC4">
        <w:rPr>
          <w:rFonts w:eastAsia="MS Mincho"/>
          <w:noProof/>
        </w:rPr>
        <w:t xml:space="preserve">2. </w:t>
      </w:r>
      <w:r w:rsidRPr="00F33FC4">
        <w:rPr>
          <w:rFonts w:eastAsia="MS Mincho"/>
          <w:noProof/>
        </w:rPr>
        <w:tab/>
        <w:t xml:space="preserve">Wen J, Fozo EM. sRNA antitoxins: more than one way to repress a toxin. Toxins (Basel). 2014 Aug 4;6(8):2310–35. </w:t>
      </w:r>
    </w:p>
    <w:p w14:paraId="0E1E4987" w14:textId="77777777" w:rsidR="00F33FC4" w:rsidRPr="00F33FC4" w:rsidRDefault="00F33FC4" w:rsidP="00F33FC4">
      <w:pPr>
        <w:widowControl w:val="0"/>
        <w:autoSpaceDE w:val="0"/>
        <w:autoSpaceDN w:val="0"/>
        <w:adjustRightInd w:val="0"/>
        <w:spacing w:line="360" w:lineRule="auto"/>
        <w:ind w:left="560" w:hanging="560"/>
        <w:rPr>
          <w:rFonts w:eastAsia="MS Mincho"/>
          <w:noProof/>
        </w:rPr>
      </w:pPr>
      <w:r w:rsidRPr="00F33FC4">
        <w:rPr>
          <w:rFonts w:eastAsia="MS Mincho"/>
          <w:noProof/>
        </w:rPr>
        <w:t xml:space="preserve">3. </w:t>
      </w:r>
      <w:r w:rsidRPr="00F33FC4">
        <w:rPr>
          <w:rFonts w:eastAsia="MS Mincho"/>
          <w:noProof/>
        </w:rPr>
        <w:tab/>
        <w:t xml:space="preserve">Guo Y, Quiroga C, Chen Q, McAnulty MJ, Benedik MJ, Wood TK, et al. RalR (a DNase) and RalA (a small RNA) form a type I toxin-antitoxin system in </w:t>
      </w:r>
      <w:r w:rsidRPr="00F33FC4">
        <w:rPr>
          <w:rFonts w:eastAsia="MS Mincho"/>
          <w:i/>
          <w:iCs/>
          <w:noProof/>
        </w:rPr>
        <w:t>Escherichia coli</w:t>
      </w:r>
      <w:r w:rsidRPr="00F33FC4">
        <w:rPr>
          <w:rFonts w:eastAsia="MS Mincho"/>
          <w:noProof/>
        </w:rPr>
        <w:t xml:space="preserve">. Nucleic Acids Res. 2014 Jun;42(10):6448–62. </w:t>
      </w:r>
    </w:p>
    <w:p w14:paraId="3AF76A4E" w14:textId="77777777" w:rsidR="00F33FC4" w:rsidRPr="00F33FC4" w:rsidRDefault="00F33FC4" w:rsidP="00F33FC4">
      <w:pPr>
        <w:widowControl w:val="0"/>
        <w:autoSpaceDE w:val="0"/>
        <w:autoSpaceDN w:val="0"/>
        <w:adjustRightInd w:val="0"/>
        <w:spacing w:line="360" w:lineRule="auto"/>
        <w:ind w:left="560" w:hanging="560"/>
        <w:rPr>
          <w:rFonts w:eastAsia="MS Mincho"/>
          <w:noProof/>
        </w:rPr>
      </w:pPr>
      <w:r w:rsidRPr="00F33FC4">
        <w:rPr>
          <w:rFonts w:eastAsia="MS Mincho"/>
          <w:noProof/>
        </w:rPr>
        <w:t xml:space="preserve">4. </w:t>
      </w:r>
      <w:r w:rsidRPr="00F33FC4">
        <w:rPr>
          <w:rFonts w:eastAsia="MS Mincho"/>
          <w:noProof/>
        </w:rPr>
        <w:tab/>
        <w:t xml:space="preserve">Kawano M, Aravind L, Storz G. An antisense RNA controls synthesis of an SOS-induced toxin evolved from an antitoxin. Mol Microbiol. 2007 May;64(3):738–54. </w:t>
      </w:r>
    </w:p>
    <w:p w14:paraId="40B5F6E5" w14:textId="77777777" w:rsidR="00F33FC4" w:rsidRPr="00F33FC4" w:rsidRDefault="00F33FC4" w:rsidP="00F33FC4">
      <w:pPr>
        <w:widowControl w:val="0"/>
        <w:autoSpaceDE w:val="0"/>
        <w:autoSpaceDN w:val="0"/>
        <w:adjustRightInd w:val="0"/>
        <w:spacing w:line="360" w:lineRule="auto"/>
        <w:ind w:left="560" w:hanging="560"/>
        <w:rPr>
          <w:rFonts w:eastAsia="MS Mincho"/>
          <w:noProof/>
        </w:rPr>
      </w:pPr>
      <w:r w:rsidRPr="00F33FC4">
        <w:rPr>
          <w:rFonts w:eastAsia="MS Mincho"/>
          <w:noProof/>
        </w:rPr>
        <w:t xml:space="preserve">5. </w:t>
      </w:r>
      <w:r w:rsidRPr="00F33FC4">
        <w:rPr>
          <w:rFonts w:eastAsia="MS Mincho"/>
          <w:noProof/>
        </w:rPr>
        <w:tab/>
        <w:t xml:space="preserve">Nonin-Lecomte S, Fermon L, Felden B, Pinel-Marie M-L. Bacterial type I toxins: folding and membrane interactions. Toxins (Basel). 2021 Jul 14;13(7). </w:t>
      </w:r>
    </w:p>
    <w:p w14:paraId="1FCD90C0" w14:textId="77777777" w:rsidR="00F33FC4" w:rsidRPr="00F33FC4" w:rsidRDefault="00F33FC4" w:rsidP="00F33FC4">
      <w:pPr>
        <w:widowControl w:val="0"/>
        <w:autoSpaceDE w:val="0"/>
        <w:autoSpaceDN w:val="0"/>
        <w:adjustRightInd w:val="0"/>
        <w:spacing w:line="360" w:lineRule="auto"/>
        <w:ind w:left="560" w:hanging="560"/>
        <w:rPr>
          <w:rFonts w:eastAsia="MS Mincho"/>
          <w:noProof/>
        </w:rPr>
      </w:pPr>
      <w:r w:rsidRPr="00F33FC4">
        <w:rPr>
          <w:rFonts w:eastAsia="MS Mincho"/>
          <w:noProof/>
        </w:rPr>
        <w:t xml:space="preserve">6. </w:t>
      </w:r>
      <w:r w:rsidRPr="00F33FC4">
        <w:rPr>
          <w:rFonts w:eastAsia="MS Mincho"/>
          <w:noProof/>
        </w:rPr>
        <w:tab/>
        <w:t xml:space="preserve">Wilmaerts D, Bayoumi M, Dewachter L, Knapen W, Mika JT, Hofkens J, et al. The persistence-inducing toxin HokB forms dynamic pores that cause ATP leakage. MBio. 2018 Aug 14;9(4). </w:t>
      </w:r>
    </w:p>
    <w:p w14:paraId="2C36DC42" w14:textId="77777777" w:rsidR="00F33FC4" w:rsidRPr="00F33FC4" w:rsidRDefault="00F33FC4" w:rsidP="00F33FC4">
      <w:pPr>
        <w:widowControl w:val="0"/>
        <w:autoSpaceDE w:val="0"/>
        <w:autoSpaceDN w:val="0"/>
        <w:adjustRightInd w:val="0"/>
        <w:spacing w:line="360" w:lineRule="auto"/>
        <w:ind w:left="560" w:hanging="560"/>
        <w:rPr>
          <w:rFonts w:eastAsia="MS Mincho"/>
          <w:noProof/>
        </w:rPr>
      </w:pPr>
      <w:r w:rsidRPr="00F33FC4">
        <w:rPr>
          <w:rFonts w:eastAsia="MS Mincho"/>
          <w:noProof/>
        </w:rPr>
        <w:t xml:space="preserve">7. </w:t>
      </w:r>
      <w:r w:rsidRPr="00F33FC4">
        <w:rPr>
          <w:rFonts w:eastAsia="MS Mincho"/>
          <w:noProof/>
        </w:rPr>
        <w:tab/>
        <w:t xml:space="preserve">Schneider V, Wadhwani P, Reichert J, Bürck J, Elstner M, Ulrich AS, et al. Tetrameric Charge-Zipper Assembly of the TisB peptide in membranes-computer simulation and experiment. J Phys Chem B. 2019 Feb 28;123(8):1770–9. </w:t>
      </w:r>
    </w:p>
    <w:p w14:paraId="4FACA6E5" w14:textId="77777777" w:rsidR="00F33FC4" w:rsidRPr="00F33FC4" w:rsidRDefault="00F33FC4" w:rsidP="00F33FC4">
      <w:pPr>
        <w:widowControl w:val="0"/>
        <w:autoSpaceDE w:val="0"/>
        <w:autoSpaceDN w:val="0"/>
        <w:adjustRightInd w:val="0"/>
        <w:spacing w:line="360" w:lineRule="auto"/>
        <w:ind w:left="560" w:hanging="560"/>
        <w:rPr>
          <w:rFonts w:eastAsia="MS Mincho"/>
          <w:noProof/>
        </w:rPr>
      </w:pPr>
      <w:r w:rsidRPr="00F33FC4">
        <w:rPr>
          <w:rFonts w:eastAsia="MS Mincho"/>
          <w:noProof/>
        </w:rPr>
        <w:t xml:space="preserve">8. </w:t>
      </w:r>
      <w:r w:rsidRPr="00F33FC4">
        <w:rPr>
          <w:rFonts w:eastAsia="MS Mincho"/>
          <w:noProof/>
        </w:rPr>
        <w:tab/>
        <w:t xml:space="preserve">Wilmaerts D, Dewachter L, De Loose P-J, Bollen C, Verstraeten N, Michiels J. Hokb monomerization and membrane repolarization control persister awakening. Mol Cell. 2019 Sep 5;75(5):1031–1042.e4. </w:t>
      </w:r>
    </w:p>
    <w:p w14:paraId="2D8B6DA5" w14:textId="77777777" w:rsidR="00F33FC4" w:rsidRPr="00F33FC4" w:rsidRDefault="00F33FC4" w:rsidP="00F33FC4">
      <w:pPr>
        <w:widowControl w:val="0"/>
        <w:autoSpaceDE w:val="0"/>
        <w:autoSpaceDN w:val="0"/>
        <w:adjustRightInd w:val="0"/>
        <w:spacing w:line="360" w:lineRule="auto"/>
        <w:ind w:left="560" w:hanging="560"/>
        <w:rPr>
          <w:rFonts w:eastAsia="MS Mincho"/>
          <w:noProof/>
        </w:rPr>
      </w:pPr>
      <w:r w:rsidRPr="00F33FC4">
        <w:rPr>
          <w:rFonts w:eastAsia="MS Mincho"/>
          <w:noProof/>
        </w:rPr>
        <w:t xml:space="preserve">9. </w:t>
      </w:r>
      <w:r w:rsidRPr="00F33FC4">
        <w:rPr>
          <w:rFonts w:eastAsia="MS Mincho"/>
          <w:noProof/>
        </w:rPr>
        <w:tab/>
        <w:t xml:space="preserve">Verstraeten N, Knapen WJ, Kint CI, Liebens V, Van den Bergh B, Dewachter L, et al. Obg and membrane depolarization are part of a microbial bet-hedging strategy that leads to antibiotic tolerance. Mol Cell. 2015 Jul 2;59(1):9–21. </w:t>
      </w:r>
    </w:p>
    <w:p w14:paraId="58FA0D3C" w14:textId="77777777" w:rsidR="00F33FC4" w:rsidRPr="00F33FC4" w:rsidRDefault="00F33FC4" w:rsidP="00F33FC4">
      <w:pPr>
        <w:widowControl w:val="0"/>
        <w:autoSpaceDE w:val="0"/>
        <w:autoSpaceDN w:val="0"/>
        <w:adjustRightInd w:val="0"/>
        <w:spacing w:line="360" w:lineRule="auto"/>
        <w:ind w:left="560" w:hanging="560"/>
        <w:rPr>
          <w:rFonts w:eastAsia="MS Mincho"/>
          <w:noProof/>
        </w:rPr>
      </w:pPr>
      <w:r w:rsidRPr="00F33FC4">
        <w:rPr>
          <w:rFonts w:eastAsia="MS Mincho"/>
          <w:noProof/>
        </w:rPr>
        <w:t xml:space="preserve">10. </w:t>
      </w:r>
      <w:r w:rsidRPr="00F33FC4">
        <w:rPr>
          <w:rFonts w:eastAsia="MS Mincho"/>
          <w:noProof/>
        </w:rPr>
        <w:tab/>
        <w:t xml:space="preserve">Gurnev PA, Ortenberg R, Dörr T, Lewis K, Bezrukov SM. Persister-promoting bacterial toxin TisB produces anion-selective pores in planar lipid bilayers. FEBS Lett. 2012 Jul 30;586(16):2529–34. </w:t>
      </w:r>
    </w:p>
    <w:p w14:paraId="0BDA9CC7" w14:textId="77777777" w:rsidR="00F33FC4" w:rsidRPr="00F33FC4" w:rsidRDefault="00F33FC4" w:rsidP="00F33FC4">
      <w:pPr>
        <w:widowControl w:val="0"/>
        <w:autoSpaceDE w:val="0"/>
        <w:autoSpaceDN w:val="0"/>
        <w:adjustRightInd w:val="0"/>
        <w:spacing w:line="360" w:lineRule="auto"/>
        <w:ind w:left="560" w:hanging="560"/>
        <w:rPr>
          <w:rFonts w:eastAsia="MS Mincho"/>
          <w:noProof/>
        </w:rPr>
      </w:pPr>
      <w:r w:rsidRPr="00F33FC4">
        <w:rPr>
          <w:rFonts w:eastAsia="MS Mincho"/>
          <w:noProof/>
        </w:rPr>
        <w:t xml:space="preserve">11. </w:t>
      </w:r>
      <w:r w:rsidRPr="00F33FC4">
        <w:rPr>
          <w:rFonts w:eastAsia="MS Mincho"/>
          <w:noProof/>
        </w:rPr>
        <w:tab/>
        <w:t xml:space="preserve">Wagner EGH, Unoson C. The toxin-antitoxin system </w:t>
      </w:r>
      <w:r w:rsidRPr="00F33FC4">
        <w:rPr>
          <w:rFonts w:eastAsia="MS Mincho"/>
          <w:i/>
          <w:iCs/>
          <w:noProof/>
        </w:rPr>
        <w:t>tisB-istR1</w:t>
      </w:r>
      <w:r w:rsidRPr="00F33FC4">
        <w:rPr>
          <w:rFonts w:eastAsia="MS Mincho"/>
          <w:noProof/>
        </w:rPr>
        <w:t xml:space="preserve">: expression, regulation, and biological role in persister phenotypes. RNA Biol. 2012 </w:t>
      </w:r>
      <w:r w:rsidRPr="00F33FC4">
        <w:rPr>
          <w:rFonts w:eastAsia="MS Mincho"/>
          <w:noProof/>
        </w:rPr>
        <w:lastRenderedPageBreak/>
        <w:t xml:space="preserve">Dec;9(12):1513–9. </w:t>
      </w:r>
    </w:p>
    <w:p w14:paraId="5CBD39EF" w14:textId="77777777" w:rsidR="00F33FC4" w:rsidRPr="00F33FC4" w:rsidRDefault="00F33FC4" w:rsidP="00F33FC4">
      <w:pPr>
        <w:widowControl w:val="0"/>
        <w:autoSpaceDE w:val="0"/>
        <w:autoSpaceDN w:val="0"/>
        <w:adjustRightInd w:val="0"/>
        <w:spacing w:line="360" w:lineRule="auto"/>
        <w:ind w:left="560" w:hanging="560"/>
        <w:rPr>
          <w:rFonts w:eastAsia="MS Mincho"/>
          <w:noProof/>
        </w:rPr>
      </w:pPr>
      <w:r w:rsidRPr="00F33FC4">
        <w:rPr>
          <w:rFonts w:eastAsia="MS Mincho"/>
          <w:noProof/>
        </w:rPr>
        <w:t xml:space="preserve">12. </w:t>
      </w:r>
      <w:r w:rsidRPr="00F33FC4">
        <w:rPr>
          <w:rFonts w:eastAsia="MS Mincho"/>
          <w:noProof/>
        </w:rPr>
        <w:tab/>
        <w:t xml:space="preserve">Unoson C, Wagner EGH. A small SOS-induced toxin is targeted against the inner membrane in </w:t>
      </w:r>
      <w:r w:rsidRPr="00F33FC4">
        <w:rPr>
          <w:rFonts w:eastAsia="MS Mincho"/>
          <w:i/>
          <w:iCs/>
          <w:noProof/>
        </w:rPr>
        <w:t>Escherichia coli</w:t>
      </w:r>
      <w:r w:rsidRPr="00F33FC4">
        <w:rPr>
          <w:rFonts w:eastAsia="MS Mincho"/>
          <w:noProof/>
        </w:rPr>
        <w:t xml:space="preserve">. Mol Microbiol. 2008 Oct;70(1):258–70. </w:t>
      </w:r>
    </w:p>
    <w:p w14:paraId="62647624" w14:textId="77777777" w:rsidR="00F33FC4" w:rsidRPr="00F33FC4" w:rsidRDefault="00F33FC4" w:rsidP="00F33FC4">
      <w:pPr>
        <w:widowControl w:val="0"/>
        <w:autoSpaceDE w:val="0"/>
        <w:autoSpaceDN w:val="0"/>
        <w:adjustRightInd w:val="0"/>
        <w:spacing w:line="360" w:lineRule="auto"/>
        <w:ind w:left="560" w:hanging="560"/>
        <w:rPr>
          <w:rFonts w:eastAsia="MS Mincho"/>
          <w:noProof/>
        </w:rPr>
      </w:pPr>
      <w:r w:rsidRPr="00F33FC4">
        <w:rPr>
          <w:rFonts w:eastAsia="MS Mincho"/>
          <w:noProof/>
        </w:rPr>
        <w:t xml:space="preserve">13. </w:t>
      </w:r>
      <w:r w:rsidRPr="00F33FC4">
        <w:rPr>
          <w:rFonts w:eastAsia="MS Mincho"/>
          <w:noProof/>
        </w:rPr>
        <w:tab/>
        <w:t xml:space="preserve">Berghoff BA, Hoekzema M, Aulbach L, Wagner EGH. Two regulatory RNA elements affect TisB-dependent depolarization and persister formation. Mol Microbiol. 2017 Mar;103(6):1020–33. </w:t>
      </w:r>
    </w:p>
    <w:p w14:paraId="431527A2" w14:textId="77777777" w:rsidR="00F33FC4" w:rsidRPr="00F33FC4" w:rsidRDefault="00F33FC4" w:rsidP="00F33FC4">
      <w:pPr>
        <w:widowControl w:val="0"/>
        <w:autoSpaceDE w:val="0"/>
        <w:autoSpaceDN w:val="0"/>
        <w:adjustRightInd w:val="0"/>
        <w:spacing w:line="360" w:lineRule="auto"/>
        <w:ind w:left="560" w:hanging="560"/>
        <w:rPr>
          <w:rFonts w:eastAsia="MS Mincho"/>
          <w:noProof/>
        </w:rPr>
      </w:pPr>
      <w:r w:rsidRPr="00F33FC4">
        <w:rPr>
          <w:rFonts w:eastAsia="MS Mincho"/>
          <w:noProof/>
        </w:rPr>
        <w:t xml:space="preserve">14. </w:t>
      </w:r>
      <w:r w:rsidRPr="00F33FC4">
        <w:rPr>
          <w:rFonts w:eastAsia="MS Mincho"/>
          <w:noProof/>
        </w:rPr>
        <w:tab/>
        <w:t xml:space="preserve">Knopp M, Gudmundsdottir JS, Nilsson T, König F, Warsi O, Rajer F, et al. De novo emergence of peptides that confer antibiotic resistance. MBio. 2019 Jun 4;10(3). </w:t>
      </w:r>
    </w:p>
    <w:p w14:paraId="1D9E428D" w14:textId="77777777" w:rsidR="00F33FC4" w:rsidRPr="00F33FC4" w:rsidRDefault="00F33FC4" w:rsidP="00F33FC4">
      <w:pPr>
        <w:widowControl w:val="0"/>
        <w:autoSpaceDE w:val="0"/>
        <w:autoSpaceDN w:val="0"/>
        <w:adjustRightInd w:val="0"/>
        <w:spacing w:line="360" w:lineRule="auto"/>
        <w:ind w:left="560" w:hanging="560"/>
        <w:rPr>
          <w:rFonts w:eastAsia="MS Mincho"/>
          <w:noProof/>
        </w:rPr>
      </w:pPr>
      <w:r w:rsidRPr="00F33FC4">
        <w:rPr>
          <w:rFonts w:eastAsia="MS Mincho"/>
          <w:noProof/>
        </w:rPr>
        <w:t xml:space="preserve">15. </w:t>
      </w:r>
      <w:r w:rsidRPr="00F33FC4">
        <w:rPr>
          <w:rFonts w:eastAsia="MS Mincho"/>
          <w:noProof/>
        </w:rPr>
        <w:tab/>
        <w:t xml:space="preserve">Kawano M, Oshima T, Kasai H, Mori H. Molecular characterization of long direct repeat (LDR) sequences expressing a stable mRNA encoding for a 35-amino-acid cell-killing peptide and a cis-encoded small antisense RNA in </w:t>
      </w:r>
      <w:r w:rsidRPr="00F33FC4">
        <w:rPr>
          <w:rFonts w:eastAsia="MS Mincho"/>
          <w:i/>
          <w:iCs/>
          <w:noProof/>
        </w:rPr>
        <w:t>Escherichia coli</w:t>
      </w:r>
      <w:r w:rsidRPr="00F33FC4">
        <w:rPr>
          <w:rFonts w:eastAsia="MS Mincho"/>
          <w:noProof/>
        </w:rPr>
        <w:t xml:space="preserve">. Mol Microbiol. 2002 Jul;45(2):333–49. </w:t>
      </w:r>
    </w:p>
    <w:p w14:paraId="5B6BE6C0" w14:textId="77777777" w:rsidR="00F33FC4" w:rsidRPr="00F33FC4" w:rsidRDefault="00F33FC4" w:rsidP="00F33FC4">
      <w:pPr>
        <w:widowControl w:val="0"/>
        <w:autoSpaceDE w:val="0"/>
        <w:autoSpaceDN w:val="0"/>
        <w:adjustRightInd w:val="0"/>
        <w:spacing w:line="360" w:lineRule="auto"/>
        <w:ind w:left="560" w:hanging="560"/>
        <w:rPr>
          <w:rFonts w:eastAsia="MS Mincho"/>
          <w:noProof/>
        </w:rPr>
      </w:pPr>
      <w:r w:rsidRPr="00F33FC4">
        <w:rPr>
          <w:rFonts w:eastAsia="MS Mincho"/>
          <w:noProof/>
        </w:rPr>
        <w:t xml:space="preserve">16. </w:t>
      </w:r>
      <w:r w:rsidRPr="00F33FC4">
        <w:rPr>
          <w:rFonts w:eastAsia="MS Mincho"/>
          <w:noProof/>
        </w:rPr>
        <w:tab/>
        <w:t xml:space="preserve">Fozo EM, Kawano M, Fontaine F, Kaya Y, Mendieta KS, Jones KL, et al. Repression of small toxic protein synthesis by the Sib and OhsC small RNAs. Mol Microbiol. 2008 Dec;70(5):1076–93. </w:t>
      </w:r>
    </w:p>
    <w:p w14:paraId="5580312F" w14:textId="77777777" w:rsidR="00F33FC4" w:rsidRPr="00F33FC4" w:rsidRDefault="00F33FC4" w:rsidP="00F33FC4">
      <w:pPr>
        <w:widowControl w:val="0"/>
        <w:autoSpaceDE w:val="0"/>
        <w:autoSpaceDN w:val="0"/>
        <w:adjustRightInd w:val="0"/>
        <w:spacing w:line="360" w:lineRule="auto"/>
        <w:ind w:left="560" w:hanging="560"/>
        <w:rPr>
          <w:rFonts w:eastAsia="MS Mincho"/>
          <w:noProof/>
        </w:rPr>
      </w:pPr>
      <w:r w:rsidRPr="00F33FC4">
        <w:rPr>
          <w:rFonts w:eastAsia="MS Mincho"/>
          <w:noProof/>
        </w:rPr>
        <w:t xml:space="preserve">17. </w:t>
      </w:r>
      <w:r w:rsidRPr="00F33FC4">
        <w:rPr>
          <w:rFonts w:eastAsia="MS Mincho"/>
          <w:noProof/>
        </w:rPr>
        <w:tab/>
        <w:t xml:space="preserve">Wen J, Won D, Fozo EM. The ZorO-OrzO type I toxin-antitoxin locus: repression by the OrzO antitoxin. Nucleic Acids Res. 2014 Feb;42(3):1930–46. </w:t>
      </w:r>
    </w:p>
    <w:p w14:paraId="31EBC552" w14:textId="77777777" w:rsidR="00F33FC4" w:rsidRPr="00F33FC4" w:rsidRDefault="00F33FC4" w:rsidP="00F33FC4">
      <w:pPr>
        <w:widowControl w:val="0"/>
        <w:autoSpaceDE w:val="0"/>
        <w:autoSpaceDN w:val="0"/>
        <w:adjustRightInd w:val="0"/>
        <w:spacing w:line="360" w:lineRule="auto"/>
        <w:ind w:left="560" w:hanging="560"/>
        <w:rPr>
          <w:rFonts w:eastAsia="MS Mincho"/>
          <w:noProof/>
        </w:rPr>
      </w:pPr>
      <w:r w:rsidRPr="00F33FC4">
        <w:rPr>
          <w:rFonts w:eastAsia="MS Mincho"/>
          <w:noProof/>
        </w:rPr>
        <w:t xml:space="preserve">18. </w:t>
      </w:r>
      <w:r w:rsidRPr="00F33FC4">
        <w:rPr>
          <w:rFonts w:eastAsia="MS Mincho"/>
          <w:noProof/>
        </w:rPr>
        <w:tab/>
        <w:t xml:space="preserve">Fozo EM, Makarova KS, Shabalina SA, Yutin N, Koonin EV, Storz G. Abundance of type I toxin-antitoxin systems in bacteria: searches for new candidates and discovery of novel families. Nucleic Acids Res. 2010 Jun;38(11):3743–59. </w:t>
      </w:r>
    </w:p>
    <w:p w14:paraId="3CFDAE2F" w14:textId="77777777" w:rsidR="00F33FC4" w:rsidRPr="00F33FC4" w:rsidRDefault="00F33FC4" w:rsidP="00F33FC4">
      <w:pPr>
        <w:widowControl w:val="0"/>
        <w:autoSpaceDE w:val="0"/>
        <w:autoSpaceDN w:val="0"/>
        <w:adjustRightInd w:val="0"/>
        <w:spacing w:line="360" w:lineRule="auto"/>
        <w:ind w:left="560" w:hanging="560"/>
        <w:rPr>
          <w:rFonts w:eastAsia="MS Mincho"/>
          <w:noProof/>
        </w:rPr>
      </w:pPr>
      <w:r w:rsidRPr="00F33FC4">
        <w:rPr>
          <w:rFonts w:eastAsia="MS Mincho"/>
          <w:noProof/>
        </w:rPr>
        <w:t xml:space="preserve">19. </w:t>
      </w:r>
      <w:r w:rsidRPr="00F33FC4">
        <w:rPr>
          <w:rFonts w:eastAsia="MS Mincho"/>
          <w:noProof/>
        </w:rPr>
        <w:tab/>
        <w:t xml:space="preserve">Bogati B, Wadsworth N, Barrera F, Fozo EM. Improved growth of </w:t>
      </w:r>
      <w:r w:rsidRPr="00F33FC4">
        <w:rPr>
          <w:rFonts w:eastAsia="MS Mincho"/>
          <w:i/>
          <w:iCs/>
          <w:noProof/>
        </w:rPr>
        <w:t>Escherichia coli</w:t>
      </w:r>
      <w:r w:rsidRPr="00F33FC4">
        <w:rPr>
          <w:rFonts w:eastAsia="MS Mincho"/>
          <w:noProof/>
        </w:rPr>
        <w:t xml:space="preserve"> in aminoglycoside antibiotics by the </w:t>
      </w:r>
      <w:r w:rsidRPr="00F33FC4">
        <w:rPr>
          <w:rFonts w:eastAsia="MS Mincho"/>
          <w:i/>
          <w:iCs/>
          <w:noProof/>
        </w:rPr>
        <w:t>zor-orz</w:t>
      </w:r>
      <w:r w:rsidRPr="00F33FC4">
        <w:rPr>
          <w:rFonts w:eastAsia="MS Mincho"/>
          <w:noProof/>
        </w:rPr>
        <w:t xml:space="preserve"> toxin-antitoxin system. J Bacteriol. 2021 Sep 27;JB0040721. </w:t>
      </w:r>
    </w:p>
    <w:p w14:paraId="6B102148" w14:textId="77777777" w:rsidR="00F33FC4" w:rsidRPr="00F33FC4" w:rsidRDefault="00F33FC4" w:rsidP="00F33FC4">
      <w:pPr>
        <w:widowControl w:val="0"/>
        <w:autoSpaceDE w:val="0"/>
        <w:autoSpaceDN w:val="0"/>
        <w:adjustRightInd w:val="0"/>
        <w:spacing w:line="360" w:lineRule="auto"/>
        <w:ind w:left="560" w:hanging="560"/>
        <w:rPr>
          <w:rFonts w:eastAsia="MS Mincho"/>
          <w:noProof/>
        </w:rPr>
      </w:pPr>
      <w:r w:rsidRPr="00F33FC4">
        <w:rPr>
          <w:rFonts w:eastAsia="MS Mincho"/>
          <w:noProof/>
        </w:rPr>
        <w:t xml:space="preserve">20. </w:t>
      </w:r>
      <w:r w:rsidRPr="00F33FC4">
        <w:rPr>
          <w:rFonts w:eastAsia="MS Mincho"/>
          <w:noProof/>
        </w:rPr>
        <w:tab/>
        <w:t xml:space="preserve">Patel S, Weaver KE. Addiction toxin Fst has unique effects on chromosome segregation and cell division in </w:t>
      </w:r>
      <w:r w:rsidRPr="00F33FC4">
        <w:rPr>
          <w:rFonts w:eastAsia="MS Mincho"/>
          <w:i/>
          <w:iCs/>
          <w:noProof/>
        </w:rPr>
        <w:t>Enterococcus faecalis</w:t>
      </w:r>
      <w:r w:rsidRPr="00F33FC4">
        <w:rPr>
          <w:rFonts w:eastAsia="MS Mincho"/>
          <w:noProof/>
        </w:rPr>
        <w:t xml:space="preserve"> and </w:t>
      </w:r>
      <w:r w:rsidRPr="00F33FC4">
        <w:rPr>
          <w:rFonts w:eastAsia="MS Mincho"/>
          <w:i/>
          <w:iCs/>
          <w:noProof/>
        </w:rPr>
        <w:t>Bacillus subtilis</w:t>
      </w:r>
      <w:r w:rsidRPr="00F33FC4">
        <w:rPr>
          <w:rFonts w:eastAsia="MS Mincho"/>
          <w:noProof/>
        </w:rPr>
        <w:t xml:space="preserve">. J Bacteriol. 2006 Aug;188(15):5374–84. </w:t>
      </w:r>
    </w:p>
    <w:p w14:paraId="64D9A9AF" w14:textId="77777777" w:rsidR="00F33FC4" w:rsidRPr="00F33FC4" w:rsidRDefault="00F33FC4" w:rsidP="00F33FC4">
      <w:pPr>
        <w:widowControl w:val="0"/>
        <w:autoSpaceDE w:val="0"/>
        <w:autoSpaceDN w:val="0"/>
        <w:adjustRightInd w:val="0"/>
        <w:spacing w:line="360" w:lineRule="auto"/>
        <w:ind w:left="560" w:hanging="560"/>
        <w:rPr>
          <w:rFonts w:eastAsia="MS Mincho"/>
          <w:noProof/>
        </w:rPr>
      </w:pPr>
      <w:r w:rsidRPr="00F33FC4">
        <w:rPr>
          <w:rFonts w:eastAsia="MS Mincho"/>
          <w:noProof/>
        </w:rPr>
        <w:t xml:space="preserve">21. </w:t>
      </w:r>
      <w:r w:rsidRPr="00F33FC4">
        <w:rPr>
          <w:rFonts w:eastAsia="MS Mincho"/>
          <w:noProof/>
        </w:rPr>
        <w:tab/>
        <w:t xml:space="preserve">Göbl C, Kosol S, Stockner T, Rückert HM, Zangger K. Solution structure and membrane binding of the toxin fst of the par addiction module. Biochemistry. 2010 Aug 10;49(31):6567–75. </w:t>
      </w:r>
    </w:p>
    <w:p w14:paraId="0D4F9963" w14:textId="77777777" w:rsidR="00F33FC4" w:rsidRPr="00F33FC4" w:rsidRDefault="00F33FC4" w:rsidP="00F33FC4">
      <w:pPr>
        <w:widowControl w:val="0"/>
        <w:autoSpaceDE w:val="0"/>
        <w:autoSpaceDN w:val="0"/>
        <w:adjustRightInd w:val="0"/>
        <w:spacing w:line="360" w:lineRule="auto"/>
        <w:ind w:left="560" w:hanging="560"/>
        <w:rPr>
          <w:rFonts w:eastAsia="MS Mincho"/>
          <w:noProof/>
        </w:rPr>
      </w:pPr>
      <w:r w:rsidRPr="00F33FC4">
        <w:rPr>
          <w:rFonts w:eastAsia="MS Mincho"/>
          <w:noProof/>
        </w:rPr>
        <w:t xml:space="preserve">22. </w:t>
      </w:r>
      <w:r w:rsidRPr="00F33FC4">
        <w:rPr>
          <w:rFonts w:eastAsia="MS Mincho"/>
          <w:noProof/>
        </w:rPr>
        <w:tab/>
        <w:t xml:space="preserve">Mok WWK, Patel NH, Li Y. Decoding toxicity: deducing the sequence </w:t>
      </w:r>
      <w:r w:rsidRPr="00F33FC4">
        <w:rPr>
          <w:rFonts w:eastAsia="MS Mincho"/>
          <w:noProof/>
        </w:rPr>
        <w:lastRenderedPageBreak/>
        <w:t xml:space="preserve">requirements of IbsC, a type I toxin in </w:t>
      </w:r>
      <w:r w:rsidRPr="00F33FC4">
        <w:rPr>
          <w:rFonts w:eastAsia="MS Mincho"/>
          <w:i/>
          <w:iCs/>
          <w:noProof/>
        </w:rPr>
        <w:t>Escherichia coli</w:t>
      </w:r>
      <w:r w:rsidRPr="00F33FC4">
        <w:rPr>
          <w:rFonts w:eastAsia="MS Mincho"/>
          <w:noProof/>
        </w:rPr>
        <w:t xml:space="preserve">. J Biol Chem. 2010 Dec 31;285(53):41627–36. </w:t>
      </w:r>
    </w:p>
    <w:p w14:paraId="41BC1347" w14:textId="77777777" w:rsidR="00F33FC4" w:rsidRPr="00F33FC4" w:rsidRDefault="00F33FC4" w:rsidP="00F33FC4">
      <w:pPr>
        <w:widowControl w:val="0"/>
        <w:autoSpaceDE w:val="0"/>
        <w:autoSpaceDN w:val="0"/>
        <w:adjustRightInd w:val="0"/>
        <w:spacing w:line="360" w:lineRule="auto"/>
        <w:ind w:left="560" w:hanging="560"/>
        <w:rPr>
          <w:rFonts w:eastAsia="MS Mincho"/>
          <w:noProof/>
        </w:rPr>
      </w:pPr>
      <w:r w:rsidRPr="00F33FC4">
        <w:rPr>
          <w:rFonts w:eastAsia="MS Mincho"/>
          <w:noProof/>
        </w:rPr>
        <w:t xml:space="preserve">23. </w:t>
      </w:r>
      <w:r w:rsidRPr="00F33FC4">
        <w:rPr>
          <w:rFonts w:eastAsia="MS Mincho"/>
          <w:noProof/>
        </w:rPr>
        <w:tab/>
        <w:t xml:space="preserve">Holmes A, Sadlon J, Weaver K. Charged residues flanking the transmembrane domain of two related toxin-antitoxin system toxins affect host response. toxins (basel). 2021 may 1;13(5). </w:t>
      </w:r>
    </w:p>
    <w:p w14:paraId="673C59FD" w14:textId="77777777" w:rsidR="00F33FC4" w:rsidRPr="00F33FC4" w:rsidRDefault="00F33FC4" w:rsidP="00F33FC4">
      <w:pPr>
        <w:widowControl w:val="0"/>
        <w:autoSpaceDE w:val="0"/>
        <w:autoSpaceDN w:val="0"/>
        <w:adjustRightInd w:val="0"/>
        <w:spacing w:line="360" w:lineRule="auto"/>
        <w:ind w:left="560" w:hanging="560"/>
        <w:rPr>
          <w:rFonts w:eastAsia="MS Mincho"/>
          <w:noProof/>
        </w:rPr>
      </w:pPr>
      <w:r w:rsidRPr="00F33FC4">
        <w:rPr>
          <w:rFonts w:eastAsia="MS Mincho"/>
          <w:noProof/>
        </w:rPr>
        <w:t xml:space="preserve">24. </w:t>
      </w:r>
      <w:r w:rsidRPr="00F33FC4">
        <w:rPr>
          <w:rFonts w:eastAsia="MS Mincho"/>
          <w:noProof/>
        </w:rPr>
        <w:tab/>
        <w:t xml:space="preserve">Korkut DN, Alves ID, Vogel A, Chabas S, Sharma CM, Martinez D, et al. Structural insights into the AapA1 toxin of </w:t>
      </w:r>
      <w:r w:rsidRPr="00F33FC4">
        <w:rPr>
          <w:rFonts w:eastAsia="MS Mincho"/>
          <w:i/>
          <w:iCs/>
          <w:noProof/>
        </w:rPr>
        <w:t>Helicobacter pylori</w:t>
      </w:r>
      <w:r w:rsidRPr="00F33FC4">
        <w:rPr>
          <w:rFonts w:eastAsia="MS Mincho"/>
          <w:noProof/>
        </w:rPr>
        <w:t xml:space="preserve">. Biochim Biophys Acta Gen Subj. 2020;1864(1):129423. </w:t>
      </w:r>
    </w:p>
    <w:p w14:paraId="11553EE4" w14:textId="77777777" w:rsidR="00F33FC4" w:rsidRPr="00F33FC4" w:rsidRDefault="00F33FC4" w:rsidP="00F33FC4">
      <w:pPr>
        <w:widowControl w:val="0"/>
        <w:autoSpaceDE w:val="0"/>
        <w:autoSpaceDN w:val="0"/>
        <w:adjustRightInd w:val="0"/>
        <w:spacing w:line="360" w:lineRule="auto"/>
        <w:ind w:left="560" w:hanging="560"/>
        <w:rPr>
          <w:rFonts w:eastAsia="MS Mincho"/>
          <w:noProof/>
        </w:rPr>
      </w:pPr>
      <w:r w:rsidRPr="00F33FC4">
        <w:rPr>
          <w:rFonts w:eastAsia="MS Mincho"/>
          <w:noProof/>
        </w:rPr>
        <w:t xml:space="preserve">25. </w:t>
      </w:r>
      <w:r w:rsidRPr="00F33FC4">
        <w:rPr>
          <w:rFonts w:eastAsia="MS Mincho"/>
          <w:noProof/>
        </w:rPr>
        <w:tab/>
        <w:t xml:space="preserve">Otsuka Y, Ishikawa T, Takahashi C, Masuda M. A short peptide derived from the ZorO toxin functions as an effective antimicrobial. Toxins (Basel). 2019 Jul 4;11(7). </w:t>
      </w:r>
    </w:p>
    <w:p w14:paraId="0E5A6D99" w14:textId="77777777" w:rsidR="00F33FC4" w:rsidRPr="00F33FC4" w:rsidRDefault="00F33FC4" w:rsidP="00F33FC4">
      <w:pPr>
        <w:widowControl w:val="0"/>
        <w:autoSpaceDE w:val="0"/>
        <w:autoSpaceDN w:val="0"/>
        <w:adjustRightInd w:val="0"/>
        <w:spacing w:line="360" w:lineRule="auto"/>
        <w:ind w:left="560" w:hanging="560"/>
        <w:rPr>
          <w:rFonts w:eastAsia="MS Mincho"/>
          <w:noProof/>
        </w:rPr>
      </w:pPr>
      <w:r w:rsidRPr="00F33FC4">
        <w:rPr>
          <w:rFonts w:eastAsia="MS Mincho"/>
          <w:noProof/>
        </w:rPr>
        <w:t xml:space="preserve">26. </w:t>
      </w:r>
      <w:r w:rsidRPr="00F33FC4">
        <w:rPr>
          <w:rFonts w:eastAsia="MS Mincho"/>
          <w:noProof/>
        </w:rPr>
        <w:tab/>
        <w:t xml:space="preserve">Wen J, Harp JR, Fozo EM. The 5΄ UTR of the type I toxin ZorO can both inhibit and enhance translation. Nucleic Acids Res. 2017 Apr 20;45(7):4006–20. </w:t>
      </w:r>
    </w:p>
    <w:p w14:paraId="3E2B45F9" w14:textId="77777777" w:rsidR="00F33FC4" w:rsidRPr="00F33FC4" w:rsidRDefault="00F33FC4" w:rsidP="00F33FC4">
      <w:pPr>
        <w:widowControl w:val="0"/>
        <w:autoSpaceDE w:val="0"/>
        <w:autoSpaceDN w:val="0"/>
        <w:adjustRightInd w:val="0"/>
        <w:spacing w:line="360" w:lineRule="auto"/>
        <w:ind w:left="560" w:hanging="560"/>
        <w:rPr>
          <w:rFonts w:eastAsia="MS Mincho"/>
          <w:noProof/>
        </w:rPr>
      </w:pPr>
      <w:r w:rsidRPr="00F33FC4">
        <w:rPr>
          <w:rFonts w:eastAsia="MS Mincho"/>
          <w:noProof/>
        </w:rPr>
        <w:t xml:space="preserve">27. </w:t>
      </w:r>
      <w:r w:rsidRPr="00F33FC4">
        <w:rPr>
          <w:rFonts w:eastAsia="MS Mincho"/>
          <w:noProof/>
        </w:rPr>
        <w:tab/>
        <w:t xml:space="preserve">Bolivar F, Rodriguez RL, Greene PJ, Betlach MC, Heyneker HL, Boyer HW, et al. Construction and characterization of new cloning vehicles. II. A multipurpose cloning system. Gene. 1977;2(2):95–113. </w:t>
      </w:r>
    </w:p>
    <w:p w14:paraId="1D282E90" w14:textId="77777777" w:rsidR="00F33FC4" w:rsidRPr="00F33FC4" w:rsidRDefault="00F33FC4" w:rsidP="00F33FC4">
      <w:pPr>
        <w:widowControl w:val="0"/>
        <w:autoSpaceDE w:val="0"/>
        <w:autoSpaceDN w:val="0"/>
        <w:adjustRightInd w:val="0"/>
        <w:spacing w:line="360" w:lineRule="auto"/>
        <w:ind w:left="560" w:hanging="560"/>
        <w:rPr>
          <w:rFonts w:eastAsia="MS Mincho"/>
          <w:noProof/>
        </w:rPr>
      </w:pPr>
      <w:r w:rsidRPr="00F33FC4">
        <w:rPr>
          <w:rFonts w:eastAsia="MS Mincho"/>
          <w:noProof/>
        </w:rPr>
        <w:t xml:space="preserve">28. </w:t>
      </w:r>
      <w:r w:rsidRPr="00F33FC4">
        <w:rPr>
          <w:rFonts w:eastAsia="MS Mincho"/>
          <w:noProof/>
        </w:rPr>
        <w:tab/>
        <w:t xml:space="preserve">Hemm MR, Paul BJ, Miranda-Ríos J, Zhang A, Soltanzad N, Storz G. Small stress response proteins in </w:t>
      </w:r>
      <w:r w:rsidRPr="00F33FC4">
        <w:rPr>
          <w:rFonts w:eastAsia="MS Mincho"/>
          <w:i/>
          <w:iCs/>
          <w:noProof/>
        </w:rPr>
        <w:t>Escherichia coli</w:t>
      </w:r>
      <w:r w:rsidRPr="00F33FC4">
        <w:rPr>
          <w:rFonts w:eastAsia="MS Mincho"/>
          <w:noProof/>
        </w:rPr>
        <w:t xml:space="preserve">: proteins missed by classical proteomic studies. J Bacteriol. 2010 Jan;192(1):46–58. </w:t>
      </w:r>
    </w:p>
    <w:p w14:paraId="298EFA45" w14:textId="77777777" w:rsidR="00F33FC4" w:rsidRPr="00F33FC4" w:rsidRDefault="00F33FC4" w:rsidP="00F33FC4">
      <w:pPr>
        <w:widowControl w:val="0"/>
        <w:autoSpaceDE w:val="0"/>
        <w:autoSpaceDN w:val="0"/>
        <w:adjustRightInd w:val="0"/>
        <w:spacing w:line="360" w:lineRule="auto"/>
        <w:ind w:left="560" w:hanging="560"/>
        <w:rPr>
          <w:rFonts w:eastAsia="MS Mincho"/>
          <w:noProof/>
        </w:rPr>
      </w:pPr>
      <w:r w:rsidRPr="00F33FC4">
        <w:rPr>
          <w:rFonts w:eastAsia="MS Mincho"/>
          <w:noProof/>
        </w:rPr>
        <w:t xml:space="preserve">29. </w:t>
      </w:r>
      <w:r w:rsidRPr="00F33FC4">
        <w:rPr>
          <w:rFonts w:eastAsia="MS Mincho"/>
          <w:noProof/>
        </w:rPr>
        <w:tab/>
        <w:t xml:space="preserve">Kelley LA, Mezulis S, Yates CM, Wass MN, Sternberg MJE. The Phyre2 web portal for protein modeling, prediction and analysis. Nat Protoc. 2015 Jun;10(6):845–58. </w:t>
      </w:r>
    </w:p>
    <w:p w14:paraId="6D23E621" w14:textId="77777777" w:rsidR="00F33FC4" w:rsidRPr="00F33FC4" w:rsidRDefault="00F33FC4" w:rsidP="00F33FC4">
      <w:pPr>
        <w:widowControl w:val="0"/>
        <w:autoSpaceDE w:val="0"/>
        <w:autoSpaceDN w:val="0"/>
        <w:adjustRightInd w:val="0"/>
        <w:spacing w:line="360" w:lineRule="auto"/>
        <w:ind w:left="560" w:hanging="560"/>
        <w:rPr>
          <w:rFonts w:eastAsia="MS Mincho"/>
          <w:noProof/>
        </w:rPr>
      </w:pPr>
      <w:r w:rsidRPr="00F33FC4">
        <w:rPr>
          <w:rFonts w:eastAsia="MS Mincho"/>
          <w:noProof/>
        </w:rPr>
        <w:t xml:space="preserve">30. </w:t>
      </w:r>
      <w:r w:rsidRPr="00F33FC4">
        <w:rPr>
          <w:rFonts w:eastAsia="MS Mincho"/>
          <w:noProof/>
        </w:rPr>
        <w:tab/>
        <w:t xml:space="preserve">Kyte J, Doolittle RF. A simple method for displaying the hydropathic character of a protein. J Mol Biol. 1982 May 5;157(1):105–32. </w:t>
      </w:r>
    </w:p>
    <w:p w14:paraId="1540819E" w14:textId="77777777" w:rsidR="00F33FC4" w:rsidRPr="00F33FC4" w:rsidRDefault="00F33FC4" w:rsidP="00F33FC4">
      <w:pPr>
        <w:widowControl w:val="0"/>
        <w:autoSpaceDE w:val="0"/>
        <w:autoSpaceDN w:val="0"/>
        <w:adjustRightInd w:val="0"/>
        <w:spacing w:line="360" w:lineRule="auto"/>
        <w:ind w:left="560" w:hanging="560"/>
        <w:rPr>
          <w:rFonts w:eastAsia="MS Mincho"/>
          <w:noProof/>
        </w:rPr>
      </w:pPr>
      <w:r w:rsidRPr="00F33FC4">
        <w:rPr>
          <w:rFonts w:eastAsia="MS Mincho"/>
          <w:noProof/>
        </w:rPr>
        <w:t xml:space="preserve">31. </w:t>
      </w:r>
      <w:r w:rsidRPr="00F33FC4">
        <w:rPr>
          <w:rFonts w:eastAsia="MS Mincho"/>
          <w:noProof/>
        </w:rPr>
        <w:tab/>
        <w:t xml:space="preserve">Masachis S, Darfeuille F. Type I toxin-antitoxin systems: regulating toxin expression via shine-dalgarno sequence sequestration and small RNA binding. Microbiol Spectr. 2018;6(4). </w:t>
      </w:r>
    </w:p>
    <w:p w14:paraId="66B9472A" w14:textId="77777777" w:rsidR="00F33FC4" w:rsidRPr="00F33FC4" w:rsidRDefault="00F33FC4" w:rsidP="00F33FC4">
      <w:pPr>
        <w:widowControl w:val="0"/>
        <w:autoSpaceDE w:val="0"/>
        <w:autoSpaceDN w:val="0"/>
        <w:adjustRightInd w:val="0"/>
        <w:spacing w:line="360" w:lineRule="auto"/>
        <w:ind w:left="560" w:hanging="560"/>
        <w:rPr>
          <w:rFonts w:eastAsia="MS Mincho"/>
          <w:noProof/>
        </w:rPr>
      </w:pPr>
      <w:r w:rsidRPr="00F33FC4">
        <w:rPr>
          <w:rFonts w:eastAsia="MS Mincho"/>
          <w:noProof/>
        </w:rPr>
        <w:t xml:space="preserve">32. </w:t>
      </w:r>
      <w:r w:rsidRPr="00F33FC4">
        <w:rPr>
          <w:rFonts w:eastAsia="MS Mincho"/>
          <w:noProof/>
        </w:rPr>
        <w:tab/>
        <w:t xml:space="preserve">Andresen L, Martínez-Burgo Y, Nilsson Zangelin J, Rizvanovic A, Holmqvist E. The small toxic </w:t>
      </w:r>
      <w:r w:rsidRPr="00F33FC4">
        <w:rPr>
          <w:rFonts w:eastAsia="MS Mincho"/>
          <w:i/>
          <w:iCs/>
          <w:noProof/>
        </w:rPr>
        <w:t>Salmonella</w:t>
      </w:r>
      <w:r w:rsidRPr="00F33FC4">
        <w:rPr>
          <w:rFonts w:eastAsia="MS Mincho"/>
          <w:noProof/>
        </w:rPr>
        <w:t xml:space="preserve"> protein TimP targets the cytoplasmic membrane and is repressed by the small RNA TimR. MBio. 2020 Nov 10;11(6). </w:t>
      </w:r>
    </w:p>
    <w:p w14:paraId="6CEBFC02" w14:textId="77777777" w:rsidR="00F33FC4" w:rsidRPr="00F33FC4" w:rsidRDefault="00F33FC4" w:rsidP="00F33FC4">
      <w:pPr>
        <w:widowControl w:val="0"/>
        <w:autoSpaceDE w:val="0"/>
        <w:autoSpaceDN w:val="0"/>
        <w:adjustRightInd w:val="0"/>
        <w:spacing w:line="360" w:lineRule="auto"/>
        <w:rPr>
          <w:rFonts w:eastAsia="MS Mincho"/>
        </w:rPr>
      </w:pPr>
    </w:p>
    <w:p w14:paraId="08CDBD18" w14:textId="77777777" w:rsidR="00F33FC4" w:rsidRPr="00F33FC4" w:rsidRDefault="00F33FC4" w:rsidP="00F33FC4">
      <w:pPr>
        <w:autoSpaceDE w:val="0"/>
        <w:autoSpaceDN w:val="0"/>
        <w:adjustRightInd w:val="0"/>
        <w:spacing w:line="360" w:lineRule="auto"/>
        <w:jc w:val="center"/>
        <w:outlineLvl w:val="0"/>
        <w:rPr>
          <w:b/>
          <w:bCs/>
          <w:sz w:val="28"/>
        </w:rPr>
      </w:pPr>
      <w:r w:rsidRPr="00F33FC4">
        <w:rPr>
          <w:b/>
          <w:bCs/>
          <w:sz w:val="28"/>
        </w:rPr>
        <w:lastRenderedPageBreak/>
        <w:t>CHAPTER V</w:t>
      </w:r>
    </w:p>
    <w:p w14:paraId="57DBEDA0" w14:textId="77777777" w:rsidR="00F33FC4" w:rsidRPr="00F33FC4" w:rsidRDefault="00F33FC4" w:rsidP="00F33FC4">
      <w:pPr>
        <w:spacing w:line="360" w:lineRule="auto"/>
      </w:pPr>
    </w:p>
    <w:p w14:paraId="2B37FDE6" w14:textId="77777777" w:rsidR="00F33FC4" w:rsidRPr="00F33FC4" w:rsidRDefault="00F33FC4" w:rsidP="00F33FC4">
      <w:pPr>
        <w:autoSpaceDE w:val="0"/>
        <w:autoSpaceDN w:val="0"/>
        <w:adjustRightInd w:val="0"/>
        <w:spacing w:line="360" w:lineRule="auto"/>
        <w:jc w:val="center"/>
        <w:outlineLvl w:val="0"/>
        <w:rPr>
          <w:b/>
          <w:bCs/>
          <w:sz w:val="28"/>
        </w:rPr>
      </w:pPr>
      <w:r w:rsidRPr="00F33FC4">
        <w:rPr>
          <w:b/>
          <w:bCs/>
          <w:sz w:val="28"/>
        </w:rPr>
        <w:t xml:space="preserve">Conclusions and future directions </w:t>
      </w:r>
    </w:p>
    <w:p w14:paraId="1E14342D" w14:textId="77777777" w:rsidR="00F33FC4" w:rsidRPr="00F33FC4" w:rsidRDefault="00F33FC4" w:rsidP="00F33FC4">
      <w:pPr>
        <w:spacing w:line="360" w:lineRule="auto"/>
        <w:rPr>
          <w:b/>
          <w:bCs/>
          <w:sz w:val="28"/>
        </w:rPr>
      </w:pPr>
      <w:r w:rsidRPr="00F33FC4">
        <w:br w:type="page"/>
      </w:r>
    </w:p>
    <w:p w14:paraId="0822711A" w14:textId="77777777" w:rsidR="00F33FC4" w:rsidRPr="00F33FC4" w:rsidRDefault="00F33FC4" w:rsidP="004F5CA8">
      <w:pPr>
        <w:autoSpaceDE w:val="0"/>
        <w:autoSpaceDN w:val="0"/>
        <w:adjustRightInd w:val="0"/>
        <w:spacing w:line="360" w:lineRule="auto"/>
        <w:ind w:firstLine="720"/>
        <w:outlineLvl w:val="0"/>
      </w:pPr>
      <w:r w:rsidRPr="00F33FC4">
        <w:lastRenderedPageBreak/>
        <w:t xml:space="preserve">The work in this dissertation demonstrates for the first-time </w:t>
      </w:r>
      <w:r w:rsidRPr="00F33FC4">
        <w:rPr>
          <w:i/>
          <w:iCs/>
        </w:rPr>
        <w:t>in vivo</w:t>
      </w:r>
      <w:r w:rsidRPr="00F33FC4">
        <w:t xml:space="preserve"> translation of the small toxin protein </w:t>
      </w:r>
      <w:proofErr w:type="spellStart"/>
      <w:r w:rsidRPr="00F33FC4">
        <w:t>ZorO</w:t>
      </w:r>
      <w:proofErr w:type="spellEnd"/>
      <w:r w:rsidRPr="00F33FC4">
        <w:t xml:space="preserve">, its impacts on cellular processes, insights into the mechanism of toxicity and a possible beneficial function of the </w:t>
      </w:r>
      <w:proofErr w:type="spellStart"/>
      <w:r w:rsidRPr="00F33FC4">
        <w:rPr>
          <w:i/>
          <w:iCs/>
        </w:rPr>
        <w:t>zor-orz</w:t>
      </w:r>
      <w:proofErr w:type="spellEnd"/>
      <w:r w:rsidRPr="00F33FC4">
        <w:t xml:space="preserve"> locus in bacteria. </w:t>
      </w:r>
    </w:p>
    <w:p w14:paraId="2C59A240" w14:textId="1E45E4F6" w:rsidR="00F33FC4" w:rsidRPr="00F33FC4" w:rsidRDefault="00F33FC4" w:rsidP="00F33FC4">
      <w:pPr>
        <w:autoSpaceDE w:val="0"/>
        <w:autoSpaceDN w:val="0"/>
        <w:adjustRightInd w:val="0"/>
        <w:spacing w:line="360" w:lineRule="auto"/>
        <w:ind w:firstLine="720"/>
        <w:outlineLvl w:val="0"/>
      </w:pPr>
      <w:r w:rsidRPr="00F33FC4">
        <w:t xml:space="preserve">The </w:t>
      </w:r>
      <w:proofErr w:type="spellStart"/>
      <w:r w:rsidRPr="00F33FC4">
        <w:rPr>
          <w:i/>
          <w:iCs/>
        </w:rPr>
        <w:t>zor-orz</w:t>
      </w:r>
      <w:proofErr w:type="spellEnd"/>
      <w:r w:rsidRPr="00F33FC4">
        <w:t xml:space="preserve"> locus, first identified in </w:t>
      </w:r>
      <w:r w:rsidRPr="00F33FC4">
        <w:rPr>
          <w:i/>
          <w:iCs/>
        </w:rPr>
        <w:t xml:space="preserve">Escherichia coli </w:t>
      </w:r>
      <w:r w:rsidRPr="00F33FC4">
        <w:t xml:space="preserve">O157:H7 EDL933 (EHEC; referred to as EDL933 herein), is a type I toxin-antitoxin (TA) system </w:t>
      </w:r>
      <w:r w:rsidRPr="00F33FC4">
        <w:rPr>
          <w:noProof/>
        </w:rPr>
        <w:t>(1, 2)</w:t>
      </w:r>
      <w:r w:rsidRPr="00F33FC4">
        <w:t xml:space="preserve">. Previous studies provided in detail insights into the interaction of the </w:t>
      </w:r>
      <w:proofErr w:type="spellStart"/>
      <w:r w:rsidRPr="00F33FC4">
        <w:rPr>
          <w:i/>
          <w:iCs/>
        </w:rPr>
        <w:t>zorO</w:t>
      </w:r>
      <w:proofErr w:type="spellEnd"/>
      <w:r w:rsidRPr="00F33FC4">
        <w:t xml:space="preserve"> mRNA and </w:t>
      </w:r>
      <w:proofErr w:type="spellStart"/>
      <w:r w:rsidRPr="00F33FC4">
        <w:t>OrzO</w:t>
      </w:r>
      <w:proofErr w:type="spellEnd"/>
      <w:r w:rsidRPr="00F33FC4">
        <w:t xml:space="preserve"> small RNA (sRNA) and the results of this interaction </w:t>
      </w:r>
      <w:r w:rsidRPr="00F33FC4">
        <w:rPr>
          <w:noProof/>
        </w:rPr>
        <w:t>(1)</w:t>
      </w:r>
      <w:r w:rsidRPr="00F33FC4">
        <w:t xml:space="preserve">. In addition, it was shown that the </w:t>
      </w:r>
      <w:proofErr w:type="spellStart"/>
      <w:r w:rsidRPr="00F33FC4">
        <w:rPr>
          <w:i/>
          <w:iCs/>
        </w:rPr>
        <w:t>zorO</w:t>
      </w:r>
      <w:proofErr w:type="spellEnd"/>
      <w:r w:rsidRPr="00F33FC4">
        <w:t xml:space="preserve"> transcript has 5’ untranslated region (UTR) longer than the actual coding sequence of </w:t>
      </w:r>
      <w:proofErr w:type="spellStart"/>
      <w:r w:rsidR="002C74AC">
        <w:t>Z</w:t>
      </w:r>
      <w:r w:rsidRPr="00F33FC4">
        <w:t>orO</w:t>
      </w:r>
      <w:proofErr w:type="spellEnd"/>
      <w:r w:rsidRPr="00F33FC4">
        <w:t xml:space="preserve">. Northern analyses after </w:t>
      </w:r>
      <w:proofErr w:type="spellStart"/>
      <w:r w:rsidRPr="00F33FC4">
        <w:t>ZorO</w:t>
      </w:r>
      <w:proofErr w:type="spellEnd"/>
      <w:r w:rsidRPr="00F33FC4">
        <w:t xml:space="preserve"> overproduction revealed that a small fraction of these </w:t>
      </w:r>
      <w:proofErr w:type="spellStart"/>
      <w:r w:rsidRPr="00F33FC4">
        <w:rPr>
          <w:i/>
          <w:iCs/>
        </w:rPr>
        <w:t>zorO</w:t>
      </w:r>
      <w:proofErr w:type="spellEnd"/>
      <w:r w:rsidRPr="00F33FC4">
        <w:t xml:space="preserve"> transcripts were shorter: primer extension and 5’ RACE </w:t>
      </w:r>
      <w:r w:rsidRPr="00F33FC4">
        <w:rPr>
          <w:noProof/>
        </w:rPr>
        <w:t>(3)</w:t>
      </w:r>
      <w:r w:rsidRPr="00F33FC4">
        <w:t xml:space="preserve"> confirmed that these shorter transcripts had a processed 5’ UTR (</w:t>
      </w:r>
      <w:r w:rsidRPr="00F33FC4">
        <w:sym w:font="Symbol" w:char="F044"/>
      </w:r>
      <w:r w:rsidRPr="00F33FC4">
        <w:t xml:space="preserve">28, </w:t>
      </w:r>
      <w:r w:rsidRPr="00F33FC4">
        <w:rPr>
          <w:noProof/>
        </w:rPr>
        <w:t>(4)</w:t>
      </w:r>
      <w:r w:rsidRPr="00F33FC4">
        <w:t xml:space="preserve">). </w:t>
      </w:r>
      <w:r w:rsidRPr="00F33FC4">
        <w:rPr>
          <w:i/>
          <w:iCs/>
        </w:rPr>
        <w:t>In vitro</w:t>
      </w:r>
      <w:r w:rsidRPr="00F33FC4">
        <w:t xml:space="preserve"> translation of these two forms of </w:t>
      </w:r>
      <w:proofErr w:type="spellStart"/>
      <w:r w:rsidRPr="00F33FC4">
        <w:rPr>
          <w:i/>
          <w:iCs/>
        </w:rPr>
        <w:t>zorO</w:t>
      </w:r>
      <w:proofErr w:type="spellEnd"/>
      <w:r w:rsidRPr="00F33FC4">
        <w:t xml:space="preserve"> mRNA (full-length and </w:t>
      </w:r>
      <w:r w:rsidRPr="00F33FC4">
        <w:sym w:font="Symbol" w:char="F044"/>
      </w:r>
      <w:r w:rsidRPr="00F33FC4">
        <w:t xml:space="preserve">28) demonstrated that the processed </w:t>
      </w:r>
      <w:proofErr w:type="spellStart"/>
      <w:r w:rsidRPr="00F33FC4">
        <w:rPr>
          <w:i/>
          <w:iCs/>
        </w:rPr>
        <w:t>zorO</w:t>
      </w:r>
      <w:proofErr w:type="spellEnd"/>
      <w:r w:rsidRPr="00F33FC4">
        <w:t xml:space="preserve"> mRNA have nearly 10-fold increase in the translation as compared to the full-length 5’ UTR </w:t>
      </w:r>
      <w:r w:rsidRPr="00F33FC4">
        <w:rPr>
          <w:noProof/>
        </w:rPr>
        <w:t>(4)</w:t>
      </w:r>
      <w:r w:rsidRPr="00F33FC4">
        <w:t xml:space="preserve">. This shows a multi-layered, tight regulation of </w:t>
      </w:r>
      <w:proofErr w:type="spellStart"/>
      <w:r w:rsidR="002C74AC" w:rsidRPr="002C74AC">
        <w:rPr>
          <w:i/>
          <w:iCs/>
        </w:rPr>
        <w:t>z</w:t>
      </w:r>
      <w:r w:rsidRPr="00F33FC4">
        <w:rPr>
          <w:i/>
          <w:iCs/>
        </w:rPr>
        <w:t>orO</w:t>
      </w:r>
      <w:proofErr w:type="spellEnd"/>
      <w:r w:rsidRPr="00F33FC4">
        <w:t xml:space="preserve"> translation. </w:t>
      </w:r>
    </w:p>
    <w:p w14:paraId="05B246BF" w14:textId="20B4F461" w:rsidR="00F33FC4" w:rsidRPr="00F33FC4" w:rsidRDefault="00F33FC4" w:rsidP="00F33FC4">
      <w:pPr>
        <w:autoSpaceDE w:val="0"/>
        <w:autoSpaceDN w:val="0"/>
        <w:adjustRightInd w:val="0"/>
        <w:spacing w:line="360" w:lineRule="auto"/>
        <w:ind w:firstLine="720"/>
        <w:outlineLvl w:val="0"/>
      </w:pPr>
      <w:r w:rsidRPr="00F33FC4">
        <w:t xml:space="preserve">The work in this dissertation further addressed if the differences observed from </w:t>
      </w:r>
      <w:r w:rsidRPr="00F33FC4">
        <w:rPr>
          <w:i/>
          <w:iCs/>
        </w:rPr>
        <w:t>in vitro</w:t>
      </w:r>
      <w:r w:rsidRPr="00F33FC4">
        <w:t xml:space="preserve"> translation studies occurs </w:t>
      </w:r>
      <w:r w:rsidRPr="00F33FC4">
        <w:rPr>
          <w:i/>
          <w:iCs/>
        </w:rPr>
        <w:t>in vivo</w:t>
      </w:r>
      <w:r w:rsidRPr="00F33FC4">
        <w:t xml:space="preserve"> and if the severity of </w:t>
      </w:r>
      <w:proofErr w:type="spellStart"/>
      <w:r w:rsidRPr="00F33FC4">
        <w:t>ZorO</w:t>
      </w:r>
      <w:proofErr w:type="spellEnd"/>
      <w:r w:rsidRPr="00F33FC4">
        <w:t xml:space="preserve"> induced toxic effects differs under the two 5’UTRs </w:t>
      </w:r>
      <w:r w:rsidRPr="00F33FC4">
        <w:rPr>
          <w:noProof/>
        </w:rPr>
        <w:t>(3)</w:t>
      </w:r>
      <w:r w:rsidRPr="00F33FC4">
        <w:t xml:space="preserve">. We combine the conventional tool to study TA systems (ectopic overexpression) with the use of medium-copy plasmid vector cloned with the </w:t>
      </w:r>
      <w:proofErr w:type="spellStart"/>
      <w:r w:rsidRPr="00F33FC4">
        <w:rPr>
          <w:i/>
          <w:iCs/>
        </w:rPr>
        <w:t>zor-orz</w:t>
      </w:r>
      <w:proofErr w:type="spellEnd"/>
      <w:r w:rsidRPr="00F33FC4">
        <w:t xml:space="preserve"> locus and its variants under its native regulatory elements </w:t>
      </w:r>
      <w:r w:rsidRPr="00F33FC4">
        <w:rPr>
          <w:noProof/>
        </w:rPr>
        <w:t>(3)</w:t>
      </w:r>
      <w:r w:rsidRPr="00F33FC4">
        <w:t>. This is a closer representation than overexpression of the toxins to identify physiological roles of the TA systems in a bacterial cell, as cells are able to maintain these plasmids with no obvious toxic effects.</w:t>
      </w:r>
      <w:r w:rsidR="000725B7">
        <w:t xml:space="preserve"> </w:t>
      </w:r>
      <w:r w:rsidRPr="00F33FC4">
        <w:t xml:space="preserve">The employment of such a strategy is particularly useful because in many cases deletion of these chromosomal regions </w:t>
      </w:r>
      <w:r w:rsidR="005278EE" w:rsidRPr="00F33FC4">
        <w:t>does</w:t>
      </w:r>
      <w:r w:rsidRPr="00F33FC4">
        <w:t xml:space="preserve"> not have obvious growth phenotypes. We show that this amplification of the </w:t>
      </w:r>
      <w:proofErr w:type="spellStart"/>
      <w:r w:rsidRPr="00F33FC4">
        <w:rPr>
          <w:i/>
          <w:iCs/>
        </w:rPr>
        <w:t>zor-orz</w:t>
      </w:r>
      <w:proofErr w:type="spellEnd"/>
      <w:r w:rsidRPr="00F33FC4">
        <w:t xml:space="preserve"> locus improved cell growth in presence of several aminoglycoside antibiotics </w:t>
      </w:r>
      <w:r w:rsidRPr="00F33FC4">
        <w:rPr>
          <w:noProof/>
        </w:rPr>
        <w:t>(3)</w:t>
      </w:r>
      <w:r w:rsidRPr="00F33FC4">
        <w:t xml:space="preserve">. We also examined the changes in global transcriptome of EDL933 to identify the cellular processes affected during the growth in the presence of kanamycin conferred by the </w:t>
      </w:r>
      <w:proofErr w:type="spellStart"/>
      <w:r w:rsidRPr="00F33FC4">
        <w:rPr>
          <w:i/>
          <w:iCs/>
        </w:rPr>
        <w:t>zor-orz</w:t>
      </w:r>
      <w:proofErr w:type="spellEnd"/>
      <w:r w:rsidRPr="00F33FC4">
        <w:t xml:space="preserve"> locus. To better understand the role and contribution to </w:t>
      </w:r>
      <w:proofErr w:type="spellStart"/>
      <w:r w:rsidRPr="00F33FC4">
        <w:t>ZorO</w:t>
      </w:r>
      <w:proofErr w:type="spellEnd"/>
      <w:r w:rsidRPr="00F33FC4">
        <w:t xml:space="preserve">-induced toxicity of specific charged residues within </w:t>
      </w:r>
      <w:proofErr w:type="spellStart"/>
      <w:r w:rsidRPr="00F33FC4">
        <w:t>ZorO</w:t>
      </w:r>
      <w:proofErr w:type="spellEnd"/>
      <w:r w:rsidRPr="00F33FC4">
        <w:t xml:space="preserve">, we performed site directed mutagenesis and studied their impacts </w:t>
      </w:r>
      <w:r w:rsidRPr="00F33FC4">
        <w:lastRenderedPageBreak/>
        <w:t xml:space="preserve">on </w:t>
      </w:r>
      <w:proofErr w:type="spellStart"/>
      <w:r w:rsidRPr="00F33FC4">
        <w:t>ZorO</w:t>
      </w:r>
      <w:proofErr w:type="spellEnd"/>
      <w:r w:rsidRPr="00F33FC4">
        <w:t xml:space="preserve"> mediated effects and </w:t>
      </w:r>
      <w:proofErr w:type="spellStart"/>
      <w:r w:rsidRPr="00F33FC4">
        <w:t>ZorO</w:t>
      </w:r>
      <w:proofErr w:type="spellEnd"/>
      <w:r w:rsidRPr="00F33FC4">
        <w:t xml:space="preserve"> localization after ectopic overproduction. Finally, we examined if a non-toxic mutant of </w:t>
      </w:r>
      <w:proofErr w:type="spellStart"/>
      <w:r w:rsidRPr="00F33FC4">
        <w:t>ZorO</w:t>
      </w:r>
      <w:proofErr w:type="spellEnd"/>
      <w:r w:rsidRPr="00F33FC4">
        <w:t xml:space="preserve"> impacts cell growth in presence of kanamycin.</w:t>
      </w:r>
    </w:p>
    <w:p w14:paraId="2350CA88" w14:textId="77777777" w:rsidR="00F33FC4" w:rsidRPr="00F33FC4" w:rsidRDefault="00F33FC4" w:rsidP="00F33FC4">
      <w:pPr>
        <w:autoSpaceDE w:val="0"/>
        <w:autoSpaceDN w:val="0"/>
        <w:adjustRightInd w:val="0"/>
        <w:spacing w:line="360" w:lineRule="auto"/>
        <w:ind w:firstLine="720"/>
        <w:outlineLvl w:val="0"/>
      </w:pPr>
    </w:p>
    <w:p w14:paraId="6D767F46" w14:textId="77777777" w:rsidR="00F33FC4" w:rsidRPr="00F33FC4" w:rsidRDefault="00F33FC4" w:rsidP="00F33FC4">
      <w:pPr>
        <w:spacing w:line="360" w:lineRule="auto"/>
        <w:rPr>
          <w:b/>
          <w:bCs/>
        </w:rPr>
      </w:pPr>
      <w:proofErr w:type="spellStart"/>
      <w:r w:rsidRPr="00F33FC4">
        <w:rPr>
          <w:b/>
          <w:bCs/>
        </w:rPr>
        <w:t>ZorO</w:t>
      </w:r>
      <w:proofErr w:type="spellEnd"/>
      <w:r w:rsidRPr="00F33FC4">
        <w:rPr>
          <w:b/>
          <w:bCs/>
        </w:rPr>
        <w:t xml:space="preserve"> localization, role of 5’UTR in translation and its impacts</w:t>
      </w:r>
    </w:p>
    <w:p w14:paraId="75FD7F49" w14:textId="77777777" w:rsidR="00F33FC4" w:rsidRPr="00F33FC4" w:rsidRDefault="00F33FC4" w:rsidP="00F33FC4">
      <w:pPr>
        <w:autoSpaceDE w:val="0"/>
        <w:autoSpaceDN w:val="0"/>
        <w:adjustRightInd w:val="0"/>
        <w:spacing w:line="360" w:lineRule="auto"/>
        <w:ind w:firstLine="720"/>
        <w:outlineLvl w:val="0"/>
      </w:pPr>
      <w:r w:rsidRPr="00F33FC4">
        <w:t xml:space="preserve">While small proteins are challenging to study because of their inherent small size, those targeting the cytoplasmic membrane pose an additional difficulty. A common strategy to identify and characterize proteins is to specific antibodies to monitor detection and possible protein-protein interactions; however, given the limited epitopes that small proteins (including type I toxins) possess, it can be challenging to successfully generate antibodies against them. As an alternate, scientists can introduce a tag sequence either at N-terminus or C-terminus of the protein, but such tags on small proteins (and sometimes even in large proteins) can impact their function; indeed, adding a green fluorescent protein tag to the C-terminus of </w:t>
      </w:r>
      <w:proofErr w:type="spellStart"/>
      <w:r w:rsidRPr="00F33FC4">
        <w:t>ZorO</w:t>
      </w:r>
      <w:proofErr w:type="spellEnd"/>
      <w:r w:rsidRPr="00F33FC4">
        <w:t xml:space="preserve"> resulted in the protein being non-toxic (data not shown). To add to this complication for our studies with </w:t>
      </w:r>
      <w:proofErr w:type="spellStart"/>
      <w:r w:rsidRPr="00F33FC4">
        <w:t>ZorO</w:t>
      </w:r>
      <w:proofErr w:type="spellEnd"/>
      <w:r w:rsidRPr="00F33FC4">
        <w:t xml:space="preserve">, its translation is regulated post-transcriptionally by the sRNA </w:t>
      </w:r>
      <w:proofErr w:type="spellStart"/>
      <w:r w:rsidRPr="00F33FC4">
        <w:t>OrzO</w:t>
      </w:r>
      <w:proofErr w:type="spellEnd"/>
      <w:r w:rsidRPr="00F33FC4">
        <w:t xml:space="preserve"> and an inhibitory region within its own 5’ UTR </w:t>
      </w:r>
      <w:r w:rsidRPr="00F33FC4">
        <w:rPr>
          <w:noProof/>
        </w:rPr>
        <w:t>(1, 4)</w:t>
      </w:r>
      <w:r w:rsidRPr="00F33FC4">
        <w:t xml:space="preserve">. Similar obstacles have also hindered the study of other type I toxin proteins. Most of the studies investigating these toxins, therefore, utilize ectopic overexpression systems by cloning the toxin genes under an inducible promoter in a multi-copy plasmid vector. Using such an overexpression system, we identified that </w:t>
      </w:r>
      <w:proofErr w:type="spellStart"/>
      <w:r w:rsidRPr="00F33FC4">
        <w:t>ZorO</w:t>
      </w:r>
      <w:proofErr w:type="spellEnd"/>
      <w:r w:rsidRPr="00F33FC4">
        <w:t xml:space="preserve"> localizes to the bacterial inner membrane </w:t>
      </w:r>
      <w:r w:rsidRPr="00F33FC4">
        <w:rPr>
          <w:i/>
          <w:iCs/>
        </w:rPr>
        <w:t>in vivo</w:t>
      </w:r>
      <w:r w:rsidRPr="00F33FC4">
        <w:t xml:space="preserve"> and it can be translated from both its full-length and processed (</w:t>
      </w:r>
      <w:r w:rsidRPr="00F33FC4">
        <w:sym w:font="Symbol" w:char="F044"/>
      </w:r>
      <w:r w:rsidRPr="00F33FC4">
        <w:t xml:space="preserve">28) 5’UTR </w:t>
      </w:r>
      <w:r w:rsidRPr="00F33FC4">
        <w:rPr>
          <w:noProof/>
        </w:rPr>
        <w:t>(3)</w:t>
      </w:r>
      <w:r w:rsidRPr="00F33FC4">
        <w:t xml:space="preserve">. Both the translation and the impacts of </w:t>
      </w:r>
      <w:proofErr w:type="spellStart"/>
      <w:r w:rsidRPr="00F33FC4">
        <w:t>ZorO</w:t>
      </w:r>
      <w:proofErr w:type="spellEnd"/>
      <w:r w:rsidRPr="00F33FC4">
        <w:t xml:space="preserve"> were significantly increased when overexpressed from the </w:t>
      </w:r>
      <w:r w:rsidRPr="00F33FC4">
        <w:sym w:font="Symbol" w:char="F044"/>
      </w:r>
      <w:r w:rsidRPr="00F33FC4">
        <w:t xml:space="preserve">28 UTR </w:t>
      </w:r>
      <w:r w:rsidRPr="00F33FC4">
        <w:rPr>
          <w:noProof/>
        </w:rPr>
        <w:t>(3)</w:t>
      </w:r>
      <w:r w:rsidRPr="00F33FC4">
        <w:t xml:space="preserve">. </w:t>
      </w:r>
    </w:p>
    <w:p w14:paraId="1909123A" w14:textId="6D56EC46" w:rsidR="00F33FC4" w:rsidRDefault="00F33FC4" w:rsidP="00F33FC4">
      <w:pPr>
        <w:autoSpaceDE w:val="0"/>
        <w:autoSpaceDN w:val="0"/>
        <w:adjustRightInd w:val="0"/>
        <w:spacing w:line="360" w:lineRule="auto"/>
        <w:ind w:firstLine="720"/>
        <w:outlineLvl w:val="0"/>
      </w:pPr>
      <w:proofErr w:type="spellStart"/>
      <w:r w:rsidRPr="00F33FC4">
        <w:t>ZorO</w:t>
      </w:r>
      <w:proofErr w:type="spellEnd"/>
      <w:r w:rsidRPr="00F33FC4">
        <w:t xml:space="preserve"> overproduction results in a rapid increase in membrane depolarization and depletion of cellular ATP levels </w:t>
      </w:r>
      <w:r w:rsidRPr="00F33FC4">
        <w:rPr>
          <w:noProof/>
        </w:rPr>
        <w:t>(3, 5)</w:t>
      </w:r>
      <w:r w:rsidRPr="00F33FC4">
        <w:t xml:space="preserve"> and the severity of this impact is significantly increased when overexpressed from </w:t>
      </w:r>
      <w:r w:rsidRPr="00F33FC4">
        <w:sym w:font="Symbol" w:char="F044"/>
      </w:r>
      <w:r w:rsidRPr="00F33FC4">
        <w:t xml:space="preserve">28 UTR compared to the full-length UTR </w:t>
      </w:r>
      <w:r w:rsidRPr="00F33FC4">
        <w:rPr>
          <w:noProof/>
        </w:rPr>
        <w:t>(3)</w:t>
      </w:r>
      <w:r w:rsidRPr="00F33FC4">
        <w:t xml:space="preserve">. We predict that </w:t>
      </w:r>
      <w:proofErr w:type="spellStart"/>
      <w:r w:rsidRPr="00F33FC4">
        <w:t>ZorO</w:t>
      </w:r>
      <w:proofErr w:type="spellEnd"/>
      <w:r w:rsidRPr="00F33FC4">
        <w:t xml:space="preserve"> forms small channels by inserting into the membrane; however, we do not observe ATP leakage or distorted cell morphology upon </w:t>
      </w:r>
      <w:proofErr w:type="spellStart"/>
      <w:r w:rsidRPr="00F33FC4">
        <w:t>ZorO</w:t>
      </w:r>
      <w:proofErr w:type="spellEnd"/>
      <w:r w:rsidRPr="00F33FC4">
        <w:t xml:space="preserve"> overproduction indicating that the predicted channels are </w:t>
      </w:r>
      <w:r w:rsidR="00FC5E6A" w:rsidRPr="00F33FC4">
        <w:t>small</w:t>
      </w:r>
      <w:r w:rsidRPr="00F33FC4">
        <w:t xml:space="preserve"> </w:t>
      </w:r>
      <w:r w:rsidRPr="00F33FC4">
        <w:rPr>
          <w:noProof/>
        </w:rPr>
        <w:t>(3)</w:t>
      </w:r>
      <w:r w:rsidRPr="00F33FC4">
        <w:t xml:space="preserve">. These results are further supported </w:t>
      </w:r>
      <w:r w:rsidRPr="00F33FC4">
        <w:lastRenderedPageBreak/>
        <w:t xml:space="preserve">as we do not see leakage of small fluorescence dye </w:t>
      </w:r>
      <w:proofErr w:type="spellStart"/>
      <w:r w:rsidRPr="00F33FC4">
        <w:t>calcein</w:t>
      </w:r>
      <w:proofErr w:type="spellEnd"/>
      <w:r w:rsidRPr="00F33FC4">
        <w:t xml:space="preserve"> from the lipid vesicles contain synthetic </w:t>
      </w:r>
      <w:proofErr w:type="spellStart"/>
      <w:r w:rsidRPr="00F33FC4">
        <w:t>ZorO</w:t>
      </w:r>
      <w:proofErr w:type="spellEnd"/>
      <w:r w:rsidRPr="00F33FC4">
        <w:t xml:space="preserve"> peptides </w:t>
      </w:r>
      <w:r w:rsidRPr="00F33FC4">
        <w:rPr>
          <w:noProof/>
        </w:rPr>
        <w:t>(3)</w:t>
      </w:r>
      <w:r w:rsidRPr="00F33FC4">
        <w:t xml:space="preserve">. </w:t>
      </w:r>
    </w:p>
    <w:p w14:paraId="7C57BFC9" w14:textId="77777777" w:rsidR="004F5CA8" w:rsidRPr="00F33FC4" w:rsidRDefault="004F5CA8" w:rsidP="00F33FC4">
      <w:pPr>
        <w:autoSpaceDE w:val="0"/>
        <w:autoSpaceDN w:val="0"/>
        <w:adjustRightInd w:val="0"/>
        <w:spacing w:line="360" w:lineRule="auto"/>
        <w:ind w:firstLine="720"/>
        <w:outlineLvl w:val="0"/>
      </w:pPr>
    </w:p>
    <w:p w14:paraId="0C0CF48B" w14:textId="77777777" w:rsidR="00F33FC4" w:rsidRPr="00F33FC4" w:rsidRDefault="00F33FC4" w:rsidP="00F33FC4">
      <w:pPr>
        <w:spacing w:line="360" w:lineRule="auto"/>
        <w:rPr>
          <w:b/>
          <w:bCs/>
        </w:rPr>
      </w:pPr>
      <w:r w:rsidRPr="00F33FC4">
        <w:rPr>
          <w:b/>
          <w:bCs/>
        </w:rPr>
        <w:t xml:space="preserve">Function of the </w:t>
      </w:r>
      <w:proofErr w:type="spellStart"/>
      <w:r w:rsidRPr="00F33FC4">
        <w:rPr>
          <w:b/>
          <w:bCs/>
          <w:i/>
          <w:iCs/>
        </w:rPr>
        <w:t>zor-orz</w:t>
      </w:r>
      <w:proofErr w:type="spellEnd"/>
      <w:r w:rsidRPr="00F33FC4">
        <w:rPr>
          <w:b/>
          <w:bCs/>
        </w:rPr>
        <w:t xml:space="preserve"> locus</w:t>
      </w:r>
    </w:p>
    <w:p w14:paraId="680E382F" w14:textId="3D235E6A" w:rsidR="00F33FC4" w:rsidRPr="00F33FC4" w:rsidRDefault="00F33FC4" w:rsidP="00F33FC4">
      <w:pPr>
        <w:spacing w:line="360" w:lineRule="auto"/>
        <w:ind w:firstLine="720"/>
      </w:pPr>
      <w:r w:rsidRPr="00F33FC4">
        <w:t xml:space="preserve">The chromosomal deletion strains of the </w:t>
      </w:r>
      <w:proofErr w:type="spellStart"/>
      <w:r w:rsidRPr="00F33FC4">
        <w:rPr>
          <w:i/>
          <w:iCs/>
        </w:rPr>
        <w:t>zor-orz</w:t>
      </w:r>
      <w:proofErr w:type="spellEnd"/>
      <w:r w:rsidRPr="00F33FC4">
        <w:t xml:space="preserve"> locus</w:t>
      </w:r>
      <w:r w:rsidR="000725B7">
        <w:t xml:space="preserve"> </w:t>
      </w:r>
      <w:r w:rsidRPr="00F33FC4">
        <w:t>in EDL933 (</w:t>
      </w:r>
      <w:r w:rsidRPr="00F33FC4">
        <w:sym w:font="Symbol" w:char="F044"/>
      </w:r>
      <w:proofErr w:type="spellStart"/>
      <w:r w:rsidRPr="00F33FC4">
        <w:rPr>
          <w:i/>
          <w:iCs/>
        </w:rPr>
        <w:t>zor-orz</w:t>
      </w:r>
      <w:proofErr w:type="spellEnd"/>
      <w:r w:rsidRPr="00F33FC4">
        <w:t xml:space="preserve"> and </w:t>
      </w:r>
      <w:r w:rsidRPr="00F33FC4">
        <w:sym w:font="Symbol" w:char="F044"/>
      </w:r>
      <w:r w:rsidRPr="00F33FC4">
        <w:t>28-FLAG-</w:t>
      </w:r>
      <w:r w:rsidRPr="00F33FC4">
        <w:rPr>
          <w:i/>
          <w:iCs/>
        </w:rPr>
        <w:t xml:space="preserve">zorO </w:t>
      </w:r>
      <w:r w:rsidRPr="00F33FC4">
        <w:t xml:space="preserve">strains) did not show differences in growth compared to the wild type strain in LB or M9 minimal medium supplemented with glucose or fructose </w:t>
      </w:r>
      <w:r w:rsidRPr="00F33FC4">
        <w:rPr>
          <w:noProof/>
        </w:rPr>
        <w:t>(3)</w:t>
      </w:r>
      <w:r w:rsidRPr="00F33FC4">
        <w:t xml:space="preserve">. While similar observations are reported with other TA gene pair deletion mutants, it raises the question if the </w:t>
      </w:r>
      <w:proofErr w:type="spellStart"/>
      <w:r w:rsidRPr="00F33FC4">
        <w:rPr>
          <w:i/>
          <w:iCs/>
        </w:rPr>
        <w:t>zor-orz</w:t>
      </w:r>
      <w:proofErr w:type="spellEnd"/>
      <w:r w:rsidRPr="00F33FC4">
        <w:t xml:space="preserve"> locus has a true biological function. Many of the type I toxins studied in this regard have utilized an overexpression system to identify the role of these proteins in bacterial persistence </w:t>
      </w:r>
      <w:r w:rsidRPr="00F33FC4">
        <w:rPr>
          <w:noProof/>
        </w:rPr>
        <w:t>(6)</w:t>
      </w:r>
      <w:r w:rsidRPr="00F33FC4">
        <w:t xml:space="preserve">. To eliminate the complication of marked growth inhibition observed upon overproduction of </w:t>
      </w:r>
      <w:proofErr w:type="spellStart"/>
      <w:r w:rsidRPr="00F33FC4">
        <w:t>ZorO</w:t>
      </w:r>
      <w:proofErr w:type="spellEnd"/>
      <w:r w:rsidRPr="00F33FC4">
        <w:t xml:space="preserve"> and to test the effect of the </w:t>
      </w:r>
      <w:proofErr w:type="spellStart"/>
      <w:r w:rsidRPr="00F33FC4">
        <w:rPr>
          <w:i/>
          <w:iCs/>
        </w:rPr>
        <w:t>zor-orz</w:t>
      </w:r>
      <w:proofErr w:type="spellEnd"/>
      <w:r w:rsidRPr="00F33FC4">
        <w:t xml:space="preserve"> locus from its native promoter we cloned the </w:t>
      </w:r>
      <w:proofErr w:type="spellStart"/>
      <w:r w:rsidRPr="00F33FC4">
        <w:rPr>
          <w:i/>
          <w:iCs/>
        </w:rPr>
        <w:t>zor-orz</w:t>
      </w:r>
      <w:proofErr w:type="spellEnd"/>
      <w:r w:rsidRPr="00F33FC4">
        <w:t xml:space="preserve"> locus with its regulatory elements into pBR322. </w:t>
      </w:r>
      <w:r w:rsidRPr="00F33FC4">
        <w:rPr>
          <w:i/>
          <w:iCs/>
        </w:rPr>
        <w:t>E. coli</w:t>
      </w:r>
      <w:r w:rsidRPr="00F33FC4">
        <w:t xml:space="preserve"> MG1655 or EDL933-</w:t>
      </w:r>
      <w:r w:rsidRPr="00F33FC4">
        <w:sym w:font="Symbol" w:char="F044"/>
      </w:r>
      <w:proofErr w:type="spellStart"/>
      <w:r w:rsidRPr="00F33FC4">
        <w:rPr>
          <w:i/>
          <w:iCs/>
        </w:rPr>
        <w:t>zor-orz</w:t>
      </w:r>
      <w:proofErr w:type="spellEnd"/>
      <w:r w:rsidRPr="00F33FC4">
        <w:rPr>
          <w:i/>
          <w:iCs/>
        </w:rPr>
        <w:t xml:space="preserve"> </w:t>
      </w:r>
      <w:r w:rsidRPr="00F33FC4">
        <w:t xml:space="preserve">harboring </w:t>
      </w:r>
      <w:proofErr w:type="spellStart"/>
      <w:r w:rsidRPr="00F33FC4">
        <w:t>pBR-</w:t>
      </w:r>
      <w:r w:rsidRPr="00F33FC4">
        <w:rPr>
          <w:i/>
          <w:iCs/>
        </w:rPr>
        <w:t>zor-orz</w:t>
      </w:r>
      <w:proofErr w:type="spellEnd"/>
      <w:r w:rsidRPr="00F33FC4">
        <w:rPr>
          <w:i/>
          <w:iCs/>
        </w:rPr>
        <w:t xml:space="preserve"> </w:t>
      </w:r>
      <w:r w:rsidRPr="00F33FC4">
        <w:t xml:space="preserve">had a similar growth pattern and no significant differences membrane </w:t>
      </w:r>
      <w:proofErr w:type="spellStart"/>
      <w:r w:rsidRPr="00F33FC4">
        <w:t>depolariation</w:t>
      </w:r>
      <w:proofErr w:type="spellEnd"/>
      <w:r w:rsidRPr="00F33FC4">
        <w:t xml:space="preserve"> or ATP levels compared to cells harboring empty vector.</w:t>
      </w:r>
      <w:r w:rsidR="000725B7">
        <w:t xml:space="preserve"> </w:t>
      </w:r>
      <w:r w:rsidRPr="00F33FC4">
        <w:t xml:space="preserve">There was, however, significantly improved growth in the presence of several aminoglycoside antibiotics for those harboring </w:t>
      </w:r>
      <w:proofErr w:type="spellStart"/>
      <w:r w:rsidRPr="00F33FC4">
        <w:t>pBR-</w:t>
      </w:r>
      <w:r w:rsidRPr="00F33FC4">
        <w:rPr>
          <w:i/>
          <w:iCs/>
        </w:rPr>
        <w:t>zor-orz</w:t>
      </w:r>
      <w:proofErr w:type="spellEnd"/>
      <w:r w:rsidRPr="00F33FC4">
        <w:t xml:space="preserve"> </w:t>
      </w:r>
      <w:r w:rsidRPr="00F33FC4">
        <w:rPr>
          <w:noProof/>
        </w:rPr>
        <w:t>(3)</w:t>
      </w:r>
      <w:r w:rsidRPr="00F33FC4">
        <w:t xml:space="preserve">. Cells with </w:t>
      </w:r>
      <w:proofErr w:type="spellStart"/>
      <w:r w:rsidRPr="00F33FC4">
        <w:t>pBR-</w:t>
      </w:r>
      <w:r w:rsidRPr="00F33FC4">
        <w:rPr>
          <w:i/>
          <w:iCs/>
        </w:rPr>
        <w:t>zor-orz</w:t>
      </w:r>
      <w:proofErr w:type="spellEnd"/>
      <w:r w:rsidRPr="00F33FC4">
        <w:t xml:space="preserve"> plasmid had in fact resulted in an increase in MIC against kanamycin and gentamycin </w:t>
      </w:r>
      <w:r w:rsidRPr="00F33FC4">
        <w:rPr>
          <w:noProof/>
        </w:rPr>
        <w:t>(3)</w:t>
      </w:r>
      <w:r w:rsidRPr="00F33FC4">
        <w:t xml:space="preserve">. Similar results were observed with a plasmid harboring only the </w:t>
      </w:r>
      <w:proofErr w:type="spellStart"/>
      <w:r w:rsidRPr="00F33FC4">
        <w:rPr>
          <w:i/>
          <w:iCs/>
        </w:rPr>
        <w:t>zorO-orzO</w:t>
      </w:r>
      <w:proofErr w:type="spellEnd"/>
      <w:r w:rsidRPr="00F33FC4">
        <w:t xml:space="preserve"> locus (</w:t>
      </w:r>
      <w:proofErr w:type="spellStart"/>
      <w:r w:rsidRPr="00F33FC4">
        <w:t>pBR-</w:t>
      </w:r>
      <w:r w:rsidRPr="00F33FC4">
        <w:rPr>
          <w:i/>
          <w:iCs/>
        </w:rPr>
        <w:t>zorO-orzO</w:t>
      </w:r>
      <w:proofErr w:type="spellEnd"/>
      <w:r w:rsidRPr="00F33FC4">
        <w:t xml:space="preserve">). While increased MIC against aminoglycoside antibiotics has been reported during overexpression of </w:t>
      </w:r>
      <w:r w:rsidRPr="00F33FC4">
        <w:rPr>
          <w:i/>
          <w:iCs/>
        </w:rPr>
        <w:t>de novo</w:t>
      </w:r>
      <w:r w:rsidRPr="00F33FC4">
        <w:t xml:space="preserve"> synthesized small proteins (7), this is the first study showing the role of a type I TA system to impact MIC, to our knowledge. Persistence, a mechanism by which a sub-population of the bacterial cell can survive lethal doses of antibiotics and can replenish the population upon removal of antibiotic pressure has been linked with the type I toxins </w:t>
      </w:r>
      <w:proofErr w:type="spellStart"/>
      <w:r w:rsidRPr="00F33FC4">
        <w:t>TisB</w:t>
      </w:r>
      <w:proofErr w:type="spellEnd"/>
      <w:r w:rsidRPr="00F33FC4">
        <w:t xml:space="preserve"> and </w:t>
      </w:r>
      <w:proofErr w:type="spellStart"/>
      <w:r w:rsidRPr="00F33FC4">
        <w:t>HokB</w:t>
      </w:r>
      <w:proofErr w:type="spellEnd"/>
      <w:r w:rsidRPr="00F33FC4">
        <w:t xml:space="preserve"> (6, 8–10). It was surprising to see that the </w:t>
      </w:r>
      <w:proofErr w:type="spellStart"/>
      <w:r w:rsidRPr="00F33FC4">
        <w:rPr>
          <w:i/>
          <w:iCs/>
        </w:rPr>
        <w:t>zor-orz</w:t>
      </w:r>
      <w:proofErr w:type="spellEnd"/>
      <w:r w:rsidRPr="00F33FC4">
        <w:t xml:space="preserve"> locus improved growth of the bacterial cells in presence of lower concentrations of aminoglycoside antibiotics as this has not been reported for other systems </w:t>
      </w:r>
      <w:r w:rsidRPr="00F33FC4">
        <w:rPr>
          <w:noProof/>
        </w:rPr>
        <w:t>(3)</w:t>
      </w:r>
      <w:r w:rsidRPr="00F33FC4">
        <w:t>. Therefore, to identify the key cellular processes that contribute to improved growth in aminoglycosides, we treated the mid-log bacterial cultures (EDL933-</w:t>
      </w:r>
      <w:r w:rsidRPr="00F33FC4">
        <w:sym w:font="Symbol" w:char="F044"/>
      </w:r>
      <w:proofErr w:type="spellStart"/>
      <w:r w:rsidRPr="00F33FC4">
        <w:rPr>
          <w:i/>
          <w:iCs/>
        </w:rPr>
        <w:t>zor-or</w:t>
      </w:r>
      <w:r w:rsidRPr="00F33FC4">
        <w:t>z</w:t>
      </w:r>
      <w:proofErr w:type="spellEnd"/>
      <w:r w:rsidRPr="00F33FC4">
        <w:t xml:space="preserve">) harboring either pBR322 or </w:t>
      </w:r>
      <w:proofErr w:type="spellStart"/>
      <w:r w:rsidRPr="00F33FC4">
        <w:lastRenderedPageBreak/>
        <w:t>pBR-</w:t>
      </w:r>
      <w:r w:rsidRPr="00F33FC4">
        <w:rPr>
          <w:i/>
          <w:iCs/>
        </w:rPr>
        <w:t>zor-orz</w:t>
      </w:r>
      <w:proofErr w:type="spellEnd"/>
      <w:r w:rsidRPr="00F33FC4">
        <w:rPr>
          <w:i/>
          <w:iCs/>
        </w:rPr>
        <w:t xml:space="preserve"> </w:t>
      </w:r>
      <w:r w:rsidRPr="00F33FC4">
        <w:t xml:space="preserve">vector with 10 µg/ml of kanamycin for 15 minutes and extracted RNA to perform transcriptomics. </w:t>
      </w:r>
    </w:p>
    <w:p w14:paraId="048E4C0D" w14:textId="44AEFCAF" w:rsidR="00F33FC4" w:rsidRPr="00F33FC4" w:rsidRDefault="00F33FC4" w:rsidP="00F33FC4">
      <w:pPr>
        <w:spacing w:line="360" w:lineRule="auto"/>
        <w:ind w:firstLine="720"/>
      </w:pPr>
      <w:r w:rsidRPr="00F33FC4">
        <w:t>The transcriptomic data identified 473 differentially expressed genes (</w:t>
      </w:r>
      <w:r w:rsidRPr="00F33FC4">
        <w:rPr>
          <w:i/>
          <w:iCs/>
        </w:rPr>
        <w:t>p</w:t>
      </w:r>
      <w:r w:rsidRPr="00F33FC4">
        <w:t xml:space="preserve"> &lt; 0.05; 234 upregulated and 239 downregulated) in cells harboring </w:t>
      </w:r>
      <w:proofErr w:type="spellStart"/>
      <w:r w:rsidRPr="00F33FC4">
        <w:t>pBR-</w:t>
      </w:r>
      <w:r w:rsidRPr="00F33FC4">
        <w:rPr>
          <w:i/>
          <w:iCs/>
        </w:rPr>
        <w:t>zor-orz</w:t>
      </w:r>
      <w:proofErr w:type="spellEnd"/>
      <w:r w:rsidRPr="00F33FC4">
        <w:t xml:space="preserve"> compared to those harboring the empty vector. Functional enrichment of the genes with a log</w:t>
      </w:r>
      <w:r w:rsidRPr="00F33FC4">
        <w:rPr>
          <w:vertAlign w:val="subscript"/>
        </w:rPr>
        <w:t>2</w:t>
      </w:r>
      <w:r w:rsidRPr="00F33FC4">
        <w:t>-fold change of 1.5 or greater showed that genes associated with nitrogen metabolism (</w:t>
      </w:r>
      <w:proofErr w:type="spellStart"/>
      <w:r w:rsidRPr="00F33FC4">
        <w:rPr>
          <w:i/>
          <w:iCs/>
        </w:rPr>
        <w:t>narG</w:t>
      </w:r>
      <w:proofErr w:type="spellEnd"/>
      <w:r w:rsidRPr="00F33FC4">
        <w:rPr>
          <w:i/>
          <w:iCs/>
        </w:rPr>
        <w:t xml:space="preserve">, </w:t>
      </w:r>
      <w:proofErr w:type="spellStart"/>
      <w:r w:rsidRPr="00F33FC4">
        <w:rPr>
          <w:i/>
          <w:iCs/>
        </w:rPr>
        <w:t>narH</w:t>
      </w:r>
      <w:proofErr w:type="spellEnd"/>
      <w:r w:rsidRPr="00F33FC4">
        <w:rPr>
          <w:i/>
          <w:iCs/>
        </w:rPr>
        <w:t xml:space="preserve">, </w:t>
      </w:r>
      <w:proofErr w:type="spellStart"/>
      <w:r w:rsidRPr="00F33FC4">
        <w:rPr>
          <w:i/>
          <w:iCs/>
        </w:rPr>
        <w:t>narK</w:t>
      </w:r>
      <w:proofErr w:type="spellEnd"/>
      <w:r w:rsidRPr="00F33FC4">
        <w:rPr>
          <w:i/>
          <w:iCs/>
        </w:rPr>
        <w:t xml:space="preserve">, </w:t>
      </w:r>
      <w:proofErr w:type="spellStart"/>
      <w:r w:rsidRPr="00F33FC4">
        <w:rPr>
          <w:i/>
          <w:iCs/>
        </w:rPr>
        <w:t>nirB</w:t>
      </w:r>
      <w:proofErr w:type="spellEnd"/>
      <w:r w:rsidRPr="00F33FC4">
        <w:rPr>
          <w:i/>
          <w:iCs/>
        </w:rPr>
        <w:t xml:space="preserve">, </w:t>
      </w:r>
      <w:proofErr w:type="spellStart"/>
      <w:r w:rsidRPr="00F33FC4">
        <w:rPr>
          <w:i/>
          <w:iCs/>
        </w:rPr>
        <w:t>nrfA</w:t>
      </w:r>
      <w:proofErr w:type="spellEnd"/>
      <w:r w:rsidRPr="00F33FC4">
        <w:t>) and anaerobic respiration (</w:t>
      </w:r>
      <w:proofErr w:type="spellStart"/>
      <w:r w:rsidRPr="00F33FC4">
        <w:rPr>
          <w:i/>
          <w:iCs/>
        </w:rPr>
        <w:t>dmsA</w:t>
      </w:r>
      <w:proofErr w:type="spellEnd"/>
      <w:r w:rsidRPr="00F33FC4">
        <w:rPr>
          <w:i/>
          <w:iCs/>
        </w:rPr>
        <w:t xml:space="preserve">, </w:t>
      </w:r>
      <w:proofErr w:type="spellStart"/>
      <w:r w:rsidRPr="00F33FC4">
        <w:rPr>
          <w:i/>
          <w:iCs/>
        </w:rPr>
        <w:t>fdnG</w:t>
      </w:r>
      <w:proofErr w:type="spellEnd"/>
      <w:r w:rsidRPr="00F33FC4">
        <w:rPr>
          <w:i/>
          <w:iCs/>
        </w:rPr>
        <w:t xml:space="preserve">, </w:t>
      </w:r>
      <w:proofErr w:type="spellStart"/>
      <w:r w:rsidRPr="00F33FC4">
        <w:rPr>
          <w:i/>
          <w:iCs/>
        </w:rPr>
        <w:t>frdA</w:t>
      </w:r>
      <w:proofErr w:type="spellEnd"/>
      <w:r w:rsidRPr="00F33FC4">
        <w:rPr>
          <w:i/>
          <w:iCs/>
        </w:rPr>
        <w:t xml:space="preserve">, </w:t>
      </w:r>
      <w:proofErr w:type="spellStart"/>
      <w:r w:rsidRPr="00F33FC4">
        <w:rPr>
          <w:i/>
          <w:iCs/>
        </w:rPr>
        <w:t>glpA</w:t>
      </w:r>
      <w:proofErr w:type="spellEnd"/>
      <w:r w:rsidRPr="00F33FC4">
        <w:t>) were upregulated. The flagella associated genes (</w:t>
      </w:r>
      <w:proofErr w:type="spellStart"/>
      <w:r w:rsidRPr="00F33FC4">
        <w:rPr>
          <w:i/>
          <w:iCs/>
        </w:rPr>
        <w:t>flgA</w:t>
      </w:r>
      <w:proofErr w:type="spellEnd"/>
      <w:r w:rsidRPr="00F33FC4">
        <w:rPr>
          <w:i/>
          <w:iCs/>
        </w:rPr>
        <w:t xml:space="preserve">, </w:t>
      </w:r>
      <w:proofErr w:type="spellStart"/>
      <w:r w:rsidRPr="00F33FC4">
        <w:rPr>
          <w:i/>
          <w:iCs/>
        </w:rPr>
        <w:t>flgB</w:t>
      </w:r>
      <w:proofErr w:type="spellEnd"/>
      <w:r w:rsidRPr="00F33FC4">
        <w:rPr>
          <w:i/>
          <w:iCs/>
        </w:rPr>
        <w:t xml:space="preserve">, </w:t>
      </w:r>
      <w:proofErr w:type="spellStart"/>
      <w:r w:rsidRPr="00F33FC4">
        <w:rPr>
          <w:i/>
          <w:iCs/>
        </w:rPr>
        <w:t>flgF</w:t>
      </w:r>
      <w:proofErr w:type="spellEnd"/>
      <w:r w:rsidRPr="00F33FC4">
        <w:rPr>
          <w:i/>
          <w:iCs/>
        </w:rPr>
        <w:t xml:space="preserve">, </w:t>
      </w:r>
      <w:proofErr w:type="spellStart"/>
      <w:r w:rsidRPr="00F33FC4">
        <w:rPr>
          <w:i/>
          <w:iCs/>
        </w:rPr>
        <w:t>flgG</w:t>
      </w:r>
      <w:proofErr w:type="spellEnd"/>
      <w:r w:rsidRPr="00F33FC4">
        <w:rPr>
          <w:i/>
          <w:iCs/>
        </w:rPr>
        <w:t xml:space="preserve">, </w:t>
      </w:r>
      <w:proofErr w:type="spellStart"/>
      <w:r w:rsidRPr="00F33FC4">
        <w:rPr>
          <w:i/>
          <w:iCs/>
        </w:rPr>
        <w:t>fliE</w:t>
      </w:r>
      <w:proofErr w:type="spellEnd"/>
      <w:r w:rsidRPr="00F33FC4">
        <w:rPr>
          <w:i/>
          <w:iCs/>
        </w:rPr>
        <w:t xml:space="preserve">, </w:t>
      </w:r>
      <w:proofErr w:type="spellStart"/>
      <w:r w:rsidRPr="00F33FC4">
        <w:rPr>
          <w:i/>
          <w:iCs/>
        </w:rPr>
        <w:t>fliF</w:t>
      </w:r>
      <w:proofErr w:type="spellEnd"/>
      <w:r w:rsidRPr="00F33FC4">
        <w:rPr>
          <w:i/>
          <w:iCs/>
        </w:rPr>
        <w:t xml:space="preserve">, </w:t>
      </w:r>
      <w:proofErr w:type="spellStart"/>
      <w:r w:rsidRPr="00F33FC4">
        <w:rPr>
          <w:i/>
          <w:iCs/>
        </w:rPr>
        <w:t>fliM</w:t>
      </w:r>
      <w:proofErr w:type="spellEnd"/>
      <w:r w:rsidRPr="00F33FC4">
        <w:t xml:space="preserve">) were among the most significantly downregulated genes. While the overproduction of </w:t>
      </w:r>
      <w:proofErr w:type="spellStart"/>
      <w:r w:rsidRPr="00F33FC4">
        <w:t>ZorO</w:t>
      </w:r>
      <w:proofErr w:type="spellEnd"/>
      <w:r w:rsidRPr="00F33FC4">
        <w:t xml:space="preserve"> results in depletion of ATP, the cells with </w:t>
      </w:r>
      <w:proofErr w:type="spellStart"/>
      <w:r w:rsidRPr="00F33FC4">
        <w:t>pBR-</w:t>
      </w:r>
      <w:r w:rsidRPr="00F33FC4">
        <w:rPr>
          <w:i/>
          <w:iCs/>
        </w:rPr>
        <w:t>zor-orz</w:t>
      </w:r>
      <w:proofErr w:type="spellEnd"/>
      <w:r w:rsidRPr="00F33FC4">
        <w:t xml:space="preserve"> treated with kanamycin appear to shut down one of the major ATP consuming processes </w:t>
      </w:r>
      <w:r w:rsidRPr="00F33FC4">
        <w:rPr>
          <w:i/>
          <w:iCs/>
        </w:rPr>
        <w:t>i.e.</w:t>
      </w:r>
      <w:r w:rsidRPr="00F33FC4">
        <w:t xml:space="preserve"> flagellar motility and upregulate the genes associated with nitrate metabolism and anerobic respiration for energy. The heat shock protein encoding genes has been reported to be upregulated during kanamycin treatment in </w:t>
      </w:r>
      <w:r w:rsidRPr="00F33FC4">
        <w:rPr>
          <w:i/>
          <w:iCs/>
        </w:rPr>
        <w:t>E. coli</w:t>
      </w:r>
      <w:r w:rsidRPr="00F33FC4">
        <w:t xml:space="preserve"> to prevent the misfolding of the newly synthesized protein caused by aminoglycoside </w:t>
      </w:r>
      <w:r w:rsidRPr="00F33FC4">
        <w:rPr>
          <w:noProof/>
        </w:rPr>
        <w:t>(11)</w:t>
      </w:r>
      <w:r w:rsidRPr="00F33FC4">
        <w:t xml:space="preserve">. Contrary to this, the </w:t>
      </w:r>
      <w:proofErr w:type="spellStart"/>
      <w:r w:rsidRPr="00F33FC4">
        <w:t>pBR-</w:t>
      </w:r>
      <w:r w:rsidRPr="00F33FC4">
        <w:rPr>
          <w:i/>
          <w:iCs/>
        </w:rPr>
        <w:t>zor-orz</w:t>
      </w:r>
      <w:proofErr w:type="spellEnd"/>
      <w:r w:rsidRPr="00F33FC4">
        <w:t xml:space="preserve"> harboring cells have most of the heat response genes down regulated, suggesting lower intracellular kanamycin levels in </w:t>
      </w:r>
      <w:r w:rsidR="005278EE" w:rsidRPr="00F33FC4">
        <w:t>those cells</w:t>
      </w:r>
      <w:r w:rsidRPr="00F33FC4">
        <w:t xml:space="preserve"> either by blocking the entry or active export.</w:t>
      </w:r>
    </w:p>
    <w:p w14:paraId="6208548E" w14:textId="77777777" w:rsidR="00F33FC4" w:rsidRPr="00F33FC4" w:rsidRDefault="00F33FC4" w:rsidP="00F33FC4">
      <w:pPr>
        <w:spacing w:line="360" w:lineRule="auto"/>
        <w:ind w:firstLine="720"/>
      </w:pPr>
    </w:p>
    <w:p w14:paraId="74A0B083" w14:textId="77777777" w:rsidR="00F33FC4" w:rsidRPr="00F33FC4" w:rsidRDefault="00F33FC4" w:rsidP="00F33FC4">
      <w:pPr>
        <w:spacing w:line="360" w:lineRule="auto"/>
        <w:rPr>
          <w:b/>
          <w:bCs/>
        </w:rPr>
      </w:pPr>
      <w:proofErr w:type="spellStart"/>
      <w:r w:rsidRPr="00F33FC4">
        <w:rPr>
          <w:b/>
          <w:bCs/>
        </w:rPr>
        <w:t>ZorO</w:t>
      </w:r>
      <w:proofErr w:type="spellEnd"/>
      <w:r w:rsidRPr="00F33FC4">
        <w:rPr>
          <w:b/>
          <w:bCs/>
        </w:rPr>
        <w:t>- native translation and role of charged amino acids</w:t>
      </w:r>
    </w:p>
    <w:p w14:paraId="53A08521" w14:textId="77777777" w:rsidR="00F33FC4" w:rsidRPr="00F33FC4" w:rsidRDefault="00F33FC4" w:rsidP="00F33FC4">
      <w:pPr>
        <w:spacing w:line="360" w:lineRule="auto"/>
        <w:ind w:firstLine="720"/>
      </w:pPr>
      <w:r w:rsidRPr="00F33FC4">
        <w:t xml:space="preserve">Previous work demonstrated </w:t>
      </w:r>
      <w:r w:rsidRPr="00F33FC4">
        <w:rPr>
          <w:i/>
          <w:iCs/>
        </w:rPr>
        <w:t>in vitro</w:t>
      </w:r>
      <w:r w:rsidRPr="00F33FC4">
        <w:t xml:space="preserve"> </w:t>
      </w:r>
      <w:proofErr w:type="spellStart"/>
      <w:r w:rsidRPr="00F33FC4">
        <w:t>ZorO</w:t>
      </w:r>
      <w:proofErr w:type="spellEnd"/>
      <w:r w:rsidRPr="00F33FC4">
        <w:t xml:space="preserve"> translation but not </w:t>
      </w:r>
      <w:r w:rsidRPr="00F33FC4">
        <w:rPr>
          <w:i/>
          <w:iCs/>
        </w:rPr>
        <w:t>in vivo</w:t>
      </w:r>
      <w:r w:rsidRPr="00F33FC4">
        <w:t xml:space="preserve"> </w:t>
      </w:r>
      <w:r w:rsidRPr="00F33FC4">
        <w:rPr>
          <w:noProof/>
        </w:rPr>
        <w:t>(4)</w:t>
      </w:r>
      <w:r w:rsidRPr="00F33FC4">
        <w:t xml:space="preserve">. The works within this dissertation </w:t>
      </w:r>
      <w:r w:rsidRPr="00F33FC4">
        <w:rPr>
          <w:noProof/>
        </w:rPr>
        <w:t>(3)</w:t>
      </w:r>
      <w:r w:rsidRPr="00F33FC4">
        <w:t xml:space="preserve"> and others </w:t>
      </w:r>
      <w:r w:rsidRPr="00F33FC4">
        <w:rPr>
          <w:noProof/>
        </w:rPr>
        <w:t>(5)</w:t>
      </w:r>
      <w:r w:rsidRPr="00F33FC4">
        <w:t xml:space="preserve"> showed </w:t>
      </w:r>
      <w:r w:rsidRPr="00F33FC4">
        <w:rPr>
          <w:i/>
          <w:iCs/>
        </w:rPr>
        <w:t>in vivo</w:t>
      </w:r>
      <w:r w:rsidRPr="00F33FC4">
        <w:t xml:space="preserve"> translation of </w:t>
      </w:r>
      <w:proofErr w:type="spellStart"/>
      <w:r w:rsidRPr="00F33FC4">
        <w:t>ZorO</w:t>
      </w:r>
      <w:proofErr w:type="spellEnd"/>
      <w:r w:rsidRPr="00F33FC4">
        <w:t xml:space="preserve"> after overexpression from an inducible plasmid vector. To better understand the role of </w:t>
      </w:r>
      <w:proofErr w:type="spellStart"/>
      <w:r w:rsidRPr="00F33FC4">
        <w:t>ZorO</w:t>
      </w:r>
      <w:proofErr w:type="spellEnd"/>
      <w:r w:rsidRPr="00F33FC4">
        <w:t xml:space="preserve"> in cellular physiology, we switched from an arabinose inducible overproduction system (P</w:t>
      </w:r>
      <w:r w:rsidRPr="00F33FC4">
        <w:rPr>
          <w:vertAlign w:val="subscript"/>
        </w:rPr>
        <w:t>BAD</w:t>
      </w:r>
      <w:r w:rsidRPr="00F33FC4">
        <w:t xml:space="preserve">) to the use of the native </w:t>
      </w:r>
      <w:proofErr w:type="spellStart"/>
      <w:r w:rsidRPr="00F33FC4">
        <w:rPr>
          <w:i/>
          <w:iCs/>
        </w:rPr>
        <w:t>zorO</w:t>
      </w:r>
      <w:proofErr w:type="spellEnd"/>
      <w:r w:rsidRPr="00F33FC4">
        <w:t xml:space="preserve"> promoter (</w:t>
      </w:r>
      <w:proofErr w:type="spellStart"/>
      <w:r w:rsidRPr="00F33FC4">
        <w:t>P</w:t>
      </w:r>
      <w:r w:rsidRPr="00F33FC4">
        <w:rPr>
          <w:vertAlign w:val="subscript"/>
        </w:rPr>
        <w:t>zorO</w:t>
      </w:r>
      <w:proofErr w:type="spellEnd"/>
      <w:r w:rsidRPr="00F33FC4">
        <w:t xml:space="preserve">). We then used a medium-copy plasmid vector (pBR322) and cloned </w:t>
      </w:r>
      <w:r w:rsidRPr="00F33FC4">
        <w:sym w:font="Symbol" w:char="F044"/>
      </w:r>
      <w:r w:rsidRPr="00F33FC4">
        <w:t>28-FLAG-</w:t>
      </w:r>
      <w:r w:rsidRPr="00F33FC4">
        <w:rPr>
          <w:i/>
          <w:iCs/>
        </w:rPr>
        <w:t xml:space="preserve">zorO </w:t>
      </w:r>
      <w:r w:rsidRPr="00F33FC4">
        <w:t xml:space="preserve">with its own promoter (no overexpression). We were able to detect </w:t>
      </w:r>
      <w:proofErr w:type="spellStart"/>
      <w:r w:rsidRPr="00F33FC4">
        <w:t>ZorO</w:t>
      </w:r>
      <w:proofErr w:type="spellEnd"/>
      <w:r w:rsidRPr="00F33FC4">
        <w:t xml:space="preserve"> using a dot-blot assay from the cells transformed with </w:t>
      </w:r>
      <w:proofErr w:type="spellStart"/>
      <w:r w:rsidRPr="00F33FC4">
        <w:t>pBR-P</w:t>
      </w:r>
      <w:r w:rsidRPr="00F33FC4">
        <w:rPr>
          <w:i/>
          <w:iCs/>
          <w:vertAlign w:val="subscript"/>
        </w:rPr>
        <w:t>zorO</w:t>
      </w:r>
      <w:proofErr w:type="spellEnd"/>
      <w:r w:rsidRPr="00F33FC4">
        <w:t>-</w:t>
      </w:r>
      <w:r w:rsidRPr="00F33FC4">
        <w:sym w:font="Symbol" w:char="F044"/>
      </w:r>
      <w:r w:rsidRPr="00F33FC4">
        <w:t>28-FLAG-</w:t>
      </w:r>
      <w:r w:rsidRPr="00F33FC4">
        <w:rPr>
          <w:i/>
          <w:iCs/>
        </w:rPr>
        <w:t xml:space="preserve">zorO </w:t>
      </w:r>
      <w:r w:rsidRPr="00F33FC4">
        <w:t xml:space="preserve">after growing in LB medium. Note that this strain lacks the </w:t>
      </w:r>
      <w:proofErr w:type="spellStart"/>
      <w:r w:rsidRPr="00F33FC4">
        <w:t>OrzO</w:t>
      </w:r>
      <w:proofErr w:type="spellEnd"/>
      <w:r w:rsidRPr="00F33FC4">
        <w:t xml:space="preserve"> antitoxin. This is the first evidence verifying </w:t>
      </w:r>
      <w:proofErr w:type="spellStart"/>
      <w:r w:rsidRPr="00F33FC4">
        <w:t>ZorO</w:t>
      </w:r>
      <w:proofErr w:type="spellEnd"/>
      <w:r w:rsidRPr="00F33FC4">
        <w:t xml:space="preserve"> translation under its own promoter. This direct evidence of </w:t>
      </w:r>
      <w:r w:rsidRPr="00F33FC4">
        <w:rPr>
          <w:i/>
          <w:iCs/>
        </w:rPr>
        <w:t>in vivo</w:t>
      </w:r>
      <w:r w:rsidRPr="00F33FC4">
        <w:t xml:space="preserve"> </w:t>
      </w:r>
      <w:proofErr w:type="spellStart"/>
      <w:r w:rsidRPr="00F33FC4">
        <w:t>ZorO</w:t>
      </w:r>
      <w:proofErr w:type="spellEnd"/>
      <w:r w:rsidRPr="00F33FC4">
        <w:t xml:space="preserve"> translation can now be used to identify the conditions in which the translation of this protein occurs. To test if we can </w:t>
      </w:r>
      <w:r w:rsidRPr="00F33FC4">
        <w:lastRenderedPageBreak/>
        <w:t xml:space="preserve">detect </w:t>
      </w:r>
      <w:proofErr w:type="spellStart"/>
      <w:r w:rsidRPr="00F33FC4">
        <w:t>ZorO</w:t>
      </w:r>
      <w:proofErr w:type="spellEnd"/>
      <w:r w:rsidRPr="00F33FC4">
        <w:t xml:space="preserve"> via its native promoter at the chromosomal level (single-copy), we constructed a chromosomal mutant in EDL933 strain by replacing the entire </w:t>
      </w:r>
      <w:proofErr w:type="spellStart"/>
      <w:r w:rsidRPr="00F33FC4">
        <w:rPr>
          <w:i/>
          <w:iCs/>
        </w:rPr>
        <w:t>zor-orz</w:t>
      </w:r>
      <w:proofErr w:type="spellEnd"/>
      <w:r w:rsidRPr="00F33FC4">
        <w:t xml:space="preserve"> locus with the </w:t>
      </w:r>
      <w:proofErr w:type="spellStart"/>
      <w:r w:rsidRPr="00F33FC4">
        <w:rPr>
          <w:i/>
          <w:iCs/>
        </w:rPr>
        <w:t>zorO</w:t>
      </w:r>
      <w:proofErr w:type="spellEnd"/>
      <w:r w:rsidRPr="00F33FC4">
        <w:rPr>
          <w:i/>
          <w:iCs/>
        </w:rPr>
        <w:t xml:space="preserve"> </w:t>
      </w:r>
      <w:r w:rsidRPr="00F33FC4">
        <w:t>gene that has a processed 5’ UTR (</w:t>
      </w:r>
      <w:r w:rsidRPr="00F33FC4">
        <w:sym w:font="Symbol" w:char="F044"/>
      </w:r>
      <w:r w:rsidRPr="00F33FC4">
        <w:t>28) and an N-terminus FLAG tag (</w:t>
      </w:r>
      <w:r w:rsidRPr="00F33FC4">
        <w:sym w:font="Symbol" w:char="F044"/>
      </w:r>
      <w:r w:rsidRPr="00F33FC4">
        <w:t>28-FLAG-</w:t>
      </w:r>
      <w:r w:rsidRPr="00F33FC4">
        <w:rPr>
          <w:i/>
          <w:iCs/>
        </w:rPr>
        <w:t>zorO</w:t>
      </w:r>
      <w:r w:rsidRPr="00F33FC4">
        <w:t xml:space="preserve">). The efforts to detect </w:t>
      </w:r>
      <w:proofErr w:type="spellStart"/>
      <w:r w:rsidRPr="00F33FC4">
        <w:t>ZorO</w:t>
      </w:r>
      <w:proofErr w:type="spellEnd"/>
      <w:r w:rsidRPr="00F33FC4">
        <w:t xml:space="preserve"> in this strain via western blot or dot-blot analysis were not successful when grown in LB, likely because of the detection limit of the method. A similar strain was generated in non-pathogenic </w:t>
      </w:r>
      <w:r w:rsidRPr="00F33FC4">
        <w:rPr>
          <w:i/>
          <w:iCs/>
        </w:rPr>
        <w:t>E. coli</w:t>
      </w:r>
      <w:r w:rsidRPr="00F33FC4">
        <w:t xml:space="preserve"> MG1655 (lab strain), but still, we were unable to detect </w:t>
      </w:r>
      <w:proofErr w:type="spellStart"/>
      <w:r w:rsidRPr="00F33FC4">
        <w:t>ZorO</w:t>
      </w:r>
      <w:proofErr w:type="spellEnd"/>
      <w:r w:rsidRPr="00F33FC4">
        <w:t>. This indicates the need of more sensitive advanced techniques such as mass spectrometry (with optimization to target small hydrophobic proteins) to investigate the translation of the type I toxins at the chromosomal level.</w:t>
      </w:r>
    </w:p>
    <w:p w14:paraId="5020206C" w14:textId="77777777" w:rsidR="00F33FC4" w:rsidRPr="00F33FC4" w:rsidRDefault="00F33FC4" w:rsidP="00F33FC4">
      <w:pPr>
        <w:spacing w:line="360" w:lineRule="auto"/>
        <w:ind w:firstLine="720"/>
      </w:pPr>
      <w:r w:rsidRPr="00F33FC4">
        <w:t xml:space="preserve">To investigate the mechanism of the toxicity mediated by </w:t>
      </w:r>
      <w:proofErr w:type="spellStart"/>
      <w:r w:rsidRPr="00F33FC4">
        <w:t>ZorO</w:t>
      </w:r>
      <w:proofErr w:type="spellEnd"/>
      <w:r w:rsidRPr="00F33FC4">
        <w:t xml:space="preserve"> we again implemented the overexpression system using multi-copy plasmids. We created several </w:t>
      </w:r>
      <w:proofErr w:type="spellStart"/>
      <w:r w:rsidRPr="00F33FC4">
        <w:t>ZorO</w:t>
      </w:r>
      <w:proofErr w:type="spellEnd"/>
      <w:r w:rsidRPr="00F33FC4">
        <w:t xml:space="preserve"> mutants to identify key amino acid residues that contribute towards its toxicity. Since charged amino acids in a protein play important roles in interacting with cellular targets or in the formation of self-oligomers, we focused on mutating the charged amino acids that are distributed within the </w:t>
      </w:r>
      <w:proofErr w:type="spellStart"/>
      <w:r w:rsidRPr="00F33FC4">
        <w:t>ZorO</w:t>
      </w:r>
      <w:proofErr w:type="spellEnd"/>
      <w:r w:rsidRPr="00F33FC4">
        <w:t xml:space="preserve"> sequence. Mutational analyses revealed that in fact specific charged amino acid residues, glutamate (E) at the 16</w:t>
      </w:r>
      <w:r w:rsidRPr="00F33FC4">
        <w:rPr>
          <w:vertAlign w:val="superscript"/>
        </w:rPr>
        <w:t>th</w:t>
      </w:r>
      <w:r w:rsidRPr="00F33FC4">
        <w:t xml:space="preserve"> position and arginine at the 23</w:t>
      </w:r>
      <w:r w:rsidRPr="00F33FC4">
        <w:rPr>
          <w:vertAlign w:val="superscript"/>
        </w:rPr>
        <w:t>rd</w:t>
      </w:r>
      <w:r w:rsidRPr="00F33FC4">
        <w:t xml:space="preserve"> position (R23), are critical for proper localization and </w:t>
      </w:r>
      <w:proofErr w:type="spellStart"/>
      <w:r w:rsidRPr="00F33FC4">
        <w:t>ZorO</w:t>
      </w:r>
      <w:proofErr w:type="spellEnd"/>
      <w:r w:rsidRPr="00F33FC4">
        <w:t xml:space="preserve"> mediated toxic effects on the cellular processes. </w:t>
      </w:r>
      <w:bookmarkStart w:id="11" w:name="_Toc289175821"/>
      <w:bookmarkStart w:id="12" w:name="_Toc428279007"/>
      <w:r w:rsidRPr="00F33FC4">
        <w:t xml:space="preserve">Mutating E16 to an oppositely charged residue, arginine (E16R), or R23 to a neutrally charged amino acid, leucine (R23L), reduced </w:t>
      </w:r>
      <w:proofErr w:type="spellStart"/>
      <w:r w:rsidRPr="00F33FC4">
        <w:t>ZorO</w:t>
      </w:r>
      <w:proofErr w:type="spellEnd"/>
      <w:r w:rsidRPr="00F33FC4">
        <w:t xml:space="preserve"> mediated growth inhibition (Fig.4.2D). The lysine residues at positions 7 and 29 are also critical as observed via a diminished toxicity when changed to glutamate. While the mutation of glutamate at the N-terminus (D2) did not impact </w:t>
      </w:r>
      <w:proofErr w:type="spellStart"/>
      <w:r w:rsidRPr="00F33FC4">
        <w:t>ZorO</w:t>
      </w:r>
      <w:proofErr w:type="spellEnd"/>
      <w:r w:rsidRPr="00F33FC4">
        <w:t xml:space="preserve"> toxicity, the one at the C-terminus (D26) mutated to either lysine or glutamine rescues cells from </w:t>
      </w:r>
      <w:proofErr w:type="spellStart"/>
      <w:r w:rsidRPr="00F33FC4">
        <w:t>ZorO</w:t>
      </w:r>
      <w:proofErr w:type="spellEnd"/>
      <w:r w:rsidRPr="00F33FC4">
        <w:t xml:space="preserve"> toxicity (Fig. 4.2A and B). This is likely the result of the orientation of </w:t>
      </w:r>
      <w:proofErr w:type="spellStart"/>
      <w:r w:rsidRPr="00F33FC4">
        <w:t>ZorO</w:t>
      </w:r>
      <w:proofErr w:type="spellEnd"/>
      <w:r w:rsidRPr="00F33FC4">
        <w:t xml:space="preserve"> within the membrane, most prediction tools suggesting N-terminus towards the periplasm, and the charged residue at N-terminus not playing a key role. This indicates the role of charged amino acid present both inside and outside of the predicted transmembrane helix and might be important for the electrostatic interactions or membrane insertion. Analysis of </w:t>
      </w:r>
      <w:proofErr w:type="spellStart"/>
      <w:r w:rsidRPr="00F33FC4">
        <w:t>ZorO</w:t>
      </w:r>
      <w:proofErr w:type="spellEnd"/>
      <w:r w:rsidRPr="00F33FC4">
        <w:t xml:space="preserve"> via western blot to verify if there are any differences in the protein stability and </w:t>
      </w:r>
      <w:r w:rsidRPr="00F33FC4">
        <w:lastRenderedPageBreak/>
        <w:t xml:space="preserve">localization after mutation showed that the non-toxic mutants had more </w:t>
      </w:r>
      <w:proofErr w:type="spellStart"/>
      <w:r w:rsidRPr="00F33FC4">
        <w:t>ZorO</w:t>
      </w:r>
      <w:proofErr w:type="spellEnd"/>
      <w:r w:rsidRPr="00F33FC4">
        <w:t xml:space="preserve"> protein accumulated in their membrane as well as in the cytoplasm unlike wild-type </w:t>
      </w:r>
      <w:proofErr w:type="spellStart"/>
      <w:r w:rsidRPr="00F33FC4">
        <w:t>ZorO</w:t>
      </w:r>
      <w:proofErr w:type="spellEnd"/>
      <w:r w:rsidRPr="00F33FC4">
        <w:t xml:space="preserve"> or toxic mutants that are mainly localized to the membrane. However, this is not sufficient to affect the cell growth. </w:t>
      </w:r>
    </w:p>
    <w:p w14:paraId="7B88BC7A" w14:textId="77777777" w:rsidR="00F33FC4" w:rsidRPr="00F33FC4" w:rsidRDefault="00F33FC4" w:rsidP="00F33FC4">
      <w:pPr>
        <w:spacing w:line="360" w:lineRule="auto"/>
        <w:ind w:firstLine="720"/>
      </w:pPr>
      <w:r w:rsidRPr="00F33FC4">
        <w:t>Two other membrane associated type I toxins (</w:t>
      </w:r>
      <w:proofErr w:type="spellStart"/>
      <w:r w:rsidRPr="00F33FC4">
        <w:t>HokB</w:t>
      </w:r>
      <w:proofErr w:type="spellEnd"/>
      <w:r w:rsidRPr="00F33FC4">
        <w:t xml:space="preserve"> and </w:t>
      </w:r>
      <w:proofErr w:type="spellStart"/>
      <w:r w:rsidRPr="00F33FC4">
        <w:t>TisB</w:t>
      </w:r>
      <w:proofErr w:type="spellEnd"/>
      <w:r w:rsidRPr="00F33FC4">
        <w:t xml:space="preserve">) have been shown to form multimers (12, 13). While </w:t>
      </w:r>
      <w:proofErr w:type="spellStart"/>
      <w:r w:rsidRPr="00F33FC4">
        <w:t>HokB</w:t>
      </w:r>
      <w:proofErr w:type="spellEnd"/>
      <w:r w:rsidRPr="00F33FC4">
        <w:t xml:space="preserve"> forms a dimer via disulfide bonds between the cysteine residues of two monomers, </w:t>
      </w:r>
      <w:proofErr w:type="spellStart"/>
      <w:r w:rsidRPr="00F33FC4">
        <w:t>TisB</w:t>
      </w:r>
      <w:proofErr w:type="spellEnd"/>
      <w:r w:rsidRPr="00F33FC4">
        <w:t xml:space="preserve"> forms a dimer-of-dimer forming a tetrameric charged zipper structure (12, 13). While we can see </w:t>
      </w:r>
      <w:proofErr w:type="spellStart"/>
      <w:r w:rsidRPr="00F33FC4">
        <w:t>ZorO</w:t>
      </w:r>
      <w:proofErr w:type="spellEnd"/>
      <w:r w:rsidRPr="00F33FC4">
        <w:t xml:space="preserve"> migrating at a higher molecular weight (especially with the R23L mutant) via SDS-PAGE, indicating a possible oligomeric state, which has also been suggested from synthetic </w:t>
      </w:r>
      <w:proofErr w:type="spellStart"/>
      <w:r w:rsidRPr="00F33FC4">
        <w:t>ZorO</w:t>
      </w:r>
      <w:proofErr w:type="spellEnd"/>
      <w:r w:rsidRPr="00F33FC4">
        <w:t xml:space="preserve"> peptides interacting with the liposomes, further evidence is needed to verify if </w:t>
      </w:r>
      <w:proofErr w:type="spellStart"/>
      <w:r w:rsidRPr="00F33FC4">
        <w:t>ZorO</w:t>
      </w:r>
      <w:proofErr w:type="spellEnd"/>
      <w:r w:rsidRPr="00F33FC4">
        <w:t xml:space="preserve"> oligomerizes. This is important for better understanding of the mechanism of the </w:t>
      </w:r>
      <w:proofErr w:type="spellStart"/>
      <w:r w:rsidRPr="00F33FC4">
        <w:t>ZorO</w:t>
      </w:r>
      <w:proofErr w:type="spellEnd"/>
      <w:r w:rsidRPr="00F33FC4">
        <w:t xml:space="preserve"> toxicity.</w:t>
      </w:r>
      <w:bookmarkEnd w:id="11"/>
      <w:bookmarkEnd w:id="12"/>
    </w:p>
    <w:p w14:paraId="47B38E14" w14:textId="77777777" w:rsidR="00F33FC4" w:rsidRPr="00F33FC4" w:rsidRDefault="00F33FC4" w:rsidP="00F33FC4">
      <w:pPr>
        <w:spacing w:line="360" w:lineRule="auto"/>
        <w:ind w:firstLine="720"/>
        <w:rPr>
          <w:color w:val="000000"/>
        </w:rPr>
      </w:pPr>
      <w:r w:rsidRPr="00F33FC4">
        <w:rPr>
          <w:color w:val="000000"/>
        </w:rPr>
        <w:t xml:space="preserve">Considering our results from the loss of </w:t>
      </w:r>
      <w:proofErr w:type="spellStart"/>
      <w:r w:rsidRPr="00F33FC4">
        <w:rPr>
          <w:color w:val="000000"/>
        </w:rPr>
        <w:t>ZorO</w:t>
      </w:r>
      <w:proofErr w:type="spellEnd"/>
      <w:r w:rsidRPr="00F33FC4">
        <w:rPr>
          <w:color w:val="000000"/>
        </w:rPr>
        <w:t xml:space="preserve"> toxicity after mutating the charged residues, we further investigated the role of multiple copies of </w:t>
      </w:r>
      <w:r w:rsidRPr="00F33FC4">
        <w:rPr>
          <w:i/>
          <w:iCs/>
          <w:color w:val="000000"/>
        </w:rPr>
        <w:t>zorO</w:t>
      </w:r>
      <w:r w:rsidRPr="00F33FC4">
        <w:rPr>
          <w:color w:val="000000"/>
        </w:rPr>
        <w:t>-R23L-</w:t>
      </w:r>
      <w:r w:rsidRPr="00F33FC4">
        <w:rPr>
          <w:i/>
          <w:iCs/>
          <w:color w:val="000000"/>
        </w:rPr>
        <w:t>orzO</w:t>
      </w:r>
      <w:r w:rsidRPr="00F33FC4">
        <w:rPr>
          <w:color w:val="000000"/>
        </w:rPr>
        <w:t xml:space="preserve"> in beneficial effects, mainly growth in aminoglycoside antibiotic. We mutated plasmid </w:t>
      </w:r>
      <w:proofErr w:type="spellStart"/>
      <w:r w:rsidRPr="00F33FC4">
        <w:rPr>
          <w:color w:val="000000"/>
        </w:rPr>
        <w:t>pBR-</w:t>
      </w:r>
      <w:r w:rsidRPr="00F33FC4">
        <w:rPr>
          <w:i/>
          <w:iCs/>
          <w:color w:val="000000"/>
        </w:rPr>
        <w:t>zorO-orzO</w:t>
      </w:r>
      <w:proofErr w:type="spellEnd"/>
      <w:r w:rsidRPr="00F33FC4">
        <w:rPr>
          <w:color w:val="000000"/>
        </w:rPr>
        <w:t xml:space="preserve"> to pBR-</w:t>
      </w:r>
      <w:r w:rsidRPr="00F33FC4">
        <w:rPr>
          <w:i/>
          <w:iCs/>
          <w:color w:val="000000"/>
        </w:rPr>
        <w:t>zorO</w:t>
      </w:r>
      <w:r w:rsidRPr="00F33FC4">
        <w:rPr>
          <w:color w:val="000000"/>
        </w:rPr>
        <w:t>R23L-</w:t>
      </w:r>
      <w:r w:rsidRPr="00F33FC4">
        <w:rPr>
          <w:i/>
          <w:iCs/>
          <w:color w:val="000000"/>
        </w:rPr>
        <w:t>orzO</w:t>
      </w:r>
      <w:r w:rsidRPr="00F33FC4">
        <w:rPr>
          <w:color w:val="000000"/>
        </w:rPr>
        <w:t xml:space="preserve"> (with native </w:t>
      </w:r>
      <w:proofErr w:type="spellStart"/>
      <w:r w:rsidRPr="00F33FC4">
        <w:rPr>
          <w:i/>
          <w:iCs/>
          <w:color w:val="000000"/>
        </w:rPr>
        <w:t>zor-orz</w:t>
      </w:r>
      <w:proofErr w:type="spellEnd"/>
      <w:r w:rsidRPr="00F33FC4">
        <w:rPr>
          <w:color w:val="000000"/>
        </w:rPr>
        <w:t xml:space="preserve"> promoters and regulatory elements). We then tested its ability to improve growth in presence of kanamycin. Surprisingly, </w:t>
      </w:r>
      <w:r w:rsidRPr="00F33FC4">
        <w:rPr>
          <w:i/>
          <w:iCs/>
          <w:color w:val="000000"/>
        </w:rPr>
        <w:t>E. coli</w:t>
      </w:r>
      <w:r w:rsidRPr="00F33FC4">
        <w:rPr>
          <w:color w:val="000000"/>
        </w:rPr>
        <w:t xml:space="preserve"> harboring pBR-</w:t>
      </w:r>
      <w:r w:rsidRPr="00F33FC4">
        <w:rPr>
          <w:i/>
          <w:iCs/>
          <w:color w:val="000000"/>
        </w:rPr>
        <w:t>zorO</w:t>
      </w:r>
      <w:r w:rsidRPr="00F33FC4">
        <w:rPr>
          <w:color w:val="000000"/>
        </w:rPr>
        <w:t>R23L-</w:t>
      </w:r>
      <w:r w:rsidRPr="00F33FC4">
        <w:rPr>
          <w:i/>
          <w:iCs/>
          <w:color w:val="000000"/>
        </w:rPr>
        <w:t xml:space="preserve">orzO </w:t>
      </w:r>
      <w:r w:rsidRPr="00F33FC4">
        <w:rPr>
          <w:color w:val="000000"/>
        </w:rPr>
        <w:t xml:space="preserve">had similar improved growth in LB with kanamycin as the cells harboring </w:t>
      </w:r>
      <w:proofErr w:type="spellStart"/>
      <w:r w:rsidRPr="00F33FC4">
        <w:rPr>
          <w:color w:val="000000"/>
        </w:rPr>
        <w:t>pBR-</w:t>
      </w:r>
      <w:r w:rsidRPr="00F33FC4">
        <w:rPr>
          <w:i/>
          <w:iCs/>
          <w:color w:val="000000"/>
        </w:rPr>
        <w:t>zorO-orzO</w:t>
      </w:r>
      <w:proofErr w:type="spellEnd"/>
      <w:r w:rsidRPr="00F33FC4">
        <w:rPr>
          <w:color w:val="000000"/>
        </w:rPr>
        <w:t xml:space="preserve">. This indicates </w:t>
      </w:r>
      <w:proofErr w:type="spellStart"/>
      <w:r w:rsidRPr="00F33FC4">
        <w:rPr>
          <w:color w:val="000000"/>
        </w:rPr>
        <w:t>ZorO</w:t>
      </w:r>
      <w:proofErr w:type="spellEnd"/>
      <w:r w:rsidRPr="00F33FC4">
        <w:rPr>
          <w:color w:val="000000"/>
        </w:rPr>
        <w:t xml:space="preserve"> might function in two distinct ways: to cause toxic effect during ectopic overexpression and to improve growth of the cells in the presence of aminoglycoside antibiotics such as kanamycin. </w:t>
      </w:r>
    </w:p>
    <w:p w14:paraId="4E5E758C" w14:textId="77777777" w:rsidR="00F33FC4" w:rsidRPr="00F33FC4" w:rsidRDefault="00F33FC4" w:rsidP="00F33FC4">
      <w:pPr>
        <w:spacing w:line="360" w:lineRule="auto"/>
        <w:ind w:firstLine="720"/>
      </w:pPr>
      <w:r w:rsidRPr="00F33FC4">
        <w:rPr>
          <w:color w:val="000000"/>
        </w:rPr>
        <w:t xml:space="preserve">Removal of the elements preventing </w:t>
      </w:r>
      <w:proofErr w:type="spellStart"/>
      <w:r w:rsidRPr="00F33FC4">
        <w:rPr>
          <w:i/>
          <w:iCs/>
          <w:color w:val="000000"/>
        </w:rPr>
        <w:t>zorO</w:t>
      </w:r>
      <w:proofErr w:type="spellEnd"/>
      <w:r w:rsidRPr="00F33FC4">
        <w:rPr>
          <w:color w:val="000000"/>
        </w:rPr>
        <w:t xml:space="preserve"> translation </w:t>
      </w:r>
      <w:r w:rsidRPr="00F33FC4">
        <w:rPr>
          <w:i/>
          <w:iCs/>
          <w:color w:val="000000"/>
        </w:rPr>
        <w:t>i.e.</w:t>
      </w:r>
      <w:r w:rsidRPr="00F33FC4">
        <w:rPr>
          <w:color w:val="000000"/>
        </w:rPr>
        <w:t xml:space="preserve"> the antitoxin </w:t>
      </w:r>
      <w:proofErr w:type="spellStart"/>
      <w:r w:rsidRPr="00F33FC4">
        <w:rPr>
          <w:color w:val="000000"/>
        </w:rPr>
        <w:t>OrzO</w:t>
      </w:r>
      <w:proofErr w:type="spellEnd"/>
      <w:r w:rsidRPr="00F33FC4">
        <w:rPr>
          <w:color w:val="000000"/>
        </w:rPr>
        <w:t xml:space="preserve"> and the first 28 </w:t>
      </w:r>
      <w:proofErr w:type="spellStart"/>
      <w:r w:rsidRPr="00F33FC4">
        <w:rPr>
          <w:color w:val="000000"/>
        </w:rPr>
        <w:t>nts</w:t>
      </w:r>
      <w:proofErr w:type="spellEnd"/>
      <w:r w:rsidRPr="00F33FC4">
        <w:rPr>
          <w:color w:val="000000"/>
        </w:rPr>
        <w:t xml:space="preserve"> from </w:t>
      </w:r>
      <w:proofErr w:type="spellStart"/>
      <w:r w:rsidRPr="00F33FC4">
        <w:rPr>
          <w:i/>
          <w:iCs/>
          <w:color w:val="000000"/>
        </w:rPr>
        <w:t>zorO</w:t>
      </w:r>
      <w:proofErr w:type="spellEnd"/>
      <w:r w:rsidRPr="00F33FC4">
        <w:rPr>
          <w:color w:val="000000"/>
        </w:rPr>
        <w:t xml:space="preserve"> mRNA in the </w:t>
      </w:r>
      <w:proofErr w:type="spellStart"/>
      <w:r w:rsidRPr="00F33FC4">
        <w:rPr>
          <w:color w:val="000000"/>
        </w:rPr>
        <w:t>pBR</w:t>
      </w:r>
      <w:proofErr w:type="spellEnd"/>
      <w:r w:rsidRPr="00F33FC4">
        <w:rPr>
          <w:color w:val="000000"/>
        </w:rPr>
        <w:t xml:space="preserve"> plasmid did not improved the bacterial growth in medium with kanamycin (Fig. 4.7). This observation was unexpected as increasing </w:t>
      </w:r>
      <w:proofErr w:type="spellStart"/>
      <w:r w:rsidRPr="00F33FC4">
        <w:rPr>
          <w:i/>
          <w:iCs/>
          <w:color w:val="000000"/>
        </w:rPr>
        <w:t>zorO</w:t>
      </w:r>
      <w:proofErr w:type="spellEnd"/>
      <w:r w:rsidRPr="00F33FC4">
        <w:rPr>
          <w:color w:val="000000"/>
        </w:rPr>
        <w:t xml:space="preserve"> translation (by removing translation repression elements) did not correspond to increase in the growth advantage of the cells in kanamycin. This also led to the question if </w:t>
      </w:r>
      <w:proofErr w:type="spellStart"/>
      <w:r w:rsidRPr="00F33FC4">
        <w:rPr>
          <w:color w:val="000000"/>
        </w:rPr>
        <w:t>OrzO</w:t>
      </w:r>
      <w:proofErr w:type="spellEnd"/>
      <w:r w:rsidRPr="00F33FC4">
        <w:rPr>
          <w:color w:val="000000"/>
        </w:rPr>
        <w:t xml:space="preserve"> played role in the growth advantage, and we tested this by overexpressing </w:t>
      </w:r>
      <w:proofErr w:type="spellStart"/>
      <w:r w:rsidRPr="00F33FC4">
        <w:rPr>
          <w:color w:val="000000"/>
        </w:rPr>
        <w:t>OrzO</w:t>
      </w:r>
      <w:proofErr w:type="spellEnd"/>
      <w:r w:rsidRPr="00F33FC4">
        <w:rPr>
          <w:color w:val="000000"/>
        </w:rPr>
        <w:t xml:space="preserve"> but we did not see improved growth (Fig. 4.10). </w:t>
      </w:r>
    </w:p>
    <w:p w14:paraId="18D0655C" w14:textId="0820A1D1" w:rsidR="00F33FC4" w:rsidRPr="00F33FC4" w:rsidRDefault="00F33FC4" w:rsidP="00F33FC4">
      <w:pPr>
        <w:spacing w:line="360" w:lineRule="auto"/>
        <w:ind w:firstLine="720"/>
      </w:pPr>
      <w:r w:rsidRPr="00F33FC4">
        <w:lastRenderedPageBreak/>
        <w:t xml:space="preserve">While </w:t>
      </w:r>
      <w:proofErr w:type="spellStart"/>
      <w:r w:rsidRPr="00F33FC4">
        <w:t>ZorO</w:t>
      </w:r>
      <w:proofErr w:type="spellEnd"/>
      <w:r w:rsidRPr="00F33FC4">
        <w:t xml:space="preserve"> has similar characteristics to other type I toxins such as </w:t>
      </w:r>
      <w:proofErr w:type="spellStart"/>
      <w:r w:rsidRPr="00F33FC4">
        <w:t>TisB</w:t>
      </w:r>
      <w:proofErr w:type="spellEnd"/>
      <w:r w:rsidRPr="00F33FC4">
        <w:t xml:space="preserve">, mainly, localizing to the bacterial inner membrane, and affecting cells by membrane depolarization and ATP depletion, the function of the improved growth in presence of antibiotics was specific to aminoglycoside in the case of </w:t>
      </w:r>
      <w:proofErr w:type="spellStart"/>
      <w:r w:rsidRPr="00F33FC4">
        <w:rPr>
          <w:i/>
          <w:iCs/>
        </w:rPr>
        <w:t>zor-orz</w:t>
      </w:r>
      <w:proofErr w:type="spellEnd"/>
      <w:r w:rsidRPr="00F33FC4">
        <w:t xml:space="preserve"> locus </w:t>
      </w:r>
      <w:r w:rsidRPr="00F33FC4">
        <w:rPr>
          <w:noProof/>
        </w:rPr>
        <w:t>(3)</w:t>
      </w:r>
      <w:r w:rsidRPr="00F33FC4">
        <w:t xml:space="preserve">. </w:t>
      </w:r>
      <w:proofErr w:type="spellStart"/>
      <w:r w:rsidRPr="00F33FC4">
        <w:t>TisB</w:t>
      </w:r>
      <w:proofErr w:type="spellEnd"/>
      <w:r w:rsidRPr="00F33FC4">
        <w:t xml:space="preserve"> increases persister cells against multiple class of antibiotics with no reports on increase in minimum inhibitory concentration </w:t>
      </w:r>
      <w:r w:rsidRPr="00F33FC4">
        <w:rPr>
          <w:noProof/>
        </w:rPr>
        <w:t>(9, 10)</w:t>
      </w:r>
      <w:r w:rsidRPr="00F33FC4">
        <w:t xml:space="preserve">, whereas with </w:t>
      </w:r>
      <w:proofErr w:type="spellStart"/>
      <w:r w:rsidRPr="00F33FC4">
        <w:t>ZorO</w:t>
      </w:r>
      <w:proofErr w:type="spellEnd"/>
      <w:r w:rsidRPr="00F33FC4">
        <w:t xml:space="preserve">, we observed increase in resistance against aminoglycoside. Unlike </w:t>
      </w:r>
      <w:proofErr w:type="spellStart"/>
      <w:r w:rsidRPr="00F33FC4">
        <w:t>TisB</w:t>
      </w:r>
      <w:proofErr w:type="spellEnd"/>
      <w:r w:rsidRPr="00F33FC4">
        <w:t xml:space="preserve">, we were unable to see differences in membrane depolarization at the chromosomal level even after removing the regulatory elements </w:t>
      </w:r>
      <w:r w:rsidRPr="00F33FC4">
        <w:rPr>
          <w:i/>
          <w:iCs/>
        </w:rPr>
        <w:t>i.e.</w:t>
      </w:r>
      <w:r w:rsidRPr="00F33FC4">
        <w:t xml:space="preserve"> antitoxin and 5’UTR. Why does the </w:t>
      </w:r>
      <w:proofErr w:type="spellStart"/>
      <w:r w:rsidRPr="00F33FC4">
        <w:t>ZorO</w:t>
      </w:r>
      <w:proofErr w:type="spellEnd"/>
      <w:r w:rsidRPr="00F33FC4">
        <w:t xml:space="preserve"> and the </w:t>
      </w:r>
      <w:proofErr w:type="spellStart"/>
      <w:r w:rsidRPr="00F33FC4">
        <w:rPr>
          <w:i/>
          <w:iCs/>
        </w:rPr>
        <w:t>zor-orz</w:t>
      </w:r>
      <w:proofErr w:type="spellEnd"/>
      <w:r w:rsidRPr="00F33FC4">
        <w:t xml:space="preserve"> TA system behave differently than the </w:t>
      </w:r>
      <w:proofErr w:type="spellStart"/>
      <w:r w:rsidRPr="00F33FC4">
        <w:rPr>
          <w:i/>
          <w:iCs/>
        </w:rPr>
        <w:t>tisB-istR</w:t>
      </w:r>
      <w:proofErr w:type="spellEnd"/>
      <w:r w:rsidRPr="00F33FC4">
        <w:t xml:space="preserve"> system despite the similarity between them is yet to be answered. Further the observation of the non-toxic mutant of pBR-</w:t>
      </w:r>
      <w:r w:rsidRPr="00F33FC4">
        <w:rPr>
          <w:i/>
          <w:iCs/>
        </w:rPr>
        <w:t>zorO</w:t>
      </w:r>
      <w:r w:rsidRPr="00F33FC4">
        <w:t>R23L</w:t>
      </w:r>
      <w:r w:rsidRPr="00F33FC4">
        <w:rPr>
          <w:i/>
          <w:iCs/>
        </w:rPr>
        <w:t>-orzO</w:t>
      </w:r>
      <w:r w:rsidRPr="00F33FC4">
        <w:t xml:space="preserve"> gene pair capable of improving the growth in presence of kanamycin suggests that the </w:t>
      </w:r>
      <w:proofErr w:type="spellStart"/>
      <w:r w:rsidRPr="00F33FC4">
        <w:rPr>
          <w:i/>
          <w:iCs/>
        </w:rPr>
        <w:t>zor-orz</w:t>
      </w:r>
      <w:proofErr w:type="spellEnd"/>
      <w:r w:rsidRPr="00F33FC4">
        <w:t xml:space="preserve"> system does not follow the conventional persistence mechanism of cell growth arrest. </w:t>
      </w:r>
    </w:p>
    <w:p w14:paraId="0DCD4AAC" w14:textId="77777777" w:rsidR="00F33FC4" w:rsidRPr="00F33FC4" w:rsidRDefault="00F33FC4" w:rsidP="00F33FC4">
      <w:pPr>
        <w:spacing w:line="360" w:lineRule="auto"/>
        <w:ind w:firstLine="720"/>
      </w:pPr>
      <w:r w:rsidRPr="00F33FC4">
        <w:t xml:space="preserve">How is the </w:t>
      </w:r>
      <w:proofErr w:type="spellStart"/>
      <w:r w:rsidRPr="00F33FC4">
        <w:rPr>
          <w:i/>
          <w:iCs/>
        </w:rPr>
        <w:t>zor-orz</w:t>
      </w:r>
      <w:proofErr w:type="spellEnd"/>
      <w:r w:rsidRPr="00F33FC4">
        <w:t xml:space="preserve"> locus able to improve the growth of the cells in presence of aminoglycoside antibiotics? While the improved growth effects by non-toxic mutant pBR-</w:t>
      </w:r>
      <w:r w:rsidRPr="00F33FC4">
        <w:rPr>
          <w:i/>
          <w:iCs/>
        </w:rPr>
        <w:t>zorO</w:t>
      </w:r>
      <w:r w:rsidRPr="00F33FC4">
        <w:t>-R23L-</w:t>
      </w:r>
      <w:r w:rsidRPr="00F33FC4">
        <w:rPr>
          <w:i/>
          <w:iCs/>
        </w:rPr>
        <w:t>orzO</w:t>
      </w:r>
      <w:r w:rsidRPr="00F33FC4">
        <w:t xml:space="preserve"> indicated involvement of a mechanism, separate than the one by which </w:t>
      </w:r>
      <w:proofErr w:type="spellStart"/>
      <w:r w:rsidRPr="00F33FC4">
        <w:t>ZorO</w:t>
      </w:r>
      <w:proofErr w:type="spellEnd"/>
      <w:r w:rsidRPr="00F33FC4">
        <w:t xml:space="preserve"> is toxic, current works in the lab further indicates that translation of </w:t>
      </w:r>
      <w:proofErr w:type="spellStart"/>
      <w:r w:rsidRPr="00F33FC4">
        <w:rPr>
          <w:i/>
          <w:iCs/>
        </w:rPr>
        <w:t>zorO</w:t>
      </w:r>
      <w:proofErr w:type="spellEnd"/>
      <w:r w:rsidRPr="00F33FC4">
        <w:rPr>
          <w:i/>
          <w:iCs/>
        </w:rPr>
        <w:t xml:space="preserve"> </w:t>
      </w:r>
      <w:r w:rsidRPr="00F33FC4">
        <w:t xml:space="preserve">might not be essential for the </w:t>
      </w:r>
      <w:proofErr w:type="spellStart"/>
      <w:r w:rsidRPr="00F33FC4">
        <w:rPr>
          <w:i/>
          <w:iCs/>
        </w:rPr>
        <w:t>zor-orz</w:t>
      </w:r>
      <w:proofErr w:type="spellEnd"/>
      <w:r w:rsidRPr="00F33FC4">
        <w:t xml:space="preserve"> mediated improved growth in presence kanamycin. A </w:t>
      </w:r>
      <w:proofErr w:type="spellStart"/>
      <w:r w:rsidRPr="00F33FC4">
        <w:t>pBR</w:t>
      </w:r>
      <w:proofErr w:type="spellEnd"/>
      <w:r w:rsidRPr="00F33FC4">
        <w:t>-</w:t>
      </w:r>
      <w:proofErr w:type="spellStart"/>
      <w:r w:rsidRPr="00F33FC4">
        <w:rPr>
          <w:i/>
          <w:iCs/>
        </w:rPr>
        <w:t>zorO</w:t>
      </w:r>
      <w:proofErr w:type="spellEnd"/>
      <w:r w:rsidRPr="00F33FC4">
        <w:t>-AAG-</w:t>
      </w:r>
      <w:proofErr w:type="spellStart"/>
      <w:r w:rsidRPr="00F33FC4">
        <w:rPr>
          <w:i/>
          <w:iCs/>
        </w:rPr>
        <w:t>orzO</w:t>
      </w:r>
      <w:proofErr w:type="spellEnd"/>
      <w:r w:rsidRPr="00F33FC4">
        <w:t xml:space="preserve"> mutant, in which the start codon of the </w:t>
      </w:r>
      <w:proofErr w:type="spellStart"/>
      <w:r w:rsidRPr="00F33FC4">
        <w:t>ZorO</w:t>
      </w:r>
      <w:proofErr w:type="spellEnd"/>
      <w:r w:rsidRPr="00F33FC4">
        <w:t xml:space="preserve"> is mutated to the AAG, is also able to improve the cell growth in presence of kanamycin. To support this observation, the plasmid constructs that contained </w:t>
      </w:r>
      <w:proofErr w:type="spellStart"/>
      <w:r w:rsidRPr="00F33FC4">
        <w:rPr>
          <w:i/>
          <w:iCs/>
        </w:rPr>
        <w:t>zorO</w:t>
      </w:r>
      <w:proofErr w:type="spellEnd"/>
      <w:r w:rsidRPr="00F33FC4">
        <w:t xml:space="preserve"> 5’ UTR (fused with a fluorescent reporter) on a separate plasmid (</w:t>
      </w:r>
      <w:proofErr w:type="spellStart"/>
      <w:r w:rsidRPr="00F33FC4">
        <w:t>pACYC</w:t>
      </w:r>
      <w:proofErr w:type="spellEnd"/>
      <w:r w:rsidRPr="00F33FC4">
        <w:t xml:space="preserve">) also showed improved growth in lower concentration of kanamycin (Shore S., unpublished results). This is an interesting finding that opens the door to a different modality of type I toxin than suggested, possibly functioning as an RNA to improve the cell growth in specific condition. Future works should be aimed at dissecting this. In silico analyses can be used to determine if there are specific targets that </w:t>
      </w:r>
      <w:proofErr w:type="spellStart"/>
      <w:r w:rsidRPr="00F33FC4">
        <w:rPr>
          <w:i/>
          <w:iCs/>
        </w:rPr>
        <w:t>zorO</w:t>
      </w:r>
      <w:proofErr w:type="spellEnd"/>
      <w:r w:rsidRPr="00F33FC4">
        <w:t xml:space="preserve"> mRNA or its 5’UTR can bind to and regulate their production. These results then can be employed to see if the possible targets of </w:t>
      </w:r>
      <w:proofErr w:type="spellStart"/>
      <w:r w:rsidRPr="00F33FC4">
        <w:rPr>
          <w:i/>
          <w:iCs/>
        </w:rPr>
        <w:t>zorO</w:t>
      </w:r>
      <w:proofErr w:type="spellEnd"/>
      <w:r w:rsidRPr="00F33FC4">
        <w:t xml:space="preserve"> have a differential gene expression level in our transcriptomics data. </w:t>
      </w:r>
      <w:r w:rsidRPr="00F33FC4">
        <w:lastRenderedPageBreak/>
        <w:t xml:space="preserve">The use of the plasmid vector either overexpressing or constitutively expressing the </w:t>
      </w:r>
      <w:proofErr w:type="spellStart"/>
      <w:r w:rsidRPr="00F33FC4">
        <w:rPr>
          <w:i/>
          <w:iCs/>
        </w:rPr>
        <w:t>zorO</w:t>
      </w:r>
      <w:proofErr w:type="spellEnd"/>
      <w:r w:rsidRPr="00F33FC4">
        <w:t xml:space="preserve"> 5’UTR can further validate the current results obtained for the improved growth in kanamycin. We can then further investigate if other type I TA gene pairs show similar model of improved growth in a specific growth environment as a function of the transcribed RNA.</w:t>
      </w:r>
    </w:p>
    <w:p w14:paraId="3A23471E" w14:textId="2557176D" w:rsidR="002B60CE" w:rsidRPr="002B60CE" w:rsidRDefault="00F33FC4" w:rsidP="002B60CE">
      <w:pPr>
        <w:spacing w:line="360" w:lineRule="auto"/>
        <w:ind w:firstLine="720"/>
      </w:pPr>
      <w:r w:rsidRPr="00F33FC4">
        <w:t xml:space="preserve">The identification of the small open reading frames encoding small proteins including those that occur as type I TA system is increasing </w:t>
      </w:r>
      <w:r w:rsidRPr="00F33FC4">
        <w:rPr>
          <w:noProof/>
        </w:rPr>
        <w:t>(14)</w:t>
      </w:r>
      <w:r w:rsidRPr="00F33FC4">
        <w:t xml:space="preserve">. While the use of advanced techniques such as mass spectrometry-based proteomics, ribosome foot printing and </w:t>
      </w:r>
      <w:proofErr w:type="spellStart"/>
      <w:r w:rsidRPr="00F33FC4">
        <w:t>translatomics</w:t>
      </w:r>
      <w:proofErr w:type="spellEnd"/>
      <w:r w:rsidRPr="00F33FC4">
        <w:t xml:space="preserve"> combined with transcriptomics and proteomics has experimentally validated the presence of these </w:t>
      </w:r>
      <w:proofErr w:type="spellStart"/>
      <w:r w:rsidRPr="00F33FC4">
        <w:t>sORF</w:t>
      </w:r>
      <w:proofErr w:type="spellEnd"/>
      <w:r w:rsidRPr="00F33FC4">
        <w:t xml:space="preserve"> encoded proteins </w:t>
      </w:r>
      <w:r w:rsidRPr="00F33FC4">
        <w:rPr>
          <w:noProof/>
        </w:rPr>
        <w:t>(15–18)</w:t>
      </w:r>
      <w:r w:rsidRPr="00F33FC4">
        <w:t>, the biochemical and functional characterization of these small proteins remains to be a challenge. Further, the chromosomally encoded type I TA system appear to function in a much diverse way than suggested.</w:t>
      </w:r>
      <w:r w:rsidR="002B60CE">
        <w:rPr>
          <w:color w:val="000000"/>
        </w:rPr>
        <w:br w:type="page"/>
      </w:r>
    </w:p>
    <w:p w14:paraId="098B9166" w14:textId="74B40B52" w:rsidR="00F33FC4" w:rsidRPr="00F33FC4" w:rsidRDefault="00F33FC4" w:rsidP="00F33FC4">
      <w:pPr>
        <w:spacing w:afterLines="100" w:after="240" w:line="360" w:lineRule="auto"/>
        <w:ind w:left="700" w:hanging="700"/>
        <w:rPr>
          <w:color w:val="000000"/>
        </w:rPr>
      </w:pPr>
      <w:r w:rsidRPr="00F33FC4">
        <w:rPr>
          <w:b/>
          <w:bCs/>
        </w:rPr>
        <w:lastRenderedPageBreak/>
        <w:t>References</w:t>
      </w:r>
    </w:p>
    <w:p w14:paraId="4A55B5D2" w14:textId="77777777" w:rsidR="00F33FC4" w:rsidRPr="00F33FC4" w:rsidRDefault="00F33FC4" w:rsidP="00F33FC4">
      <w:pPr>
        <w:widowControl w:val="0"/>
        <w:autoSpaceDE w:val="0"/>
        <w:autoSpaceDN w:val="0"/>
        <w:adjustRightInd w:val="0"/>
        <w:spacing w:line="360" w:lineRule="auto"/>
        <w:ind w:left="560" w:hanging="560"/>
        <w:rPr>
          <w:noProof/>
        </w:rPr>
      </w:pPr>
      <w:r w:rsidRPr="00F33FC4">
        <w:rPr>
          <w:noProof/>
        </w:rPr>
        <w:t xml:space="preserve">1. </w:t>
      </w:r>
      <w:r w:rsidRPr="00F33FC4">
        <w:rPr>
          <w:noProof/>
        </w:rPr>
        <w:tab/>
        <w:t>Wen J, Won D, Fozo EM. 2014. The ZorO-OrzO type I toxin-antitoxin locus: repression by the OrzO antitoxin. Nucleic Acids Res 42:1930–1946.</w:t>
      </w:r>
    </w:p>
    <w:p w14:paraId="552D0E5F" w14:textId="77777777" w:rsidR="00F33FC4" w:rsidRPr="00F33FC4" w:rsidRDefault="00F33FC4" w:rsidP="00F33FC4">
      <w:pPr>
        <w:widowControl w:val="0"/>
        <w:autoSpaceDE w:val="0"/>
        <w:autoSpaceDN w:val="0"/>
        <w:adjustRightInd w:val="0"/>
        <w:spacing w:line="360" w:lineRule="auto"/>
        <w:ind w:left="560" w:hanging="560"/>
        <w:rPr>
          <w:noProof/>
        </w:rPr>
      </w:pPr>
      <w:r w:rsidRPr="00F33FC4">
        <w:rPr>
          <w:noProof/>
        </w:rPr>
        <w:t xml:space="preserve">2. </w:t>
      </w:r>
      <w:r w:rsidRPr="00F33FC4">
        <w:rPr>
          <w:noProof/>
        </w:rPr>
        <w:tab/>
        <w:t>Fozo EM, Makarova KS, Shabalina SA, Yutin N, Koonin EV, Storz G. 2010. Abundance of type I toxin-antitoxin systems in bacteria: searches for new candidates and discovery of novel families. Nucleic Acids Res 38:3743–3759.</w:t>
      </w:r>
    </w:p>
    <w:p w14:paraId="3C8D22D6" w14:textId="77777777" w:rsidR="00F33FC4" w:rsidRPr="00F33FC4" w:rsidRDefault="00F33FC4" w:rsidP="00F33FC4">
      <w:pPr>
        <w:widowControl w:val="0"/>
        <w:autoSpaceDE w:val="0"/>
        <w:autoSpaceDN w:val="0"/>
        <w:adjustRightInd w:val="0"/>
        <w:spacing w:line="360" w:lineRule="auto"/>
        <w:ind w:left="560" w:hanging="560"/>
        <w:rPr>
          <w:noProof/>
        </w:rPr>
      </w:pPr>
      <w:r w:rsidRPr="00F33FC4">
        <w:rPr>
          <w:noProof/>
        </w:rPr>
        <w:t xml:space="preserve">3. </w:t>
      </w:r>
      <w:r w:rsidRPr="00F33FC4">
        <w:rPr>
          <w:noProof/>
        </w:rPr>
        <w:tab/>
        <w:t xml:space="preserve">Bogati B, Wadsworth N, Barrera F, Fozo EM. 2021. Improved growth of </w:t>
      </w:r>
      <w:r w:rsidRPr="00F33FC4">
        <w:rPr>
          <w:i/>
          <w:iCs/>
          <w:noProof/>
        </w:rPr>
        <w:t>Escherichia coli</w:t>
      </w:r>
      <w:r w:rsidRPr="00F33FC4">
        <w:rPr>
          <w:noProof/>
        </w:rPr>
        <w:t xml:space="preserve"> in aminoglycoside antibiotics by the </w:t>
      </w:r>
      <w:r w:rsidRPr="00F33FC4">
        <w:rPr>
          <w:i/>
          <w:iCs/>
          <w:noProof/>
        </w:rPr>
        <w:t>zor-orz</w:t>
      </w:r>
      <w:r w:rsidRPr="00F33FC4">
        <w:rPr>
          <w:noProof/>
        </w:rPr>
        <w:t xml:space="preserve"> toxin-antitoxin system. J Bacteriol JB0040721.</w:t>
      </w:r>
    </w:p>
    <w:p w14:paraId="0D7E3ACC" w14:textId="77777777" w:rsidR="00F33FC4" w:rsidRPr="00F33FC4" w:rsidRDefault="00F33FC4" w:rsidP="00F33FC4">
      <w:pPr>
        <w:widowControl w:val="0"/>
        <w:autoSpaceDE w:val="0"/>
        <w:autoSpaceDN w:val="0"/>
        <w:adjustRightInd w:val="0"/>
        <w:spacing w:line="360" w:lineRule="auto"/>
        <w:ind w:left="560" w:hanging="560"/>
        <w:rPr>
          <w:noProof/>
        </w:rPr>
      </w:pPr>
      <w:r w:rsidRPr="00F33FC4">
        <w:rPr>
          <w:noProof/>
        </w:rPr>
        <w:t xml:space="preserve">4. </w:t>
      </w:r>
      <w:r w:rsidRPr="00F33FC4">
        <w:rPr>
          <w:noProof/>
        </w:rPr>
        <w:tab/>
        <w:t>Wen J, Harp JR, Fozo EM. 2017. The 5΄ UTR of the type I toxin ZorO can both inhibit and enhance translation. Nucleic Acids Res 45:4006–4020.</w:t>
      </w:r>
    </w:p>
    <w:p w14:paraId="3EA2496D" w14:textId="77777777" w:rsidR="00F33FC4" w:rsidRPr="00F33FC4" w:rsidRDefault="00F33FC4" w:rsidP="00F33FC4">
      <w:pPr>
        <w:widowControl w:val="0"/>
        <w:autoSpaceDE w:val="0"/>
        <w:autoSpaceDN w:val="0"/>
        <w:adjustRightInd w:val="0"/>
        <w:spacing w:line="360" w:lineRule="auto"/>
        <w:ind w:left="560" w:hanging="560"/>
        <w:rPr>
          <w:noProof/>
        </w:rPr>
      </w:pPr>
      <w:r w:rsidRPr="00F33FC4">
        <w:rPr>
          <w:noProof/>
        </w:rPr>
        <w:t xml:space="preserve">5. </w:t>
      </w:r>
      <w:r w:rsidRPr="00F33FC4">
        <w:rPr>
          <w:noProof/>
        </w:rPr>
        <w:tab/>
        <w:t>Otsuka Y, Ishikawa T, Takahashi C, Masuda M. 2019. A short peptide derived from the ZorO toxin functions as an effective antimicrobial. Toxins (Basel) 11.</w:t>
      </w:r>
    </w:p>
    <w:p w14:paraId="72E79F9B" w14:textId="77777777" w:rsidR="00F33FC4" w:rsidRPr="00F33FC4" w:rsidRDefault="00F33FC4" w:rsidP="00F33FC4">
      <w:pPr>
        <w:widowControl w:val="0"/>
        <w:autoSpaceDE w:val="0"/>
        <w:autoSpaceDN w:val="0"/>
        <w:adjustRightInd w:val="0"/>
        <w:spacing w:line="360" w:lineRule="auto"/>
        <w:ind w:left="560" w:hanging="560"/>
        <w:rPr>
          <w:noProof/>
        </w:rPr>
      </w:pPr>
      <w:r w:rsidRPr="00F33FC4">
        <w:rPr>
          <w:noProof/>
        </w:rPr>
        <w:t xml:space="preserve">6. </w:t>
      </w:r>
      <w:r w:rsidRPr="00F33FC4">
        <w:rPr>
          <w:noProof/>
        </w:rPr>
        <w:tab/>
        <w:t>Verstraeten N, Knapen WJ, Kint CI, Liebens V, Van den Bergh B, Dewachter L, Michiels JE, Fu Q, David CC, Fierro AC, Marchal K, Beirlant J, Versées W, Hofkens J, Jansen M, Fauvart M, Michiels J. 2015. Obg and membrane depolarization are part of a microbial bet-hedging strategy that leads to antibiotic tolerance. Mol Cell 59:9–21.</w:t>
      </w:r>
    </w:p>
    <w:p w14:paraId="3AE2E250" w14:textId="77777777" w:rsidR="00F33FC4" w:rsidRPr="00F33FC4" w:rsidRDefault="00F33FC4" w:rsidP="00F33FC4">
      <w:pPr>
        <w:widowControl w:val="0"/>
        <w:autoSpaceDE w:val="0"/>
        <w:autoSpaceDN w:val="0"/>
        <w:adjustRightInd w:val="0"/>
        <w:spacing w:line="360" w:lineRule="auto"/>
        <w:ind w:left="560" w:hanging="560"/>
        <w:rPr>
          <w:noProof/>
        </w:rPr>
      </w:pPr>
      <w:r w:rsidRPr="00F33FC4">
        <w:rPr>
          <w:noProof/>
        </w:rPr>
        <w:t xml:space="preserve">7. </w:t>
      </w:r>
      <w:r w:rsidRPr="00F33FC4">
        <w:rPr>
          <w:noProof/>
        </w:rPr>
        <w:tab/>
        <w:t>Knopp M, Gudmundsdottir JS, Nilsson T, König F, Warsi O, Rajer F, Ädelroth P, Andersson DI. 2019</w:t>
      </w:r>
      <w:r w:rsidRPr="00F33FC4">
        <w:rPr>
          <w:i/>
          <w:iCs/>
          <w:noProof/>
        </w:rPr>
        <w:t>. De novo</w:t>
      </w:r>
      <w:r w:rsidRPr="00F33FC4">
        <w:rPr>
          <w:noProof/>
        </w:rPr>
        <w:t xml:space="preserve"> emergence of peptides that confer antibiotic resistance. MBio 10.</w:t>
      </w:r>
    </w:p>
    <w:p w14:paraId="2D10EB35" w14:textId="77777777" w:rsidR="00F33FC4" w:rsidRPr="00F33FC4" w:rsidRDefault="00F33FC4" w:rsidP="00F33FC4">
      <w:pPr>
        <w:widowControl w:val="0"/>
        <w:autoSpaceDE w:val="0"/>
        <w:autoSpaceDN w:val="0"/>
        <w:adjustRightInd w:val="0"/>
        <w:spacing w:line="360" w:lineRule="auto"/>
        <w:ind w:left="560" w:hanging="560"/>
        <w:rPr>
          <w:noProof/>
        </w:rPr>
      </w:pPr>
      <w:r w:rsidRPr="00F33FC4">
        <w:rPr>
          <w:noProof/>
        </w:rPr>
        <w:t xml:space="preserve">8. </w:t>
      </w:r>
      <w:r w:rsidRPr="00F33FC4">
        <w:rPr>
          <w:noProof/>
        </w:rPr>
        <w:tab/>
        <w:t xml:space="preserve">Unoson C, Wagner EGH. 2008. A small SOS-induced toxin is targeted against the inner membrane in </w:t>
      </w:r>
      <w:r w:rsidRPr="00F33FC4">
        <w:rPr>
          <w:i/>
          <w:iCs/>
          <w:noProof/>
        </w:rPr>
        <w:t>Escherichia coli</w:t>
      </w:r>
      <w:r w:rsidRPr="00F33FC4">
        <w:rPr>
          <w:noProof/>
        </w:rPr>
        <w:t>. Mol Microbiol 70:258–270.</w:t>
      </w:r>
    </w:p>
    <w:p w14:paraId="7D1C296A" w14:textId="77777777" w:rsidR="00F33FC4" w:rsidRPr="00F33FC4" w:rsidRDefault="00F33FC4" w:rsidP="00F33FC4">
      <w:pPr>
        <w:widowControl w:val="0"/>
        <w:autoSpaceDE w:val="0"/>
        <w:autoSpaceDN w:val="0"/>
        <w:adjustRightInd w:val="0"/>
        <w:spacing w:line="360" w:lineRule="auto"/>
        <w:ind w:left="560" w:hanging="560"/>
        <w:rPr>
          <w:noProof/>
        </w:rPr>
      </w:pPr>
      <w:r w:rsidRPr="00F33FC4">
        <w:rPr>
          <w:noProof/>
        </w:rPr>
        <w:t xml:space="preserve">9. </w:t>
      </w:r>
      <w:r w:rsidRPr="00F33FC4">
        <w:rPr>
          <w:noProof/>
        </w:rPr>
        <w:tab/>
        <w:t>Dörr T, Vulić M, Lewis K. 2010. Ciprofloxacin causes persister formation by inducing the TisB toxin in Escherichia coli. PLoS Biol 8:e1000317.</w:t>
      </w:r>
    </w:p>
    <w:p w14:paraId="3C6DCD8E" w14:textId="77777777" w:rsidR="00F33FC4" w:rsidRPr="00F33FC4" w:rsidRDefault="00F33FC4" w:rsidP="00F33FC4">
      <w:pPr>
        <w:widowControl w:val="0"/>
        <w:autoSpaceDE w:val="0"/>
        <w:autoSpaceDN w:val="0"/>
        <w:adjustRightInd w:val="0"/>
        <w:spacing w:line="360" w:lineRule="auto"/>
        <w:ind w:left="560" w:hanging="560"/>
        <w:rPr>
          <w:noProof/>
        </w:rPr>
      </w:pPr>
      <w:r w:rsidRPr="00F33FC4">
        <w:rPr>
          <w:noProof/>
        </w:rPr>
        <w:t xml:space="preserve">10. </w:t>
      </w:r>
      <w:r w:rsidRPr="00F33FC4">
        <w:rPr>
          <w:noProof/>
        </w:rPr>
        <w:tab/>
        <w:t>Berghoff BA, Hoekzema M, Aulbach L, Wagner EGH. 2017. Two regulatory RNA elements affect TisB-dependent depolarization and persister formation. Mol Microbiol 103:1020–1033.</w:t>
      </w:r>
    </w:p>
    <w:p w14:paraId="5B7398C6" w14:textId="77777777" w:rsidR="00F33FC4" w:rsidRPr="00F33FC4" w:rsidRDefault="00F33FC4" w:rsidP="00F33FC4">
      <w:pPr>
        <w:widowControl w:val="0"/>
        <w:autoSpaceDE w:val="0"/>
        <w:autoSpaceDN w:val="0"/>
        <w:adjustRightInd w:val="0"/>
        <w:spacing w:line="360" w:lineRule="auto"/>
        <w:ind w:left="560" w:hanging="560"/>
        <w:rPr>
          <w:noProof/>
        </w:rPr>
      </w:pPr>
      <w:r w:rsidRPr="00F33FC4">
        <w:rPr>
          <w:noProof/>
        </w:rPr>
        <w:t xml:space="preserve">11. </w:t>
      </w:r>
      <w:r w:rsidRPr="00F33FC4">
        <w:rPr>
          <w:noProof/>
        </w:rPr>
        <w:tab/>
        <w:t xml:space="preserve">Goltermann L, Good L, Bentin T. 2013. Chaperonins fight aminoglycoside-induced </w:t>
      </w:r>
      <w:r w:rsidRPr="00F33FC4">
        <w:rPr>
          <w:noProof/>
        </w:rPr>
        <w:lastRenderedPageBreak/>
        <w:t xml:space="preserve">protein misfolding and promote short-term tolerance in </w:t>
      </w:r>
      <w:r w:rsidRPr="00F33FC4">
        <w:rPr>
          <w:i/>
          <w:iCs/>
          <w:noProof/>
        </w:rPr>
        <w:t>Escherichia coli</w:t>
      </w:r>
      <w:r w:rsidRPr="00F33FC4">
        <w:rPr>
          <w:noProof/>
        </w:rPr>
        <w:t>. J Biol Chem 288:10483–10489.</w:t>
      </w:r>
    </w:p>
    <w:p w14:paraId="7CB8DC1C" w14:textId="77777777" w:rsidR="00F33FC4" w:rsidRPr="00F33FC4" w:rsidRDefault="00F33FC4" w:rsidP="00F33FC4">
      <w:pPr>
        <w:widowControl w:val="0"/>
        <w:autoSpaceDE w:val="0"/>
        <w:autoSpaceDN w:val="0"/>
        <w:adjustRightInd w:val="0"/>
        <w:spacing w:line="360" w:lineRule="auto"/>
        <w:ind w:left="560" w:hanging="560"/>
        <w:rPr>
          <w:noProof/>
        </w:rPr>
      </w:pPr>
      <w:r w:rsidRPr="00F33FC4">
        <w:rPr>
          <w:noProof/>
        </w:rPr>
        <w:t xml:space="preserve">12. </w:t>
      </w:r>
      <w:r w:rsidRPr="00F33FC4">
        <w:rPr>
          <w:noProof/>
        </w:rPr>
        <w:tab/>
        <w:t>Schneider V, Wadhwani P, Reichert J, Bürck J, Elstner M, Ulrich AS, Kubař T. 2019. Tetrameric charge-zipper assembly of the TisB peptide in membranes-computer simulation and experiment. J Phys Chem B 123:1770–1779.</w:t>
      </w:r>
    </w:p>
    <w:p w14:paraId="5AE12BDC" w14:textId="77777777" w:rsidR="00F33FC4" w:rsidRPr="00F33FC4" w:rsidRDefault="00F33FC4" w:rsidP="00F33FC4">
      <w:pPr>
        <w:widowControl w:val="0"/>
        <w:autoSpaceDE w:val="0"/>
        <w:autoSpaceDN w:val="0"/>
        <w:adjustRightInd w:val="0"/>
        <w:spacing w:line="360" w:lineRule="auto"/>
        <w:ind w:left="560" w:hanging="560"/>
        <w:rPr>
          <w:noProof/>
        </w:rPr>
      </w:pPr>
      <w:r w:rsidRPr="00F33FC4">
        <w:rPr>
          <w:noProof/>
        </w:rPr>
        <w:t xml:space="preserve">13. </w:t>
      </w:r>
      <w:r w:rsidRPr="00F33FC4">
        <w:rPr>
          <w:noProof/>
        </w:rPr>
        <w:tab/>
        <w:t>Wilmaerts D, Bayoumi M, Dewachter L, Knapen W, Mika JT, Hofkens J, Dedecker P, Maglia G, Verstraeten N, Michiels J. 2018. The persistence-inducing toxin HokB forms dynamic pores that cause ATP leakage. MBio 9.</w:t>
      </w:r>
    </w:p>
    <w:p w14:paraId="0B5C8359" w14:textId="77777777" w:rsidR="00F33FC4" w:rsidRPr="00F33FC4" w:rsidRDefault="00F33FC4" w:rsidP="00F33FC4">
      <w:pPr>
        <w:widowControl w:val="0"/>
        <w:autoSpaceDE w:val="0"/>
        <w:autoSpaceDN w:val="0"/>
        <w:adjustRightInd w:val="0"/>
        <w:spacing w:line="360" w:lineRule="auto"/>
        <w:ind w:left="560" w:hanging="560"/>
        <w:rPr>
          <w:noProof/>
        </w:rPr>
      </w:pPr>
      <w:r w:rsidRPr="00F33FC4">
        <w:rPr>
          <w:noProof/>
        </w:rPr>
        <w:t xml:space="preserve">14. </w:t>
      </w:r>
      <w:r w:rsidRPr="00F33FC4">
        <w:rPr>
          <w:noProof/>
        </w:rPr>
        <w:tab/>
        <w:t xml:space="preserve">Hemm MR, Weaver J, Storz G. 2020. </w:t>
      </w:r>
      <w:r w:rsidRPr="00F33FC4">
        <w:rPr>
          <w:i/>
          <w:iCs/>
          <w:noProof/>
        </w:rPr>
        <w:t>Escherichia coli</w:t>
      </w:r>
      <w:r w:rsidRPr="00F33FC4">
        <w:rPr>
          <w:noProof/>
        </w:rPr>
        <w:t xml:space="preserve"> small proteome. Ecosal Plus 9.</w:t>
      </w:r>
    </w:p>
    <w:p w14:paraId="77279A70" w14:textId="77777777" w:rsidR="00F33FC4" w:rsidRPr="00F33FC4" w:rsidRDefault="00F33FC4" w:rsidP="00F33FC4">
      <w:pPr>
        <w:widowControl w:val="0"/>
        <w:autoSpaceDE w:val="0"/>
        <w:autoSpaceDN w:val="0"/>
        <w:adjustRightInd w:val="0"/>
        <w:spacing w:line="360" w:lineRule="auto"/>
        <w:ind w:left="560" w:hanging="560"/>
        <w:rPr>
          <w:noProof/>
        </w:rPr>
      </w:pPr>
      <w:r w:rsidRPr="00F33FC4">
        <w:rPr>
          <w:noProof/>
        </w:rPr>
        <w:t xml:space="preserve">15. </w:t>
      </w:r>
      <w:r w:rsidRPr="00F33FC4">
        <w:rPr>
          <w:noProof/>
        </w:rPr>
        <w:tab/>
        <w:t xml:space="preserve">Neuhaus K, Landstorfer R, Fellner L, Simon S, Schafferhans A, Goldberg T, Marx H, Ozoline ON, Rost B, Kuster B, Keim DA, Scherer S. 2016. Translatomics combined with transcriptomics and proteomics reveals novel functional, recently evolved orphan genes in </w:t>
      </w:r>
      <w:r w:rsidRPr="00F33FC4">
        <w:rPr>
          <w:i/>
          <w:iCs/>
          <w:noProof/>
        </w:rPr>
        <w:t>Escherichia coli</w:t>
      </w:r>
      <w:r w:rsidRPr="00F33FC4">
        <w:rPr>
          <w:noProof/>
        </w:rPr>
        <w:t xml:space="preserve"> O157:H7 (EHEC). BMC Genomics 17:133.</w:t>
      </w:r>
    </w:p>
    <w:p w14:paraId="455CA1DD" w14:textId="77777777" w:rsidR="00F33FC4" w:rsidRPr="00F33FC4" w:rsidRDefault="00F33FC4" w:rsidP="00F33FC4">
      <w:pPr>
        <w:widowControl w:val="0"/>
        <w:autoSpaceDE w:val="0"/>
        <w:autoSpaceDN w:val="0"/>
        <w:adjustRightInd w:val="0"/>
        <w:spacing w:line="360" w:lineRule="auto"/>
        <w:ind w:left="560" w:hanging="560"/>
        <w:rPr>
          <w:noProof/>
        </w:rPr>
      </w:pPr>
      <w:r w:rsidRPr="00F33FC4">
        <w:rPr>
          <w:noProof/>
        </w:rPr>
        <w:t xml:space="preserve">16. </w:t>
      </w:r>
      <w:r w:rsidRPr="00F33FC4">
        <w:rPr>
          <w:noProof/>
        </w:rPr>
        <w:tab/>
        <w:t>Weaver J, Mohammad F, Buskirk AR, Storz G. 2019. Identifying Small Proteins by Ribosome Profiling with Stalled Initiation Complexes. MBio 10.</w:t>
      </w:r>
    </w:p>
    <w:p w14:paraId="0DBA79C6" w14:textId="77777777" w:rsidR="00F33FC4" w:rsidRPr="00F33FC4" w:rsidRDefault="00F33FC4" w:rsidP="00F33FC4">
      <w:pPr>
        <w:widowControl w:val="0"/>
        <w:autoSpaceDE w:val="0"/>
        <w:autoSpaceDN w:val="0"/>
        <w:adjustRightInd w:val="0"/>
        <w:spacing w:line="360" w:lineRule="auto"/>
        <w:ind w:left="560" w:hanging="560"/>
        <w:rPr>
          <w:noProof/>
        </w:rPr>
      </w:pPr>
      <w:r w:rsidRPr="00F33FC4">
        <w:rPr>
          <w:noProof/>
        </w:rPr>
        <w:t xml:space="preserve">17. </w:t>
      </w:r>
      <w:r w:rsidRPr="00F33FC4">
        <w:rPr>
          <w:noProof/>
        </w:rPr>
        <w:tab/>
        <w:t>Ingolia NT. 2010. Genome-wide translational profiling by ribosome footprinting. Meth Enzymol 470:119–142.</w:t>
      </w:r>
    </w:p>
    <w:p w14:paraId="45DE5647" w14:textId="77777777" w:rsidR="00F33FC4" w:rsidRPr="00F33FC4" w:rsidRDefault="00F33FC4" w:rsidP="00F33FC4">
      <w:pPr>
        <w:widowControl w:val="0"/>
        <w:autoSpaceDE w:val="0"/>
        <w:autoSpaceDN w:val="0"/>
        <w:adjustRightInd w:val="0"/>
        <w:spacing w:line="360" w:lineRule="auto"/>
        <w:ind w:left="560" w:hanging="560"/>
        <w:rPr>
          <w:noProof/>
        </w:rPr>
      </w:pPr>
      <w:r w:rsidRPr="00F33FC4">
        <w:rPr>
          <w:noProof/>
        </w:rPr>
        <w:t xml:space="preserve">18. </w:t>
      </w:r>
      <w:r w:rsidRPr="00F33FC4">
        <w:rPr>
          <w:noProof/>
        </w:rPr>
        <w:tab/>
        <w:t>Delcourt V, Staskevicius A, Salzet M, Fournier I, Roucou X. 2018. Small proteins encoded by unannotated orfs are rising stars of the proteome, confirming shortcomings in genome annotations and current vision of an mRNA. Proteomics 18:e1700058.</w:t>
      </w:r>
    </w:p>
    <w:p w14:paraId="7DA0C837" w14:textId="77777777" w:rsidR="00F33FC4" w:rsidRPr="00F33FC4" w:rsidRDefault="00F33FC4" w:rsidP="00F33FC4">
      <w:pPr>
        <w:widowControl w:val="0"/>
        <w:autoSpaceDE w:val="0"/>
        <w:autoSpaceDN w:val="0"/>
        <w:adjustRightInd w:val="0"/>
        <w:spacing w:line="360" w:lineRule="auto"/>
      </w:pPr>
    </w:p>
    <w:p w14:paraId="1BD8B169" w14:textId="0E50215A" w:rsidR="00F33FC4" w:rsidRDefault="00F33FC4">
      <w:pPr>
        <w:rPr>
          <w:b/>
          <w:caps/>
          <w:color w:val="000000" w:themeColor="text1"/>
          <w:sz w:val="28"/>
          <w:szCs w:val="28"/>
        </w:rPr>
      </w:pPr>
    </w:p>
    <w:p w14:paraId="6C708666" w14:textId="77777777" w:rsidR="00701130" w:rsidRDefault="00701130">
      <w:pPr>
        <w:rPr>
          <w:b/>
          <w:caps/>
          <w:color w:val="000000" w:themeColor="text1"/>
          <w:sz w:val="28"/>
          <w:szCs w:val="28"/>
        </w:rPr>
      </w:pPr>
      <w:r>
        <w:br w:type="page"/>
      </w:r>
    </w:p>
    <w:p w14:paraId="510C9618" w14:textId="0BBCFE32" w:rsidR="00236E6D" w:rsidRPr="001C0BB7" w:rsidRDefault="007D538B" w:rsidP="00F33FC4">
      <w:pPr>
        <w:pStyle w:val="AltHeading1"/>
      </w:pPr>
      <w:r w:rsidRPr="001C0BB7">
        <w:lastRenderedPageBreak/>
        <w:t>V</w:t>
      </w:r>
      <w:r w:rsidR="00E91931" w:rsidRPr="001C0BB7">
        <w:t>ita</w:t>
      </w:r>
      <w:bookmarkEnd w:id="0"/>
      <w:bookmarkEnd w:id="1"/>
      <w:bookmarkEnd w:id="2"/>
      <w:bookmarkEnd w:id="3"/>
    </w:p>
    <w:p w14:paraId="6AE6EC5C" w14:textId="77777777" w:rsidR="003D63DF" w:rsidRPr="001C0BB7" w:rsidRDefault="003D63DF" w:rsidP="001C0BB7">
      <w:pPr>
        <w:spacing w:line="360" w:lineRule="auto"/>
      </w:pPr>
    </w:p>
    <w:p w14:paraId="2BF934C5" w14:textId="3FECBF16" w:rsidR="00A01D0E" w:rsidRDefault="00A01D0E" w:rsidP="00A01D0E">
      <w:pPr>
        <w:spacing w:line="360" w:lineRule="auto"/>
      </w:pPr>
      <w:r>
        <w:tab/>
      </w:r>
      <w:r w:rsidRPr="00DD7EC8">
        <w:t>Bikash Bogati</w:t>
      </w:r>
      <w:r>
        <w:t xml:space="preserve"> was</w:t>
      </w:r>
      <w:r w:rsidRPr="00DD7EC8">
        <w:t xml:space="preserve"> born in a bucolic village in Nepal</w:t>
      </w:r>
      <w:r>
        <w:t>. He joined laboratory science in 2001 because he was told that after three years of training, he will be able to get a job that makes a good living and won’t require him to study anymore.</w:t>
      </w:r>
      <w:r w:rsidRPr="00DD7EC8">
        <w:t xml:space="preserve"> </w:t>
      </w:r>
      <w:r>
        <w:t>Fast forward two decades; he is still in the school system. Raised by a father who was not able to complete high school and a mother who cannot write her name, Bikash (</w:t>
      </w:r>
      <w:r w:rsidR="009F595A">
        <w:t>if you are reading this in future</w:t>
      </w:r>
      <w:r>
        <w:t>), finished his Ph.D. in Microbiology from the University of Tennessee, Knoxville</w:t>
      </w:r>
      <w:r w:rsidR="009F595A">
        <w:t xml:space="preserve"> in December 2021</w:t>
      </w:r>
      <w:r>
        <w:t>.</w:t>
      </w:r>
    </w:p>
    <w:p w14:paraId="126A213E" w14:textId="77777777" w:rsidR="00A01D0E" w:rsidRDefault="00A01D0E" w:rsidP="00A01D0E">
      <w:pPr>
        <w:spacing w:line="360" w:lineRule="auto"/>
      </w:pPr>
    </w:p>
    <w:p w14:paraId="0C89F96E" w14:textId="4F8E87BE" w:rsidR="00A01D0E" w:rsidRDefault="00A01D0E" w:rsidP="00A01D0E">
      <w:pPr>
        <w:spacing w:line="360" w:lineRule="auto"/>
      </w:pPr>
      <w:r>
        <w:tab/>
        <w:t xml:space="preserve">Bikash started as a bozo in the </w:t>
      </w:r>
      <w:proofErr w:type="spellStart"/>
      <w:r>
        <w:t>Fozo</w:t>
      </w:r>
      <w:proofErr w:type="spellEnd"/>
      <w:r>
        <w:t xml:space="preserve"> lab. He now knows that earning a PhD is just the beginning and he has a lot more to learn from and add to his life. He believes that compounding small, everyday actions is the key to achieving big impacts. Volunteering, hiking in the smokies, playing tennis &amp; volleyball, baking and being around friends are a few things that significantly helped him to endure the journey of graduate school. Helping people around him and sharing smiles with them makes him happy. Bikash regards himself as a global citizen and aims to work towards alleviating the burden of infectious disease and antibiotic resistance.</w:t>
      </w:r>
    </w:p>
    <w:p w14:paraId="380676DD" w14:textId="2432A364" w:rsidR="00AE125E" w:rsidRPr="001C0BB7" w:rsidRDefault="00AE125E" w:rsidP="001C0BB7">
      <w:pPr>
        <w:spacing w:line="360" w:lineRule="auto"/>
      </w:pPr>
    </w:p>
    <w:sectPr w:rsidR="00AE125E" w:rsidRPr="001C0BB7" w:rsidSect="003E0D31">
      <w:headerReference w:type="even" r:id="rId47"/>
      <w:headerReference w:type="default" r:id="rId48"/>
      <w:footerReference w:type="default" r:id="rId49"/>
      <w:pgSz w:w="12240" w:h="15840" w:code="1"/>
      <w:pgMar w:top="1440" w:right="1440" w:bottom="1440" w:left="144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594D96" w14:textId="77777777" w:rsidR="00AA5A4D" w:rsidRDefault="00AA5A4D">
      <w:r>
        <w:separator/>
      </w:r>
    </w:p>
  </w:endnote>
  <w:endnote w:type="continuationSeparator" w:id="0">
    <w:p w14:paraId="19C5856D" w14:textId="77777777" w:rsidR="00AA5A4D" w:rsidRDefault="00AA5A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Mangal">
    <w:panose1 w:val="02040503050203030202"/>
    <w:charset w:val="01"/>
    <w:family w:val="roman"/>
    <w:pitch w:val="variable"/>
    <w:sig w:usb0="0000A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harter-Roman">
    <w:altName w:val="Charter"/>
    <w:panose1 w:val="02040503050506020203"/>
    <w:charset w:val="00"/>
    <w:family w:val="roman"/>
    <w:pitch w:val="variable"/>
    <w:sig w:usb0="800000AF" w:usb1="1000204A" w:usb2="00000000" w:usb3="00000000" w:csb0="00000011" w:csb1="00000000"/>
  </w:font>
  <w:font w:name="Helvetica">
    <w:panose1 w:val="00000000000000000000"/>
    <w:charset w:val="00"/>
    <w:family w:val="auto"/>
    <w:pitch w:val="variable"/>
    <w:sig w:usb0="E00002FF" w:usb1="5000785B"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1F0C1" w14:textId="77777777" w:rsidR="00CC2A24" w:rsidRDefault="00CC2A24">
    <w:pPr>
      <w:pStyle w:val="Footer"/>
      <w:jc w:val="right"/>
    </w:pPr>
    <w:r>
      <w:fldChar w:fldCharType="begin"/>
    </w:r>
    <w:r>
      <w:instrText xml:space="preserve"> PAGE   \* MERGEFORMAT </w:instrText>
    </w:r>
    <w:r>
      <w:fldChar w:fldCharType="separate"/>
    </w:r>
    <w:r>
      <w:rPr>
        <w:noProof/>
      </w:rPr>
      <w:t>1</w:t>
    </w:r>
    <w:r>
      <w:rPr>
        <w:noProof/>
      </w:rPr>
      <w:fldChar w:fldCharType="end"/>
    </w:r>
  </w:p>
  <w:p w14:paraId="268DD8F5" w14:textId="77777777" w:rsidR="00CC2A24" w:rsidRDefault="00CC2A24" w:rsidP="005E54E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1986760"/>
      <w:docPartObj>
        <w:docPartGallery w:val="Page Numbers (Bottom of Page)"/>
        <w:docPartUnique/>
      </w:docPartObj>
    </w:sdtPr>
    <w:sdtEndPr>
      <w:rPr>
        <w:noProof/>
      </w:rPr>
    </w:sdtEndPr>
    <w:sdtContent>
      <w:p w14:paraId="32D041B5" w14:textId="77777777" w:rsidR="00D83B30" w:rsidRDefault="00D83B30">
        <w:pPr>
          <w:pStyle w:val="Footer"/>
          <w:jc w:val="center"/>
        </w:pPr>
        <w:r>
          <w:fldChar w:fldCharType="begin"/>
        </w:r>
        <w:r>
          <w:instrText xml:space="preserve"> PAGE   \* MERGEFORMAT </w:instrText>
        </w:r>
        <w:r>
          <w:fldChar w:fldCharType="separate"/>
        </w:r>
        <w:r>
          <w:rPr>
            <w:noProof/>
          </w:rPr>
          <w:t>iv</w:t>
        </w:r>
        <w:r>
          <w:rPr>
            <w:noProof/>
          </w:rPr>
          <w:fldChar w:fldCharType="end"/>
        </w:r>
      </w:p>
    </w:sdtContent>
  </w:sdt>
  <w:p w14:paraId="7A7591A5" w14:textId="77777777" w:rsidR="00683F5B" w:rsidRDefault="00683F5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025F38" w14:textId="77777777" w:rsidR="00AA5A4D" w:rsidRDefault="00AA5A4D">
      <w:r>
        <w:separator/>
      </w:r>
    </w:p>
  </w:footnote>
  <w:footnote w:type="continuationSeparator" w:id="0">
    <w:p w14:paraId="0954DEED" w14:textId="77777777" w:rsidR="00AA5A4D" w:rsidRDefault="00AA5A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EE919" w14:textId="77777777" w:rsidR="00683F5B" w:rsidRDefault="00683F5B">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77551" w14:textId="77777777" w:rsidR="00683F5B" w:rsidRPr="00A01D0E" w:rsidRDefault="00683F5B" w:rsidP="00A01D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F07C7"/>
    <w:multiLevelType w:val="hybridMultilevel"/>
    <w:tmpl w:val="CCE62776"/>
    <w:lvl w:ilvl="0" w:tplc="7AC2D764">
      <w:start w:val="1"/>
      <w:numFmt w:val="lowerLetter"/>
      <w:lvlText w:val="%1."/>
      <w:lvlJc w:val="left"/>
      <w:pPr>
        <w:ind w:left="360" w:hanging="360"/>
      </w:pPr>
      <w:rPr>
        <w:rFonts w:hint="default"/>
      </w:r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1"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 w15:restartNumberingAfterBreak="0">
    <w:nsid w:val="07BB3D4B"/>
    <w:multiLevelType w:val="hybridMultilevel"/>
    <w:tmpl w:val="9698BA74"/>
    <w:lvl w:ilvl="0" w:tplc="06CE56FC">
      <w:start w:val="1"/>
      <w:numFmt w:val="lowerRoman"/>
      <w:lvlText w:val="%1."/>
      <w:lvlJc w:val="left"/>
      <w:pPr>
        <w:ind w:left="861" w:hanging="720"/>
      </w:pPr>
      <w:rPr>
        <w:rFonts w:hint="default"/>
      </w:r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4"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5" w15:restartNumberingAfterBreak="0">
    <w:nsid w:val="08BA7626"/>
    <w:multiLevelType w:val="hybridMultilevel"/>
    <w:tmpl w:val="B17A27D0"/>
    <w:lvl w:ilvl="0" w:tplc="DC38FE84">
      <w:start w:val="1"/>
      <w:numFmt w:val="upperRoman"/>
      <w:lvlText w:val="%1."/>
      <w:lvlJc w:val="left"/>
      <w:pPr>
        <w:ind w:left="284" w:hanging="284"/>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8" w15:restartNumberingAfterBreak="0">
    <w:nsid w:val="11EB078B"/>
    <w:multiLevelType w:val="hybridMultilevel"/>
    <w:tmpl w:val="24DA01F2"/>
    <w:lvl w:ilvl="0" w:tplc="6B8EBDCE">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2062CD1"/>
    <w:multiLevelType w:val="hybridMultilevel"/>
    <w:tmpl w:val="122A357A"/>
    <w:lvl w:ilvl="0" w:tplc="E33C11C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3AC58EA"/>
    <w:multiLevelType w:val="hybridMultilevel"/>
    <w:tmpl w:val="D5F4A0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1C104498"/>
    <w:multiLevelType w:val="hybridMultilevel"/>
    <w:tmpl w:val="92AC5446"/>
    <w:lvl w:ilvl="0" w:tplc="F25EB0BC">
      <w:start w:val="1"/>
      <w:numFmt w:val="upperRoman"/>
      <w:lvlText w:val="%1."/>
      <w:lvlJc w:val="left"/>
      <w:pPr>
        <w:ind w:left="1800" w:hanging="72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1C6E60E5"/>
    <w:multiLevelType w:val="hybridMultilevel"/>
    <w:tmpl w:val="168657A4"/>
    <w:lvl w:ilvl="0" w:tplc="3286B1C2">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1E76584C"/>
    <w:multiLevelType w:val="hybridMultilevel"/>
    <w:tmpl w:val="6A6C0AF8"/>
    <w:lvl w:ilvl="0" w:tplc="1F4E5EA0">
      <w:start w:val="1"/>
      <w:numFmt w:val="lowerLetter"/>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20440B3E"/>
    <w:multiLevelType w:val="multilevel"/>
    <w:tmpl w:val="84A88FA0"/>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7"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8"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9B82B5A"/>
    <w:multiLevelType w:val="hybridMultilevel"/>
    <w:tmpl w:val="22265B7C"/>
    <w:lvl w:ilvl="0" w:tplc="B33EF882">
      <w:start w:val="1"/>
      <w:numFmt w:val="upperRoman"/>
      <w:lvlText w:val="%1."/>
      <w:lvlJc w:val="left"/>
      <w:pPr>
        <w:ind w:left="1004" w:hanging="720"/>
      </w:pPr>
      <w:rPr>
        <w:rFonts w:hint="default"/>
        <w:b/>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0"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33754F28"/>
    <w:multiLevelType w:val="hybridMultilevel"/>
    <w:tmpl w:val="2A10F3C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3"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4" w15:restartNumberingAfterBreak="0">
    <w:nsid w:val="39C4506D"/>
    <w:multiLevelType w:val="multilevel"/>
    <w:tmpl w:val="7876A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A616BD7"/>
    <w:multiLevelType w:val="hybridMultilevel"/>
    <w:tmpl w:val="265CE2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DDD0020"/>
    <w:multiLevelType w:val="hybridMultilevel"/>
    <w:tmpl w:val="FFA28FA0"/>
    <w:lvl w:ilvl="0" w:tplc="4A5C0BB2">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FF0139D"/>
    <w:multiLevelType w:val="hybridMultilevel"/>
    <w:tmpl w:val="82B4BA12"/>
    <w:lvl w:ilvl="0" w:tplc="65C0CED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431B13C5"/>
    <w:multiLevelType w:val="hybridMultilevel"/>
    <w:tmpl w:val="A758499A"/>
    <w:lvl w:ilvl="0" w:tplc="F08A6C48">
      <w:start w:val="1"/>
      <w:numFmt w:val="lowerRoman"/>
      <w:lvlText w:val="%1."/>
      <w:lvlJc w:val="left"/>
      <w:pPr>
        <w:ind w:left="862"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4BCD41A3"/>
    <w:multiLevelType w:val="multilevel"/>
    <w:tmpl w:val="900A4528"/>
    <w:name w:val="Table3223"/>
    <w:lvl w:ilvl="0">
      <w:start w:val="1"/>
      <w:numFmt w:val="cardinalText"/>
      <w:pStyle w:val="Heading1"/>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0" w15:restartNumberingAfterBreak="0">
    <w:nsid w:val="54894565"/>
    <w:multiLevelType w:val="hybridMultilevel"/>
    <w:tmpl w:val="98A223AC"/>
    <w:lvl w:ilvl="0" w:tplc="3370C52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4F919F9"/>
    <w:multiLevelType w:val="hybridMultilevel"/>
    <w:tmpl w:val="EF7E5F74"/>
    <w:lvl w:ilvl="0" w:tplc="3524352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3"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4" w15:restartNumberingAfterBreak="0">
    <w:nsid w:val="5ADB54DD"/>
    <w:multiLevelType w:val="hybridMultilevel"/>
    <w:tmpl w:val="DAA21712"/>
    <w:lvl w:ilvl="0" w:tplc="2EA60D2E">
      <w:start w:val="1"/>
      <w:numFmt w:val="lowerRoman"/>
      <w:lvlText w:val="%1."/>
      <w:lvlJc w:val="left"/>
      <w:pPr>
        <w:ind w:left="1287" w:hanging="720"/>
      </w:pPr>
      <w:rPr>
        <w:rFonts w:hint="default"/>
      </w:rPr>
    </w:lvl>
    <w:lvl w:ilvl="1" w:tplc="04090019" w:tentative="1">
      <w:start w:val="1"/>
      <w:numFmt w:val="lowerLetter"/>
      <w:lvlText w:val="%2."/>
      <w:lvlJc w:val="left"/>
      <w:pPr>
        <w:ind w:left="2083" w:hanging="360"/>
      </w:pPr>
    </w:lvl>
    <w:lvl w:ilvl="2" w:tplc="0409001B" w:tentative="1">
      <w:start w:val="1"/>
      <w:numFmt w:val="lowerRoman"/>
      <w:lvlText w:val="%3."/>
      <w:lvlJc w:val="right"/>
      <w:pPr>
        <w:ind w:left="2803" w:hanging="180"/>
      </w:pPr>
    </w:lvl>
    <w:lvl w:ilvl="3" w:tplc="0409000F" w:tentative="1">
      <w:start w:val="1"/>
      <w:numFmt w:val="decimal"/>
      <w:lvlText w:val="%4."/>
      <w:lvlJc w:val="left"/>
      <w:pPr>
        <w:ind w:left="3523" w:hanging="360"/>
      </w:pPr>
    </w:lvl>
    <w:lvl w:ilvl="4" w:tplc="04090019" w:tentative="1">
      <w:start w:val="1"/>
      <w:numFmt w:val="lowerLetter"/>
      <w:lvlText w:val="%5."/>
      <w:lvlJc w:val="left"/>
      <w:pPr>
        <w:ind w:left="4243" w:hanging="360"/>
      </w:pPr>
    </w:lvl>
    <w:lvl w:ilvl="5" w:tplc="0409001B" w:tentative="1">
      <w:start w:val="1"/>
      <w:numFmt w:val="lowerRoman"/>
      <w:lvlText w:val="%6."/>
      <w:lvlJc w:val="right"/>
      <w:pPr>
        <w:ind w:left="4963" w:hanging="180"/>
      </w:pPr>
    </w:lvl>
    <w:lvl w:ilvl="6" w:tplc="0409000F" w:tentative="1">
      <w:start w:val="1"/>
      <w:numFmt w:val="decimal"/>
      <w:lvlText w:val="%7."/>
      <w:lvlJc w:val="left"/>
      <w:pPr>
        <w:ind w:left="5683" w:hanging="360"/>
      </w:pPr>
    </w:lvl>
    <w:lvl w:ilvl="7" w:tplc="04090019" w:tentative="1">
      <w:start w:val="1"/>
      <w:numFmt w:val="lowerLetter"/>
      <w:lvlText w:val="%8."/>
      <w:lvlJc w:val="left"/>
      <w:pPr>
        <w:ind w:left="6403" w:hanging="360"/>
      </w:pPr>
    </w:lvl>
    <w:lvl w:ilvl="8" w:tplc="0409001B" w:tentative="1">
      <w:start w:val="1"/>
      <w:numFmt w:val="lowerRoman"/>
      <w:lvlText w:val="%9."/>
      <w:lvlJc w:val="right"/>
      <w:pPr>
        <w:ind w:left="7123" w:hanging="180"/>
      </w:pPr>
    </w:lvl>
  </w:abstractNum>
  <w:abstractNum w:abstractNumId="35" w15:restartNumberingAfterBreak="0">
    <w:nsid w:val="5ADE3B54"/>
    <w:multiLevelType w:val="hybridMultilevel"/>
    <w:tmpl w:val="3FAC268E"/>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7"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65C169EB"/>
    <w:multiLevelType w:val="hybridMultilevel"/>
    <w:tmpl w:val="4DC4BC5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68B067BC"/>
    <w:multiLevelType w:val="hybridMultilevel"/>
    <w:tmpl w:val="116E0BC6"/>
    <w:lvl w:ilvl="0" w:tplc="8CD2EE8C">
      <w:start w:val="1"/>
      <w:numFmt w:val="upperRoman"/>
      <w:lvlText w:val="%1."/>
      <w:lvlJc w:val="left"/>
      <w:pPr>
        <w:ind w:left="862"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1" w15:restartNumberingAfterBreak="0">
    <w:nsid w:val="7253251E"/>
    <w:multiLevelType w:val="hybridMultilevel"/>
    <w:tmpl w:val="500E85B6"/>
    <w:lvl w:ilvl="0" w:tplc="3280D798">
      <w:start w:val="1"/>
      <w:numFmt w:val="lowerLetter"/>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77CC1A77"/>
    <w:multiLevelType w:val="hybridMultilevel"/>
    <w:tmpl w:val="C660E25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6"/>
  </w:num>
  <w:num w:numId="3">
    <w:abstractNumId w:val="6"/>
  </w:num>
  <w:num w:numId="4">
    <w:abstractNumId w:val="29"/>
  </w:num>
  <w:num w:numId="5">
    <w:abstractNumId w:val="2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6"/>
  </w:num>
  <w:num w:numId="7">
    <w:abstractNumId w:val="5"/>
  </w:num>
  <w:num w:numId="8">
    <w:abstractNumId w:val="39"/>
  </w:num>
  <w:num w:numId="9">
    <w:abstractNumId w:val="0"/>
  </w:num>
  <w:num w:numId="10">
    <w:abstractNumId w:val="27"/>
  </w:num>
  <w:num w:numId="11">
    <w:abstractNumId w:val="3"/>
  </w:num>
  <w:num w:numId="12">
    <w:abstractNumId w:val="34"/>
  </w:num>
  <w:num w:numId="13">
    <w:abstractNumId w:val="35"/>
  </w:num>
  <w:num w:numId="14">
    <w:abstractNumId w:val="28"/>
  </w:num>
  <w:num w:numId="15">
    <w:abstractNumId w:val="15"/>
  </w:num>
  <w:num w:numId="16">
    <w:abstractNumId w:val="25"/>
  </w:num>
  <w:num w:numId="17">
    <w:abstractNumId w:val="30"/>
  </w:num>
  <w:num w:numId="18">
    <w:abstractNumId w:val="31"/>
  </w:num>
  <w:num w:numId="19">
    <w:abstractNumId w:val="14"/>
  </w:num>
  <w:num w:numId="20">
    <w:abstractNumId w:val="9"/>
  </w:num>
  <w:num w:numId="21">
    <w:abstractNumId w:val="21"/>
  </w:num>
  <w:num w:numId="22">
    <w:abstractNumId w:val="41"/>
  </w:num>
  <w:num w:numId="23">
    <w:abstractNumId w:val="24"/>
  </w:num>
  <w:num w:numId="24">
    <w:abstractNumId w:val="38"/>
  </w:num>
  <w:num w:numId="25">
    <w:abstractNumId w:val="8"/>
  </w:num>
  <w:num w:numId="26">
    <w:abstractNumId w:val="19"/>
  </w:num>
  <w:num w:numId="27">
    <w:abstractNumId w:val="13"/>
  </w:num>
  <w:num w:numId="28">
    <w:abstractNumId w:val="10"/>
  </w:num>
  <w:num w:numId="29">
    <w:abstractNumId w:val="4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5D54"/>
    <w:rsid w:val="000064CF"/>
    <w:rsid w:val="00014A3E"/>
    <w:rsid w:val="000166A9"/>
    <w:rsid w:val="0002037F"/>
    <w:rsid w:val="0003137E"/>
    <w:rsid w:val="00057004"/>
    <w:rsid w:val="00071FB8"/>
    <w:rsid w:val="000725B7"/>
    <w:rsid w:val="00076A95"/>
    <w:rsid w:val="000957C1"/>
    <w:rsid w:val="0009722C"/>
    <w:rsid w:val="000B0A40"/>
    <w:rsid w:val="000B5C42"/>
    <w:rsid w:val="0010217F"/>
    <w:rsid w:val="00112F00"/>
    <w:rsid w:val="0015498F"/>
    <w:rsid w:val="001669A7"/>
    <w:rsid w:val="00170273"/>
    <w:rsid w:val="00173751"/>
    <w:rsid w:val="00177D09"/>
    <w:rsid w:val="00184F08"/>
    <w:rsid w:val="001854FB"/>
    <w:rsid w:val="00193642"/>
    <w:rsid w:val="00194719"/>
    <w:rsid w:val="001C0BB7"/>
    <w:rsid w:val="001C39F6"/>
    <w:rsid w:val="001C66FE"/>
    <w:rsid w:val="001D4908"/>
    <w:rsid w:val="001D6904"/>
    <w:rsid w:val="001F522F"/>
    <w:rsid w:val="00207219"/>
    <w:rsid w:val="00211120"/>
    <w:rsid w:val="00236250"/>
    <w:rsid w:val="00236E6D"/>
    <w:rsid w:val="002429E5"/>
    <w:rsid w:val="00280CEF"/>
    <w:rsid w:val="00284FAE"/>
    <w:rsid w:val="0028757A"/>
    <w:rsid w:val="002B5DB0"/>
    <w:rsid w:val="002B60CE"/>
    <w:rsid w:val="002C74AC"/>
    <w:rsid w:val="002D1FE4"/>
    <w:rsid w:val="002D470F"/>
    <w:rsid w:val="002E2492"/>
    <w:rsid w:val="002F15D8"/>
    <w:rsid w:val="00304BD0"/>
    <w:rsid w:val="00307D77"/>
    <w:rsid w:val="00311F1A"/>
    <w:rsid w:val="00313E9E"/>
    <w:rsid w:val="003150D5"/>
    <w:rsid w:val="00320F78"/>
    <w:rsid w:val="003351E7"/>
    <w:rsid w:val="0035768F"/>
    <w:rsid w:val="00360CC8"/>
    <w:rsid w:val="0038177C"/>
    <w:rsid w:val="003836EB"/>
    <w:rsid w:val="00387024"/>
    <w:rsid w:val="0039365D"/>
    <w:rsid w:val="003963D3"/>
    <w:rsid w:val="003C1575"/>
    <w:rsid w:val="003C4DF6"/>
    <w:rsid w:val="003D07F7"/>
    <w:rsid w:val="003D5275"/>
    <w:rsid w:val="003D63DF"/>
    <w:rsid w:val="003D737F"/>
    <w:rsid w:val="003E0D31"/>
    <w:rsid w:val="003E1EFB"/>
    <w:rsid w:val="003E2944"/>
    <w:rsid w:val="003E5EA7"/>
    <w:rsid w:val="003F7474"/>
    <w:rsid w:val="003F7FED"/>
    <w:rsid w:val="00404616"/>
    <w:rsid w:val="00407B6A"/>
    <w:rsid w:val="00414400"/>
    <w:rsid w:val="00420910"/>
    <w:rsid w:val="00421CD4"/>
    <w:rsid w:val="00427833"/>
    <w:rsid w:val="0044196E"/>
    <w:rsid w:val="004634EC"/>
    <w:rsid w:val="0047309A"/>
    <w:rsid w:val="00474210"/>
    <w:rsid w:val="00480B96"/>
    <w:rsid w:val="0048303E"/>
    <w:rsid w:val="004920F6"/>
    <w:rsid w:val="004A1B3F"/>
    <w:rsid w:val="004A67E8"/>
    <w:rsid w:val="004B738B"/>
    <w:rsid w:val="004C3D65"/>
    <w:rsid w:val="004D05F5"/>
    <w:rsid w:val="004D6472"/>
    <w:rsid w:val="004F5CA8"/>
    <w:rsid w:val="004F7E75"/>
    <w:rsid w:val="005067D6"/>
    <w:rsid w:val="00513BB6"/>
    <w:rsid w:val="005234AD"/>
    <w:rsid w:val="005262C6"/>
    <w:rsid w:val="005278EE"/>
    <w:rsid w:val="00562EB1"/>
    <w:rsid w:val="00593CBB"/>
    <w:rsid w:val="00597D3F"/>
    <w:rsid w:val="005A0EB0"/>
    <w:rsid w:val="005A1457"/>
    <w:rsid w:val="005B79E9"/>
    <w:rsid w:val="005E4912"/>
    <w:rsid w:val="005E6F1F"/>
    <w:rsid w:val="005F2B0B"/>
    <w:rsid w:val="005F44D1"/>
    <w:rsid w:val="006047DE"/>
    <w:rsid w:val="00607A2B"/>
    <w:rsid w:val="00621129"/>
    <w:rsid w:val="00633916"/>
    <w:rsid w:val="00641D2B"/>
    <w:rsid w:val="0065123B"/>
    <w:rsid w:val="00662D3E"/>
    <w:rsid w:val="00665C7E"/>
    <w:rsid w:val="00672DDD"/>
    <w:rsid w:val="00676C91"/>
    <w:rsid w:val="00683F5B"/>
    <w:rsid w:val="00690B77"/>
    <w:rsid w:val="00693334"/>
    <w:rsid w:val="006C2FC5"/>
    <w:rsid w:val="006C4000"/>
    <w:rsid w:val="006D03DF"/>
    <w:rsid w:val="006D474B"/>
    <w:rsid w:val="006E1E6D"/>
    <w:rsid w:val="006E4BDD"/>
    <w:rsid w:val="006E56E8"/>
    <w:rsid w:val="00701130"/>
    <w:rsid w:val="00705347"/>
    <w:rsid w:val="00711200"/>
    <w:rsid w:val="0072397F"/>
    <w:rsid w:val="00731922"/>
    <w:rsid w:val="00731ACB"/>
    <w:rsid w:val="007368AD"/>
    <w:rsid w:val="00737F54"/>
    <w:rsid w:val="0074133D"/>
    <w:rsid w:val="0074293C"/>
    <w:rsid w:val="00746725"/>
    <w:rsid w:val="0075196D"/>
    <w:rsid w:val="00752532"/>
    <w:rsid w:val="00753EAD"/>
    <w:rsid w:val="00754B16"/>
    <w:rsid w:val="0075558C"/>
    <w:rsid w:val="00761EFA"/>
    <w:rsid w:val="00764873"/>
    <w:rsid w:val="007778DD"/>
    <w:rsid w:val="00790B6C"/>
    <w:rsid w:val="00795D03"/>
    <w:rsid w:val="00796693"/>
    <w:rsid w:val="007A5817"/>
    <w:rsid w:val="007C7591"/>
    <w:rsid w:val="007D538B"/>
    <w:rsid w:val="007D5CD5"/>
    <w:rsid w:val="007E3D04"/>
    <w:rsid w:val="007F6AE9"/>
    <w:rsid w:val="00817962"/>
    <w:rsid w:val="00826D54"/>
    <w:rsid w:val="00834CBF"/>
    <w:rsid w:val="00836F89"/>
    <w:rsid w:val="0083796B"/>
    <w:rsid w:val="00846459"/>
    <w:rsid w:val="00852266"/>
    <w:rsid w:val="00861CAB"/>
    <w:rsid w:val="00862E05"/>
    <w:rsid w:val="00863435"/>
    <w:rsid w:val="00870104"/>
    <w:rsid w:val="00872827"/>
    <w:rsid w:val="0087349A"/>
    <w:rsid w:val="008865B6"/>
    <w:rsid w:val="00895DF4"/>
    <w:rsid w:val="008A4E30"/>
    <w:rsid w:val="008B1A4D"/>
    <w:rsid w:val="008D589C"/>
    <w:rsid w:val="008D768C"/>
    <w:rsid w:val="008E7085"/>
    <w:rsid w:val="008F2A6C"/>
    <w:rsid w:val="008F60C3"/>
    <w:rsid w:val="009254D6"/>
    <w:rsid w:val="0092669B"/>
    <w:rsid w:val="0093163E"/>
    <w:rsid w:val="00931DE8"/>
    <w:rsid w:val="00933EAD"/>
    <w:rsid w:val="00936436"/>
    <w:rsid w:val="0094721A"/>
    <w:rsid w:val="00965FBD"/>
    <w:rsid w:val="00966BAC"/>
    <w:rsid w:val="00971E1E"/>
    <w:rsid w:val="009A0FF2"/>
    <w:rsid w:val="009A2ABE"/>
    <w:rsid w:val="009A6A2F"/>
    <w:rsid w:val="009C0014"/>
    <w:rsid w:val="009C755C"/>
    <w:rsid w:val="009C780F"/>
    <w:rsid w:val="009D2408"/>
    <w:rsid w:val="009E4F4C"/>
    <w:rsid w:val="009F2A95"/>
    <w:rsid w:val="009F595A"/>
    <w:rsid w:val="00A01D0E"/>
    <w:rsid w:val="00A25353"/>
    <w:rsid w:val="00A34ABE"/>
    <w:rsid w:val="00A34F5F"/>
    <w:rsid w:val="00A46A68"/>
    <w:rsid w:val="00A50EE9"/>
    <w:rsid w:val="00A5188E"/>
    <w:rsid w:val="00A56B44"/>
    <w:rsid w:val="00A62E64"/>
    <w:rsid w:val="00A86F48"/>
    <w:rsid w:val="00AA5A4D"/>
    <w:rsid w:val="00AC60CD"/>
    <w:rsid w:val="00AD0A33"/>
    <w:rsid w:val="00AE0982"/>
    <w:rsid w:val="00AE125E"/>
    <w:rsid w:val="00B07524"/>
    <w:rsid w:val="00B113E7"/>
    <w:rsid w:val="00B31D9B"/>
    <w:rsid w:val="00B3272F"/>
    <w:rsid w:val="00B35B7C"/>
    <w:rsid w:val="00B53C15"/>
    <w:rsid w:val="00B66D01"/>
    <w:rsid w:val="00B76E7C"/>
    <w:rsid w:val="00B86E0D"/>
    <w:rsid w:val="00B90095"/>
    <w:rsid w:val="00B955BD"/>
    <w:rsid w:val="00BC6206"/>
    <w:rsid w:val="00BD3522"/>
    <w:rsid w:val="00BD41AD"/>
    <w:rsid w:val="00BD43E6"/>
    <w:rsid w:val="00C067FC"/>
    <w:rsid w:val="00C0799A"/>
    <w:rsid w:val="00C11D0D"/>
    <w:rsid w:val="00C3607D"/>
    <w:rsid w:val="00C509C3"/>
    <w:rsid w:val="00C50A17"/>
    <w:rsid w:val="00C65186"/>
    <w:rsid w:val="00C70EAE"/>
    <w:rsid w:val="00C72D98"/>
    <w:rsid w:val="00C83B65"/>
    <w:rsid w:val="00C95581"/>
    <w:rsid w:val="00CB3F12"/>
    <w:rsid w:val="00CB77EA"/>
    <w:rsid w:val="00CC2A24"/>
    <w:rsid w:val="00CD50B5"/>
    <w:rsid w:val="00CD73A9"/>
    <w:rsid w:val="00D06F12"/>
    <w:rsid w:val="00D21137"/>
    <w:rsid w:val="00D21EF3"/>
    <w:rsid w:val="00D25092"/>
    <w:rsid w:val="00D46790"/>
    <w:rsid w:val="00D81B0C"/>
    <w:rsid w:val="00D83B30"/>
    <w:rsid w:val="00D91C27"/>
    <w:rsid w:val="00DB3CF8"/>
    <w:rsid w:val="00DC5925"/>
    <w:rsid w:val="00DC60FA"/>
    <w:rsid w:val="00DE23AF"/>
    <w:rsid w:val="00DF3B9A"/>
    <w:rsid w:val="00E11089"/>
    <w:rsid w:val="00E17598"/>
    <w:rsid w:val="00E91931"/>
    <w:rsid w:val="00E97FDB"/>
    <w:rsid w:val="00EA5199"/>
    <w:rsid w:val="00EA5479"/>
    <w:rsid w:val="00ED7A05"/>
    <w:rsid w:val="00EE334C"/>
    <w:rsid w:val="00EF11A4"/>
    <w:rsid w:val="00F02153"/>
    <w:rsid w:val="00F058DF"/>
    <w:rsid w:val="00F15675"/>
    <w:rsid w:val="00F21250"/>
    <w:rsid w:val="00F2398D"/>
    <w:rsid w:val="00F24DF8"/>
    <w:rsid w:val="00F33510"/>
    <w:rsid w:val="00F33FC4"/>
    <w:rsid w:val="00F456D1"/>
    <w:rsid w:val="00F634A3"/>
    <w:rsid w:val="00F710F9"/>
    <w:rsid w:val="00F7620F"/>
    <w:rsid w:val="00F83A5F"/>
    <w:rsid w:val="00F8462C"/>
    <w:rsid w:val="00F871C2"/>
    <w:rsid w:val="00F87F40"/>
    <w:rsid w:val="00F912EE"/>
    <w:rsid w:val="00F95D54"/>
    <w:rsid w:val="00FA0AE4"/>
    <w:rsid w:val="00FB3EF0"/>
    <w:rsid w:val="00FB4DBA"/>
    <w:rsid w:val="00FB667E"/>
    <w:rsid w:val="00FC5E6A"/>
    <w:rsid w:val="00FE2931"/>
    <w:rsid w:val="00FE552D"/>
    <w:rsid w:val="00FF195C"/>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73E271"/>
  <w15:docId w15:val="{C6DB1620-A90D-9744-B688-6AA267BAC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3B30"/>
    <w:rPr>
      <w:rFonts w:ascii="Arial" w:hAnsi="Arial"/>
    </w:rPr>
  </w:style>
  <w:style w:type="paragraph" w:styleId="Heading1">
    <w:name w:val="heading 1"/>
    <w:basedOn w:val="Normal"/>
    <w:next w:val="Normal"/>
    <w:link w:val="Heading1Char"/>
    <w:autoRedefine/>
    <w:qFormat/>
    <w:rsid w:val="00311F1A"/>
    <w:pPr>
      <w:numPr>
        <w:numId w:val="4"/>
      </w:numPr>
      <w:autoSpaceDE w:val="0"/>
      <w:autoSpaceDN w:val="0"/>
      <w:adjustRightInd w:val="0"/>
      <w:spacing w:before="120" w:after="120" w:line="360" w:lineRule="auto"/>
      <w:jc w:val="center"/>
      <w:outlineLvl w:val="0"/>
    </w:pPr>
    <w:rPr>
      <w:b/>
      <w:bCs/>
      <w:caps/>
      <w:color w:val="000000" w:themeColor="text1"/>
      <w:sz w:val="28"/>
    </w:rPr>
  </w:style>
  <w:style w:type="paragraph" w:styleId="Heading2">
    <w:name w:val="heading 2"/>
    <w:basedOn w:val="Normal"/>
    <w:next w:val="Normal"/>
    <w:autoRedefine/>
    <w:qFormat/>
    <w:rsid w:val="00965FBD"/>
    <w:pPr>
      <w:keepNext/>
      <w:spacing w:before="240" w:after="60"/>
      <w:jc w:val="center"/>
      <w:outlineLvl w:val="1"/>
    </w:pPr>
    <w:rPr>
      <w:b/>
      <w:bCs/>
      <w:iCs/>
      <w:sz w:val="28"/>
      <w:szCs w:val="28"/>
    </w:rPr>
  </w:style>
  <w:style w:type="paragraph" w:styleId="Heading3">
    <w:name w:val="heading 3"/>
    <w:basedOn w:val="Normal"/>
    <w:next w:val="Normal"/>
    <w:autoRedefine/>
    <w:qFormat/>
    <w:rsid w:val="003F7FED"/>
    <w:pPr>
      <w:keepNext/>
      <w:numPr>
        <w:ilvl w:val="2"/>
        <w:numId w:val="2"/>
      </w:numPr>
      <w:spacing w:before="240" w:after="60"/>
      <w:outlineLvl w:val="2"/>
    </w:pPr>
    <w:rPr>
      <w:b/>
      <w:bCs/>
      <w:i/>
      <w:szCs w:val="26"/>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link w:val="HeaderChar"/>
    <w:uiPriority w:val="99"/>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link w:val="TitleChar"/>
    <w:autoRedefine/>
    <w:qFormat/>
    <w:rsid w:val="00F95D54"/>
    <w:pPr>
      <w:autoSpaceDE w:val="0"/>
      <w:autoSpaceDN w:val="0"/>
      <w:adjustRightInd w:val="0"/>
      <w:jc w:val="center"/>
    </w:pPr>
    <w:rPr>
      <w:b/>
      <w:bCs/>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uiPriority w:val="99"/>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311F1A"/>
    <w:rPr>
      <w:rFonts w:asciiTheme="majorHAnsi" w:hAnsiTheme="majorHAnsi"/>
      <w:b/>
      <w:bCs/>
      <w:caps/>
      <w:color w:val="000000" w:themeColor="text1"/>
      <w:sz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numPr>
        <w:numId w:val="0"/>
      </w:numPr>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uiPriority w:val="99"/>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iPriority w:val="35"/>
    <w:unhideWhenUsed/>
    <w:qFormat/>
    <w:rsid w:val="00D83B30"/>
    <w:pPr>
      <w:keepNext/>
      <w:spacing w:before="120" w:after="120" w:line="360" w:lineRule="auto"/>
    </w:pPr>
    <w:rPr>
      <w:iCs/>
      <w:color w:val="000000" w:themeColor="text1"/>
      <w:sz w:val="20"/>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F33FC4"/>
    <w:pPr>
      <w:numPr>
        <w:ilvl w:val="12"/>
        <w:numId w:val="0"/>
      </w:numPr>
    </w:pPr>
    <w:rPr>
      <w:bCs w:val="0"/>
      <w:szCs w:val="28"/>
    </w:rPr>
  </w:style>
  <w:style w:type="character" w:customStyle="1" w:styleId="TitleChar">
    <w:name w:val="Title Char"/>
    <w:link w:val="Title"/>
    <w:rsid w:val="00F95D54"/>
    <w:rPr>
      <w:rFonts w:ascii="Arial" w:hAnsi="Arial"/>
      <w:b/>
      <w:bCs/>
      <w:sz w:val="28"/>
      <w:szCs w:val="28"/>
    </w:rPr>
  </w:style>
  <w:style w:type="numbering" w:customStyle="1" w:styleId="NoList1">
    <w:name w:val="No List1"/>
    <w:next w:val="NoList"/>
    <w:uiPriority w:val="99"/>
    <w:semiHidden/>
    <w:unhideWhenUsed/>
    <w:rsid w:val="003E0D31"/>
  </w:style>
  <w:style w:type="numbering" w:customStyle="1" w:styleId="NoList11">
    <w:name w:val="No List11"/>
    <w:next w:val="NoList"/>
    <w:uiPriority w:val="99"/>
    <w:semiHidden/>
    <w:unhideWhenUsed/>
    <w:rsid w:val="003E0D31"/>
  </w:style>
  <w:style w:type="table" w:customStyle="1" w:styleId="TableGrid1">
    <w:name w:val="Table Grid1"/>
    <w:basedOn w:val="TableNormal"/>
    <w:next w:val="TableGrid"/>
    <w:uiPriority w:val="39"/>
    <w:rsid w:val="003E0D31"/>
    <w:rPr>
      <w:rFonts w:ascii="Calibri" w:eastAsia="Calibri" w:hAnsi="Calibri" w:cs="Mangal"/>
      <w:szCs w:val="21"/>
      <w:lang w:bidi="ne-N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E0D31"/>
    <w:rPr>
      <w:rFonts w:ascii="Times New Roman" w:eastAsia="Calibri" w:hAnsi="Times New Roman" w:cs="Times New Roman"/>
      <w:sz w:val="18"/>
      <w:szCs w:val="16"/>
      <w:lang w:bidi="ne-NP"/>
    </w:rPr>
  </w:style>
  <w:style w:type="character" w:customStyle="1" w:styleId="BalloonTextChar">
    <w:name w:val="Balloon Text Char"/>
    <w:basedOn w:val="DefaultParagraphFont"/>
    <w:link w:val="BalloonText"/>
    <w:uiPriority w:val="99"/>
    <w:semiHidden/>
    <w:rsid w:val="003E0D31"/>
    <w:rPr>
      <w:rFonts w:eastAsia="Calibri" w:cs="Times New Roman"/>
      <w:sz w:val="18"/>
      <w:szCs w:val="16"/>
      <w:lang w:bidi="ne-NP"/>
    </w:rPr>
  </w:style>
  <w:style w:type="character" w:styleId="CommentReference">
    <w:name w:val="annotation reference"/>
    <w:basedOn w:val="DefaultParagraphFont"/>
    <w:uiPriority w:val="99"/>
    <w:semiHidden/>
    <w:unhideWhenUsed/>
    <w:rsid w:val="003E0D31"/>
    <w:rPr>
      <w:sz w:val="16"/>
      <w:szCs w:val="16"/>
    </w:rPr>
  </w:style>
  <w:style w:type="paragraph" w:customStyle="1" w:styleId="CommentText1">
    <w:name w:val="Comment Text1"/>
    <w:basedOn w:val="Normal"/>
    <w:next w:val="CommentText"/>
    <w:link w:val="CommentTextChar"/>
    <w:uiPriority w:val="99"/>
    <w:semiHidden/>
    <w:unhideWhenUsed/>
    <w:rsid w:val="003E0D31"/>
    <w:rPr>
      <w:rFonts w:ascii="Calibri" w:hAnsi="Calibri" w:cs="Mangal"/>
      <w:sz w:val="20"/>
      <w:szCs w:val="18"/>
    </w:rPr>
  </w:style>
  <w:style w:type="character" w:customStyle="1" w:styleId="CommentTextChar">
    <w:name w:val="Comment Text Char"/>
    <w:basedOn w:val="DefaultParagraphFont"/>
    <w:link w:val="CommentText1"/>
    <w:uiPriority w:val="99"/>
    <w:rsid w:val="003E0D31"/>
    <w:rPr>
      <w:rFonts w:ascii="Calibri" w:hAnsi="Calibri" w:cs="Mangal"/>
      <w:sz w:val="20"/>
      <w:szCs w:val="18"/>
      <w:lang w:val="en-US"/>
    </w:rPr>
  </w:style>
  <w:style w:type="paragraph" w:styleId="CommentText">
    <w:name w:val="annotation text"/>
    <w:basedOn w:val="Normal"/>
    <w:link w:val="CommentTextChar1"/>
    <w:uiPriority w:val="99"/>
    <w:unhideWhenUsed/>
    <w:rsid w:val="003E0D31"/>
    <w:rPr>
      <w:sz w:val="20"/>
      <w:szCs w:val="20"/>
    </w:rPr>
  </w:style>
  <w:style w:type="character" w:customStyle="1" w:styleId="CommentTextChar1">
    <w:name w:val="Comment Text Char1"/>
    <w:basedOn w:val="DefaultParagraphFont"/>
    <w:link w:val="CommentText"/>
    <w:semiHidden/>
    <w:rsid w:val="003E0D31"/>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3E0D31"/>
    <w:rPr>
      <w:rFonts w:ascii="Calibri" w:eastAsia="Calibri" w:hAnsi="Calibri" w:cs="Mangal"/>
      <w:b/>
      <w:bCs/>
      <w:szCs w:val="18"/>
      <w:lang w:bidi="ne-NP"/>
    </w:rPr>
  </w:style>
  <w:style w:type="character" w:customStyle="1" w:styleId="CommentSubjectChar">
    <w:name w:val="Comment Subject Char"/>
    <w:basedOn w:val="CommentTextChar1"/>
    <w:link w:val="CommentSubject"/>
    <w:uiPriority w:val="99"/>
    <w:semiHidden/>
    <w:rsid w:val="003E0D31"/>
    <w:rPr>
      <w:rFonts w:ascii="Calibri" w:eastAsia="Calibri" w:hAnsi="Calibri" w:cs="Mangal"/>
      <w:b/>
      <w:bCs/>
      <w:sz w:val="20"/>
      <w:szCs w:val="18"/>
      <w:lang w:bidi="ne-NP"/>
    </w:rPr>
  </w:style>
  <w:style w:type="character" w:styleId="UnresolvedMention">
    <w:name w:val="Unresolved Mention"/>
    <w:basedOn w:val="DefaultParagraphFont"/>
    <w:uiPriority w:val="99"/>
    <w:semiHidden/>
    <w:unhideWhenUsed/>
    <w:rsid w:val="003E0D31"/>
    <w:rPr>
      <w:color w:val="605E5C"/>
      <w:shd w:val="clear" w:color="auto" w:fill="E1DFDD"/>
    </w:rPr>
  </w:style>
  <w:style w:type="paragraph" w:customStyle="1" w:styleId="Revision1">
    <w:name w:val="Revision1"/>
    <w:next w:val="Revision"/>
    <w:hidden/>
    <w:uiPriority w:val="99"/>
    <w:semiHidden/>
    <w:rsid w:val="003E0D31"/>
    <w:rPr>
      <w:rFonts w:ascii="Calibri" w:eastAsia="Calibri" w:hAnsi="Calibri" w:cs="Mangal"/>
      <w:szCs w:val="21"/>
      <w:lang w:bidi="ne-NP"/>
    </w:rPr>
  </w:style>
  <w:style w:type="character" w:customStyle="1" w:styleId="HeaderChar">
    <w:name w:val="Header Char"/>
    <w:basedOn w:val="DefaultParagraphFont"/>
    <w:link w:val="Header"/>
    <w:uiPriority w:val="99"/>
    <w:rsid w:val="003E0D31"/>
    <w:rPr>
      <w:rFonts w:ascii="Arial" w:hAnsi="Arial"/>
    </w:rPr>
  </w:style>
  <w:style w:type="character" w:customStyle="1" w:styleId="html-italic">
    <w:name w:val="html-italic"/>
    <w:basedOn w:val="DefaultParagraphFont"/>
    <w:rsid w:val="003E0D31"/>
  </w:style>
  <w:style w:type="paragraph" w:styleId="Revision">
    <w:name w:val="Revision"/>
    <w:hidden/>
    <w:uiPriority w:val="99"/>
    <w:semiHidden/>
    <w:rsid w:val="003E0D31"/>
    <w:rPr>
      <w:rFonts w:ascii="Arial" w:hAnsi="Arial"/>
    </w:rPr>
  </w:style>
  <w:style w:type="numbering" w:customStyle="1" w:styleId="NoList2">
    <w:name w:val="No List2"/>
    <w:next w:val="NoList"/>
    <w:uiPriority w:val="99"/>
    <w:semiHidden/>
    <w:unhideWhenUsed/>
    <w:rsid w:val="00F33FC4"/>
  </w:style>
  <w:style w:type="numbering" w:customStyle="1" w:styleId="NoList12">
    <w:name w:val="No List12"/>
    <w:next w:val="NoList"/>
    <w:uiPriority w:val="99"/>
    <w:semiHidden/>
    <w:unhideWhenUsed/>
    <w:rsid w:val="00F33FC4"/>
  </w:style>
  <w:style w:type="paragraph" w:customStyle="1" w:styleId="SectionHeading">
    <w:name w:val="Section Heading"/>
    <w:qFormat/>
    <w:rsid w:val="00F33FC4"/>
    <w:pPr>
      <w:keepNext/>
      <w:keepLines/>
      <w:numPr>
        <w:ilvl w:val="1"/>
      </w:numPr>
      <w:spacing w:before="160" w:after="100" w:line="480" w:lineRule="auto"/>
      <w:ind w:left="284" w:firstLine="720"/>
      <w:outlineLvl w:val="0"/>
    </w:pPr>
    <w:rPr>
      <w:rFonts w:ascii="Charter-Roman" w:hAnsi="Charter-Roman" w:cs="Helvetica"/>
      <w:color w:val="000000"/>
      <w:sz w:val="32"/>
    </w:rPr>
  </w:style>
  <w:style w:type="paragraph" w:customStyle="1" w:styleId="SubsectionHeading">
    <w:name w:val="Subsection Heading"/>
    <w:qFormat/>
    <w:rsid w:val="00F33FC4"/>
    <w:pPr>
      <w:keepNext/>
      <w:keepLines/>
      <w:numPr>
        <w:ilvl w:val="1"/>
      </w:numPr>
      <w:spacing w:before="160" w:after="100" w:line="420" w:lineRule="auto"/>
      <w:ind w:left="284" w:firstLine="720"/>
      <w:outlineLvl w:val="1"/>
    </w:pPr>
    <w:rPr>
      <w:rFonts w:ascii="Charter-Roman" w:hAnsi="Charter-Roman" w:cs="Helvetica"/>
      <w:color w:val="000000"/>
      <w:sz w:val="28"/>
    </w:rPr>
  </w:style>
  <w:style w:type="paragraph" w:customStyle="1" w:styleId="BodyText1">
    <w:name w:val="Body Text1"/>
    <w:qFormat/>
    <w:rsid w:val="00F33FC4"/>
    <w:pPr>
      <w:numPr>
        <w:ilvl w:val="1"/>
      </w:numPr>
      <w:spacing w:before="200" w:after="200" w:line="220" w:lineRule="auto"/>
      <w:ind w:left="284" w:firstLine="720"/>
    </w:pPr>
    <w:rPr>
      <w:rFonts w:ascii="Charter-Roman" w:hAnsi="Charter-Roman" w:cs="Helvetica"/>
      <w:color w:val="000000"/>
      <w:sz w:val="22"/>
    </w:rPr>
  </w:style>
  <w:style w:type="character" w:customStyle="1" w:styleId="CommentSubjectChar1">
    <w:name w:val="Comment Subject Char1"/>
    <w:basedOn w:val="CommentTextChar"/>
    <w:uiPriority w:val="99"/>
    <w:semiHidden/>
    <w:rsid w:val="00F33FC4"/>
    <w:rPr>
      <w:rFonts w:ascii="Calibri" w:hAnsi="Calibri" w:cs="Mangal"/>
      <w:b/>
      <w:bCs/>
      <w:sz w:val="20"/>
      <w:szCs w:val="20"/>
      <w:lang w:val="en-US" w:bidi="ar-SA"/>
    </w:rPr>
  </w:style>
  <w:style w:type="character" w:customStyle="1" w:styleId="BalloonTextChar1">
    <w:name w:val="Balloon Text Char1"/>
    <w:basedOn w:val="DefaultParagraphFont"/>
    <w:uiPriority w:val="99"/>
    <w:semiHidden/>
    <w:rsid w:val="00F33FC4"/>
    <w:rPr>
      <w:rFonts w:ascii="Times New Roman" w:hAnsi="Times New Roman" w:cs="Times New Roman"/>
      <w:sz w:val="18"/>
      <w:szCs w:val="16"/>
    </w:rPr>
  </w:style>
  <w:style w:type="table" w:customStyle="1" w:styleId="TableGrid2">
    <w:name w:val="Table Grid2"/>
    <w:basedOn w:val="TableNormal"/>
    <w:next w:val="TableGrid"/>
    <w:uiPriority w:val="39"/>
    <w:rsid w:val="00F33FC4"/>
    <w:rPr>
      <w:rFonts w:ascii="Calibri" w:eastAsia="Calibri" w:hAnsi="Calibri" w:cs="Mang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F33FC4"/>
  </w:style>
  <w:style w:type="numbering" w:customStyle="1" w:styleId="NoList13">
    <w:name w:val="No List13"/>
    <w:next w:val="NoList"/>
    <w:uiPriority w:val="99"/>
    <w:semiHidden/>
    <w:unhideWhenUsed/>
    <w:rsid w:val="00F33FC4"/>
  </w:style>
  <w:style w:type="table" w:customStyle="1" w:styleId="TableGrid3">
    <w:name w:val="Table Grid3"/>
    <w:basedOn w:val="TableNormal"/>
    <w:next w:val="TableGrid"/>
    <w:uiPriority w:val="39"/>
    <w:rsid w:val="00F33FC4"/>
    <w:rPr>
      <w:rFonts w:ascii="Calibri" w:eastAsia="Calibri" w:hAnsi="Calibri" w:cs="Mang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tiff"/><Relationship Id="rId18" Type="http://schemas.openxmlformats.org/officeDocument/2006/relationships/image" Target="media/image10.tiff"/><Relationship Id="rId26" Type="http://schemas.openxmlformats.org/officeDocument/2006/relationships/hyperlink" Target="file:////www.ncbi.nlm.nih.gov/assembly/GCA_000732965.1" TargetMode="External"/><Relationship Id="rId39" Type="http://schemas.openxmlformats.org/officeDocument/2006/relationships/image" Target="media/image29.tiff"/><Relationship Id="rId21" Type="http://schemas.openxmlformats.org/officeDocument/2006/relationships/image" Target="media/image13.tiff"/><Relationship Id="rId34" Type="http://schemas.openxmlformats.org/officeDocument/2006/relationships/image" Target="media/image24.tiff"/><Relationship Id="rId42" Type="http://schemas.openxmlformats.org/officeDocument/2006/relationships/image" Target="media/image32.tiff"/><Relationship Id="rId47" Type="http://schemas.openxmlformats.org/officeDocument/2006/relationships/header" Target="header1.xm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tiff"/><Relationship Id="rId29" Type="http://schemas.openxmlformats.org/officeDocument/2006/relationships/image" Target="media/image20.tiff"/><Relationship Id="rId11" Type="http://schemas.openxmlformats.org/officeDocument/2006/relationships/image" Target="media/image3.tiff"/><Relationship Id="rId24" Type="http://schemas.openxmlformats.org/officeDocument/2006/relationships/image" Target="media/image16.tiff"/><Relationship Id="rId32" Type="http://schemas.openxmlformats.org/officeDocument/2006/relationships/image" Target="media/image22.tiff"/><Relationship Id="rId37" Type="http://schemas.openxmlformats.org/officeDocument/2006/relationships/image" Target="media/image27.tiff"/><Relationship Id="rId40" Type="http://schemas.openxmlformats.org/officeDocument/2006/relationships/image" Target="media/image30.emf"/><Relationship Id="rId45" Type="http://schemas.openxmlformats.org/officeDocument/2006/relationships/image" Target="media/image35.tiff"/><Relationship Id="rId5" Type="http://schemas.openxmlformats.org/officeDocument/2006/relationships/webSettings" Target="webSettings.xml"/><Relationship Id="rId15" Type="http://schemas.openxmlformats.org/officeDocument/2006/relationships/image" Target="media/image7.tiff"/><Relationship Id="rId23" Type="http://schemas.openxmlformats.org/officeDocument/2006/relationships/image" Target="media/image15.tiff"/><Relationship Id="rId28" Type="http://schemas.openxmlformats.org/officeDocument/2006/relationships/image" Target="media/image19.tiff"/><Relationship Id="rId36" Type="http://schemas.openxmlformats.org/officeDocument/2006/relationships/image" Target="media/image26.emf"/><Relationship Id="rId49" Type="http://schemas.openxmlformats.org/officeDocument/2006/relationships/footer" Target="footer2.xml"/><Relationship Id="rId10" Type="http://schemas.openxmlformats.org/officeDocument/2006/relationships/image" Target="media/image2.emf"/><Relationship Id="rId19" Type="http://schemas.openxmlformats.org/officeDocument/2006/relationships/image" Target="media/image11.tiff"/><Relationship Id="rId31" Type="http://schemas.openxmlformats.org/officeDocument/2006/relationships/image" Target="media/image21.tiff"/><Relationship Id="rId44" Type="http://schemas.openxmlformats.org/officeDocument/2006/relationships/image" Target="media/image34.tiff"/><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image" Target="media/image6.tiff"/><Relationship Id="rId22" Type="http://schemas.openxmlformats.org/officeDocument/2006/relationships/image" Target="media/image14.emf"/><Relationship Id="rId27" Type="http://schemas.openxmlformats.org/officeDocument/2006/relationships/image" Target="media/image18.emf"/><Relationship Id="rId30" Type="http://schemas.openxmlformats.org/officeDocument/2006/relationships/hyperlink" Target="file:////www.ncbi.nlm.nih.gov/assembly/GCA_000732965.1" TargetMode="External"/><Relationship Id="rId35" Type="http://schemas.openxmlformats.org/officeDocument/2006/relationships/image" Target="media/image25.emf"/><Relationship Id="rId43" Type="http://schemas.openxmlformats.org/officeDocument/2006/relationships/image" Target="media/image33.tiff"/><Relationship Id="rId48" Type="http://schemas.openxmlformats.org/officeDocument/2006/relationships/header" Target="header2.xml"/><Relationship Id="rId8" Type="http://schemas.openxmlformats.org/officeDocument/2006/relationships/footer" Target="footer1.xm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4.tiff"/><Relationship Id="rId17" Type="http://schemas.openxmlformats.org/officeDocument/2006/relationships/image" Target="media/image9.tiff"/><Relationship Id="rId25" Type="http://schemas.openxmlformats.org/officeDocument/2006/relationships/image" Target="media/image17.emf"/><Relationship Id="rId33" Type="http://schemas.openxmlformats.org/officeDocument/2006/relationships/image" Target="media/image23.tiff"/><Relationship Id="rId38" Type="http://schemas.openxmlformats.org/officeDocument/2006/relationships/image" Target="media/image28.tiff"/><Relationship Id="rId46" Type="http://schemas.openxmlformats.org/officeDocument/2006/relationships/image" Target="media/image36.tiff"/><Relationship Id="rId20" Type="http://schemas.openxmlformats.org/officeDocument/2006/relationships/image" Target="media/image12.tiff"/><Relationship Id="rId41" Type="http://schemas.openxmlformats.org/officeDocument/2006/relationships/image" Target="media/image31.tiff"/><Relationship Id="rId1" Type="http://schemas.openxmlformats.org/officeDocument/2006/relationships/customXml" Target="../customXml/item1.xml"/><Relationship Id="rId6"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bikash/Documents/Bogati_dissertation/compiled_dissertation/bbogati1_202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82EAB2-A82F-41A9-90FF-249F916546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bbogati1_2021.dotx</Template>
  <TotalTime>11</TotalTime>
  <Pages>180</Pages>
  <Words>38570</Words>
  <Characters>212140</Characters>
  <Application>Microsoft Office Word</Application>
  <DocSecurity>0</DocSecurity>
  <Lines>5892</Lines>
  <Paragraphs>4476</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246234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Bogati, Bikash</dc:creator>
  <cp:lastModifiedBy>me.bkas@gmail.com</cp:lastModifiedBy>
  <cp:revision>3</cp:revision>
  <cp:lastPrinted>2021-10-06T18:08:00Z</cp:lastPrinted>
  <dcterms:created xsi:type="dcterms:W3CDTF">2021-10-13T13:40:00Z</dcterms:created>
  <dcterms:modified xsi:type="dcterms:W3CDTF">2021-10-13T13:43:00Z</dcterms:modified>
</cp:coreProperties>
</file>